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document.xml" ContentType="application/vnd.openxmlformats-officedocument.wordprocessingml.document.main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both"/>
        <w:rPr>
          <w:rFonts w:hint="eastAsia"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  <w:r>
        <w:rPr>
          <w:rFonts w:hint="eastAsia" w:ascii="文星简小标宋" w:hAnsi="文星简小标宋" w:eastAsia="文星简小标宋" w:cs="文星简小标宋"/>
          <w:sz w:val="84"/>
          <w:szCs w:val="84"/>
        </w:rPr>
        <w:t>2020年威海市文登区人民代表大会常务委员会</w:t>
      </w:r>
      <w:r>
        <w:rPr>
          <w:rFonts w:hint="eastAsia" w:ascii="文星简小标宋" w:hAnsi="文星简小标宋" w:eastAsia="文星简小标宋" w:cs="文星简小标宋"/>
          <w:sz w:val="84"/>
          <w:szCs w:val="84"/>
          <w:lang w:eastAsia="zh-CN"/>
        </w:rPr>
        <w:t>办公室</w:t>
      </w:r>
      <w:r>
        <w:rPr>
          <w:rFonts w:hint="eastAsia" w:ascii="文星简小标宋" w:hAnsi="文星简小标宋" w:eastAsia="文星简小标宋" w:cs="文星简小标宋"/>
          <w:sz w:val="84"/>
          <w:szCs w:val="84"/>
        </w:rPr>
        <w:t>预算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580" w:lineRule="exact"/>
        <w:jc w:val="both"/>
        <w:rPr>
          <w:rFonts w:ascii="黑体" w:eastAsia="黑体"/>
          <w:sz w:val="44"/>
          <w:szCs w:val="44"/>
        </w:rPr>
      </w:pPr>
      <w:r>
        <w:rPr>
          <w:rFonts w:hint="eastAsia" w:ascii="黑体" w:eastAsia="黑体"/>
          <w:sz w:val="44"/>
          <w:szCs w:val="44"/>
        </w:rPr>
        <w:t>目  录</w:t>
      </w:r>
    </w:p>
    <w:p>
      <w:pPr>
        <w:spacing w:line="580" w:lineRule="exact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第一部分</w:t>
      </w:r>
      <w:r>
        <w:rPr>
          <w:rFonts w:hint="eastAsia" w:ascii="黑体" w:eastAsia="黑体"/>
          <w:sz w:val="36"/>
          <w:szCs w:val="36"/>
          <w:lang w:eastAsia="zh-CN"/>
        </w:rPr>
        <w:t>单位</w:t>
      </w:r>
      <w:r>
        <w:rPr>
          <w:rFonts w:hint="eastAsia" w:ascii="黑体" w:eastAsia="黑体"/>
          <w:sz w:val="36"/>
          <w:szCs w:val="36"/>
        </w:rPr>
        <w:t>概况</w:t>
      </w:r>
    </w:p>
    <w:p>
      <w:pPr>
        <w:numPr>
          <w:ilvl w:val="0"/>
          <w:numId w:val="1"/>
        </w:numPr>
        <w:spacing w:line="580" w:lineRule="exact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主要职能</w:t>
      </w:r>
    </w:p>
    <w:p>
      <w:pPr>
        <w:spacing w:line="580" w:lineRule="exact"/>
        <w:ind w:left="64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</w:t>
      </w:r>
      <w:r>
        <w:rPr>
          <w:rFonts w:hint="eastAsia" w:ascii="黑体" w:eastAsia="黑体"/>
          <w:sz w:val="32"/>
          <w:szCs w:val="32"/>
          <w:lang w:eastAsia="zh-CN"/>
        </w:rPr>
        <w:t>单位</w:t>
      </w:r>
      <w:r>
        <w:rPr>
          <w:rFonts w:hint="eastAsia" w:ascii="黑体" w:eastAsia="黑体"/>
          <w:sz w:val="32"/>
          <w:szCs w:val="32"/>
        </w:rPr>
        <w:t xml:space="preserve">预算单位构成 </w:t>
      </w:r>
    </w:p>
    <w:p>
      <w:pPr>
        <w:spacing w:line="580" w:lineRule="exact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第二部分 2020年</w:t>
      </w:r>
      <w:r>
        <w:rPr>
          <w:rFonts w:hint="eastAsia" w:ascii="黑体" w:eastAsia="黑体"/>
          <w:sz w:val="36"/>
          <w:szCs w:val="36"/>
          <w:lang w:eastAsia="zh-CN"/>
        </w:rPr>
        <w:t>单位</w:t>
      </w:r>
      <w:r>
        <w:rPr>
          <w:rFonts w:hint="eastAsia" w:ascii="黑体" w:eastAsia="黑体"/>
          <w:sz w:val="36"/>
          <w:szCs w:val="36"/>
        </w:rPr>
        <w:t>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一、收支预算总表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二、收入预算表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三、支出预算表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四、财政拨款收支预算表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五、一般公共预算支出表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六、政府性基金预算支出表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七、财政拨款安排的基本支出预算表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八、财政拨款安排的支出预算科目表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九、政府采购预算表</w:t>
      </w:r>
    </w:p>
    <w:p>
      <w:pPr>
        <w:spacing w:line="580" w:lineRule="exact"/>
        <w:ind w:firstLine="640" w:firstLineChars="200"/>
        <w:jc w:val="both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十、一般公共预算“三公”经费支出表</w:t>
      </w:r>
    </w:p>
    <w:p>
      <w:pPr>
        <w:spacing w:line="580" w:lineRule="exact"/>
        <w:ind w:left="1602" w:hanging="1602" w:hangingChars="445"/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第三部分 2020年</w:t>
      </w:r>
      <w:r>
        <w:rPr>
          <w:rFonts w:hint="eastAsia" w:ascii="黑体" w:eastAsia="黑体"/>
          <w:sz w:val="36"/>
          <w:szCs w:val="36"/>
          <w:lang w:eastAsia="zh-CN"/>
        </w:rPr>
        <w:t>单位</w:t>
      </w:r>
      <w:r>
        <w:rPr>
          <w:rFonts w:hint="eastAsia" w:ascii="黑体" w:eastAsia="黑体"/>
          <w:sz w:val="36"/>
          <w:szCs w:val="36"/>
        </w:rPr>
        <w:t>预算情况和重要事项说明</w:t>
      </w:r>
    </w:p>
    <w:p>
      <w:pPr>
        <w:jc w:val="both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第四部分 名词解释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44"/>
          <w:szCs w:val="44"/>
        </w:rPr>
      </w:pPr>
      <w:r>
        <w:rPr>
          <w:rFonts w:ascii="Times New Roman" w:hAnsi="黑体" w:eastAsia="黑体" w:cs="Times New Roman"/>
          <w:sz w:val="44"/>
          <w:szCs w:val="44"/>
        </w:rPr>
        <w:t>第一部分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84"/>
          <w:szCs w:val="84"/>
        </w:rPr>
      </w:pPr>
      <w:r>
        <w:rPr>
          <w:rFonts w:hint="eastAsia" w:ascii="Times New Roman" w:hAnsi="黑体" w:eastAsia="黑体" w:cs="Times New Roman"/>
          <w:sz w:val="84"/>
          <w:szCs w:val="84"/>
          <w:lang w:eastAsia="zh-CN"/>
        </w:rPr>
        <w:t>单位</w:t>
      </w:r>
      <w:r>
        <w:rPr>
          <w:rFonts w:ascii="Times New Roman" w:hAnsi="黑体" w:eastAsia="黑体" w:cs="Times New Roman"/>
          <w:sz w:val="84"/>
          <w:szCs w:val="84"/>
        </w:rPr>
        <w:t>概况</w:t>
      </w: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ind w:firstLine="800" w:firstLineChars="250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一、主要职能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cs="Times New Roman"/>
          <w:sz w:val="32"/>
          <w:szCs w:val="32"/>
        </w:rPr>
        <w:t>　　</w:t>
      </w:r>
      <w:r>
        <w:rPr>
          <w:rFonts w:ascii="Times New Roman" w:hAnsi="Times New Roman" w:eastAsia="仿宋_GB2312" w:cs="Times New Roman"/>
          <w:sz w:val="32"/>
          <w:szCs w:val="32"/>
        </w:rPr>
        <w:t>（一）在本行政区域内，保证宪法、法律、行政法规和上级人民代表大会及其常务委员会决议的遵守和执行；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（二）领导或者主持本级人民代表大会代表的选举；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（三）召集本级人民代表大会会议；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（四）讨论、决定本行政区域内的政治、经济、教育、科学、文化、卫生、环境和资源保护、民政、民族等工作的重大事项；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（五）根据本级人民政府的建议，决定对本行政区域内的国民经济和社会发展计划、预算的部分变更；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（六）监督本级人民政府、人民法院和人民检察院的工作，联系本级人民代表大会代表，受理人民群众对上述机关和国家工作人员的申诉和意见；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（七）撤销下一级人民代表大会的不适当的决议；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（八）撤销本级人民政府的不适当的决定和命令；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九）在本级人民代表大会闭会期间，决定副区长的个别任免；在区长和人民法院院长，人民检察院检察长因故不能担任职务的时候，从本级人民政府、人民法院、人民检察院副职领导人员中决定代理的人选；决定代理检察长，须报上一级人民检察院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人民代表大会常务委员会</w:t>
      </w:r>
      <w:r>
        <w:rPr>
          <w:rFonts w:ascii="Times New Roman" w:hAnsi="Times New Roman" w:eastAsia="仿宋_GB2312" w:cs="Times New Roman"/>
          <w:sz w:val="32"/>
          <w:szCs w:val="32"/>
        </w:rPr>
        <w:t>备案；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（十）根据区长的提名，决定本级人民政府局长、主任的任免，报上一级人民政府备案；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（十一）按照人民法院组织法和人民检察院组织法的规定，任免人民法院副院长、庭长、副庭长、审判委员会委员、审判员，任免人民检察院副检察长、检察委员会委员、检察员；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二）在本级人民代表大会闭会期间，决定撤销个别副区长的职务；决定撤销由它任命的本级人民政府其他组成人员和人民法院副院长、庭长、副庭长、审判委员会委员、审判员，人民检察院副检察长、检察委员会委员、检察员的职务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（十三）在本级人民代表大会闭会期间，补选上一级人民代表大会出缺的代表和罢免个别代表；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　　（十四）决定授予地方的荣誉称号。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黑体" w:eastAsia="黑体"/>
          <w:b/>
          <w:sz w:val="30"/>
          <w:szCs w:val="30"/>
          <w:highlight w:val="none"/>
        </w:rPr>
      </w:pPr>
      <w:r>
        <w:rPr>
          <w:rFonts w:hint="eastAsia" w:ascii="黑体" w:eastAsia="黑体"/>
          <w:sz w:val="32"/>
          <w:szCs w:val="32"/>
          <w:highlight w:val="none"/>
        </w:rPr>
        <w:t>二、</w:t>
      </w:r>
      <w:r>
        <w:rPr>
          <w:rFonts w:hint="eastAsia" w:ascii="黑体" w:eastAsia="黑体"/>
          <w:sz w:val="32"/>
          <w:szCs w:val="32"/>
          <w:highlight w:val="none"/>
          <w:lang w:eastAsia="zh-CN"/>
        </w:rPr>
        <w:t>单位</w:t>
      </w:r>
      <w:r>
        <w:rPr>
          <w:rFonts w:hint="eastAsia" w:ascii="黑体" w:eastAsia="黑体"/>
          <w:sz w:val="32"/>
          <w:szCs w:val="32"/>
          <w:highlight w:val="none"/>
        </w:rPr>
        <w:t>预算单位构成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仿宋_GB2312" w:eastAsia="仿宋_GB2312" w:cs="Courier New"/>
          <w:sz w:val="32"/>
          <w:szCs w:val="32"/>
          <w:highlight w:val="none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威海市文登区人民代表大会常务委员会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办公室</w:t>
      </w:r>
      <w:bookmarkStart w:id="0" w:name="_GoBack"/>
      <w:bookmarkEnd w:id="0"/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预算包括：机关预算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、所属事业单位预算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。</w:t>
      </w:r>
    </w:p>
    <w:p>
      <w:pPr>
        <w:widowControl w:val="0"/>
        <w:adjustRightInd/>
        <w:spacing w:line="600" w:lineRule="exact"/>
        <w:ind w:firstLine="640" w:firstLineChars="200"/>
        <w:jc w:val="both"/>
        <w:rPr>
          <w:rFonts w:ascii="仿宋_GB2312" w:hAnsi="宋体" w:eastAsia="仿宋_GB2312" w:cs="Courier New"/>
          <w:sz w:val="32"/>
          <w:szCs w:val="32"/>
          <w:highlight w:val="none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纳入威海市文登区人民代表大会常务委员会2020年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单位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预算编制范围的预算单位包括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个：</w:t>
      </w:r>
    </w:p>
    <w:p>
      <w:pPr>
        <w:widowControl w:val="0"/>
        <w:numPr>
          <w:ilvl w:val="0"/>
          <w:numId w:val="2"/>
        </w:numPr>
        <w:adjustRightInd/>
        <w:spacing w:line="600" w:lineRule="exact"/>
        <w:ind w:firstLine="640" w:firstLineChars="200"/>
        <w:jc w:val="both"/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</w:rPr>
        <w:t>威海市文登区人民代表大会常务委员会</w:t>
      </w:r>
      <w:r>
        <w:rPr>
          <w:rFonts w:hint="eastAsia" w:ascii="仿宋_GB2312" w:hAnsi="宋体" w:eastAsia="仿宋_GB2312" w:cs="Courier New"/>
          <w:sz w:val="32"/>
          <w:szCs w:val="32"/>
          <w:highlight w:val="none"/>
          <w:lang w:eastAsia="zh-CN"/>
        </w:rPr>
        <w:t>机关</w:t>
      </w:r>
    </w:p>
    <w:p>
      <w:pPr>
        <w:widowControl w:val="0"/>
        <w:numPr>
          <w:ilvl w:val="0"/>
          <w:numId w:val="2"/>
        </w:numPr>
        <w:adjustRightInd/>
        <w:spacing w:line="600" w:lineRule="exact"/>
        <w:ind w:firstLine="640" w:firstLineChars="200"/>
        <w:jc w:val="both"/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宋体" w:eastAsia="仿宋_GB2312" w:cs="Courier New"/>
          <w:sz w:val="32"/>
          <w:szCs w:val="32"/>
          <w:highlight w:val="none"/>
          <w:lang w:val="en-US" w:eastAsia="zh-CN"/>
        </w:rPr>
        <w:t>威海市文登区人民代表大会常务委员会离退休干部服务中心（未设账，不单独核算）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  <w:highlight w:val="none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  <w:highlight w:val="none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第二部分</w:t>
      </w: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ind w:left="1078" w:leftChars="372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2020年</w:t>
      </w:r>
      <w:r>
        <w:rPr>
          <w:rFonts w:hint="eastAsia" w:ascii="黑体" w:eastAsia="黑体"/>
          <w:sz w:val="52"/>
          <w:szCs w:val="52"/>
          <w:lang w:eastAsia="zh-CN"/>
        </w:rPr>
        <w:t>单位</w:t>
      </w:r>
      <w:r>
        <w:rPr>
          <w:rFonts w:hint="eastAsia" w:ascii="黑体" w:eastAsia="黑体"/>
          <w:sz w:val="52"/>
          <w:szCs w:val="52"/>
        </w:rPr>
        <w:t>预算表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黑体" w:eastAsia="黑体"/>
          <w:sz w:val="52"/>
          <w:szCs w:val="52"/>
        </w:rPr>
        <w:t>(详见附件：2020年</w:t>
      </w:r>
      <w:r>
        <w:rPr>
          <w:rFonts w:hint="eastAsia" w:ascii="黑体" w:eastAsia="黑体"/>
          <w:sz w:val="52"/>
          <w:szCs w:val="52"/>
          <w:lang w:eastAsia="zh-CN"/>
        </w:rPr>
        <w:t>单位</w:t>
      </w:r>
      <w:r>
        <w:rPr>
          <w:rFonts w:hint="eastAsia" w:ascii="黑体" w:eastAsia="黑体"/>
          <w:sz w:val="52"/>
          <w:szCs w:val="52"/>
        </w:rPr>
        <w:t>预算公开附表.xls)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eastAsia="黑体" w:cs="Times New Roman"/>
          <w:sz w:val="32"/>
          <w:szCs w:val="32"/>
        </w:rPr>
      </w:pPr>
    </w:p>
    <w:p>
      <w:pPr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第三部分</w:t>
      </w: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jc w:val="both"/>
        <w:rPr>
          <w:rFonts w:ascii="黑体" w:eastAsia="黑体"/>
          <w:sz w:val="52"/>
          <w:szCs w:val="52"/>
        </w:rPr>
      </w:pPr>
    </w:p>
    <w:p>
      <w:pPr>
        <w:ind w:left="278" w:leftChars="8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2020年</w:t>
      </w:r>
      <w:r>
        <w:rPr>
          <w:rFonts w:hint="eastAsia" w:ascii="黑体" w:eastAsia="黑体"/>
          <w:sz w:val="52"/>
          <w:szCs w:val="52"/>
          <w:lang w:eastAsia="zh-CN"/>
        </w:rPr>
        <w:t>单位</w:t>
      </w:r>
      <w:r>
        <w:rPr>
          <w:rFonts w:hint="eastAsia" w:ascii="黑体" w:eastAsia="黑体"/>
          <w:sz w:val="52"/>
          <w:szCs w:val="52"/>
        </w:rPr>
        <w:t>预算情况和</w:t>
      </w:r>
    </w:p>
    <w:p>
      <w:pPr>
        <w:ind w:left="278" w:leftChars="8" w:hanging="260" w:hangingChars="50"/>
        <w:jc w:val="both"/>
        <w:rPr>
          <w:rFonts w:ascii="黑体" w:eastAsia="黑体"/>
          <w:sz w:val="52"/>
          <w:szCs w:val="52"/>
        </w:rPr>
      </w:pPr>
      <w:r>
        <w:rPr>
          <w:rFonts w:hint="eastAsia" w:ascii="黑体" w:eastAsia="黑体"/>
          <w:sz w:val="52"/>
          <w:szCs w:val="52"/>
        </w:rPr>
        <w:t>重要事项说明</w:t>
      </w:r>
    </w:p>
    <w:p>
      <w:pPr>
        <w:jc w:val="both"/>
        <w:rPr>
          <w:rFonts w:ascii="黑体" w:eastAsia="黑体"/>
          <w:b/>
          <w:sz w:val="30"/>
          <w:szCs w:val="30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hint="eastAsia" w:ascii="Times New Roman" w:hAnsi="Times New Roman" w:cs="Times New Roman"/>
          <w:sz w:val="32"/>
          <w:szCs w:val="32"/>
        </w:rPr>
      </w:pP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</w:t>
      </w:r>
      <w:r>
        <w:rPr>
          <w:rFonts w:ascii="Times New Roman" w:hAnsi="Times New Roman" w:eastAsia="黑体" w:cs="Times New Roman"/>
          <w:sz w:val="32"/>
          <w:szCs w:val="32"/>
        </w:rPr>
        <w:t>2020</w:t>
      </w:r>
      <w:r>
        <w:rPr>
          <w:rFonts w:ascii="Times New Roman" w:hAnsi="黑体" w:eastAsia="黑体" w:cs="Times New Roman"/>
          <w:sz w:val="32"/>
          <w:szCs w:val="32"/>
        </w:rPr>
        <w:t>年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单位</w:t>
      </w:r>
      <w:r>
        <w:rPr>
          <w:rFonts w:ascii="Times New Roman" w:hAnsi="黑体" w:eastAsia="黑体" w:cs="Times New Roman"/>
          <w:sz w:val="32"/>
          <w:szCs w:val="32"/>
        </w:rPr>
        <w:t>预算情况说明</w:t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（一）收支预算总体情况</w:t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color w:val="FF000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2020年收入预算为1040.29万元，其中：财政拨款1040.29万元，占100%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4572000" cy="2762250"/>
            <wp:effectExtent l="0" t="0" r="0" b="0"/>
            <wp:docPr id="3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2020年支出预算为1040.29万元，其中：基本支出 853.83万元，占82%，项目支出186.46万元，占18%。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1911350</wp:posOffset>
                </wp:positionH>
                <wp:positionV relativeFrom="paragraph">
                  <wp:posOffset>478155</wp:posOffset>
                </wp:positionV>
                <wp:extent cx="649605" cy="375285"/>
                <wp:effectExtent l="0" t="0" r="17145" b="5715"/>
                <wp:wrapNone/>
                <wp:docPr id="7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9605" cy="37528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  <w:sz w:val="15"/>
                                <w:szCs w:val="15"/>
                              </w:rPr>
                              <w:t>项目支出186.46万元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150.5pt;margin-top:37.65pt;height:29.55pt;width:51.15pt;z-index:251660288;mso-width-relative:page;mso-height-relative:page;" fillcolor="#FFC000" filled="t" stroked="f" coordsize="21600,21600" o:gfxdata="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XqUCo2gAAAAoBAAAPAAAAAAAAAAEAIAAAACIAAABkcnMvZG93&#10;bnJldi54bWxQSwECFAAUAAAACACHTuJAJ3NemMUBAAB2AwAADgAAAAAAAAABACAAAAApAQAAZHJz&#10;L2Uyb0RvYy54bWxQSwUGAAAAAAYABgBZAQAAYA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  <w:sz w:val="15"/>
                          <w:szCs w:val="15"/>
                        </w:rPr>
                        <w:t>项目支出186.46万元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1741805</wp:posOffset>
                </wp:positionH>
                <wp:positionV relativeFrom="paragraph">
                  <wp:posOffset>1840230</wp:posOffset>
                </wp:positionV>
                <wp:extent cx="1113155" cy="266700"/>
                <wp:effectExtent l="0" t="0" r="10795" b="0"/>
                <wp:wrapNone/>
                <wp:docPr id="4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3155" cy="266700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  <w:sz w:val="15"/>
                                <w:szCs w:val="15"/>
                              </w:rPr>
                              <w:t>基本支出853.83万元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137.15pt;margin-top:144.9pt;height:21pt;width:87.65pt;z-index:251659264;mso-width-relative:page;mso-height-relative:page;" fillcolor="#00B0F0" filled="t" stroked="f" coordsize="21600,21600" o:gfxdata="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CJS5lbXAAAACwEAAA8AAAAAAAAAAQAgAAAAIgAAAGRycy9kb3ducmV2Lnht&#10;bFBLAQIUABQAAAAIAIdO4kCR+0YjwQEAAHcDAAAOAAAAAAAAAAEAIAAAACYBAABkcnMvZTJvRG9j&#10;LnhtbFBLBQYAAAAABgAGAFkBAABZ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  <w:sz w:val="15"/>
                          <w:szCs w:val="15"/>
                        </w:rPr>
                        <w:t>基本支出853.83万元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</w:rPr>
        <w:drawing>
          <wp:inline distT="0" distB="0" distL="0" distR="0">
            <wp:extent cx="4512310" cy="2908935"/>
            <wp:effectExtent l="0" t="0" r="2540" b="5715"/>
            <wp:docPr id="1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2917032"/>
                    </a:xfrm>
                    <a:prstGeom prst="rect">
                      <a:avLst/>
                    </a:prstGeom>
                    <a:noFill/>
                    <a:ln w="9525" cmpd="sng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（二）财政拨款收支情况</w:t>
      </w:r>
    </w:p>
    <w:p>
      <w:pPr>
        <w:spacing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2020年财政拨款收入预算为1040.29万元，其中：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ascii="Times New Roman" w:hAnsi="Times New Roman" w:eastAsia="仿宋_GB2312" w:cs="Times New Roman"/>
          <w:sz w:val="32"/>
          <w:szCs w:val="32"/>
        </w:rPr>
        <w:t>（类）收入32.46万元，占3%；住房保障（类）收入107.38万元，占10%。</w:t>
      </w:r>
      <w:r>
        <w:rPr>
          <w:rFonts w:ascii="仿宋_GB2312" w:eastAsia="仿宋_GB2312"/>
          <w:sz w:val="32"/>
          <w:szCs w:val="32"/>
        </w:rPr>
        <w:t xml:space="preserve"> </w:t>
      </w:r>
    </w:p>
    <w:p>
      <w:pPr>
        <w:spacing w:after="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5419090" cy="4140200"/>
            <wp:effectExtent l="0" t="0" r="10160" b="12700"/>
            <wp:docPr id="5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2020年财政拨款支出预算为1040.29万元，其中：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卫生健康支出（类）</w:t>
      </w:r>
      <w:r>
        <w:rPr>
          <w:rFonts w:ascii="Times New Roman" w:hAnsi="Times New Roman" w:eastAsia="仿宋_GB2312" w:cs="Times New Roman"/>
          <w:sz w:val="32"/>
          <w:szCs w:val="32"/>
        </w:rPr>
        <w:t>支出32.46万元，占3%；住房保障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支出（类）</w:t>
      </w:r>
      <w:r>
        <w:rPr>
          <w:rFonts w:ascii="Times New Roman" w:hAnsi="Times New Roman" w:eastAsia="仿宋_GB2312" w:cs="Times New Roman"/>
          <w:sz w:val="32"/>
          <w:szCs w:val="32"/>
        </w:rPr>
        <w:t>支出107.38万元，占10%。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/>
        </w:rPr>
        <w:drawing>
          <wp:inline distT="0" distB="0" distL="0" distR="0">
            <wp:extent cx="5275580" cy="2354580"/>
            <wp:effectExtent l="4445" t="4445" r="15875" b="22225"/>
            <wp:docPr id="6" name="图表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>
      <w:pPr>
        <w:spacing w:line="220" w:lineRule="atLeas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（三）一般公共预算收支情况及预算收支增减变化情况说明</w:t>
      </w:r>
    </w:p>
    <w:p>
      <w:pPr>
        <w:spacing w:after="0" w:line="560" w:lineRule="exact"/>
        <w:ind w:firstLine="640" w:firstLineChars="200"/>
        <w:jc w:val="both"/>
        <w:rPr>
          <w:rFonts w:hint="eastAsia" w:ascii="方正小标宋简体" w:hAnsi="Times New Roman" w:eastAsia="方正小标宋简体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2020年一般公共预算当年拨款1040.29万元，比上年增长4%，主要是新增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（类）支出中的代表工作一项（58.25万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用于发放代表补助经费</w:t>
      </w:r>
      <w:r>
        <w:rPr>
          <w:rFonts w:ascii="Times New Roman" w:hAnsi="Times New Roman" w:eastAsia="仿宋_GB2312" w:cs="Times New Roman"/>
          <w:sz w:val="32"/>
          <w:szCs w:val="32"/>
        </w:rPr>
        <w:t>）。</w:t>
      </w:r>
    </w:p>
    <w:p>
      <w:pPr>
        <w:spacing w:line="220" w:lineRule="atLeast"/>
        <w:jc w:val="center"/>
        <w:rPr>
          <w:rFonts w:ascii="方正小标宋简体" w:hAnsi="Times New Roman" w:eastAsia="方正小标宋简体" w:cs="Times New Roman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sz w:val="32"/>
          <w:szCs w:val="32"/>
        </w:rPr>
        <w:t>一般公共预算财政拨款支出预算</w:t>
      </w:r>
    </w:p>
    <w:p>
      <w:pPr>
        <w:spacing w:line="220" w:lineRule="atLeast"/>
        <w:jc w:val="center"/>
        <w:rPr>
          <w:rFonts w:ascii="方正小标宋简体" w:hAnsi="Times New Roman" w:eastAsia="方正小标宋简体" w:cs="Times New Roman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sz w:val="32"/>
          <w:szCs w:val="32"/>
        </w:rPr>
        <w:t>（单位：万元）</w:t>
      </w:r>
    </w:p>
    <w:p>
      <w:pPr>
        <w:spacing w:line="220" w:lineRule="atLeast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drawing>
          <wp:inline distT="0" distB="0" distL="0" distR="0">
            <wp:extent cx="4457700" cy="2353310"/>
            <wp:effectExtent l="4445" t="5080" r="14605" b="22860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>
      <w:pPr>
        <w:spacing w:line="220" w:lineRule="atLeas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</w:t>
      </w:r>
      <w:r>
        <w:rPr>
          <w:rFonts w:hint="eastAsia" w:ascii="仿宋_GB2312" w:eastAsia="仿宋_GB2312"/>
          <w:sz w:val="32"/>
          <w:szCs w:val="32"/>
        </w:rPr>
        <w:t>当年一般公共预算支出</w:t>
      </w:r>
      <w:r>
        <w:rPr>
          <w:rFonts w:ascii="Times New Roman" w:hAnsi="Times New Roman" w:eastAsia="仿宋_GB2312" w:cs="Times New Roman"/>
          <w:sz w:val="32"/>
          <w:szCs w:val="32"/>
        </w:rPr>
        <w:t>预算为1040.29万元，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比上年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增加3.58%。</w:t>
      </w:r>
      <w:r>
        <w:rPr>
          <w:rFonts w:ascii="Times New Roman" w:hAnsi="Times New Roman" w:eastAsia="仿宋_GB2312" w:cs="Times New Roman"/>
          <w:sz w:val="32"/>
          <w:szCs w:val="32"/>
        </w:rPr>
        <w:t>其中：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（类）支出822.89万元，占79%；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（类）支出77.56万元，占8%；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ascii="Times New Roman" w:hAnsi="Times New Roman" w:eastAsia="仿宋_GB2312" w:cs="Times New Roman"/>
          <w:sz w:val="32"/>
          <w:szCs w:val="32"/>
        </w:rPr>
        <w:t>（类）支出32.46万元，占3%；住房保障（类）支出107.38万元，占10%。</w:t>
      </w:r>
    </w:p>
    <w:p>
      <w:pPr>
        <w:spacing w:line="220" w:lineRule="atLeast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hint="eastAsia"/>
        </w:rPr>
        <w:drawing>
          <wp:inline distT="0" distB="0" distL="0" distR="0">
            <wp:extent cx="5008245" cy="2286000"/>
            <wp:effectExtent l="4445" t="4445" r="16510" b="14605"/>
            <wp:docPr id="8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>
      <w:pPr>
        <w:spacing w:line="220" w:lineRule="atLeast"/>
        <w:jc w:val="lef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具体情况如下：</w:t>
      </w:r>
    </w:p>
    <w:p>
      <w:pPr>
        <w:numPr>
          <w:ilvl w:val="0"/>
          <w:numId w:val="3"/>
        </w:numPr>
        <w:spacing w:after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事务（款）行政运行（项）支出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430.96</w:t>
      </w:r>
      <w:r>
        <w:rPr>
          <w:rFonts w:ascii="Times New Roman" w:hAnsi="Times New Roman" w:eastAsia="仿宋_GB2312" w:cs="Times New Roman"/>
          <w:sz w:val="32"/>
          <w:szCs w:val="32"/>
        </w:rPr>
        <w:t>万元，比上年下降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5.28</w:t>
      </w:r>
      <w:r>
        <w:rPr>
          <w:rFonts w:ascii="Times New Roman" w:hAnsi="Times New Roman" w:eastAsia="仿宋_GB2312" w:cs="Times New Roman"/>
          <w:sz w:val="32"/>
          <w:szCs w:val="32"/>
        </w:rPr>
        <w:t>%，主要是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代表培训费用压缩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人大会议</w:t>
      </w:r>
      <w:r>
        <w:rPr>
          <w:rFonts w:ascii="Times New Roman" w:hAnsi="Times New Roman" w:eastAsia="仿宋_GB2312" w:cs="Times New Roman"/>
          <w:sz w:val="32"/>
          <w:szCs w:val="32"/>
        </w:rPr>
        <w:t>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60.21万元，比上年下降0.23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，主要是厉行节约；一般公共服务支出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人大监督（项）支出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50.00万元，比上年与上年持平，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代表人数无变动；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人大代表履职能力提升（项）支出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18万元，与上年持平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代表人数无变动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代表工作（项）支出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58.25万元，比上年增加100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，主要威海市人大要求，设立该项目；一般公共服务支出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事业运行（项）支出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22.47万元，比上年增加15.34</w:t>
      </w:r>
      <w:r>
        <w:rPr>
          <w:rFonts w:ascii="Times New Roman" w:hAnsi="Times New Roman" w:eastAsia="仿宋_GB2312" w:cs="Times New Roman"/>
          <w:sz w:val="32"/>
          <w:szCs w:val="32"/>
        </w:rPr>
        <w:t>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主要原因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人员调入；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一般公共服务支出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事务（款）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其他人大事务（项）支出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183.00万元，比上年下降6.63</w:t>
      </w:r>
      <w:r>
        <w:rPr>
          <w:rFonts w:ascii="Times New Roman" w:hAnsi="Times New Roman" w:eastAsia="仿宋_GB2312" w:cs="Times New Roman"/>
          <w:sz w:val="32"/>
          <w:szCs w:val="32"/>
        </w:rPr>
        <w:t>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主要厉行节约。</w:t>
      </w:r>
    </w:p>
    <w:p>
      <w:pPr>
        <w:spacing w:after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/>
        </w:rPr>
      </w:pPr>
      <w:r>
        <w:rPr>
          <w:rFonts w:ascii="Times New Roman" w:hAnsi="Times New Roman" w:eastAsia="仿宋_GB2312" w:cs="Times New Roman"/>
          <w:sz w:val="32"/>
          <w:szCs w:val="32"/>
        </w:rPr>
        <w:t>2、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养老支出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行政事业单位基本养老保险缴费支出</w:t>
      </w:r>
      <w:r>
        <w:rPr>
          <w:rFonts w:ascii="Times New Roman" w:hAnsi="Times New Roman" w:eastAsia="仿宋_GB2312" w:cs="Times New Roman"/>
          <w:sz w:val="32"/>
          <w:szCs w:val="32"/>
        </w:rPr>
        <w:t>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50.95</w:t>
      </w:r>
      <w:r>
        <w:rPr>
          <w:rFonts w:ascii="Times New Roman" w:hAnsi="Times New Roman" w:eastAsia="仿宋_GB2312" w:cs="Times New Roman"/>
          <w:sz w:val="32"/>
          <w:szCs w:val="32"/>
        </w:rPr>
        <w:t>万元，比上年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减少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19.67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%，</w:t>
      </w:r>
      <w:r>
        <w:rPr>
          <w:rFonts w:hint="eastAsia" w:ascii="Times New Roman" w:hAnsi="Times New Roman" w:eastAsia="仿宋_GB2312"/>
          <w:sz w:val="32"/>
          <w:szCs w:val="32"/>
        </w:rPr>
        <w:t>主要是因为人员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退休</w:t>
      </w:r>
      <w:r>
        <w:rPr>
          <w:rFonts w:hint="eastAsia" w:ascii="Times New Roman" w:hAnsi="Times New Roman" w:eastAsia="仿宋_GB2312"/>
          <w:sz w:val="32"/>
          <w:szCs w:val="32"/>
        </w:rPr>
        <w:t>，人数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减少；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养老支出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机关事业单位职业年金缴费（项）支出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25.47万元，比上年减少0.04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主要是因为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人员减少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（类）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其他社会保障和就业支出</w:t>
      </w:r>
      <w:r>
        <w:rPr>
          <w:rFonts w:ascii="Times New Roman" w:hAnsi="Times New Roman" w:eastAsia="仿宋_GB2312" w:cs="Times New Roman"/>
          <w:sz w:val="32"/>
          <w:szCs w:val="32"/>
        </w:rPr>
        <w:t>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1.14万元，比上年减少64.71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主要原因是人员减少。</w:t>
      </w:r>
    </w:p>
    <w:p>
      <w:pPr>
        <w:numPr>
          <w:ilvl w:val="0"/>
          <w:numId w:val="4"/>
        </w:num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（类）行政事业单位医疗（款）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事业</w:t>
      </w:r>
      <w:r>
        <w:rPr>
          <w:rFonts w:ascii="Times New Roman" w:hAnsi="Times New Roman" w:eastAsia="仿宋_GB2312" w:cs="Times New Roman"/>
          <w:sz w:val="32"/>
          <w:szCs w:val="32"/>
        </w:rPr>
        <w:t>单位医疗（项）支出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26.11</w:t>
      </w:r>
      <w:r>
        <w:rPr>
          <w:rFonts w:ascii="Times New Roman" w:hAnsi="Times New Roman" w:eastAsia="仿宋_GB2312" w:cs="Times New Roman"/>
          <w:sz w:val="32"/>
          <w:szCs w:val="32"/>
        </w:rPr>
        <w:t>万元，用于职工医疗保障支出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比上年增加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0.42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，主要是基数调整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（类）行政事业单位医疗（款）公务员医疗补助（项）支出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6.35</w:t>
      </w:r>
      <w:r>
        <w:rPr>
          <w:rFonts w:ascii="Times New Roman" w:hAnsi="Times New Roman" w:eastAsia="仿宋_GB2312" w:cs="Times New Roman"/>
          <w:sz w:val="32"/>
          <w:szCs w:val="32"/>
        </w:rPr>
        <w:t>万元，用于缴纳公务员医疗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补助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0.16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基数调整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numPr>
          <w:ilvl w:val="0"/>
          <w:numId w:val="4"/>
        </w:numPr>
        <w:spacing w:after="0" w:line="560" w:lineRule="exact"/>
        <w:ind w:left="0" w:leftChars="0" w:firstLine="640" w:firstLineChars="200"/>
        <w:jc w:val="both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住房保障支出（类）住房改革支出（款）住房公积金（项）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46.96</w:t>
      </w:r>
      <w:r>
        <w:rPr>
          <w:rFonts w:ascii="Times New Roman" w:hAnsi="Times New Roman" w:eastAsia="仿宋_GB2312" w:cs="Times New Roman"/>
          <w:sz w:val="32"/>
          <w:szCs w:val="32"/>
        </w:rPr>
        <w:t>万元，用于职工住房保障支出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0.92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基数调整。</w:t>
      </w:r>
      <w:r>
        <w:rPr>
          <w:rFonts w:ascii="Times New Roman" w:hAnsi="Times New Roman" w:eastAsia="仿宋_GB2312" w:cs="Times New Roman"/>
          <w:sz w:val="32"/>
          <w:szCs w:val="32"/>
        </w:rPr>
        <w:t>住房保障支出（类）住房改革支出（款）购房补贴（项）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60.42</w:t>
      </w:r>
      <w:r>
        <w:rPr>
          <w:rFonts w:ascii="Times New Roman" w:hAnsi="Times New Roman" w:eastAsia="仿宋_GB2312" w:cs="Times New Roman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</w:t>
      </w:r>
      <w:r>
        <w:rPr>
          <w:rFonts w:ascii="Times New Roman" w:hAnsi="Times New Roman" w:eastAsia="仿宋_GB2312" w:cs="Times New Roman"/>
          <w:sz w:val="32"/>
          <w:szCs w:val="32"/>
        </w:rPr>
        <w:t>上年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增加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5.26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主要是因为人员调入，人数增加。</w:t>
      </w:r>
    </w:p>
    <w:p>
      <w:pPr>
        <w:numPr>
          <w:ilvl w:val="0"/>
          <w:numId w:val="0"/>
        </w:num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（四）政府性基金预算收支情况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区人大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仿宋_GB2312" w:cs="Times New Roman"/>
          <w:sz w:val="32"/>
          <w:szCs w:val="32"/>
        </w:rPr>
        <w:t>年没有使用政府性基金预算拨款安排的支出。</w:t>
      </w:r>
    </w:p>
    <w:p>
      <w:pPr>
        <w:spacing w:line="220" w:lineRule="atLeas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（五）财政拨款安排的基本支出情况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仿宋_GB2312" w:cs="Times New Roman"/>
          <w:sz w:val="32"/>
          <w:szCs w:val="32"/>
        </w:rPr>
        <w:t>财政拨款安排的基本支出预算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853.83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</w:t>
      </w:r>
      <w:r>
        <w:rPr>
          <w:rFonts w:ascii="Times New Roman" w:hAnsi="Times New Roman" w:eastAsia="仿宋_GB2312" w:cs="Times New Roman"/>
          <w:sz w:val="32"/>
          <w:szCs w:val="32"/>
        </w:rPr>
        <w:t>元，其中：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人员经费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611.27</w:t>
      </w:r>
      <w:r>
        <w:rPr>
          <w:rFonts w:ascii="Times New Roman" w:hAnsi="Times New Roman" w:eastAsia="仿宋_GB2312" w:cs="Times New Roman"/>
          <w:sz w:val="32"/>
          <w:szCs w:val="32"/>
        </w:rPr>
        <w:t>万元，按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预算支出经济分类主要包括：基本工资、津贴补贴、奖金、社会保险缴费、伙食补助费、绩效工资、住房公积金、医疗费、其他工资福利支出、离休费、退休费、退职（役）费、抚恤金、生活补助、奖励金、其他对个人和家庭的补助支出等。按政府预算支出经济分类主要包括：工资奖金津补贴、社会保障缴费、住房公积金、其他工资福利支出、社会福利和救助、离退休费、其他对个人和家庭补助、对事业单位经常性补助等。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公用经费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242.56</w:t>
      </w:r>
      <w:r>
        <w:rPr>
          <w:rFonts w:ascii="Times New Roman" w:hAnsi="Times New Roman" w:eastAsia="仿宋_GB2312" w:cs="Times New Roman"/>
          <w:sz w:val="32"/>
          <w:szCs w:val="32"/>
        </w:rPr>
        <w:t>万元，按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预算支出经济分类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行维护费、其他交通费、其他商品和服务支出、办公设备购置、专用设备购置、信息网络及软件购置更新、其他资本性支出等。按政府预算支出经济分类主要包括：办公经费、会议费、培训费、专用材料购置费、委托业务费、公务接待费、因公出国（境）费用、公务用车运行维护费、维修（护）费、其他商品和服务支出、设备购置、其他资本性支出、对事业单位经常性补助、对事业单位资本性补助等。</w:t>
      </w:r>
    </w:p>
    <w:p>
      <w:pPr>
        <w:spacing w:after="0" w:line="560" w:lineRule="exact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60" w:lineRule="exact"/>
        <w:jc w:val="both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二、重要事项说明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（一）政府采购安排情况</w:t>
      </w:r>
    </w:p>
    <w:p>
      <w:pPr>
        <w:spacing w:line="560" w:lineRule="exact"/>
        <w:ind w:firstLine="6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2020年安排政府采购预算0万元，其中：财政拨款安排0万元，财政专户管理资金安排0万元，其他自有资金安排0万元，上年结转资金安排0万元。政府采购货物预算0万元、 政府采购工程预算0万元、政府采购服务预算0万元。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（二）一般公共预算安排的“三公”经费情况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2020年，通过一般公共预算财政拨款安排的“三公”经费预算共20万元，其中：因公出国（境）费0万元，公务用车购置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费0万元，公务用车</w:t>
      </w:r>
      <w:r>
        <w:rPr>
          <w:rFonts w:ascii="Times New Roman" w:hAnsi="Times New Roman" w:eastAsia="仿宋_GB2312" w:cs="Times New Roman"/>
          <w:sz w:val="32"/>
          <w:szCs w:val="32"/>
        </w:rPr>
        <w:t>运行费0万元，公务接待费20万元。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2020年“三公”经费预算比2019年减少5万元，其中：因公出国（境）费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ascii="Times New Roman" w:hAnsi="Times New Roman" w:eastAsia="仿宋_GB2312" w:cs="Times New Roman"/>
          <w:sz w:val="32"/>
          <w:szCs w:val="32"/>
        </w:rPr>
        <w:t>、公务用车购置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费与上年持平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、公务用车</w:t>
      </w:r>
      <w:r>
        <w:rPr>
          <w:rFonts w:ascii="Times New Roman" w:hAnsi="Times New Roman" w:eastAsia="仿宋_GB2312" w:cs="Times New Roman"/>
          <w:sz w:val="32"/>
          <w:szCs w:val="32"/>
        </w:rPr>
        <w:t>运行费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与上年持平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0万元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sz w:val="32"/>
          <w:szCs w:val="32"/>
        </w:rPr>
        <w:t>公务接待费减少5万元。公务接待费减少的主要原因是严格执行中央八项规定，厉行勤俭节约，进一步压缩接待范围和接待人次。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（三）机关运行经费情况</w:t>
      </w:r>
    </w:p>
    <w:p>
      <w:pPr>
        <w:spacing w:line="580" w:lineRule="exact"/>
        <w:ind w:firstLine="600"/>
        <w:jc w:val="both"/>
        <w:rPr>
          <w:rFonts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威海市文登区人民代表大会常务委员会</w:t>
      </w:r>
      <w:r>
        <w:rPr>
          <w:rFonts w:ascii="Times New Roman" w:hAnsi="Times New Roman" w:eastAsia="仿宋_GB2312" w:cs="Times New Roman"/>
          <w:sz w:val="32"/>
          <w:szCs w:val="32"/>
        </w:rPr>
        <w:t>机关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家行政单位机关</w:t>
      </w:r>
      <w:r>
        <w:rPr>
          <w:rFonts w:ascii="Times New Roman" w:hAnsi="Times New Roman" w:eastAsia="仿宋_GB2312" w:cs="Times New Roman"/>
          <w:sz w:val="32"/>
          <w:szCs w:val="32"/>
        </w:rPr>
        <w:t>运行经费财政拨款预算为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242.56</w:t>
      </w:r>
      <w:r>
        <w:rPr>
          <w:rFonts w:ascii="Times New Roman" w:hAnsi="Times New Roman" w:eastAsia="仿宋_GB2312" w:cs="Times New Roman"/>
          <w:sz w:val="32"/>
          <w:szCs w:val="32"/>
        </w:rPr>
        <w:t>万元。</w:t>
      </w:r>
      <w:r>
        <w:rPr>
          <w:rFonts w:hint="eastAsia" w:eastAsia="仿宋_GB2312"/>
          <w:sz w:val="32"/>
          <w:szCs w:val="32"/>
        </w:rPr>
        <w:t>较</w:t>
      </w:r>
      <w:r>
        <w:rPr>
          <w:rFonts w:hint="eastAsia" w:ascii="仿宋_GB2312" w:hAnsi="Times New Roman" w:eastAsia="仿宋_GB2312" w:cs="Times New Roman"/>
          <w:sz w:val="32"/>
          <w:szCs w:val="32"/>
        </w:rPr>
        <w:t>2019年</w:t>
      </w:r>
      <w:r>
        <w:rPr>
          <w:rFonts w:hint="eastAsia" w:eastAsia="仿宋_GB2312"/>
          <w:sz w:val="32"/>
          <w:szCs w:val="32"/>
        </w:rPr>
        <w:t>预算</w:t>
      </w:r>
      <w:r>
        <w:rPr>
          <w:rFonts w:hint="eastAsia" w:ascii="仿宋_GB2312" w:eastAsia="仿宋_GB2312"/>
          <w:sz w:val="32"/>
          <w:szCs w:val="32"/>
          <w:lang w:eastAsia="zh-CN"/>
        </w:rPr>
        <w:t>减少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13.21</w:t>
      </w:r>
      <w:r>
        <w:rPr>
          <w:rFonts w:hint="eastAsia" w:eastAsia="仿宋_GB2312"/>
          <w:sz w:val="32"/>
          <w:szCs w:val="32"/>
        </w:rPr>
        <w:t>万元，</w:t>
      </w:r>
      <w:r>
        <w:rPr>
          <w:rFonts w:hint="eastAsia" w:eastAsia="仿宋_GB2312"/>
          <w:sz w:val="32"/>
          <w:szCs w:val="32"/>
          <w:lang w:eastAsia="zh-CN"/>
        </w:rPr>
        <w:t>减少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5.16</w:t>
      </w:r>
      <w:r>
        <w:rPr>
          <w:rFonts w:ascii="Times New Roman" w:hAnsi="Times New Roman" w:eastAsia="仿宋_GB2312" w:cs="Times New Roman"/>
          <w:sz w:val="32"/>
          <w:szCs w:val="32"/>
        </w:rPr>
        <w:t>%</w:t>
      </w:r>
      <w:r>
        <w:rPr>
          <w:rFonts w:hint="eastAsia" w:eastAsia="仿宋_GB2312"/>
          <w:sz w:val="32"/>
          <w:szCs w:val="32"/>
        </w:rPr>
        <w:t>，主要原因是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厉行节约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（四）国有资产占有使用情况</w:t>
      </w:r>
    </w:p>
    <w:p>
      <w:pPr>
        <w:spacing w:after="0" w:line="56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截至2019年12月31日，人大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常委会</w:t>
      </w:r>
      <w:r>
        <w:rPr>
          <w:rFonts w:ascii="Times New Roman" w:hAnsi="Times New Roman" w:eastAsia="仿宋_GB2312" w:cs="Times New Roman"/>
          <w:sz w:val="32"/>
          <w:szCs w:val="32"/>
        </w:rPr>
        <w:t>机关共有车辆0辆；单位价值100万元以上大型设备0（台、件、套）。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单位价值50万及以上通用设备0套</w:t>
      </w:r>
      <w:r>
        <w:rPr>
          <w:rFonts w:ascii="Times New Roman" w:hAnsi="Times New Roman" w:eastAsia="仿宋_GB2312" w:cs="Times New Roman"/>
          <w:sz w:val="32"/>
          <w:szCs w:val="32"/>
        </w:rPr>
        <w:t>（台、件、套）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after="0" w:line="56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预算未安排购置单位价值100万元以上大型设备。</w:t>
      </w:r>
    </w:p>
    <w:p>
      <w:pPr>
        <w:spacing w:after="0" w:line="560" w:lineRule="exact"/>
        <w:jc w:val="both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（五）绩效目标等预算绩效情况</w:t>
      </w:r>
    </w:p>
    <w:p>
      <w:pPr>
        <w:spacing w:after="0" w:line="56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2020年人大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项目支出实现绩效目标管理全覆盖，涉及财政拨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186.46</w:t>
      </w:r>
      <w:r>
        <w:rPr>
          <w:rFonts w:ascii="Times New Roman" w:hAnsi="Times New Roman" w:eastAsia="仿宋_GB2312" w:cs="Times New Roman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，其中财政拨款的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148.46万元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安排的相关项目涉密，按规定不涉及绩效目标设置公开事项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spacing w:line="580" w:lineRule="exact"/>
        <w:ind w:firstLine="600"/>
        <w:jc w:val="both"/>
        <w:rPr>
          <w:rFonts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2020年预算项目支出绩效目标表见附件：2020年威海市文登区人民代表大会常务委员会单位项目支出绩效目标表</w:t>
      </w:r>
      <w:r>
        <w:rPr>
          <w:rFonts w:hint="eastAsia" w:eastAsia="仿宋_GB2312" w:cs="Times New Roman"/>
          <w:sz w:val="32"/>
          <w:szCs w:val="32"/>
        </w:rPr>
        <w:t>。</w:t>
      </w: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br w:type="page"/>
      </w: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/>
        <w:jc w:val="both"/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t>第四部分</w:t>
      </w: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ind w:firstLine="2600" w:firstLineChars="500"/>
        <w:jc w:val="both"/>
        <w:rPr>
          <w:rFonts w:ascii="Times New Roman" w:hAnsi="Times New Roman" w:eastAsia="黑体"/>
          <w:sz w:val="52"/>
          <w:szCs w:val="52"/>
        </w:rPr>
      </w:pPr>
      <w:r>
        <w:rPr>
          <w:rFonts w:ascii="Times New Roman" w:hAnsi="Times New Roman" w:eastAsia="黑体"/>
          <w:sz w:val="52"/>
          <w:szCs w:val="52"/>
        </w:rPr>
        <w:t>名词解释</w:t>
      </w: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jc w:val="both"/>
        <w:rPr>
          <w:rFonts w:ascii="Times New Roman" w:hAnsi="Times New Roman" w:eastAsia="黑体"/>
          <w:sz w:val="52"/>
          <w:szCs w:val="52"/>
        </w:rPr>
      </w:pPr>
    </w:p>
    <w:p>
      <w:pPr>
        <w:spacing w:after="0" w:line="580" w:lineRule="exact"/>
        <w:jc w:val="both"/>
        <w:rPr>
          <w:rFonts w:ascii="Times New Roman" w:hAnsi="黑体" w:eastAsia="黑体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spacing w:after="0" w:line="580" w:lineRule="exact"/>
        <w:ind w:firstLine="640" w:firstLineChars="200"/>
        <w:jc w:val="both"/>
        <w:rPr>
          <w:rFonts w:ascii="Times New Roman" w:hAnsi="黑体" w:eastAsia="黑体" w:cs="Times New Roman"/>
          <w:sz w:val="32"/>
          <w:szCs w:val="32"/>
        </w:rPr>
      </w:pPr>
    </w:p>
    <w:p>
      <w:pPr>
        <w:rPr>
          <w:rFonts w:ascii="Times New Roman" w:hAnsi="黑体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br w:type="page"/>
      </w:r>
    </w:p>
    <w:p>
      <w:p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一、财政拨款收入：</w:t>
      </w:r>
      <w:r>
        <w:rPr>
          <w:rFonts w:ascii="Times New Roman" w:hAnsi="Times New Roman" w:eastAsia="仿宋_GB2312" w:cs="Times New Roman"/>
          <w:sz w:val="32"/>
          <w:szCs w:val="32"/>
        </w:rPr>
        <w:t>指由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级财政拨款形成的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收入。按现行管理制度，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预算中反映的财政拨款包括一般公共预算拨款、政府性基金预算拨款和国有资本经营预算拨款。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二</w:t>
      </w:r>
      <w:r>
        <w:rPr>
          <w:rFonts w:ascii="Times New Roman" w:hAnsi="黑体" w:eastAsia="黑体" w:cs="Times New Roman"/>
          <w:sz w:val="32"/>
          <w:szCs w:val="32"/>
        </w:rPr>
        <w:t>、基本支出：</w:t>
      </w:r>
      <w:r>
        <w:rPr>
          <w:rFonts w:ascii="Times New Roman" w:hAnsi="Times New Roman" w:eastAsia="仿宋_GB2312" w:cs="Times New Roman"/>
          <w:sz w:val="32"/>
          <w:szCs w:val="32"/>
        </w:rPr>
        <w:t>指为保障机构正常运转、完成日常工作任务而发生的人员经费和日常公用经费。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三</w:t>
      </w:r>
      <w:r>
        <w:rPr>
          <w:rFonts w:ascii="Times New Roman" w:hAnsi="黑体" w:eastAsia="黑体" w:cs="Times New Roman"/>
          <w:sz w:val="32"/>
          <w:szCs w:val="32"/>
        </w:rPr>
        <w:t>、项目支出：</w:t>
      </w:r>
      <w:r>
        <w:rPr>
          <w:rFonts w:ascii="Times New Roman" w:hAnsi="Times New Roman" w:eastAsia="仿宋_GB2312" w:cs="Times New Roman"/>
          <w:sz w:val="32"/>
          <w:szCs w:val="32"/>
        </w:rPr>
        <w:t>指在基本支出之外为完成特定任务和事业发展目标所发生的支出。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四</w:t>
      </w:r>
      <w:r>
        <w:rPr>
          <w:rFonts w:ascii="Times New Roman" w:hAnsi="黑体" w:eastAsia="黑体" w:cs="Times New Roman"/>
          <w:sz w:val="32"/>
          <w:szCs w:val="32"/>
        </w:rPr>
        <w:t>、</w:t>
      </w:r>
      <w:r>
        <w:rPr>
          <w:rFonts w:ascii="Times New Roman" w:hAnsi="Times New Roman" w:eastAsia="黑体" w:cs="Times New Roman"/>
          <w:sz w:val="32"/>
          <w:szCs w:val="32"/>
        </w:rPr>
        <w:t>“</w:t>
      </w:r>
      <w:r>
        <w:rPr>
          <w:rFonts w:ascii="Times New Roman" w:hAnsi="黑体" w:eastAsia="黑体" w:cs="Times New Roman"/>
          <w:sz w:val="32"/>
          <w:szCs w:val="32"/>
        </w:rPr>
        <w:t>三公</w:t>
      </w:r>
      <w:r>
        <w:rPr>
          <w:rFonts w:ascii="Times New Roman" w:hAnsi="Times New Roman" w:eastAsia="黑体" w:cs="Times New Roman"/>
          <w:sz w:val="32"/>
          <w:szCs w:val="32"/>
        </w:rPr>
        <w:t>”</w:t>
      </w:r>
      <w:r>
        <w:rPr>
          <w:rFonts w:ascii="Times New Roman" w:hAnsi="黑体" w:eastAsia="黑体" w:cs="Times New Roman"/>
          <w:sz w:val="32"/>
          <w:szCs w:val="32"/>
        </w:rPr>
        <w:t>经费：</w:t>
      </w:r>
      <w:r>
        <w:rPr>
          <w:rFonts w:ascii="Times New Roman" w:hAnsi="Times New Roman" w:eastAsia="仿宋_GB2312" w:cs="Times New Roman"/>
          <w:sz w:val="32"/>
          <w:szCs w:val="32"/>
        </w:rPr>
        <w:t>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ascii="Times New Roman" w:hAnsi="Times New Roman" w:eastAsia="仿宋_GB2312" w:cs="Times New Roman"/>
          <w:sz w:val="32"/>
          <w:szCs w:val="32"/>
        </w:rPr>
        <w:t>用财政拨款安排的因公出国（境）费、公务用车购置及运行费和公务接待费。其中，因公出国（境）费反映单位公务出国（境）的国际差旅费、国外城市间交通费、住宿费、伙食费、培训费、公杂费等支出；公务用车购置及运行费反映单位公务用车车辆购置支出（含车辆购置税）及租用费、燃料费、维修费、过路过桥费、保险费、安全奖励费用等支出；公务接待费反映单位按规定开支的各类接待（含外宾接待）支出。</w:t>
      </w:r>
    </w:p>
    <w:p>
      <w:pPr>
        <w:spacing w:after="0" w:line="580" w:lineRule="exact"/>
        <w:ind w:firstLine="6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五</w:t>
      </w:r>
      <w:r>
        <w:rPr>
          <w:rFonts w:ascii="Times New Roman" w:hAnsi="黑体" w:eastAsia="黑体" w:cs="Times New Roman"/>
          <w:sz w:val="32"/>
          <w:szCs w:val="32"/>
        </w:rPr>
        <w:t>、机关运行经费：</w:t>
      </w:r>
      <w:r>
        <w:rPr>
          <w:rFonts w:ascii="Times New Roman" w:hAnsi="Times New Roman" w:eastAsia="仿宋_GB2312" w:cs="Times New Roman"/>
          <w:sz w:val="32"/>
          <w:szCs w:val="32"/>
        </w:rPr>
        <w:t>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区</w:t>
      </w:r>
      <w:r>
        <w:rPr>
          <w:rFonts w:ascii="Times New Roman" w:hAnsi="Times New Roman" w:eastAsia="仿宋_GB2312" w:cs="Times New Roman"/>
          <w:sz w:val="32"/>
          <w:szCs w:val="32"/>
        </w:rPr>
        <w:t>级行政单位（包括参照公务员法管理的事业单位）的财政拨款公用经费，包括办公及印刷费、邮电费、差旅费、会议费、福利费、日常维修费、专用材料及一般设备购置费、办公用房水电费、办公用房取暖费、办公用房物业管理费、公务用车运行维护费以及其他费用。</w:t>
      </w:r>
    </w:p>
    <w:p>
      <w:pPr>
        <w:spacing w:after="0" w:line="580" w:lineRule="exact"/>
        <w:ind w:firstLine="800" w:firstLineChars="25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六</w:t>
      </w:r>
      <w:r>
        <w:rPr>
          <w:rFonts w:ascii="Times New Roman" w:hAnsi="黑体" w:eastAsia="黑体" w:cs="Times New Roman"/>
          <w:sz w:val="32"/>
          <w:szCs w:val="32"/>
        </w:rPr>
        <w:t>、一般公共服务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事务（款）行政运行（项）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主要用于人员工资及物业、交通等有关补贴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支出</w:t>
      </w:r>
      <w:r>
        <w:rPr>
          <w:rFonts w:ascii="Times New Roman" w:hAnsi="Times New Roman" w:eastAsia="仿宋_GB2312" w:cs="Times New Roman"/>
          <w:sz w:val="32"/>
          <w:szCs w:val="32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会议（项）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主要用于组织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威海市文登区人民代表大会</w:t>
      </w:r>
      <w:r>
        <w:rPr>
          <w:rFonts w:ascii="Times New Roman" w:hAnsi="Times New Roman" w:eastAsia="仿宋_GB2312" w:cs="Times New Roman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ascii="Times New Roman" w:hAnsi="Times New Roman" w:eastAsia="仿宋_GB2312" w:cs="Times New Roman"/>
          <w:sz w:val="32"/>
          <w:szCs w:val="32"/>
        </w:rPr>
        <w:t>次会议、常委会会议和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主任</w:t>
      </w:r>
      <w:r>
        <w:rPr>
          <w:rFonts w:ascii="Times New Roman" w:hAnsi="Times New Roman" w:eastAsia="仿宋_GB2312" w:cs="Times New Roman"/>
          <w:sz w:val="32"/>
          <w:szCs w:val="32"/>
        </w:rPr>
        <w:t>会议等日常运行费用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人大监督（项）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主要用于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省、市、县三级预算联网监督系统采购各类设备、组织相关人员外出培训和维护服务费等；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人大代表履职能力提升（项）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</w:t>
      </w:r>
      <w:r>
        <w:rPr>
          <w:rFonts w:ascii="Times New Roman" w:hAnsi="Times New Roman" w:eastAsia="仿宋_GB2312" w:cs="Times New Roman"/>
          <w:sz w:val="32"/>
          <w:szCs w:val="32"/>
        </w:rPr>
        <w:t>用于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人大代表培训工作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代表工作（项）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</w:t>
      </w:r>
      <w:r>
        <w:rPr>
          <w:rFonts w:ascii="Times New Roman" w:hAnsi="Times New Roman" w:eastAsia="仿宋_GB2312" w:cs="Times New Roman"/>
          <w:sz w:val="32"/>
          <w:szCs w:val="32"/>
        </w:rPr>
        <w:t>用于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区人大代表联系人民群众及其他执行代表职务通讯、交通等履职补助、区人大常委会和乡镇人大组织安排代表视察、小组集体活动，购买有关学习资料等；</w:t>
      </w:r>
      <w:r>
        <w:rPr>
          <w:rFonts w:ascii="Times New Roman" w:hAnsi="黑体" w:eastAsia="黑体" w:cs="Times New Roman"/>
          <w:sz w:val="32"/>
          <w:szCs w:val="32"/>
        </w:rPr>
        <w:t>一般公共服务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事业运行</w:t>
      </w:r>
      <w:r>
        <w:rPr>
          <w:rFonts w:ascii="Times New Roman" w:hAnsi="黑体" w:eastAsia="黑体" w:cs="Times New Roman"/>
          <w:sz w:val="32"/>
          <w:szCs w:val="32"/>
        </w:rPr>
        <w:t>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主要用于人员工资及物业、交通等有关补贴支出</w:t>
      </w:r>
      <w:r>
        <w:rPr>
          <w:rFonts w:hint="eastAsia" w:ascii="Times New Roman" w:hAnsi="黑体" w:eastAsia="黑体" w:cs="Times New Roman"/>
          <w:sz w:val="32"/>
          <w:szCs w:val="32"/>
          <w:lang w:val="en-US" w:eastAsia="zh-CN"/>
        </w:rPr>
        <w:t>;</w:t>
      </w:r>
      <w:r>
        <w:rPr>
          <w:rFonts w:ascii="Times New Roman" w:hAnsi="黑体" w:eastAsia="黑体" w:cs="Times New Roman"/>
          <w:sz w:val="32"/>
          <w:szCs w:val="32"/>
        </w:rPr>
        <w:t>一般公共服务（类）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事务（款）其他</w:t>
      </w:r>
      <w:r>
        <w:rPr>
          <w:rFonts w:hint="eastAsia" w:ascii="Times New Roman" w:hAnsi="黑体" w:eastAsia="黑体" w:cs="Times New Roman"/>
          <w:sz w:val="32"/>
          <w:szCs w:val="32"/>
        </w:rPr>
        <w:t>人大</w:t>
      </w:r>
      <w:r>
        <w:rPr>
          <w:rFonts w:ascii="Times New Roman" w:hAnsi="黑体" w:eastAsia="黑体" w:cs="Times New Roman"/>
          <w:sz w:val="32"/>
          <w:szCs w:val="32"/>
        </w:rPr>
        <w:t>事务支出（项）</w:t>
      </w:r>
      <w:r>
        <w:rPr>
          <w:rFonts w:ascii="Times New Roman" w:hAnsi="Times New Roman" w:eastAsia="仿宋_GB2312" w:cs="Times New Roman"/>
          <w:sz w:val="32"/>
          <w:szCs w:val="32"/>
        </w:rPr>
        <w:t>主要用于会议、接待和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人大</w:t>
      </w:r>
      <w:r>
        <w:rPr>
          <w:rFonts w:ascii="Times New Roman" w:hAnsi="Times New Roman" w:eastAsia="仿宋_GB2312" w:cs="Times New Roman"/>
          <w:sz w:val="32"/>
          <w:szCs w:val="32"/>
        </w:rPr>
        <w:t>专项业务等费用支出。</w:t>
      </w:r>
    </w:p>
    <w:p>
      <w:pPr>
        <w:numPr>
          <w:ilvl w:val="0"/>
          <w:numId w:val="5"/>
        </w:numPr>
        <w:spacing w:after="0" w:line="580" w:lineRule="exact"/>
        <w:ind w:firstLine="640"/>
        <w:jc w:val="both"/>
        <w:rPr>
          <w:rFonts w:ascii="Times New Roman" w:hAnsi="黑体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养老支出</w:t>
      </w:r>
      <w:r>
        <w:rPr>
          <w:rFonts w:ascii="Times New Roman" w:hAnsi="黑体" w:eastAsia="黑体" w:cs="Times New Roman"/>
          <w:sz w:val="32"/>
          <w:szCs w:val="32"/>
        </w:rPr>
        <w:t>（款）机关事业单位基本养老保险缴费支出（项）</w:t>
      </w:r>
      <w:r>
        <w:rPr>
          <w:rFonts w:hint="eastAsia" w:ascii="Times New Roman" w:hAnsi="黑体" w:eastAsia="黑体" w:cs="Times New Roman"/>
          <w:sz w:val="32"/>
          <w:szCs w:val="32"/>
        </w:rPr>
        <w:t>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主要于职工基本养老保险缴费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养老支出</w:t>
      </w:r>
      <w:r>
        <w:rPr>
          <w:rFonts w:ascii="Times New Roman" w:hAnsi="黑体" w:eastAsia="黑体" w:cs="Times New Roman"/>
          <w:sz w:val="32"/>
          <w:szCs w:val="32"/>
        </w:rPr>
        <w:t>（款）机关事业单位职业年金缴费支出（项）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主要用于职工职业年金缴费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社会保障和就业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（类）其他社会保障和就业支出（款）其他社会保障和就业支出（项）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主要用于职工养老、社会保障等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numPr>
          <w:ilvl w:val="0"/>
          <w:numId w:val="0"/>
        </w:num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八</w:t>
      </w:r>
      <w:r>
        <w:rPr>
          <w:rFonts w:ascii="Times New Roman" w:hAnsi="黑体" w:eastAsia="黑体" w:cs="Times New Roman"/>
          <w:sz w:val="32"/>
          <w:szCs w:val="32"/>
        </w:rPr>
        <w:t>、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卫生健康支出</w:t>
      </w:r>
      <w:r>
        <w:rPr>
          <w:rFonts w:hint="eastAsia" w:ascii="Times New Roman" w:hAnsi="黑体" w:eastAsia="黑体" w:cs="Times New Roman"/>
          <w:sz w:val="32"/>
          <w:szCs w:val="32"/>
        </w:rPr>
        <w:t>支出</w:t>
      </w:r>
      <w:r>
        <w:rPr>
          <w:rFonts w:ascii="Times New Roman" w:hAnsi="黑体" w:eastAsia="黑体" w:cs="Times New Roman"/>
          <w:sz w:val="32"/>
          <w:szCs w:val="32"/>
        </w:rPr>
        <w:t>（类）行政事业单位医疗（款）行政单位医疗（项）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用于职工医疗保障支出。</w:t>
      </w:r>
      <w:r>
        <w:rPr>
          <w:rFonts w:hint="eastAsia" w:ascii="Times New Roman" w:hAnsi="黑体" w:eastAsia="黑体" w:cs="Times New Roman"/>
          <w:sz w:val="32"/>
          <w:szCs w:val="32"/>
          <w:lang w:eastAsia="zh-CN"/>
        </w:rPr>
        <w:t>卫生健康支出</w:t>
      </w:r>
      <w:r>
        <w:rPr>
          <w:rFonts w:ascii="Times New Roman" w:hAnsi="黑体" w:eastAsia="黑体" w:cs="Times New Roman"/>
          <w:sz w:val="32"/>
          <w:szCs w:val="32"/>
        </w:rPr>
        <w:t>支出（类）行政事业单位医疗（款）公务员医疗补助（项）</w:t>
      </w:r>
      <w:r>
        <w:rPr>
          <w:rFonts w:ascii="Times New Roman" w:hAnsi="Times New Roman" w:eastAsia="仿宋_GB2312" w:cs="Times New Roman"/>
          <w:sz w:val="32"/>
          <w:szCs w:val="32"/>
        </w:rPr>
        <w:t>用于缴纳公务员医疗补助。</w:t>
      </w:r>
    </w:p>
    <w:p>
      <w:pPr>
        <w:spacing w:after="0" w:line="580" w:lineRule="exact"/>
        <w:ind w:firstLine="640" w:firstLineChars="200"/>
        <w:jc w:val="both"/>
        <w:rPr>
          <w:rFonts w:ascii="Times New Roman" w:hAnsi="Times New Roman" w:eastAsia="仿宋_GB2312" w:cs="Times New Roman"/>
          <w:b/>
          <w:sz w:val="32"/>
          <w:szCs w:val="32"/>
          <w:highlight w:val="yellow"/>
        </w:rPr>
      </w:pPr>
      <w:r>
        <w:rPr>
          <w:rFonts w:hint="eastAsia" w:ascii="Times New Roman" w:hAnsi="黑体" w:eastAsia="黑体" w:cs="Times New Roman"/>
          <w:sz w:val="32"/>
          <w:szCs w:val="32"/>
        </w:rPr>
        <w:t>九</w:t>
      </w:r>
      <w:r>
        <w:rPr>
          <w:rFonts w:ascii="Times New Roman" w:hAnsi="黑体" w:eastAsia="黑体" w:cs="Times New Roman"/>
          <w:sz w:val="32"/>
          <w:szCs w:val="32"/>
        </w:rPr>
        <w:t>、住房保障支出（类）住房改革支出（款）住房公积金（项）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用于职工住房保障支出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ascii="Times New Roman" w:hAnsi="黑体" w:eastAsia="黑体" w:cs="Times New Roman"/>
          <w:sz w:val="32"/>
          <w:szCs w:val="32"/>
        </w:rPr>
        <w:t>住房保障支出（类）住房改革支出（款）购房补贴（项）</w:t>
      </w:r>
      <w:r>
        <w:rPr>
          <w:rFonts w:ascii="Times New Roman" w:hAnsi="Times New Roman" w:eastAsia="仿宋_GB2312" w:cs="Times New Roman"/>
          <w:sz w:val="32"/>
          <w:szCs w:val="32"/>
        </w:rPr>
        <w:t>用于职工住房保障支出。</w:t>
      </w:r>
    </w:p>
    <w:p>
      <w:pPr>
        <w:spacing w:after="0" w:line="580" w:lineRule="exact"/>
        <w:ind w:firstLine="643" w:firstLineChars="200"/>
        <w:jc w:val="both"/>
        <w:rPr>
          <w:rFonts w:ascii="Times New Roman" w:hAnsi="Times New Roman" w:eastAsia="仿宋_GB2312" w:cs="Times New Roman"/>
          <w:b/>
          <w:sz w:val="32"/>
          <w:szCs w:val="32"/>
          <w:highlight w:val="yellow"/>
        </w:rPr>
      </w:pPr>
    </w:p>
    <w:p>
      <w:pPr>
        <w:spacing w:after="0" w:line="220" w:lineRule="atLeast"/>
        <w:jc w:val="both"/>
        <w:rPr>
          <w:rFonts w:ascii="Times New Roman" w:hAnsi="Times New Roman" w:cs="Times New Roman"/>
        </w:rPr>
      </w:pPr>
    </w:p>
    <w:p>
      <w:pPr>
        <w:spacing w:line="220" w:lineRule="atLeast"/>
        <w:jc w:val="both"/>
        <w:rPr>
          <w:rFonts w:ascii="Times New Roman" w:hAnsi="Times New Roman" w:eastAsia="方正小标宋简体" w:cs="Times New Roman"/>
          <w:sz w:val="52"/>
          <w:szCs w:val="5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文星简小标宋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B87167"/>
    <w:multiLevelType w:val="singleLevel"/>
    <w:tmpl w:val="BBB87167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C6AB93F2"/>
    <w:multiLevelType w:val="singleLevel"/>
    <w:tmpl w:val="C6AB93F2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F1FD1B34"/>
    <w:multiLevelType w:val="singleLevel"/>
    <w:tmpl w:val="F1FD1B34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340EBDF7"/>
    <w:multiLevelType w:val="singleLevel"/>
    <w:tmpl w:val="340EBDF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63D06DF9"/>
    <w:multiLevelType w:val="multilevel"/>
    <w:tmpl w:val="63D06DF9"/>
    <w:lvl w:ilvl="0" w:tentative="0">
      <w:start w:val="1"/>
      <w:numFmt w:val="none"/>
      <w:lvlText w:val="一、"/>
      <w:lvlJc w:val="left"/>
      <w:pPr>
        <w:tabs>
          <w:tab w:val="left" w:pos="1360"/>
        </w:tabs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JlODQ5MzMzMWMyOGExODMzNGQwYTA5NjJhZDYzYjQifQ=="/>
  </w:docVars>
  <w:rsids>
    <w:rsidRoot w:val="00D31D50"/>
    <w:rsid w:val="000A3D75"/>
    <w:rsid w:val="000C2F42"/>
    <w:rsid w:val="00166FF8"/>
    <w:rsid w:val="00193BD1"/>
    <w:rsid w:val="001E06C1"/>
    <w:rsid w:val="00260946"/>
    <w:rsid w:val="00267B79"/>
    <w:rsid w:val="002A47F9"/>
    <w:rsid w:val="002A4F53"/>
    <w:rsid w:val="00323B43"/>
    <w:rsid w:val="00332D65"/>
    <w:rsid w:val="00360EBB"/>
    <w:rsid w:val="00383B71"/>
    <w:rsid w:val="003916C6"/>
    <w:rsid w:val="003B7E84"/>
    <w:rsid w:val="003D37D8"/>
    <w:rsid w:val="003E69AA"/>
    <w:rsid w:val="003E72D1"/>
    <w:rsid w:val="00426133"/>
    <w:rsid w:val="004358AB"/>
    <w:rsid w:val="004838FA"/>
    <w:rsid w:val="00495793"/>
    <w:rsid w:val="005531B2"/>
    <w:rsid w:val="00566B31"/>
    <w:rsid w:val="005C415E"/>
    <w:rsid w:val="00681ECB"/>
    <w:rsid w:val="00687C1A"/>
    <w:rsid w:val="00780917"/>
    <w:rsid w:val="007E0148"/>
    <w:rsid w:val="00886016"/>
    <w:rsid w:val="008B7726"/>
    <w:rsid w:val="008F5990"/>
    <w:rsid w:val="009932FB"/>
    <w:rsid w:val="00A14B48"/>
    <w:rsid w:val="00A166D6"/>
    <w:rsid w:val="00A654B7"/>
    <w:rsid w:val="00AF610D"/>
    <w:rsid w:val="00B37291"/>
    <w:rsid w:val="00BB33A8"/>
    <w:rsid w:val="00BF67CB"/>
    <w:rsid w:val="00C07628"/>
    <w:rsid w:val="00CD52D2"/>
    <w:rsid w:val="00D116D9"/>
    <w:rsid w:val="00D11D77"/>
    <w:rsid w:val="00D31D50"/>
    <w:rsid w:val="00D322A3"/>
    <w:rsid w:val="00D358E4"/>
    <w:rsid w:val="00D82E73"/>
    <w:rsid w:val="00DB2BA2"/>
    <w:rsid w:val="00DD6AAA"/>
    <w:rsid w:val="00E56DC1"/>
    <w:rsid w:val="00E60A8E"/>
    <w:rsid w:val="00E80A39"/>
    <w:rsid w:val="00EC362A"/>
    <w:rsid w:val="00F373E9"/>
    <w:rsid w:val="00F53110"/>
    <w:rsid w:val="00F65120"/>
    <w:rsid w:val="00F74A38"/>
    <w:rsid w:val="00F77DF5"/>
    <w:rsid w:val="01382933"/>
    <w:rsid w:val="04D40504"/>
    <w:rsid w:val="04F053CA"/>
    <w:rsid w:val="07050C88"/>
    <w:rsid w:val="084D3F81"/>
    <w:rsid w:val="08D44531"/>
    <w:rsid w:val="0B767504"/>
    <w:rsid w:val="0ECE0F48"/>
    <w:rsid w:val="0FC63248"/>
    <w:rsid w:val="0FEB7CAF"/>
    <w:rsid w:val="153F66B7"/>
    <w:rsid w:val="166F52C2"/>
    <w:rsid w:val="168B162B"/>
    <w:rsid w:val="1716011F"/>
    <w:rsid w:val="18202B2C"/>
    <w:rsid w:val="1A1E2161"/>
    <w:rsid w:val="1B062624"/>
    <w:rsid w:val="1B8A1760"/>
    <w:rsid w:val="1BF24C48"/>
    <w:rsid w:val="28C830E8"/>
    <w:rsid w:val="2D66631B"/>
    <w:rsid w:val="2FD51A31"/>
    <w:rsid w:val="30053544"/>
    <w:rsid w:val="344C304C"/>
    <w:rsid w:val="3602666C"/>
    <w:rsid w:val="365007C7"/>
    <w:rsid w:val="36F7615A"/>
    <w:rsid w:val="3C752C8E"/>
    <w:rsid w:val="3EC9478E"/>
    <w:rsid w:val="3EDD786E"/>
    <w:rsid w:val="3FBA7467"/>
    <w:rsid w:val="46EE0E92"/>
    <w:rsid w:val="499D0D7F"/>
    <w:rsid w:val="4E0A71A4"/>
    <w:rsid w:val="503E1DCE"/>
    <w:rsid w:val="510914CB"/>
    <w:rsid w:val="537226D0"/>
    <w:rsid w:val="555876AB"/>
    <w:rsid w:val="58F41D29"/>
    <w:rsid w:val="599A5314"/>
    <w:rsid w:val="5F771FA8"/>
    <w:rsid w:val="67B233B9"/>
    <w:rsid w:val="69383633"/>
    <w:rsid w:val="6B584EAE"/>
    <w:rsid w:val="6FF0546B"/>
    <w:rsid w:val="7251605F"/>
    <w:rsid w:val="725E1D51"/>
    <w:rsid w:val="738A0ABE"/>
    <w:rsid w:val="743B5126"/>
    <w:rsid w:val="7ADD42F9"/>
    <w:rsid w:val="7B1C3ABB"/>
    <w:rsid w:val="7D164ED0"/>
    <w:rsid w:val="7ED1743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rFonts w:ascii="Tahoma" w:hAnsi="Tahoma"/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ahoma" w:hAnsi="Tahoma"/>
      <w:sz w:val="18"/>
      <w:szCs w:val="18"/>
    </w:rPr>
  </w:style>
  <w:style w:type="paragraph" w:customStyle="1" w:styleId="12">
    <w:name w:val="Style1"/>
    <w:basedOn w:val="1"/>
    <w:qFormat/>
    <w:uiPriority w:val="0"/>
    <w:pPr>
      <w:widowControl/>
      <w:tabs>
        <w:tab w:val="left" w:pos="-720"/>
      </w:tabs>
      <w:spacing w:after="120" w:afterLines="0" w:afterAutospacing="0"/>
    </w:pPr>
    <w:rPr>
      <w:spacing w:val="-3"/>
      <w:kern w:val="0"/>
      <w:sz w:val="24"/>
      <w:lang w:val="en-AU"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hart" Target="charts/chart4.xml"/><Relationship Id="rId8" Type="http://schemas.openxmlformats.org/officeDocument/2006/relationships/chart" Target="charts/chart3.xml"/><Relationship Id="rId7" Type="http://schemas.openxmlformats.org/officeDocument/2006/relationships/chart" Target="charts/chart2.xml"/><Relationship Id="rId6" Type="http://schemas.openxmlformats.org/officeDocument/2006/relationships/image" Target="media/image1.png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chart" Target="charts/chart5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2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4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Workbook5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收入预算结构</c:v>
                </c:pt>
              </c:strCache>
            </c:strRef>
          </c:tx>
          <c:explosion val="0"/>
          <c:dPt>
            <c:idx val="0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</c:f>
              <c:strCache>
                <c:ptCount val="1"/>
                <c:pt idx="0">
                  <c:v>财政拨款  1040.29万元</c:v>
                </c:pt>
              </c:strCache>
            </c:strRef>
          </c:cat>
          <c:val>
            <c:numRef>
              <c:f>Sheet1!$B$2</c:f>
              <c:numCache>
                <c:formatCode>0%</c:formatCode>
                <c:ptCount val="1"/>
                <c:pt idx="0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594583333333333"/>
          <c:y val="0.344942528735632"/>
        </c:manualLayout>
      </c:layout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prstDash val="solid"/>
      <a:round/>
    </a:ln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收入预算结构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dLbl>
              <c:idx val="0"/>
              <c:layout>
                <c:manualLayout>
                  <c:x val="0.0185052659556796"/>
                  <c:y val="-0.0537186697816619"/>
                </c:manualLayout>
              </c:layout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一般公共服务支出(类)  822.89万元，</c:v>
                </c:pt>
                <c:pt idx="1">
                  <c:v>社会保障和就业支出(类)  77.56万元，</c:v>
                </c:pt>
                <c:pt idx="2">
                  <c:v>卫生健康支出(类)   32.46万元，</c:v>
                </c:pt>
                <c:pt idx="3">
                  <c:v>住房保障支出(类)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1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ln w="9525" cap="flat" cmpd="sng" algn="ctr">
      <a:noFill/>
      <a:prstDash val="solid"/>
      <a:round/>
    </a:ln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0627257404286058"/>
          <c:y val="0.257172342621259"/>
          <c:w val="0.544907295930653"/>
          <c:h val="0.653869969040248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财政拨款预算支出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一般公共服务（类）支出 822.89万元，</c:v>
                </c:pt>
                <c:pt idx="1">
                  <c:v>社会保障和就业（类）支出 77.56万元，</c:v>
                </c:pt>
                <c:pt idx="2">
                  <c:v>卫生健康(类）支出 32.46万元，</c:v>
                </c:pt>
                <c:pt idx="3">
                  <c:v>住房保障(类)支出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</c:pie3D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Sheet1!$A$2:$A$5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增长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982.04</c:v>
                </c:pt>
                <c:pt idx="2">
                  <c:v>58.25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Sheet1!$A$2:$A$5</c:f>
              <c:strCache>
                <c:ptCount val="3"/>
                <c:pt idx="0">
                  <c:v>2019</c:v>
                </c:pt>
                <c:pt idx="1">
                  <c:v>2020</c:v>
                </c:pt>
                <c:pt idx="2">
                  <c:v>增长 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1">
                  <c:v>1040.29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110488576"/>
        <c:axId val="110503424"/>
      </c:barChart>
      <c:catAx>
        <c:axId val="1104885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0503424"/>
        <c:crosses val="autoZero"/>
        <c:auto val="1"/>
        <c:lblAlgn val="ctr"/>
        <c:lblOffset val="100"/>
        <c:noMultiLvlLbl val="0"/>
      </c:catAx>
      <c:valAx>
        <c:axId val="1105034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0488576"/>
        <c:crosses val="autoZero"/>
        <c:crossBetween val="between"/>
      </c:valAx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>
              <a:defRPr lang="zh-CN" sz="18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zh-CN" altLang="zh-CN" sz="1800" b="1" i="0" u="none" strike="noStrike" baseline="0"/>
              <a:t>一般公共预算支出</a:t>
            </a:r>
            <a:endParaRPr altLang="en-US"/>
          </a:p>
        </c:rich>
      </c:tx>
      <c:layout/>
      <c:overlay val="0"/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0678822381262199"/>
          <c:y val="0.33444"/>
          <c:w val="0.506558230318803"/>
          <c:h val="0.563786666666667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财政拨款预算支出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/>
              </c:ext>
            </c:extLst>
          </c:dLbls>
          <c:cat>
            <c:strRef>
              <c:f>Sheet1!$A$2:$A$5</c:f>
              <c:strCache>
                <c:ptCount val="4"/>
                <c:pt idx="0">
                  <c:v>一般公共服务（类）支出 822.89万元，</c:v>
                </c:pt>
                <c:pt idx="1">
                  <c:v>社会保障和就业（类）支出 77.56万元，</c:v>
                </c:pt>
                <c:pt idx="2">
                  <c:v>卫生健康(类）支出 32.46万元，</c:v>
                </c:pt>
                <c:pt idx="3">
                  <c:v>住房保障支出  107.38万元，</c:v>
                </c:pt>
              </c:strCache>
            </c:strRef>
          </c:cat>
          <c:val>
            <c:numRef>
              <c:f>Sheet1!$B$2:$B$5</c:f>
              <c:numCache>
                <c:formatCode>0%</c:formatCode>
                <c:ptCount val="4"/>
                <c:pt idx="0">
                  <c:v>0.79</c:v>
                </c:pt>
                <c:pt idx="1">
                  <c:v>0.08</c:v>
                </c:pt>
                <c:pt idx="2">
                  <c:v>0.03</c:v>
                </c:pt>
                <c:pt idx="3">
                  <c:v>0.1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</c:pie3DChart>
    </c:plotArea>
    <c:legend>
      <c:legendPos val="r"/>
      <c:layout>
        <c:manualLayout>
          <c:xMode val="edge"/>
          <c:yMode val="edge"/>
          <c:x val="0.652299542499398"/>
          <c:y val="0.237666666666667"/>
        </c:manualLayout>
      </c:layout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txPr>
    <a:bodyPr/>
    <a:lstStyle/>
    <a:p>
      <a:pPr>
        <a:defRPr lang="zh-CN"/>
      </a:pPr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0.53652</cdr:x>
      <cdr:y>0.30791</cdr:y>
    </cdr:from>
    <cdr:to>
      <cdr:x>0.61378</cdr:x>
      <cdr:y>0.6573</cdr:y>
    </cdr:to>
    <cdr:sp>
      <cdr:nvSpPr>
        <cdr:cNvPr id="2" name="上箭头 1"/>
        <cdr:cNvSpPr/>
      </cdr:nvSpPr>
      <cdr:spPr xmlns:a="http://schemas.openxmlformats.org/drawingml/2006/main">
        <a:xfrm xmlns:a="http://schemas.openxmlformats.org/drawingml/2006/main">
          <a:off x="2391641" y="862267"/>
          <a:ext cx="344384" cy="978408"/>
        </a:xfrm>
        <a:prstGeom xmlns:a="http://schemas.openxmlformats.org/drawingml/2006/main" prst="upArrow">
          <a:avLst/>
        </a:prstGeom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 xmlns:a="http://schemas.openxmlformats.org/drawingml/2006/main">
        <a:bodyPr vert="horz" wrap="none" lIns="45720" tIns="45720" rIns="45720" bIns="45720" anchor="t" anchorCtr="0">
          <a:normAutofit/>
        </a:bodyPr>
        <a:lstStyle/>
        <a:p>
          <a:endParaRPr lang="zh-CN"/>
        </a:p>
      </cdr:txBody>
    </cdr:sp>
  </cdr:relSizeAnchor>
</c:userShap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2A8FEC-B3F6-4E15-95B4-F1C94530529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19</Pages>
  <Words>4893</Words>
  <Characters>5264</Characters>
  <Lines>32</Lines>
  <Paragraphs>9</Paragraphs>
  <TotalTime>14</TotalTime>
  <ScaleCrop>false</ScaleCrop>
  <LinksUpToDate>false</LinksUpToDate>
  <CharactersWithSpaces>5306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Administrator.WIN-N2GT43LNRQP</dc:creator>
  <cp:lastModifiedBy>^_^松</cp:lastModifiedBy>
  <dcterms:modified xsi:type="dcterms:W3CDTF">2022-12-08T08:44:18Z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F711B8CDA73B4BD2B324D8630C0F3068</vt:lpwstr>
  </property>
</Properties>
</file>