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28"/>
          <w:szCs w:val="28"/>
        </w:rPr>
        <w:t>年度）</w:t>
      </w:r>
    </w:p>
    <w:p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文登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区米山镇</w:t>
      </w:r>
    </w:p>
    <w:tbl>
      <w:tblPr>
        <w:tblStyle w:val="2"/>
        <w:tblW w:w="83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0"/>
        <w:gridCol w:w="1024"/>
        <w:gridCol w:w="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218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政府公报公开政府信息数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政府网站公开政府信息数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政务微博公开政府信息数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政务微信公开政府信息数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其他方式公开政府信息数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1</w:t>
            </w:r>
            <w:r>
              <w:rPr>
                <w:rFonts w:hint="eastAsia" w:ascii="Times New Roman" w:hAnsi="Times New Roman" w:eastAsia="仿宋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二、回应解读情况（不同方式回应同一热点或舆情计</w:t>
            </w:r>
            <w:r>
              <w:rPr>
                <w:rFonts w:ascii="Times New Roman" w:hAnsi="Times New Roman" w:eastAsia="黑体" w:cs="Times New Roman"/>
                <w:color w:val="000000"/>
              </w:rPr>
              <w:t>1</w:t>
            </w:r>
            <w:r>
              <w:rPr>
                <w:rFonts w:hint="eastAsia" w:ascii="Times New Roman" w:hAnsi="Times New Roman" w:eastAsia="黑体" w:cs="Times New Roman"/>
                <w:color w:val="000000"/>
              </w:rPr>
              <w:t>次）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参加或举办新闻发布会总次数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政府网站在线访谈次数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政策解读稿件发布数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微博微信回应事件数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其他方式回应事件数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当面申请数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传真申请数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网络申请数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信函申请数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其他形式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按时办结数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延期办结数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属于已主动公开范围数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同意公开答复数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3.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同意部分公开答复数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4.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不同意公开答复数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5.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不属于本行政机关公开数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6.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申请信息不存在数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7.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告知作出更改补充数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8.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告知通过其他途径办理数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1.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专职人员数（不包括政府公报及政府网站工作人员数）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</w:t>
            </w:r>
            <w:r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  <w:t>2.</w:t>
            </w: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兼职人员数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"/>
                <w:color w:val="000000"/>
                <w:sz w:val="24"/>
              </w:rPr>
              <w:t>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C27F5C"/>
    <w:rsid w:val="46C27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Office_11.1.0.9141_F1E327BC-269C-435d-A152-05C5408002CA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2021-10-09T03:21:00Z</dcterms:created>
  <dc:creator>蕾蕾蕾蕾蕾蕾</dc:creator>
  <cp:lastModifiedBy>蕾蕾蕾蕾蕾蕾</cp:lastModifiedBy>
  <dcterms:modified xsi:type="dcterms:W3CDTF">2021-10-09T03:26:24Z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2052-11.1.0.9141</vt:lpwstr>
  </property>
</Properties>
</file>