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hint="default" w:ascii="Times New Roman" w:hAnsi="Times New Roman" w:eastAsia="仿宋_GB2312" w:cs="Times New Roman"/>
          <w:b w:val="0"/>
          <w:color w:val="auto"/>
          <w:kern w:val="2"/>
          <w:sz w:val="32"/>
          <w:szCs w:val="32"/>
          <w:lang w:val="en-US" w:eastAsia="zh-CN" w:bidi="ar-SA"/>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r>
        <w:rPr>
          <w:rFonts w:hint="default" w:ascii="Times New Roman" w:hAnsi="Times New Roman" w:eastAsia="方正小标宋简体" w:cs="Times New Roman"/>
          <w:color w:val="auto"/>
          <w:sz w:val="44"/>
          <w:szCs w:val="44"/>
        </w:rPr>
        <w:t>威海市文登区人民政府</w:t>
      </w:r>
      <w:r>
        <w:rPr>
          <w:rFonts w:hint="eastAsia" w:eastAsia="方正小标宋简体" w:cs="Times New Roman"/>
          <w:color w:val="auto"/>
          <w:sz w:val="44"/>
          <w:szCs w:val="44"/>
          <w:lang w:eastAsia="zh-CN"/>
        </w:rPr>
        <w:t>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简体" w:cs="Times New Roman"/>
          <w:b w:val="0"/>
          <w:bCs w:val="0"/>
          <w:color w:val="000000"/>
          <w:sz w:val="44"/>
          <w:szCs w:val="44"/>
          <w:lang w:eastAsia="zh-CN"/>
        </w:rPr>
      </w:pPr>
      <w:r>
        <w:rPr>
          <w:rFonts w:hint="eastAsia" w:eastAsia="方正小标宋简体" w:cs="Times New Roman"/>
          <w:b w:val="0"/>
          <w:bCs w:val="0"/>
          <w:color w:val="000000"/>
          <w:sz w:val="44"/>
          <w:szCs w:val="44"/>
          <w:lang w:eastAsia="zh-CN"/>
        </w:rPr>
        <w:t>关于完善养老服务体系加快推进养老服务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简体" w:cs="Times New Roman"/>
          <w:b w:val="0"/>
          <w:bCs w:val="0"/>
          <w:color w:val="000000"/>
          <w:sz w:val="44"/>
          <w:szCs w:val="44"/>
          <w:lang w:eastAsia="zh-CN"/>
        </w:rPr>
      </w:pPr>
      <w:r>
        <w:rPr>
          <w:rFonts w:hint="eastAsia" w:eastAsia="方正小标宋简体" w:cs="Times New Roman"/>
          <w:b w:val="0"/>
          <w:bCs w:val="0"/>
          <w:color w:val="000000"/>
          <w:sz w:val="44"/>
          <w:szCs w:val="44"/>
          <w:lang w:eastAsia="zh-CN"/>
        </w:rPr>
        <w:t>高质量发展的实施意见</w:t>
      </w:r>
    </w:p>
    <w:p>
      <w:pPr>
        <w:pStyle w:val="2"/>
        <w:jc w:val="center"/>
        <w:rPr>
          <w:rFonts w:hint="eastAsia" w:ascii="Times New Roman" w:hAnsi="Times New Roman" w:eastAsia="仿宋_GB2312" w:cs="Times New Roman"/>
          <w:b w:val="0"/>
          <w:bCs w:val="0"/>
          <w:color w:val="000000"/>
          <w:sz w:val="44"/>
          <w:szCs w:val="44"/>
          <w:lang w:eastAsia="zh-CN"/>
        </w:rPr>
      </w:pPr>
      <w:r>
        <w:rPr>
          <w:rFonts w:hint="default" w:ascii="Times New Roman" w:hAnsi="Times New Roman" w:eastAsia="仿宋_GB2312" w:cs="Times New Roman"/>
          <w:b w:val="0"/>
          <w:color w:val="auto"/>
          <w:kern w:val="2"/>
          <w:sz w:val="32"/>
          <w:szCs w:val="32"/>
          <w:lang w:val="en-US" w:eastAsia="zh-CN" w:bidi="ar-SA"/>
        </w:rPr>
        <w:t>威文政</w:t>
      </w:r>
      <w:r>
        <w:rPr>
          <w:rFonts w:hint="eastAsia" w:ascii="Times New Roman" w:hAnsi="Times New Roman" w:eastAsia="仿宋_GB2312" w:cs="Times New Roman"/>
          <w:b w:val="0"/>
          <w:color w:val="auto"/>
          <w:kern w:val="2"/>
          <w:sz w:val="32"/>
          <w:szCs w:val="32"/>
          <w:lang w:val="en-US" w:eastAsia="zh-CN" w:bidi="ar-SA"/>
        </w:rPr>
        <w:t>办发</w:t>
      </w:r>
      <w:r>
        <w:rPr>
          <w:rFonts w:hint="default" w:ascii="Times New Roman" w:hAnsi="Times New Roman" w:eastAsia="仿宋_GB2312" w:cs="Times New Roman"/>
          <w:b w:val="0"/>
          <w:color w:val="auto"/>
          <w:kern w:val="2"/>
          <w:sz w:val="32"/>
          <w:szCs w:val="32"/>
          <w:lang w:val="en-US" w:eastAsia="zh-CN" w:bidi="ar-SA"/>
        </w:rPr>
        <w:t>〔2021〕</w:t>
      </w:r>
      <w:r>
        <w:rPr>
          <w:rFonts w:hint="eastAsia" w:ascii="Times New Roman" w:hAnsi="Times New Roman" w:eastAsia="仿宋_GB2312" w:cs="Times New Roman"/>
          <w:b w:val="0"/>
          <w:color w:val="auto"/>
          <w:kern w:val="2"/>
          <w:sz w:val="32"/>
          <w:szCs w:val="32"/>
          <w:lang w:val="en-US" w:eastAsia="zh-CN" w:bidi="ar-SA"/>
        </w:rPr>
        <w:t>8</w:t>
      </w:r>
      <w:r>
        <w:rPr>
          <w:rFonts w:hint="default" w:ascii="Times New Roman" w:hAnsi="Times New Roman" w:eastAsia="仿宋_GB2312" w:cs="Times New Roman"/>
          <w:b w:val="0"/>
          <w:color w:val="auto"/>
          <w:kern w:val="2"/>
          <w:sz w:val="32"/>
          <w:szCs w:val="32"/>
          <w:lang w:val="en-US" w:eastAsia="zh-CN" w:bidi="ar-SA"/>
        </w:rPr>
        <w:t>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eastAsia="仿宋_GB2312" w:cs="Times New Roman"/>
          <w:b w:val="0"/>
          <w:bCs w:val="0"/>
          <w:color w:val="000000"/>
          <w:sz w:val="32"/>
          <w:szCs w:val="32"/>
          <w:lang w:eastAsia="zh-CN"/>
        </w:rPr>
      </w:pPr>
      <w:r>
        <w:rPr>
          <w:rFonts w:hint="eastAsia" w:eastAsia="仿宋_GB2312" w:cs="Times New Roman"/>
          <w:b w:val="0"/>
          <w:bCs w:val="0"/>
          <w:color w:val="000000"/>
          <w:sz w:val="32"/>
          <w:szCs w:val="32"/>
          <w:lang w:eastAsia="zh-CN"/>
        </w:rPr>
        <w:t>各镇人民政府，各街道办事处，金山综合服务中心，区直有关部门、单位，驻文有关单位：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《关于完善养老服务体系加快推进养老服务高质量发展的实施意见》已经区政府</w:t>
      </w:r>
      <w:r>
        <w:rPr>
          <w:rFonts w:hint="eastAsia" w:eastAsia="仿宋_GB2312" w:cs="Times New Roman"/>
          <w:b w:val="0"/>
          <w:bCs w:val="0"/>
          <w:color w:val="000000"/>
          <w:sz w:val="32"/>
          <w:szCs w:val="32"/>
          <w:lang w:eastAsia="zh-CN"/>
        </w:rPr>
        <w:t>常务会议</w:t>
      </w:r>
      <w:r>
        <w:rPr>
          <w:rFonts w:hint="default" w:ascii="Times New Roman" w:hAnsi="Times New Roman" w:eastAsia="仿宋_GB2312" w:cs="Times New Roman"/>
          <w:b w:val="0"/>
          <w:bCs w:val="0"/>
          <w:color w:val="000000"/>
          <w:sz w:val="32"/>
          <w:szCs w:val="32"/>
        </w:rPr>
        <w:t>同意</w:t>
      </w:r>
      <w:r>
        <w:rPr>
          <w:rFonts w:hint="eastAsia"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现印发给你们</w:t>
      </w:r>
      <w:r>
        <w:rPr>
          <w:rFonts w:hint="eastAsia"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请认真组织实施。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p>
    <w:p>
      <w:pPr>
        <w:keepNext w:val="0"/>
        <w:keepLines w:val="0"/>
        <w:pageBreakBefore w:val="0"/>
        <w:widowControl w:val="0"/>
        <w:kinsoku/>
        <w:wordWrap w:val="0"/>
        <w:overflowPunct/>
        <w:topLinePunct w:val="0"/>
        <w:autoSpaceDE/>
        <w:autoSpaceDN/>
        <w:bidi w:val="0"/>
        <w:adjustRightInd/>
        <w:snapToGrid/>
        <w:spacing w:line="560" w:lineRule="exact"/>
        <w:ind w:firstLine="3840" w:firstLineChars="1200"/>
        <w:jc w:val="right"/>
        <w:textAlignment w:val="auto"/>
        <w:rPr>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color w:val="000000"/>
          <w:sz w:val="32"/>
          <w:szCs w:val="32"/>
        </w:rPr>
        <w:t>威海市文登区人民政府办公室</w:t>
      </w:r>
      <w:r>
        <w:rPr>
          <w:rFonts w:hint="eastAsia" w:eastAsia="仿宋_GB2312" w:cs="Times New Roman"/>
          <w:b w:val="0"/>
          <w:bCs w:val="0"/>
          <w:color w:val="000000"/>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仿宋_GB2312" w:cs="Times New Roman"/>
          <w:b w:val="0"/>
          <w:bCs w:val="0"/>
          <w:color w:val="000000"/>
          <w:sz w:val="32"/>
          <w:szCs w:val="32"/>
          <w:lang w:val="en-US" w:eastAsia="zh-CN"/>
        </w:rPr>
      </w:pPr>
      <w:r>
        <w:rPr>
          <w:rFonts w:hint="eastAsia" w:eastAsia="仿宋_GB2312" w:cs="Times New Roman"/>
          <w:b w:val="0"/>
          <w:bCs w:val="0"/>
          <w:color w:val="000000"/>
          <w:sz w:val="32"/>
          <w:szCs w:val="32"/>
          <w:lang w:val="en-US" w:eastAsia="zh-CN"/>
        </w:rPr>
        <w:t xml:space="preserve">                         </w:t>
      </w:r>
      <w:r>
        <w:rPr>
          <w:rFonts w:hint="default" w:ascii="Times New Roman" w:hAnsi="Times New Roman" w:eastAsia="仿宋_GB2312" w:cs="Times New Roman"/>
          <w:b w:val="0"/>
          <w:bCs w:val="0"/>
          <w:color w:val="000000"/>
          <w:sz w:val="32"/>
          <w:szCs w:val="32"/>
        </w:rPr>
        <w:t>2021年</w:t>
      </w:r>
      <w:r>
        <w:rPr>
          <w:rFonts w:hint="eastAsia" w:eastAsia="仿宋_GB2312" w:cs="Times New Roman"/>
          <w:b w:val="0"/>
          <w:bCs w:val="0"/>
          <w:color w:val="000000"/>
          <w:sz w:val="32"/>
          <w:szCs w:val="32"/>
          <w:lang w:val="en-US" w:eastAsia="zh-CN"/>
        </w:rPr>
        <w:t>11</w:t>
      </w:r>
      <w:r>
        <w:rPr>
          <w:rFonts w:hint="default" w:ascii="Times New Roman" w:hAnsi="Times New Roman" w:eastAsia="仿宋_GB2312" w:cs="Times New Roman"/>
          <w:b w:val="0"/>
          <w:bCs w:val="0"/>
          <w:color w:val="000000"/>
          <w:sz w:val="32"/>
          <w:szCs w:val="32"/>
        </w:rPr>
        <w:t>月</w:t>
      </w:r>
      <w:r>
        <w:rPr>
          <w:rFonts w:hint="eastAsia" w:eastAsia="仿宋_GB2312" w:cs="Times New Roman"/>
          <w:b w:val="0"/>
          <w:bCs w:val="0"/>
          <w:color w:val="000000"/>
          <w:sz w:val="32"/>
          <w:szCs w:val="32"/>
          <w:lang w:val="en-US" w:eastAsia="zh-CN"/>
        </w:rPr>
        <w:t>12</w:t>
      </w:r>
      <w:r>
        <w:rPr>
          <w:rFonts w:hint="eastAsia" w:eastAsia="仿宋_GB2312" w:cs="Times New Roman"/>
          <w:b w:val="0"/>
          <w:bCs w:val="0"/>
          <w:color w:val="000000"/>
          <w:sz w:val="32"/>
          <w:szCs w:val="32"/>
          <w:lang w:eastAsia="zh-CN"/>
        </w:rPr>
        <w:t>日</w:t>
      </w:r>
      <w:r>
        <w:rPr>
          <w:rFonts w:hint="eastAsia" w:eastAsia="仿宋_GB2312" w:cs="Times New Roman"/>
          <w:b w:val="0"/>
          <w:bCs w:val="0"/>
          <w:color w:val="000000"/>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关于完善养老服务体系加快推进养老服务</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高质量发展的实施意见</w:t>
      </w:r>
    </w:p>
    <w:p>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kern w:val="2"/>
          <w:sz w:val="32"/>
          <w:szCs w:val="32"/>
        </w:rPr>
      </w:pPr>
    </w:p>
    <w:p>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rPr>
        <w:t>截</w:t>
      </w:r>
      <w:r>
        <w:rPr>
          <w:rFonts w:hint="default" w:ascii="Times New Roman" w:hAnsi="Times New Roman" w:eastAsia="仿宋_GB2312" w:cs="Times New Roman"/>
          <w:color w:val="auto"/>
          <w:kern w:val="2"/>
          <w:sz w:val="32"/>
          <w:szCs w:val="32"/>
          <w:lang w:eastAsia="zh-CN"/>
        </w:rPr>
        <w:t>至</w:t>
      </w:r>
      <w:r>
        <w:rPr>
          <w:rFonts w:hint="default" w:ascii="Times New Roman" w:hAnsi="Times New Roman" w:eastAsia="仿宋_GB2312" w:cs="Times New Roman"/>
          <w:color w:val="auto"/>
          <w:kern w:val="2"/>
          <w:sz w:val="32"/>
          <w:szCs w:val="32"/>
        </w:rPr>
        <w:t>2020年末，我区60岁及以上老年人达到17.1万，占总人口的33%，为积极应对人口重度老龄化，进一步健全养老服务体系，加快推进养老服务高质量发展，提升养老服务水平，不断提高老年人的生活质量，促进我区经济社会健康发展，根据《山东省人民政府办公厅关于推进养老服务发展的实施意见》（鲁政办发〔2019〕31号）、《威海市人民政府办公室关于进一步推进养老服务高质量发展的实施意见》（威政办发〔2020〕6号）等文件精神，经区政府研究决定，现提出如下实施意见。</w:t>
      </w:r>
    </w:p>
    <w:p>
      <w:pPr>
        <w:pStyle w:val="12"/>
        <w:keepNext w:val="0"/>
        <w:keepLines w:val="0"/>
        <w:pageBreakBefore w:val="0"/>
        <w:widowControl/>
        <w:numPr>
          <w:ilvl w:val="0"/>
          <w:numId w:val="1"/>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加快养老服务设施建设</w:t>
      </w:r>
    </w:p>
    <w:p>
      <w:pPr>
        <w:pStyle w:val="12"/>
        <w:keepNext w:val="0"/>
        <w:keepLines w:val="0"/>
        <w:pageBreakBefore w:val="0"/>
        <w:widowControl/>
        <w:numPr>
          <w:ilvl w:val="0"/>
          <w:numId w:val="2"/>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实施特困人员供养服务设施（敬老院）提升改造工程。</w:t>
      </w:r>
      <w:r>
        <w:rPr>
          <w:rFonts w:hint="default" w:ascii="Times New Roman" w:hAnsi="Times New Roman" w:eastAsia="仿宋_GB2312" w:cs="Times New Roman"/>
          <w:color w:val="auto"/>
          <w:sz w:val="32"/>
          <w:szCs w:val="32"/>
        </w:rPr>
        <w:t>扩建人民医院康养中心，打造成区级综合养老服务中心，对失能失智老人进行集中供养。改造提升1</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乡镇敬老院，提高公办养老机构兜底保障能力，失能特困老年人集中供养率达到55%以上。满足特困人员集中供养需求，为经济困难高龄、失能、计划生育特殊家庭老年人提供无偿或低收费托养服务。发挥14处分散特困供养服务站作用，通过政府购买服务方式，为生活困难的低保、特困和有特殊贡献的老党员、老模范、优抚对象提供助餐、助洁、助医、助行、助浴、生活照料等服务。2021年底前，有意愿的失能、部分失能特困老年人集中供养率达到100%。2022年底前，全区特困人员供养服务设施全部达到二级以上养老机构标准。</w:t>
      </w:r>
      <w:r>
        <w:rPr>
          <w:rFonts w:hint="default" w:ascii="Times New Roman" w:hAnsi="Times New Roman" w:eastAsia="楷体_GB2312" w:cs="Times New Roman"/>
          <w:color w:val="auto"/>
          <w:sz w:val="32"/>
          <w:szCs w:val="32"/>
        </w:rPr>
        <w:t>（责任单位：区民政局、区发展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改革局、区财政局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2"/>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实施社区养老服务设施配建工程</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落实新建小区配建社区养老服务设施“四同步”机制</w:t>
      </w:r>
      <w:r>
        <w:rPr>
          <w:rFonts w:hint="default" w:ascii="Times New Roman" w:hAnsi="Times New Roman" w:eastAsia="楷体_GB2312" w:cs="Times New Roman"/>
          <w:color w:val="auto"/>
          <w:sz w:val="32"/>
          <w:szCs w:val="32"/>
          <w:lang w:eastAsia="zh-CN"/>
        </w:rPr>
        <w:t>。</w:t>
      </w:r>
      <w:r>
        <w:rPr>
          <w:rFonts w:hint="default" w:ascii="Times New Roman" w:hAnsi="Times New Roman" w:eastAsia="仿宋_GB2312" w:cs="Times New Roman"/>
          <w:color w:val="auto"/>
          <w:sz w:val="32"/>
          <w:szCs w:val="32"/>
          <w:highlight w:val="none"/>
          <w:lang w:val="en-US" w:eastAsia="zh-CN"/>
        </w:rPr>
        <w:t>新建小区规划、住建部门要严格把关，对未按规划要求配套建设、不能同步交付使用养老设施的，不予办理竣工验收备案</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rPr>
        <w:t>对10</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个已建旧小区，鼓励将社区服务场所40%以上的部分用于养老服务，或采取回购、插建、利用闲置资源等多种方式与“连心党群服务站”、</w:t>
      </w:r>
      <w:r>
        <w:rPr>
          <w:rFonts w:hint="default" w:ascii="Times New Roman" w:hAnsi="Times New Roman" w:eastAsia="仿宋_GB2312" w:cs="Times New Roman"/>
          <w:color w:val="auto"/>
          <w:sz w:val="32"/>
          <w:szCs w:val="32"/>
          <w:lang w:eastAsia="zh-CN"/>
        </w:rPr>
        <w:t>红色议事厅</w:t>
      </w:r>
      <w:r>
        <w:rPr>
          <w:rFonts w:hint="default" w:ascii="Times New Roman" w:hAnsi="Times New Roman" w:eastAsia="仿宋_GB2312" w:cs="Times New Roman"/>
          <w:color w:val="auto"/>
          <w:sz w:val="32"/>
          <w:szCs w:val="32"/>
        </w:rPr>
        <w:t>、信用超市等相结合，解决居家社区养老服务设施。对政府、事业单位和国有企业腾退的用房，条件适宜的，鼓励用于社区养老服务。2021年底前实现新旧小区养老服务设施配建全覆盖。</w:t>
      </w:r>
      <w:r>
        <w:rPr>
          <w:rFonts w:hint="default" w:ascii="Times New Roman" w:hAnsi="Times New Roman" w:eastAsia="楷体_GB2312" w:cs="Times New Roman"/>
          <w:color w:val="auto"/>
          <w:sz w:val="32"/>
          <w:szCs w:val="32"/>
        </w:rPr>
        <w:t>（责任单位：区民政局、区住房城乡建设局、威海市规划局文登分局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2"/>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实施居家和社区适老化改造工程。</w:t>
      </w:r>
      <w:r>
        <w:rPr>
          <w:rFonts w:hint="default" w:ascii="Times New Roman" w:hAnsi="Times New Roman" w:eastAsia="仿宋_GB2312" w:cs="Times New Roman"/>
          <w:color w:val="auto"/>
          <w:sz w:val="32"/>
          <w:szCs w:val="32"/>
        </w:rPr>
        <w:t>分期分批对所有纳入特困供养和生活困难的高龄、失能、残疾老年人家庭，按照《无障碍设计规范》给予最急需的适老化改造。在镇街对生活困难的失能老年家庭进行养老床位改造。</w:t>
      </w:r>
      <w:r>
        <w:rPr>
          <w:rFonts w:hint="default" w:ascii="Times New Roman" w:hAnsi="Times New Roman" w:eastAsia="楷体_GB2312" w:cs="Times New Roman"/>
          <w:color w:val="auto"/>
          <w:sz w:val="32"/>
          <w:szCs w:val="32"/>
        </w:rPr>
        <w:t>（责任单位：区民政局、区财政局、区残联</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val="0"/>
        <w:numPr>
          <w:ilvl w:val="0"/>
          <w:numId w:val="1"/>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提升养老服务质量</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楷体_GB2312" w:cs="Times New Roman"/>
          <w:color w:val="auto"/>
          <w:sz w:val="32"/>
          <w:szCs w:val="32"/>
          <w:lang w:eastAsia="zh-CN"/>
        </w:rPr>
        <w:t>（四）</w:t>
      </w:r>
      <w:r>
        <w:rPr>
          <w:rFonts w:hint="default" w:ascii="Times New Roman" w:hAnsi="Times New Roman" w:eastAsia="楷体_GB2312" w:cs="Times New Roman"/>
          <w:color w:val="auto"/>
          <w:sz w:val="32"/>
          <w:szCs w:val="32"/>
        </w:rPr>
        <w:t>提升机构养老服务质量。</w:t>
      </w:r>
      <w:r>
        <w:rPr>
          <w:rFonts w:hint="default" w:ascii="Times New Roman" w:hAnsi="Times New Roman" w:eastAsia="仿宋_GB2312" w:cs="Times New Roman"/>
          <w:color w:val="auto"/>
          <w:sz w:val="32"/>
          <w:szCs w:val="32"/>
        </w:rPr>
        <w:t>持续开展养老院质量建设专项行动，大力推动安全质量隐患整治，集中解决养老机构消防安全问题。发挥“四专员”监管机制，所有养老院全部达到《养老机构服务质量基本规范》规定标准，达不到二星级以上标准的，取消其收住失能半失能老人的资格。推进养老服务标准化建设，培育打造一批具有影响力和竞争力的养老服务品牌。</w:t>
      </w:r>
      <w:r>
        <w:rPr>
          <w:rFonts w:hint="default" w:ascii="Times New Roman" w:hAnsi="Times New Roman" w:eastAsia="楷体_GB2312" w:cs="Times New Roman"/>
          <w:color w:val="auto"/>
          <w:kern w:val="2"/>
          <w:sz w:val="32"/>
          <w:szCs w:val="32"/>
        </w:rPr>
        <w:t>（区民政局、</w:t>
      </w:r>
      <w:r>
        <w:rPr>
          <w:rFonts w:hint="default" w:ascii="Times New Roman" w:hAnsi="Times New Roman" w:eastAsia="楷体_GB2312" w:cs="Times New Roman"/>
          <w:color w:val="auto"/>
          <w:sz w:val="32"/>
          <w:szCs w:val="32"/>
        </w:rPr>
        <w:t>区市场监督管理局</w:t>
      </w:r>
      <w:r>
        <w:rPr>
          <w:rFonts w:hint="default" w:ascii="Times New Roman" w:hAnsi="Times New Roman" w:eastAsia="楷体_GB2312" w:cs="Times New Roman"/>
          <w:color w:val="auto"/>
          <w:kern w:val="2"/>
          <w:sz w:val="32"/>
          <w:szCs w:val="32"/>
        </w:rPr>
        <w:t>、区应急管理局、区消防救援大队</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kern w:val="2"/>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（五）</w:t>
      </w:r>
      <w:r>
        <w:rPr>
          <w:rFonts w:hint="default" w:ascii="Times New Roman" w:hAnsi="Times New Roman" w:eastAsia="楷体_GB2312" w:cs="Times New Roman"/>
          <w:color w:val="auto"/>
          <w:sz w:val="32"/>
          <w:szCs w:val="32"/>
        </w:rPr>
        <w:t>提升居家社区养老服务质量。</w:t>
      </w:r>
      <w:r>
        <w:rPr>
          <w:rFonts w:hint="default" w:ascii="Times New Roman" w:hAnsi="Times New Roman" w:eastAsia="仿宋_GB2312" w:cs="Times New Roman"/>
          <w:color w:val="auto"/>
          <w:sz w:val="32"/>
          <w:szCs w:val="32"/>
        </w:rPr>
        <w:t>搭建市—区—镇（街道）—社区四级居家社区养老服务体系，在城区，街道办事处都要建设镇街综合养老服务中心、社区服务中心建设社区养老服务站，通过试点带动，在街道建设具备全托、日托、上门服务、对下指导等功能的综合养老服务机构，在社区建设嵌入式养老服务机构或日间照料中心。2022年底前，街道综合养老服务机构、社区日间照料中心覆盖率分别达到100%、90%。积极引导社会力量广泛参与社区养老服务，大力培育专业化、连锁化、品牌化专业养老服务组织。</w:t>
      </w:r>
      <w:r>
        <w:rPr>
          <w:rFonts w:hint="default" w:ascii="Times New Roman" w:hAnsi="Times New Roman" w:eastAsia="楷体_GB2312" w:cs="Times New Roman"/>
          <w:color w:val="auto"/>
          <w:sz w:val="32"/>
          <w:szCs w:val="32"/>
        </w:rPr>
        <w:t>（责任单位：区民政局、区发展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（六）</w:t>
      </w:r>
      <w:r>
        <w:rPr>
          <w:rFonts w:hint="default" w:ascii="Times New Roman" w:hAnsi="Times New Roman" w:eastAsia="楷体_GB2312" w:cs="Times New Roman"/>
          <w:color w:val="auto"/>
          <w:sz w:val="32"/>
          <w:szCs w:val="32"/>
        </w:rPr>
        <w:t>提升长期照护服务质量。</w:t>
      </w:r>
      <w:r>
        <w:rPr>
          <w:rFonts w:hint="default" w:ascii="Times New Roman" w:hAnsi="Times New Roman" w:eastAsia="仿宋_GB2312" w:cs="Times New Roman"/>
          <w:color w:val="auto"/>
          <w:sz w:val="32"/>
          <w:szCs w:val="32"/>
        </w:rPr>
        <w:t>大力发展为高龄、失能、失智老年人提供长期照护服务的护理型养老机构，鼓励各类养老机构设立失智症照护专区，打造一批城企联动普惠养老试点项目。2022年底前，养老机构护理型床位达到床位总数的65%以上。健全职工长期护理保险制度。</w:t>
      </w:r>
      <w:r>
        <w:rPr>
          <w:rFonts w:hint="default" w:ascii="Times New Roman" w:hAnsi="Times New Roman" w:eastAsia="楷体_GB2312" w:cs="Times New Roman"/>
          <w:color w:val="auto"/>
          <w:sz w:val="32"/>
          <w:szCs w:val="32"/>
        </w:rPr>
        <w:t>（责任单位：区发展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改革局、区民政局、</w:t>
      </w:r>
      <w:r>
        <w:rPr>
          <w:rFonts w:hint="default" w:ascii="Times New Roman" w:hAnsi="Times New Roman" w:eastAsia="楷体_GB2312" w:cs="Times New Roman"/>
          <w:color w:val="auto"/>
          <w:sz w:val="32"/>
          <w:szCs w:val="32"/>
          <w:lang w:eastAsia="zh-CN"/>
        </w:rPr>
        <w:t>区医疗保障局</w:t>
      </w:r>
      <w:r>
        <w:rPr>
          <w:rFonts w:hint="default" w:ascii="Times New Roman" w:hAnsi="Times New Roman" w:eastAsia="楷体_GB2312" w:cs="Times New Roman"/>
          <w:color w:val="auto"/>
          <w:sz w:val="32"/>
          <w:szCs w:val="32"/>
        </w:rPr>
        <w:t>、区财政局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（七）</w:t>
      </w:r>
      <w:r>
        <w:rPr>
          <w:rFonts w:hint="default" w:ascii="Times New Roman" w:hAnsi="Times New Roman" w:eastAsia="楷体_GB2312" w:cs="Times New Roman"/>
          <w:color w:val="auto"/>
          <w:sz w:val="32"/>
          <w:szCs w:val="32"/>
        </w:rPr>
        <w:t>提升农村养老服务质量。</w:t>
      </w:r>
      <w:r>
        <w:rPr>
          <w:rFonts w:hint="default" w:ascii="Times New Roman" w:hAnsi="Times New Roman" w:eastAsia="仿宋_GB2312" w:cs="Times New Roman"/>
          <w:color w:val="auto"/>
          <w:kern w:val="2"/>
          <w:sz w:val="32"/>
          <w:szCs w:val="32"/>
        </w:rPr>
        <w:t>结合乡村振兴、美丽乡村建设，探索乡村养老新模式。</w:t>
      </w:r>
      <w:r>
        <w:rPr>
          <w:rFonts w:hint="default" w:ascii="Times New Roman" w:hAnsi="Times New Roman" w:eastAsia="仿宋_GB2312" w:cs="Times New Roman"/>
          <w:color w:val="auto"/>
          <w:sz w:val="32"/>
          <w:szCs w:val="32"/>
        </w:rPr>
        <w:t>利用敬老院转型升级等形式建设乡镇综合养老服务中心，2021年底覆盖率达到50%，2022年底达到全覆盖。</w:t>
      </w:r>
      <w:r>
        <w:rPr>
          <w:rFonts w:hint="default" w:ascii="Times New Roman" w:hAnsi="Times New Roman" w:eastAsia="仿宋_GB2312" w:cs="Times New Roman"/>
          <w:color w:val="auto"/>
          <w:kern w:val="2"/>
          <w:sz w:val="32"/>
          <w:szCs w:val="32"/>
        </w:rPr>
        <w:t>将盘活农村幸福院、农村幸福餐桌建设与睦邻互助点建设相结合，形成农村养老服务新体系</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kern w:val="2"/>
          <w:sz w:val="32"/>
          <w:szCs w:val="32"/>
        </w:rPr>
        <w:t>到2023年底，全区农村幸福院基本盘活，睦邻互助点全覆盖，全面建立独居、空巢、留守、失能和计划生育特殊家庭等特殊老年人关爱服务体系，</w:t>
      </w:r>
      <w:r>
        <w:rPr>
          <w:rFonts w:hint="default" w:ascii="Times New Roman" w:hAnsi="Times New Roman" w:eastAsia="仿宋_GB2312" w:cs="Times New Roman"/>
          <w:color w:val="auto"/>
          <w:sz w:val="32"/>
          <w:szCs w:val="32"/>
        </w:rPr>
        <w:t>为老年人实现“原居养老”提供有效支撑</w:t>
      </w:r>
      <w:r>
        <w:rPr>
          <w:rFonts w:hint="default" w:ascii="Times New Roman" w:hAnsi="Times New Roman" w:eastAsia="仿宋_GB2312" w:cs="Times New Roman"/>
          <w:color w:val="auto"/>
          <w:kern w:val="2"/>
          <w:sz w:val="32"/>
          <w:szCs w:val="32"/>
        </w:rPr>
        <w:t>。</w:t>
      </w:r>
      <w:r>
        <w:rPr>
          <w:rFonts w:hint="default" w:ascii="Times New Roman" w:hAnsi="Times New Roman" w:eastAsia="楷体_GB2312" w:cs="Times New Roman"/>
          <w:color w:val="auto"/>
          <w:sz w:val="32"/>
          <w:szCs w:val="32"/>
        </w:rPr>
        <w:t>（责任单位：区民政局、区财政局、区文化和旅游局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lang w:eastAsia="zh-CN"/>
        </w:rPr>
        <w:t>（八）</w:t>
      </w:r>
      <w:r>
        <w:rPr>
          <w:rFonts w:hint="default" w:ascii="Times New Roman" w:hAnsi="Times New Roman" w:eastAsia="楷体_GB2312" w:cs="Times New Roman"/>
          <w:color w:val="auto"/>
          <w:sz w:val="32"/>
          <w:szCs w:val="32"/>
        </w:rPr>
        <w:t>提升城乡社区助餐服务水平。</w:t>
      </w:r>
      <w:r>
        <w:rPr>
          <w:rFonts w:hint="default" w:ascii="Times New Roman" w:hAnsi="Times New Roman" w:eastAsia="仿宋_GB2312" w:cs="Times New Roman"/>
          <w:color w:val="auto"/>
          <w:sz w:val="32"/>
          <w:szCs w:val="32"/>
        </w:rPr>
        <w:t>因地制宜，有序推进社区食堂、农村幸福餐桌建设。2023年底前，社区食堂数量达到15处，</w:t>
      </w:r>
      <w:r>
        <w:rPr>
          <w:rFonts w:hint="default" w:ascii="Times New Roman" w:hAnsi="Times New Roman" w:eastAsia="仿宋_GB2312" w:cs="Times New Roman"/>
          <w:color w:val="auto"/>
          <w:kern w:val="2"/>
          <w:sz w:val="32"/>
          <w:szCs w:val="32"/>
        </w:rPr>
        <w:t>农村幸福餐桌占比达全区村居40%</w:t>
      </w:r>
      <w:r>
        <w:rPr>
          <w:rFonts w:hint="default" w:ascii="Times New Roman" w:hAnsi="Times New Roman" w:eastAsia="仿宋_GB2312" w:cs="Times New Roman"/>
          <w:color w:val="auto"/>
          <w:sz w:val="32"/>
          <w:szCs w:val="32"/>
        </w:rPr>
        <w:t>。2024年底前，基本建立助餐长效运行机制，力争基本解决城乡老年人“一餐热饭”的刚性需求。</w:t>
      </w:r>
      <w:r>
        <w:rPr>
          <w:rFonts w:hint="default" w:ascii="Times New Roman" w:hAnsi="Times New Roman" w:eastAsia="楷体_GB2312" w:cs="Times New Roman"/>
          <w:color w:val="auto"/>
          <w:sz w:val="32"/>
          <w:szCs w:val="32"/>
        </w:rPr>
        <w:t>（责任单位：区民政局、区财政局、区市场监督管理局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（九）</w:t>
      </w:r>
      <w:r>
        <w:rPr>
          <w:rFonts w:hint="default" w:ascii="Times New Roman" w:hAnsi="Times New Roman" w:eastAsia="楷体_GB2312" w:cs="Times New Roman"/>
          <w:color w:val="auto"/>
          <w:sz w:val="32"/>
          <w:szCs w:val="32"/>
        </w:rPr>
        <w:t>提升智慧养老服务水平。</w:t>
      </w:r>
      <w:r>
        <w:rPr>
          <w:rFonts w:hint="default" w:ascii="Times New Roman" w:hAnsi="Times New Roman" w:eastAsia="仿宋_GB2312" w:cs="Times New Roman"/>
          <w:color w:val="auto"/>
          <w:sz w:val="32"/>
          <w:szCs w:val="32"/>
        </w:rPr>
        <w:t>建成全区养老智慧管理平台，打造集居家养老服务、机构养老监管、视频可视化监控、养老政策发布等综合性监管平台，实现与省养老“两台一网”对接，推进养老服务与户籍、医疗、社会救助等信息资源对接。打造全区统一的6012349民生服务热线，扩大热线知晓度和覆盖率，整合涵盖群众生活各类便民利民、生活咨询服务资源，实现便民服务“一单通达”。精准搭建养老机构智慧消防平台，推广物联网和远程智能安防监控技术，实现24小时安全自动值守，降低老年人意外风险。</w:t>
      </w:r>
      <w:r>
        <w:rPr>
          <w:rFonts w:hint="default" w:ascii="Times New Roman" w:hAnsi="Times New Roman" w:eastAsia="楷体_GB2312" w:cs="Times New Roman"/>
          <w:color w:val="auto"/>
          <w:sz w:val="32"/>
          <w:szCs w:val="32"/>
        </w:rPr>
        <w:t>（责任单位：区民政局、威海市公安局文登分局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（十）</w:t>
      </w:r>
      <w:r>
        <w:rPr>
          <w:rFonts w:hint="default" w:ascii="Times New Roman" w:hAnsi="Times New Roman" w:eastAsia="楷体_GB2312" w:cs="Times New Roman"/>
          <w:color w:val="auto"/>
          <w:sz w:val="32"/>
          <w:szCs w:val="32"/>
        </w:rPr>
        <w:t>提升养老服务人才队伍建设水平。</w:t>
      </w:r>
      <w:r>
        <w:rPr>
          <w:rFonts w:hint="default" w:ascii="Times New Roman" w:hAnsi="Times New Roman" w:eastAsia="仿宋_GB2312" w:cs="Times New Roman"/>
          <w:color w:val="auto"/>
          <w:sz w:val="32"/>
          <w:szCs w:val="32"/>
        </w:rPr>
        <w:t>将养老服务列为职业教育校企合作优先领域，支持职业院校开办养老服务类专业。2023年底前打造一处全省养老人才培育基地，建立全省最全的养老管理、服务人才培养、就业、继续教育、监督考评体系。将养老护理员培训作为《山东省职业技能提升行动实施方案（2019—2021年）》（鲁政办发〔2019〕24号）的重要内容，所需资金按规定从失业保险基金支持职业技能提升行动资金中列支。通过设立公益性岗位，引导社会工作者参与养老服务。鼓励发展积分养老、养老服务时间银行等，与诚信体系挂钩，引导志愿者为老年人提供养老服务，按一定规则记录储存服务积分或时间，兑换相应物品和服务。</w:t>
      </w:r>
      <w:r>
        <w:rPr>
          <w:rFonts w:hint="default" w:ascii="Times New Roman" w:hAnsi="Times New Roman" w:eastAsia="楷体_GB2312" w:cs="Times New Roman"/>
          <w:color w:val="auto"/>
          <w:sz w:val="32"/>
          <w:szCs w:val="32"/>
        </w:rPr>
        <w:t>（责任单位：区民政局、区教育</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体育局、区人力资源和社会保障局、区发展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（十一）</w:t>
      </w:r>
      <w:r>
        <w:rPr>
          <w:rFonts w:hint="default" w:ascii="Times New Roman" w:hAnsi="Times New Roman" w:eastAsia="楷体_GB2312" w:cs="Times New Roman"/>
          <w:color w:val="auto"/>
          <w:sz w:val="32"/>
          <w:szCs w:val="32"/>
        </w:rPr>
        <w:t>提升康复辅助器具服务水平。</w:t>
      </w:r>
      <w:r>
        <w:rPr>
          <w:rFonts w:hint="default" w:ascii="Times New Roman" w:hAnsi="Times New Roman" w:eastAsia="仿宋_GB2312" w:cs="Times New Roman"/>
          <w:color w:val="auto"/>
          <w:sz w:val="32"/>
          <w:szCs w:val="32"/>
        </w:rPr>
        <w:t>支持新兴材料、人工智能、虚拟现实等新技术在养老服务领域深度应用。推进在养老机构、城乡社区养老服务站设立康复辅助器具配置服务（租赁）站点。鼓励将符合条件的基本治疗性康复项目按规定纳入基本医疗保险、商业保险支付范围。鼓励建设医疗康复辅助器具产业园，积极争创全国康复辅助器具试点。</w:t>
      </w:r>
      <w:r>
        <w:rPr>
          <w:rFonts w:hint="default" w:ascii="Times New Roman" w:hAnsi="Times New Roman" w:eastAsia="楷体_GB2312" w:cs="Times New Roman"/>
          <w:color w:val="auto"/>
          <w:sz w:val="32"/>
          <w:szCs w:val="32"/>
        </w:rPr>
        <w:t>（责任单位：区民政局、区发展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改革局、区商务局、</w:t>
      </w:r>
      <w:r>
        <w:rPr>
          <w:rFonts w:hint="default" w:ascii="Times New Roman" w:hAnsi="Times New Roman" w:eastAsia="楷体_GB2312" w:cs="Times New Roman"/>
          <w:color w:val="auto"/>
          <w:sz w:val="32"/>
          <w:szCs w:val="32"/>
          <w:lang w:eastAsia="zh-CN"/>
        </w:rPr>
        <w:t>区医疗保障局、</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numPr>
          <w:ilvl w:val="0"/>
          <w:numId w:val="1"/>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健全养老服务制度机制</w:t>
      </w:r>
    </w:p>
    <w:p>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kern w:val="2"/>
          <w:sz w:val="32"/>
          <w:szCs w:val="32"/>
          <w:lang w:val="en-US" w:eastAsia="zh-CN" w:bidi="ar-SA"/>
        </w:rPr>
        <w:t>十二</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健全基本养老服务制度。</w:t>
      </w:r>
      <w:r>
        <w:rPr>
          <w:rFonts w:hint="default" w:ascii="Times New Roman" w:hAnsi="Times New Roman" w:eastAsia="仿宋_GB2312" w:cs="Times New Roman"/>
          <w:color w:val="auto"/>
          <w:sz w:val="32"/>
          <w:szCs w:val="32"/>
        </w:rPr>
        <w:t>按照制定发布的基本养老公共服务清单，重点保障高龄、失能、贫困、伤残、计划生育特殊家庭等困难老年人的养老服务需求。实施政府为特殊困难老年人购买居家养老服务。全面实施老年人能力和需求评估、养老机构等级评估、城乡社区居家养老服务设施等级评估等制度。</w:t>
      </w:r>
      <w:r>
        <w:rPr>
          <w:rFonts w:hint="default" w:ascii="Times New Roman" w:hAnsi="Times New Roman" w:eastAsia="楷体_GB2312" w:cs="Times New Roman"/>
          <w:color w:val="auto"/>
          <w:sz w:val="32"/>
          <w:szCs w:val="32"/>
        </w:rPr>
        <w:t>（责任单位：区民政局、区财政局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kern w:val="2"/>
          <w:sz w:val="32"/>
          <w:szCs w:val="32"/>
          <w:lang w:val="en-US" w:eastAsia="zh-CN" w:bidi="ar-SA"/>
        </w:rPr>
        <w:t>十三</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健全养老服务扶持发展机制。</w:t>
      </w:r>
      <w:r>
        <w:rPr>
          <w:rFonts w:hint="default" w:ascii="Times New Roman" w:hAnsi="Times New Roman" w:eastAsia="仿宋_GB2312" w:cs="Times New Roman"/>
          <w:color w:val="auto"/>
          <w:sz w:val="32"/>
          <w:szCs w:val="32"/>
        </w:rPr>
        <w:t>提升政府财政资金投入精准度，加大财政资金在社区居家养老、城乡助餐服务、护理型床位建设、养老人才培训、养老信息平台运营等方面投入力度。全面落实资金、土地、税费、融资、水电气暖等方面的优惠扶持政策，清理养老服务领域妨碍公平竞争的各项规定，落实外资发展养老服务国民待遇。</w:t>
      </w:r>
      <w:r>
        <w:rPr>
          <w:rFonts w:hint="default" w:ascii="Times New Roman" w:hAnsi="Times New Roman" w:eastAsia="楷体_GB2312" w:cs="Times New Roman"/>
          <w:color w:val="auto"/>
          <w:sz w:val="32"/>
          <w:szCs w:val="32"/>
        </w:rPr>
        <w:t>（责任单位：区民政局、区财政局、区发展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改革局、区税务局、区市场监督管理局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lang w:eastAsia="zh-CN"/>
        </w:rPr>
        <w:t>十四</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健全养老服务综合协调监管机制。</w:t>
      </w:r>
      <w:r>
        <w:rPr>
          <w:rFonts w:hint="default" w:ascii="Times New Roman" w:hAnsi="Times New Roman" w:eastAsia="仿宋_GB2312" w:cs="Times New Roman"/>
          <w:color w:val="auto"/>
          <w:sz w:val="32"/>
          <w:szCs w:val="32"/>
        </w:rPr>
        <w:t>细化诚信体系+“四专员”养老服务质量管理评定体系+部门联动议事机制“1+1+1”养老服务监管模式。通过诚信体系的建立将养老机构安全生产、标准化服务、运营管理等方面纳入诚信赋分内容，倒逼养老机构自律经营；在养老服务质量管理方面，通过采取养老机构内部确定一名质量监督员、一名安全员、招募一名社会监督员、聘请一名第三方评估员的</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四专员</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监管模式，通过内部质量管理体系搭建、社会对服务绩效、卫生、餐饮、满意度的监督，第三方的专业评估和指导，全方位提升养老机构服务质量。加强养老服务工作协调和行业综合监管，建立养老服务“黑名单”制度，依法对失信主体实施联合惩戒。建立会员制养老服务监管机制，各镇、街道办事处要切实履行属地管理责任，明确工作机制和责任机制，切实做到组织领导到位、工作落实到位，做到养老机构非法集资现象早发现、早处理。强化与公安、市场监管、金融监管等部门协作，加强对养老机构非法集资的防范、监测和预警，发现养老机构涉嫌非法集资的，按照有关规定及时移交相关部门。</w:t>
      </w:r>
      <w:r>
        <w:rPr>
          <w:rFonts w:hint="default" w:ascii="Times New Roman" w:hAnsi="Times New Roman" w:eastAsia="楷体_GB2312" w:cs="Times New Roman"/>
          <w:color w:val="auto"/>
          <w:sz w:val="32"/>
          <w:szCs w:val="32"/>
        </w:rPr>
        <w:t>（责任单位：区民政局、威海市公安</w:t>
      </w:r>
      <w:r>
        <w:rPr>
          <w:rFonts w:hint="default" w:ascii="Times New Roman" w:hAnsi="Times New Roman" w:eastAsia="楷体_GB2312" w:cs="Times New Roman"/>
          <w:color w:val="auto"/>
          <w:sz w:val="32"/>
          <w:szCs w:val="32"/>
          <w:lang w:eastAsia="zh-CN"/>
        </w:rPr>
        <w:t>局</w:t>
      </w:r>
      <w:r>
        <w:rPr>
          <w:rFonts w:hint="default" w:ascii="Times New Roman" w:hAnsi="Times New Roman" w:eastAsia="楷体_GB2312" w:cs="Times New Roman"/>
          <w:color w:val="auto"/>
          <w:sz w:val="32"/>
          <w:szCs w:val="32"/>
        </w:rPr>
        <w:t>文登分局、</w:t>
      </w:r>
      <w:r>
        <w:rPr>
          <w:rFonts w:hint="default" w:ascii="Times New Roman" w:hAnsi="Times New Roman" w:eastAsia="楷体_GB2312" w:cs="Times New Roman"/>
          <w:color w:val="auto"/>
          <w:sz w:val="32"/>
          <w:szCs w:val="32"/>
          <w:lang w:eastAsia="zh-CN"/>
        </w:rPr>
        <w:t>中国</w:t>
      </w:r>
      <w:r>
        <w:rPr>
          <w:rFonts w:hint="default" w:ascii="Times New Roman" w:hAnsi="Times New Roman" w:eastAsia="楷体_GB2312" w:cs="Times New Roman"/>
          <w:color w:val="auto"/>
          <w:sz w:val="32"/>
          <w:szCs w:val="32"/>
        </w:rPr>
        <w:t>人民银行文登支行、区市场监督管理局、区发展</w:t>
      </w:r>
      <w:r>
        <w:rPr>
          <w:rFonts w:hint="default" w:ascii="Times New Roman" w:hAnsi="Times New Roman" w:eastAsia="楷体_GB2312" w:cs="Times New Roman"/>
          <w:color w:val="auto"/>
          <w:sz w:val="32"/>
          <w:szCs w:val="32"/>
          <w:lang w:eastAsia="zh-CN"/>
        </w:rPr>
        <w:t>和</w:t>
      </w:r>
      <w:r>
        <w:rPr>
          <w:rFonts w:hint="default" w:ascii="Times New Roman" w:hAnsi="Times New Roman" w:eastAsia="楷体_GB2312" w:cs="Times New Roman"/>
          <w:color w:val="auto"/>
          <w:sz w:val="32"/>
          <w:szCs w:val="32"/>
        </w:rPr>
        <w:t>改革局、</w:t>
      </w:r>
      <w:r>
        <w:rPr>
          <w:rFonts w:hint="default" w:ascii="Times New Roman" w:hAnsi="Times New Roman" w:eastAsia="楷体_GB2312" w:cs="Times New Roman"/>
          <w:color w:val="auto"/>
          <w:sz w:val="32"/>
          <w:szCs w:val="32"/>
          <w:lang w:eastAsia="zh-CN"/>
        </w:rPr>
        <w:t>区医疗保障局、区地方金融服务中心、</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lang w:eastAsia="zh-CN"/>
        </w:rPr>
        <w:t>十五</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完善养老领域“放管服”机制。</w:t>
      </w:r>
      <w:r>
        <w:rPr>
          <w:rFonts w:hint="default" w:ascii="Times New Roman" w:hAnsi="Times New Roman" w:eastAsia="仿宋_GB2312" w:cs="Times New Roman"/>
          <w:color w:val="auto"/>
          <w:sz w:val="32"/>
          <w:szCs w:val="32"/>
        </w:rPr>
        <w:t>降低准入门槛。营利性养老服务企业在同一区增设营业场所可实行“一照多址”。对已经在其他地方取得营业执照的企业，不得要求其在本地开展经营活动时必须设立子公司；非营利性养老机构可在其登记管理机关管辖区域内设立多个不具备法人资格的服务网点；取消养老机构设立许可，实行备案管理；对申请设立非营利性养老机构、养老服务类社会组织的，实行直接登记。</w:t>
      </w:r>
      <w:r>
        <w:rPr>
          <w:rFonts w:hint="default" w:ascii="Times New Roman" w:hAnsi="Times New Roman" w:eastAsia="楷体_GB2312" w:cs="Times New Roman"/>
          <w:color w:val="auto"/>
          <w:sz w:val="32"/>
          <w:szCs w:val="32"/>
        </w:rPr>
        <w:t>（责任单位：区民政局、区行政审批服务局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lang w:eastAsia="zh-CN"/>
        </w:rPr>
        <w:t>十</w:t>
      </w:r>
      <w:r>
        <w:rPr>
          <w:rFonts w:hint="default" w:ascii="Times New Roman" w:hAnsi="Times New Roman" w:eastAsia="楷体_GB2312" w:cs="Times New Roman"/>
          <w:color w:val="auto"/>
          <w:sz w:val="32"/>
          <w:szCs w:val="32"/>
          <w:lang w:val="en-US" w:eastAsia="zh-CN"/>
        </w:rPr>
        <w:t>六</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完善医养结合发展机制。</w:t>
      </w:r>
      <w:r>
        <w:rPr>
          <w:rFonts w:hint="default" w:ascii="Times New Roman" w:hAnsi="Times New Roman" w:eastAsia="仿宋_GB2312" w:cs="Times New Roman"/>
          <w:color w:val="auto"/>
          <w:sz w:val="32"/>
          <w:szCs w:val="32"/>
        </w:rPr>
        <w:t>简化审批手续，养老机构举办二级及以下医疗机构的（不含急救中心、急救站、临床检验中心、中外合资合作医疗结构、港澳台独资医疗机构），实行设置审批与执业登记“两证合一”；养老机构内设诊所、卫生所（室）、医务室、护理站实行备案管理。医疗机构利用现有资源提供养老服务的，其建设、消防、卫生防疫等有关条件，可依据医疗机构已具备的资质直接备案，已经具备法人资格的可以依据规定申请变更登记宗旨和业务范围，不需另行设立登记新的法人。支持乡镇卫生院和养老院</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两院合一</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，推动医养健康服务资源深度融合发展。</w:t>
      </w:r>
      <w:r>
        <w:rPr>
          <w:rFonts w:hint="default" w:ascii="Times New Roman" w:hAnsi="Times New Roman" w:eastAsia="楷体_GB2312" w:cs="Times New Roman"/>
          <w:color w:val="auto"/>
          <w:sz w:val="32"/>
          <w:szCs w:val="32"/>
        </w:rPr>
        <w:t>（责任单位：区卫生健康局、区民政局、</w:t>
      </w:r>
      <w:r>
        <w:rPr>
          <w:rFonts w:hint="default" w:ascii="Times New Roman" w:hAnsi="Times New Roman" w:eastAsia="楷体_GB2312" w:cs="Times New Roman"/>
          <w:color w:val="auto"/>
          <w:sz w:val="32"/>
          <w:szCs w:val="32"/>
          <w:lang w:eastAsia="zh-CN"/>
        </w:rPr>
        <w:t>区医疗保障局</w:t>
      </w: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highlight w:val="none"/>
          <w:lang w:val="en-US" w:eastAsia="zh-CN"/>
        </w:rPr>
        <w:t>区委编办</w:t>
      </w:r>
      <w:r>
        <w:rPr>
          <w:rFonts w:hint="default" w:ascii="Times New Roman" w:hAnsi="Times New Roman" w:eastAsia="楷体_GB2312" w:cs="Times New Roman"/>
          <w:color w:val="auto"/>
          <w:sz w:val="32"/>
          <w:szCs w:val="32"/>
          <w:highlight w:val="none"/>
        </w:rPr>
        <w:t>、</w:t>
      </w:r>
      <w:r>
        <w:rPr>
          <w:rFonts w:hint="default" w:ascii="Times New Roman" w:hAnsi="Times New Roman" w:eastAsia="楷体_GB2312" w:cs="Times New Roman"/>
          <w:color w:val="auto"/>
          <w:sz w:val="32"/>
          <w:szCs w:val="32"/>
        </w:rPr>
        <w:t>区行政审批服务局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lang w:eastAsia="zh-CN"/>
        </w:rPr>
        <w:t>十</w:t>
      </w:r>
      <w:r>
        <w:rPr>
          <w:rFonts w:hint="default" w:ascii="Times New Roman" w:hAnsi="Times New Roman" w:eastAsia="楷体_GB2312" w:cs="Times New Roman"/>
          <w:color w:val="auto"/>
          <w:sz w:val="32"/>
          <w:szCs w:val="32"/>
          <w:lang w:val="en-US" w:eastAsia="zh-CN"/>
        </w:rPr>
        <w:t>七</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完善市场活力激发机制。</w:t>
      </w:r>
      <w:r>
        <w:rPr>
          <w:rFonts w:hint="default" w:ascii="Times New Roman" w:hAnsi="Times New Roman" w:eastAsia="仿宋_GB2312" w:cs="Times New Roman"/>
          <w:color w:val="auto"/>
          <w:sz w:val="32"/>
          <w:szCs w:val="32"/>
        </w:rPr>
        <w:t>政府配建配置和登记管理的社区养老服务设施，根据实际无偿或低偿交付专业养老服务组织托管运营。进一步发挥社会力量和市场机制作用，积极推动养老事业和养老产业协同发展，建立满足老年人多样需求、多层次的养老服务体系，不断完善统一开放、竞争有序的养老服务市场体系。加快养老与房地产、医疗、保险、旅游等融合步伐，大力发展旅居养老、农家养老、以房养老、养老社区、康养小镇等新兴业态，促进老年人生活照料、康复护理、健康服务等养老服务业全面发展。</w:t>
      </w:r>
      <w:r>
        <w:rPr>
          <w:rFonts w:hint="default" w:ascii="Times New Roman" w:hAnsi="Times New Roman" w:eastAsia="楷体_GB2312" w:cs="Times New Roman"/>
          <w:color w:val="auto"/>
          <w:sz w:val="32"/>
          <w:szCs w:val="32"/>
        </w:rPr>
        <w:t>（责任单位：区民政局、区卫生健康局、区住房城乡建设局、威海市规划局文登分局、区文化和旅游局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各镇街</w:t>
      </w:r>
      <w:r>
        <w:rPr>
          <w:rFonts w:hint="default" w:ascii="Times New Roman" w:hAnsi="Times New Roman" w:eastAsia="楷体_GB2312" w:cs="Times New Roman"/>
          <w:color w:val="auto"/>
          <w:sz w:val="32"/>
          <w:szCs w:val="32"/>
          <w:lang w:eastAsia="zh-CN"/>
        </w:rPr>
        <w:t>、金山</w:t>
      </w:r>
      <w:r>
        <w:rPr>
          <w:rFonts w:hint="default" w:ascii="Times New Roman" w:hAnsi="Times New Roman" w:eastAsia="楷体_GB2312" w:cs="Times New Roman"/>
          <w:color w:val="auto"/>
          <w:sz w:val="32"/>
          <w:szCs w:val="32"/>
        </w:rPr>
        <w:t>）</w:t>
      </w:r>
      <w:bookmarkStart w:id="0" w:name="_GoBack"/>
      <w:bookmarkEnd w:id="0"/>
    </w:p>
    <w:sectPr>
      <w:footerReference r:id="rId5" w:type="first"/>
      <w:headerReference r:id="rId3" w:type="default"/>
      <w:footerReference r:id="rId4" w:type="default"/>
      <w:pgSz w:w="11906" w:h="16838"/>
      <w:pgMar w:top="2098" w:right="1531" w:bottom="2098" w:left="1531" w:header="851" w:footer="992" w:gutter="0"/>
      <w:cols w:space="720" w:num="1"/>
      <w:titlePg/>
      <w:docGrid w:linePitch="36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-123825</wp:posOffset>
              </wp:positionV>
              <wp:extent cx="812800" cy="230505"/>
              <wp:effectExtent l="0" t="0" r="0" b="0"/>
              <wp:wrapNone/>
              <wp:docPr id="2" name="文本框 1041"/>
              <wp:cNvGraphicFramePr/>
              <a:graphic xmlns:a="http://schemas.openxmlformats.org/drawingml/2006/main">
                <a:graphicData uri="http://schemas.microsoft.com/office/word/2010/wordprocessingShape">
                  <wps:wsp>
                    <wps:cNvSpPr txBox="1"/>
                    <wps:spPr>
                      <a:xfrm>
                        <a:off x="0" y="0"/>
                        <a:ext cx="812800" cy="230505"/>
                      </a:xfrm>
                      <a:prstGeom prst="rect">
                        <a:avLst/>
                      </a:prstGeom>
                      <a:noFill/>
                      <a:ln>
                        <a:noFill/>
                      </a:ln>
                    </wps:spPr>
                    <wps:txbx>
                      <w:txbxContent>
                        <w:p>
                          <w:pPr>
                            <w:snapToGrid w:val="0"/>
                            <w:rPr>
                              <w:rFonts w:hint="eastAsia" w:ascii="宋体" w:hAnsi="宋体" w:cs="宋体"/>
                              <w:sz w:val="28"/>
                              <w:szCs w:val="28"/>
                            </w:rPr>
                          </w:pPr>
                          <w:r>
                            <w:rPr>
                              <w:rFonts w:hint="eastAsia" w:ascii="宋体" w:hAnsi="宋体" w:cs="宋体"/>
                              <w:sz w:val="28"/>
                              <w:szCs w:val="28"/>
                            </w:rPr>
                            <w:t>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en-US" w:eastAsia="zh-CN"/>
                            </w:rPr>
                            <w:t>6</w:t>
                          </w:r>
                          <w:r>
                            <w:rPr>
                              <w:sz w:val="28"/>
                              <w:szCs w:val="28"/>
                            </w:rPr>
                            <w:fldChar w:fldCharType="end"/>
                          </w:r>
                          <w:r>
                            <w:rPr>
                              <w:rFonts w:hint="eastAsia" w:ascii="宋体" w:hAnsi="宋体" w:cs="宋体"/>
                              <w:sz w:val="28"/>
                              <w:szCs w:val="28"/>
                            </w:rPr>
                            <w:t>—　</w:t>
                          </w:r>
                        </w:p>
                      </w:txbxContent>
                    </wps:txbx>
                    <wps:bodyPr lIns="0" tIns="0" rIns="0" bIns="0" upright="1"/>
                  </wps:wsp>
                </a:graphicData>
              </a:graphic>
            </wp:anchor>
          </w:drawing>
        </mc:Choice>
        <mc:Fallback>
          <w:pict>
            <v:shape id="文本框 1041" o:spid="_x0000_s1026" o:spt="202" type="#_x0000_t202" style="position:absolute;left:0pt;margin-top:-9.75pt;height:18.15pt;width:64pt;mso-position-horizontal:outside;mso-position-horizontal-relative:margin;z-index:251659264;mso-width-relative:page;mso-height-relative:page;" filled="f" stroked="f" coordsize="21600,21600" o:gfxdata="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vpakPWAAAABwEAAA8AAAAAAAAAAQAgAAAAIgAAAGRycy9kb3ducmV2LnhtbFBLAQIU&#10;ABQAAAAIAIdO4kDKR1B/vAEAAHQDAAAOAAAAAAAAAAEAIAAAACUBAABkcnMvZTJvRG9jLnhtbFBL&#10;BQYAAAAABgAGAFkBAABTBQAAAAA=&#10;">
              <v:fill on="f" focussize="0,0"/>
              <v:stroke on="f"/>
              <v:imagedata o:title=""/>
              <o:lock v:ext="edit" aspectratio="f"/>
              <v:textbox inset="0mm,0mm,0mm,0mm">
                <w:txbxContent>
                  <w:p>
                    <w:pPr>
                      <w:snapToGrid w:val="0"/>
                      <w:rPr>
                        <w:rFonts w:hint="eastAsia" w:ascii="宋体" w:hAnsi="宋体" w:cs="宋体"/>
                        <w:sz w:val="28"/>
                        <w:szCs w:val="28"/>
                      </w:rPr>
                    </w:pPr>
                    <w:r>
                      <w:rPr>
                        <w:rFonts w:hint="eastAsia" w:ascii="宋体" w:hAnsi="宋体" w:cs="宋体"/>
                        <w:sz w:val="28"/>
                        <w:szCs w:val="28"/>
                      </w:rPr>
                      <w:t>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en-US" w:eastAsia="zh-CN"/>
                      </w:rPr>
                      <w:t>6</w:t>
                    </w:r>
                    <w:r>
                      <w:rPr>
                        <w:sz w:val="28"/>
                        <w:szCs w:val="28"/>
                      </w:rPr>
                      <w:fldChar w:fldCharType="end"/>
                    </w:r>
                    <w:r>
                      <w:rPr>
                        <w:rFonts w:hint="eastAsia" w:ascii="宋体" w:hAnsi="宋体" w:cs="宋体"/>
                        <w:sz w:val="28"/>
                        <w:szCs w:val="28"/>
                      </w:rPr>
                      <w:t>—　</w:t>
                    </w:r>
                  </w:p>
                </w:txbxContent>
              </v:textbox>
            </v:shape>
          </w:pict>
        </mc:Fallback>
      </mc:AlternateContent>
    </w: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-352425</wp:posOffset>
              </wp:positionV>
              <wp:extent cx="793115" cy="1828800"/>
              <wp:effectExtent l="0" t="0" r="0" b="0"/>
              <wp:wrapNone/>
              <wp:docPr id="3" name="文本框 1042"/>
              <wp:cNvGraphicFramePr/>
              <a:graphic xmlns:a="http://schemas.openxmlformats.org/drawingml/2006/main">
                <a:graphicData uri="http://schemas.microsoft.com/office/word/2010/wordprocessingShape">
                  <wps:wsp>
                    <wps:cNvSpPr txBox="1"/>
                    <wps:spPr>
                      <a:xfrm>
                        <a:off x="0" y="0"/>
                        <a:ext cx="793115" cy="1828800"/>
                      </a:xfrm>
                      <a:prstGeom prst="rect">
                        <a:avLst/>
                      </a:prstGeom>
                      <a:noFill/>
                      <a:ln>
                        <a:noFill/>
                      </a:ln>
                    </wps:spPr>
                    <wps:txbx>
                      <w:txbxContent>
                        <w:p>
                          <w:pPr>
                            <w:snapToGrid w:val="0"/>
                            <w:rPr>
                              <w:rFonts w:hint="eastAsia" w:ascii="宋体" w:hAnsi="宋体" w:cs="宋体"/>
                              <w:sz w:val="28"/>
                              <w:szCs w:val="28"/>
                            </w:rPr>
                          </w:pPr>
                          <w:r>
                            <w:rPr>
                              <w:rFonts w:hint="eastAsia" w:ascii="宋体" w:hAnsi="宋体" w:cs="宋体"/>
                              <w:sz w:val="28"/>
                              <w:szCs w:val="28"/>
                            </w:rPr>
                            <w:t>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en-US" w:eastAsia="zh-CN"/>
                            </w:rPr>
                            <w:t>1</w:t>
                          </w:r>
                          <w:r>
                            <w:rPr>
                              <w:rFonts w:hint="eastAsia" w:ascii="宋体" w:hAnsi="宋体" w:cs="宋体"/>
                              <w:sz w:val="28"/>
                              <w:szCs w:val="28"/>
                            </w:rPr>
                            <w:fldChar w:fldCharType="end"/>
                          </w:r>
                          <w:r>
                            <w:rPr>
                              <w:rFonts w:hint="eastAsia" w:ascii="宋体" w:hAnsi="宋体" w:cs="宋体"/>
                              <w:sz w:val="28"/>
                              <w:szCs w:val="28"/>
                            </w:rPr>
                            <w:t>—　</w:t>
                          </w:r>
                        </w:p>
                      </w:txbxContent>
                    </wps:txbx>
                    <wps:bodyPr lIns="0" tIns="0" rIns="0" bIns="0" upright="1">
                      <a:spAutoFit/>
                    </wps:bodyPr>
                  </wps:wsp>
                </a:graphicData>
              </a:graphic>
            </wp:anchor>
          </w:drawing>
        </mc:Choice>
        <mc:Fallback>
          <w:pict>
            <v:shape id="文本框 1042" o:spid="_x0000_s1026" o:spt="202" type="#_x0000_t202" style="position:absolute;left:0pt;margin-top:-27.75pt;height:144pt;width:62.45pt;mso-position-horizontal:outside;mso-position-horizontal-relative:margin;z-index:251660288;mso-width-relative:page;mso-height-relative:page;" filled="f" stroked="f" coordsize="21600,21600" o:gfxdata="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76bln1QAAAAgBAAAPAAAAAAAAAAEAIAAAACIAAABkcnMvZG93&#10;bnJldi54bWxQSwECFAAUAAAACACHTuJALZEHD8oBAACPAwAADgAAAAAAAAABACAAAAAkAQAAZHJz&#10;L2Uyb0RvYy54bWxQSwUGAAAAAAYABgBZAQAAYAUAAAAA&#10;">
              <v:fill on="f" focussize="0,0"/>
              <v:stroke on="f"/>
              <v:imagedata o:title=""/>
              <o:lock v:ext="edit" aspectratio="f"/>
              <v:textbox inset="0mm,0mm,0mm,0mm" style="mso-fit-shape-to-text:t;">
                <w:txbxContent>
                  <w:p>
                    <w:pPr>
                      <w:snapToGrid w:val="0"/>
                      <w:rPr>
                        <w:rFonts w:hint="eastAsia" w:ascii="宋体" w:hAnsi="宋体" w:cs="宋体"/>
                        <w:sz w:val="28"/>
                        <w:szCs w:val="28"/>
                      </w:rPr>
                    </w:pPr>
                    <w:r>
                      <w:rPr>
                        <w:rFonts w:hint="eastAsia" w:ascii="宋体" w:hAnsi="宋体" w:cs="宋体"/>
                        <w:sz w:val="28"/>
                        <w:szCs w:val="28"/>
                      </w:rPr>
                      <w:t>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en-US" w:eastAsia="zh-CN"/>
                      </w:rPr>
                      <w:t>1</w:t>
                    </w:r>
                    <w:r>
                      <w:rPr>
                        <w:rFonts w:hint="eastAsia" w:ascii="宋体" w:hAnsi="宋体" w:cs="宋体"/>
                        <w:sz w:val="28"/>
                        <w:szCs w:val="28"/>
                      </w:rPr>
                      <w:fldChar w:fldCharType="end"/>
                    </w:r>
                    <w:r>
                      <w:rPr>
                        <w:rFonts w:hint="eastAsia" w:ascii="宋体" w:hAnsi="宋体" w:cs="宋体"/>
                        <w:sz w:val="28"/>
                        <w:szCs w:val="28"/>
                      </w:rPr>
                      <w:t>—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D1C2B4"/>
    <w:multiLevelType w:val="singleLevel"/>
    <w:tmpl w:val="92D1C2B4"/>
    <w:lvl w:ilvl="0" w:tentative="0">
      <w:start w:val="1"/>
      <w:numFmt w:val="chineseCounting"/>
      <w:suff w:val="nothing"/>
      <w:lvlText w:val="%1、"/>
      <w:lvlJc w:val="left"/>
      <w:rPr>
        <w:rFonts w:hint="eastAsia"/>
      </w:rPr>
    </w:lvl>
  </w:abstractNum>
  <w:abstractNum w:abstractNumId="1">
    <w:nsid w:val="D75C6DB1"/>
    <w:multiLevelType w:val="singleLevel"/>
    <w:tmpl w:val="D75C6DB1"/>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210"/>
  <w:drawingGridVerticalSpacing w:val="184"/>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452"/>
    <w:rsid w:val="0001633E"/>
    <w:rsid w:val="0002473F"/>
    <w:rsid w:val="00025442"/>
    <w:rsid w:val="00034ED5"/>
    <w:rsid w:val="00047260"/>
    <w:rsid w:val="000565EA"/>
    <w:rsid w:val="000577FB"/>
    <w:rsid w:val="00076E12"/>
    <w:rsid w:val="000774E1"/>
    <w:rsid w:val="000779E3"/>
    <w:rsid w:val="0008034F"/>
    <w:rsid w:val="00080846"/>
    <w:rsid w:val="0008680A"/>
    <w:rsid w:val="000952BF"/>
    <w:rsid w:val="000B4763"/>
    <w:rsid w:val="000C2285"/>
    <w:rsid w:val="000C2B5C"/>
    <w:rsid w:val="000D5D53"/>
    <w:rsid w:val="000E45FE"/>
    <w:rsid w:val="000E4A71"/>
    <w:rsid w:val="000F3296"/>
    <w:rsid w:val="000F6256"/>
    <w:rsid w:val="000F67B2"/>
    <w:rsid w:val="00105813"/>
    <w:rsid w:val="001064E0"/>
    <w:rsid w:val="00106ABE"/>
    <w:rsid w:val="00112213"/>
    <w:rsid w:val="00113AE3"/>
    <w:rsid w:val="001261FC"/>
    <w:rsid w:val="00141DF9"/>
    <w:rsid w:val="001822F2"/>
    <w:rsid w:val="0019535B"/>
    <w:rsid w:val="001970C0"/>
    <w:rsid w:val="001A2FF6"/>
    <w:rsid w:val="001A6773"/>
    <w:rsid w:val="001A6C1A"/>
    <w:rsid w:val="001B178E"/>
    <w:rsid w:val="001B64CD"/>
    <w:rsid w:val="001B69F8"/>
    <w:rsid w:val="001C0E3F"/>
    <w:rsid w:val="001C750E"/>
    <w:rsid w:val="001F26B9"/>
    <w:rsid w:val="001F483D"/>
    <w:rsid w:val="001F48DB"/>
    <w:rsid w:val="001F566D"/>
    <w:rsid w:val="001F58AA"/>
    <w:rsid w:val="00211575"/>
    <w:rsid w:val="00217618"/>
    <w:rsid w:val="00222191"/>
    <w:rsid w:val="00236B44"/>
    <w:rsid w:val="002523AA"/>
    <w:rsid w:val="00255A5A"/>
    <w:rsid w:val="002565D4"/>
    <w:rsid w:val="00264178"/>
    <w:rsid w:val="002655E9"/>
    <w:rsid w:val="002674E7"/>
    <w:rsid w:val="00270FB7"/>
    <w:rsid w:val="002739F3"/>
    <w:rsid w:val="002807E9"/>
    <w:rsid w:val="00291C71"/>
    <w:rsid w:val="00295520"/>
    <w:rsid w:val="00295F41"/>
    <w:rsid w:val="002A5A30"/>
    <w:rsid w:val="002B0447"/>
    <w:rsid w:val="002C3531"/>
    <w:rsid w:val="002E008B"/>
    <w:rsid w:val="002E5673"/>
    <w:rsid w:val="002F4E66"/>
    <w:rsid w:val="002F52AC"/>
    <w:rsid w:val="002F53C6"/>
    <w:rsid w:val="002F7C47"/>
    <w:rsid w:val="003243AF"/>
    <w:rsid w:val="00325991"/>
    <w:rsid w:val="003307A2"/>
    <w:rsid w:val="003321D6"/>
    <w:rsid w:val="00337635"/>
    <w:rsid w:val="00340AA1"/>
    <w:rsid w:val="0034217F"/>
    <w:rsid w:val="003447DF"/>
    <w:rsid w:val="00347112"/>
    <w:rsid w:val="00352742"/>
    <w:rsid w:val="0035660C"/>
    <w:rsid w:val="00357925"/>
    <w:rsid w:val="0036430A"/>
    <w:rsid w:val="00384C41"/>
    <w:rsid w:val="0038523F"/>
    <w:rsid w:val="0039141C"/>
    <w:rsid w:val="003A6CFF"/>
    <w:rsid w:val="003B560A"/>
    <w:rsid w:val="004046E0"/>
    <w:rsid w:val="00410B41"/>
    <w:rsid w:val="00415904"/>
    <w:rsid w:val="00417F55"/>
    <w:rsid w:val="004463A5"/>
    <w:rsid w:val="00455191"/>
    <w:rsid w:val="00484B0E"/>
    <w:rsid w:val="00484C2E"/>
    <w:rsid w:val="00486DFA"/>
    <w:rsid w:val="00490FE7"/>
    <w:rsid w:val="00497608"/>
    <w:rsid w:val="004B08B3"/>
    <w:rsid w:val="004B5714"/>
    <w:rsid w:val="004B5A0A"/>
    <w:rsid w:val="004C2181"/>
    <w:rsid w:val="004C3D33"/>
    <w:rsid w:val="004D3763"/>
    <w:rsid w:val="004E0D0E"/>
    <w:rsid w:val="004E16CB"/>
    <w:rsid w:val="004E2743"/>
    <w:rsid w:val="004E2875"/>
    <w:rsid w:val="004F41BF"/>
    <w:rsid w:val="00501592"/>
    <w:rsid w:val="00503BCA"/>
    <w:rsid w:val="0050418D"/>
    <w:rsid w:val="00510F71"/>
    <w:rsid w:val="00511A93"/>
    <w:rsid w:val="005151E2"/>
    <w:rsid w:val="005171F1"/>
    <w:rsid w:val="00523CC8"/>
    <w:rsid w:val="005313EE"/>
    <w:rsid w:val="0053369C"/>
    <w:rsid w:val="00541105"/>
    <w:rsid w:val="00555EA9"/>
    <w:rsid w:val="005566DC"/>
    <w:rsid w:val="00557799"/>
    <w:rsid w:val="005815D1"/>
    <w:rsid w:val="00596393"/>
    <w:rsid w:val="005B0D04"/>
    <w:rsid w:val="005B3A92"/>
    <w:rsid w:val="005B7C3B"/>
    <w:rsid w:val="005D0293"/>
    <w:rsid w:val="005D3224"/>
    <w:rsid w:val="005D4467"/>
    <w:rsid w:val="005F7227"/>
    <w:rsid w:val="00607B05"/>
    <w:rsid w:val="00611F8A"/>
    <w:rsid w:val="0061508A"/>
    <w:rsid w:val="0062089F"/>
    <w:rsid w:val="00627683"/>
    <w:rsid w:val="00630381"/>
    <w:rsid w:val="00630AFF"/>
    <w:rsid w:val="00633822"/>
    <w:rsid w:val="00633B4A"/>
    <w:rsid w:val="006430DB"/>
    <w:rsid w:val="00646E80"/>
    <w:rsid w:val="0066094C"/>
    <w:rsid w:val="00662079"/>
    <w:rsid w:val="00665FF7"/>
    <w:rsid w:val="006727E5"/>
    <w:rsid w:val="00682A07"/>
    <w:rsid w:val="00697B32"/>
    <w:rsid w:val="006C72CE"/>
    <w:rsid w:val="006D027B"/>
    <w:rsid w:val="006D22A5"/>
    <w:rsid w:val="006E2F70"/>
    <w:rsid w:val="006E4A40"/>
    <w:rsid w:val="006E59B2"/>
    <w:rsid w:val="006E7A55"/>
    <w:rsid w:val="00703C26"/>
    <w:rsid w:val="00707CBF"/>
    <w:rsid w:val="00712D31"/>
    <w:rsid w:val="00721894"/>
    <w:rsid w:val="007302A2"/>
    <w:rsid w:val="007306E5"/>
    <w:rsid w:val="007335F7"/>
    <w:rsid w:val="007350E6"/>
    <w:rsid w:val="00736182"/>
    <w:rsid w:val="00757946"/>
    <w:rsid w:val="00765978"/>
    <w:rsid w:val="00766CAE"/>
    <w:rsid w:val="007742B3"/>
    <w:rsid w:val="0077572D"/>
    <w:rsid w:val="0077692C"/>
    <w:rsid w:val="007937D2"/>
    <w:rsid w:val="00794C44"/>
    <w:rsid w:val="007953A1"/>
    <w:rsid w:val="007962EF"/>
    <w:rsid w:val="007A7209"/>
    <w:rsid w:val="007B7CEB"/>
    <w:rsid w:val="007C327D"/>
    <w:rsid w:val="007C5B13"/>
    <w:rsid w:val="007C69A8"/>
    <w:rsid w:val="007C6B55"/>
    <w:rsid w:val="007D089B"/>
    <w:rsid w:val="007E2E36"/>
    <w:rsid w:val="007E59E9"/>
    <w:rsid w:val="007F5404"/>
    <w:rsid w:val="007F782F"/>
    <w:rsid w:val="00801EB1"/>
    <w:rsid w:val="0082324A"/>
    <w:rsid w:val="00823575"/>
    <w:rsid w:val="008235C8"/>
    <w:rsid w:val="00826705"/>
    <w:rsid w:val="00827704"/>
    <w:rsid w:val="0084054E"/>
    <w:rsid w:val="00845EB0"/>
    <w:rsid w:val="0087668B"/>
    <w:rsid w:val="00880858"/>
    <w:rsid w:val="0088189C"/>
    <w:rsid w:val="008843EE"/>
    <w:rsid w:val="0089048C"/>
    <w:rsid w:val="008A1598"/>
    <w:rsid w:val="008C6377"/>
    <w:rsid w:val="008D1179"/>
    <w:rsid w:val="008D1E40"/>
    <w:rsid w:val="008F0175"/>
    <w:rsid w:val="008F4AAA"/>
    <w:rsid w:val="008F7245"/>
    <w:rsid w:val="00900D89"/>
    <w:rsid w:val="00900F66"/>
    <w:rsid w:val="00917D60"/>
    <w:rsid w:val="00921BEA"/>
    <w:rsid w:val="0093059F"/>
    <w:rsid w:val="00932EFD"/>
    <w:rsid w:val="00934F35"/>
    <w:rsid w:val="0094178C"/>
    <w:rsid w:val="00945EDA"/>
    <w:rsid w:val="00961B0B"/>
    <w:rsid w:val="00972FDA"/>
    <w:rsid w:val="009767B8"/>
    <w:rsid w:val="00977F2D"/>
    <w:rsid w:val="00987CCD"/>
    <w:rsid w:val="009A4388"/>
    <w:rsid w:val="009A7735"/>
    <w:rsid w:val="009B29DE"/>
    <w:rsid w:val="009B3973"/>
    <w:rsid w:val="009C1B3E"/>
    <w:rsid w:val="009C297C"/>
    <w:rsid w:val="009C4429"/>
    <w:rsid w:val="009C7F03"/>
    <w:rsid w:val="009D7742"/>
    <w:rsid w:val="009E13B5"/>
    <w:rsid w:val="00A00474"/>
    <w:rsid w:val="00A03BFC"/>
    <w:rsid w:val="00A171E7"/>
    <w:rsid w:val="00A23795"/>
    <w:rsid w:val="00A2755C"/>
    <w:rsid w:val="00A3009C"/>
    <w:rsid w:val="00A31653"/>
    <w:rsid w:val="00A320C0"/>
    <w:rsid w:val="00A44193"/>
    <w:rsid w:val="00A51009"/>
    <w:rsid w:val="00A55688"/>
    <w:rsid w:val="00A6256B"/>
    <w:rsid w:val="00A711DB"/>
    <w:rsid w:val="00A72AE1"/>
    <w:rsid w:val="00A73655"/>
    <w:rsid w:val="00A838CC"/>
    <w:rsid w:val="00A86438"/>
    <w:rsid w:val="00A873C8"/>
    <w:rsid w:val="00A91D28"/>
    <w:rsid w:val="00A92C46"/>
    <w:rsid w:val="00AA1471"/>
    <w:rsid w:val="00AB0E58"/>
    <w:rsid w:val="00AC1B33"/>
    <w:rsid w:val="00AD5449"/>
    <w:rsid w:val="00AD625D"/>
    <w:rsid w:val="00AE3C49"/>
    <w:rsid w:val="00AE4593"/>
    <w:rsid w:val="00B00120"/>
    <w:rsid w:val="00B00767"/>
    <w:rsid w:val="00B23C9F"/>
    <w:rsid w:val="00B23DE9"/>
    <w:rsid w:val="00B265FC"/>
    <w:rsid w:val="00B33753"/>
    <w:rsid w:val="00B43620"/>
    <w:rsid w:val="00B462C5"/>
    <w:rsid w:val="00B46FEC"/>
    <w:rsid w:val="00B504A5"/>
    <w:rsid w:val="00B51FAA"/>
    <w:rsid w:val="00B52D8A"/>
    <w:rsid w:val="00B53E1E"/>
    <w:rsid w:val="00B53FCD"/>
    <w:rsid w:val="00B54B3D"/>
    <w:rsid w:val="00B80D01"/>
    <w:rsid w:val="00B834FD"/>
    <w:rsid w:val="00B91DC3"/>
    <w:rsid w:val="00BB1FC2"/>
    <w:rsid w:val="00BB35E6"/>
    <w:rsid w:val="00BB59E4"/>
    <w:rsid w:val="00BC113E"/>
    <w:rsid w:val="00BC79D8"/>
    <w:rsid w:val="00BD425B"/>
    <w:rsid w:val="00BD57F5"/>
    <w:rsid w:val="00BE739E"/>
    <w:rsid w:val="00BF00E0"/>
    <w:rsid w:val="00BF06A7"/>
    <w:rsid w:val="00C00DDA"/>
    <w:rsid w:val="00C1052B"/>
    <w:rsid w:val="00C10EFA"/>
    <w:rsid w:val="00C12A01"/>
    <w:rsid w:val="00C21B03"/>
    <w:rsid w:val="00C23788"/>
    <w:rsid w:val="00C239E6"/>
    <w:rsid w:val="00C36FA9"/>
    <w:rsid w:val="00C44709"/>
    <w:rsid w:val="00C76550"/>
    <w:rsid w:val="00C7680F"/>
    <w:rsid w:val="00C8289B"/>
    <w:rsid w:val="00C82DDA"/>
    <w:rsid w:val="00C85216"/>
    <w:rsid w:val="00C8554E"/>
    <w:rsid w:val="00C9093B"/>
    <w:rsid w:val="00C92643"/>
    <w:rsid w:val="00C96AA2"/>
    <w:rsid w:val="00CA7AAE"/>
    <w:rsid w:val="00CB5AC5"/>
    <w:rsid w:val="00CC5E2E"/>
    <w:rsid w:val="00CD50FC"/>
    <w:rsid w:val="00CD65A7"/>
    <w:rsid w:val="00CE5EFC"/>
    <w:rsid w:val="00CE7DC0"/>
    <w:rsid w:val="00CF6B5C"/>
    <w:rsid w:val="00D02F3F"/>
    <w:rsid w:val="00D03376"/>
    <w:rsid w:val="00D051EF"/>
    <w:rsid w:val="00D37182"/>
    <w:rsid w:val="00D40EF6"/>
    <w:rsid w:val="00D44923"/>
    <w:rsid w:val="00D55A2C"/>
    <w:rsid w:val="00D55AAC"/>
    <w:rsid w:val="00D80410"/>
    <w:rsid w:val="00D82453"/>
    <w:rsid w:val="00D93B02"/>
    <w:rsid w:val="00D93E5F"/>
    <w:rsid w:val="00D94116"/>
    <w:rsid w:val="00DA0F0D"/>
    <w:rsid w:val="00DB683E"/>
    <w:rsid w:val="00DC0182"/>
    <w:rsid w:val="00DC1B82"/>
    <w:rsid w:val="00DC3CAF"/>
    <w:rsid w:val="00E0044B"/>
    <w:rsid w:val="00E01D13"/>
    <w:rsid w:val="00E055FE"/>
    <w:rsid w:val="00E129CA"/>
    <w:rsid w:val="00E20875"/>
    <w:rsid w:val="00E26B1D"/>
    <w:rsid w:val="00E316AB"/>
    <w:rsid w:val="00E33350"/>
    <w:rsid w:val="00E412D6"/>
    <w:rsid w:val="00E43E02"/>
    <w:rsid w:val="00E44250"/>
    <w:rsid w:val="00E51366"/>
    <w:rsid w:val="00E54A56"/>
    <w:rsid w:val="00E63A97"/>
    <w:rsid w:val="00E66DCE"/>
    <w:rsid w:val="00E72AF0"/>
    <w:rsid w:val="00E72C9A"/>
    <w:rsid w:val="00E82491"/>
    <w:rsid w:val="00E82F0B"/>
    <w:rsid w:val="00E93A50"/>
    <w:rsid w:val="00EA719D"/>
    <w:rsid w:val="00EA79A1"/>
    <w:rsid w:val="00EB5B2A"/>
    <w:rsid w:val="00EB62CF"/>
    <w:rsid w:val="00EC39C8"/>
    <w:rsid w:val="00EC3A3C"/>
    <w:rsid w:val="00EE7FA1"/>
    <w:rsid w:val="00EF33AD"/>
    <w:rsid w:val="00F20E08"/>
    <w:rsid w:val="00F22C38"/>
    <w:rsid w:val="00F30A79"/>
    <w:rsid w:val="00F36563"/>
    <w:rsid w:val="00F46D90"/>
    <w:rsid w:val="00F5658A"/>
    <w:rsid w:val="00F5769A"/>
    <w:rsid w:val="00F60B12"/>
    <w:rsid w:val="00F611ED"/>
    <w:rsid w:val="00F63176"/>
    <w:rsid w:val="00F7237C"/>
    <w:rsid w:val="00F763D6"/>
    <w:rsid w:val="00F86B0E"/>
    <w:rsid w:val="00F8702A"/>
    <w:rsid w:val="00FA2E97"/>
    <w:rsid w:val="00FA5A41"/>
    <w:rsid w:val="00FC3182"/>
    <w:rsid w:val="00FC7264"/>
    <w:rsid w:val="00FF2805"/>
    <w:rsid w:val="00FF3590"/>
    <w:rsid w:val="01495973"/>
    <w:rsid w:val="019217BF"/>
    <w:rsid w:val="01A80C26"/>
    <w:rsid w:val="01B4515D"/>
    <w:rsid w:val="021933EA"/>
    <w:rsid w:val="022675FA"/>
    <w:rsid w:val="022A6F23"/>
    <w:rsid w:val="0245726C"/>
    <w:rsid w:val="02593055"/>
    <w:rsid w:val="0271160B"/>
    <w:rsid w:val="0272198E"/>
    <w:rsid w:val="02B949AF"/>
    <w:rsid w:val="02BC3220"/>
    <w:rsid w:val="02CD6702"/>
    <w:rsid w:val="02E96BE5"/>
    <w:rsid w:val="03026C47"/>
    <w:rsid w:val="03056135"/>
    <w:rsid w:val="03344EC9"/>
    <w:rsid w:val="034F51A0"/>
    <w:rsid w:val="035709F5"/>
    <w:rsid w:val="036409C6"/>
    <w:rsid w:val="039F67B0"/>
    <w:rsid w:val="03C22FE6"/>
    <w:rsid w:val="03DE2736"/>
    <w:rsid w:val="03E96359"/>
    <w:rsid w:val="048C6109"/>
    <w:rsid w:val="04962DB2"/>
    <w:rsid w:val="049E12C7"/>
    <w:rsid w:val="04B95918"/>
    <w:rsid w:val="04BB73A5"/>
    <w:rsid w:val="04C065E1"/>
    <w:rsid w:val="04DA0149"/>
    <w:rsid w:val="04F247CD"/>
    <w:rsid w:val="05124474"/>
    <w:rsid w:val="05191197"/>
    <w:rsid w:val="05225A89"/>
    <w:rsid w:val="05252BF9"/>
    <w:rsid w:val="0567250D"/>
    <w:rsid w:val="05674584"/>
    <w:rsid w:val="05B7414F"/>
    <w:rsid w:val="05C60AB2"/>
    <w:rsid w:val="05F42166"/>
    <w:rsid w:val="060001A5"/>
    <w:rsid w:val="061F7FA6"/>
    <w:rsid w:val="062A0208"/>
    <w:rsid w:val="06533A42"/>
    <w:rsid w:val="065A14D0"/>
    <w:rsid w:val="0682273B"/>
    <w:rsid w:val="069807B7"/>
    <w:rsid w:val="06A11B72"/>
    <w:rsid w:val="06BA48E9"/>
    <w:rsid w:val="06E80B75"/>
    <w:rsid w:val="06FB0F3D"/>
    <w:rsid w:val="0714669F"/>
    <w:rsid w:val="07350FA1"/>
    <w:rsid w:val="07427F3C"/>
    <w:rsid w:val="07531933"/>
    <w:rsid w:val="0768230C"/>
    <w:rsid w:val="07A372B6"/>
    <w:rsid w:val="07A75C38"/>
    <w:rsid w:val="07D611AE"/>
    <w:rsid w:val="07E01BEF"/>
    <w:rsid w:val="081A39AB"/>
    <w:rsid w:val="081D39C3"/>
    <w:rsid w:val="08240087"/>
    <w:rsid w:val="085E628B"/>
    <w:rsid w:val="089C28FA"/>
    <w:rsid w:val="08A473ED"/>
    <w:rsid w:val="08A9648A"/>
    <w:rsid w:val="08F25681"/>
    <w:rsid w:val="08FD016B"/>
    <w:rsid w:val="092F6659"/>
    <w:rsid w:val="09343592"/>
    <w:rsid w:val="097748FF"/>
    <w:rsid w:val="09943F87"/>
    <w:rsid w:val="099730EA"/>
    <w:rsid w:val="09AA7952"/>
    <w:rsid w:val="09D117F1"/>
    <w:rsid w:val="09E509E9"/>
    <w:rsid w:val="09E76AA3"/>
    <w:rsid w:val="0A040513"/>
    <w:rsid w:val="0A19583D"/>
    <w:rsid w:val="0A2E3E66"/>
    <w:rsid w:val="0A9127DD"/>
    <w:rsid w:val="0AA04133"/>
    <w:rsid w:val="0AE311D8"/>
    <w:rsid w:val="0AED7EE1"/>
    <w:rsid w:val="0B0A2BE4"/>
    <w:rsid w:val="0B163F42"/>
    <w:rsid w:val="0B316F11"/>
    <w:rsid w:val="0B3E0D16"/>
    <w:rsid w:val="0B57475B"/>
    <w:rsid w:val="0B666930"/>
    <w:rsid w:val="0B7557A2"/>
    <w:rsid w:val="0B79138B"/>
    <w:rsid w:val="0B881A84"/>
    <w:rsid w:val="0B9319CE"/>
    <w:rsid w:val="0BA705DB"/>
    <w:rsid w:val="0BB25C07"/>
    <w:rsid w:val="0C3514E3"/>
    <w:rsid w:val="0C6225CF"/>
    <w:rsid w:val="0C677EF6"/>
    <w:rsid w:val="0C795DFF"/>
    <w:rsid w:val="0C7F4268"/>
    <w:rsid w:val="0CAE32FB"/>
    <w:rsid w:val="0CC425C4"/>
    <w:rsid w:val="0CD476DE"/>
    <w:rsid w:val="0CE70CB1"/>
    <w:rsid w:val="0CF52948"/>
    <w:rsid w:val="0D0825A4"/>
    <w:rsid w:val="0D2B4AE8"/>
    <w:rsid w:val="0D2E0232"/>
    <w:rsid w:val="0D3A261F"/>
    <w:rsid w:val="0D422131"/>
    <w:rsid w:val="0D4B749C"/>
    <w:rsid w:val="0D564192"/>
    <w:rsid w:val="0D637176"/>
    <w:rsid w:val="0D685702"/>
    <w:rsid w:val="0D77398A"/>
    <w:rsid w:val="0D8630C0"/>
    <w:rsid w:val="0D891460"/>
    <w:rsid w:val="0D8B09BC"/>
    <w:rsid w:val="0D9F2255"/>
    <w:rsid w:val="0DDC5CAA"/>
    <w:rsid w:val="0E13270B"/>
    <w:rsid w:val="0E2818D8"/>
    <w:rsid w:val="0E325097"/>
    <w:rsid w:val="0E4E562B"/>
    <w:rsid w:val="0E5A2B09"/>
    <w:rsid w:val="0E666774"/>
    <w:rsid w:val="0E78369C"/>
    <w:rsid w:val="0E7C22FD"/>
    <w:rsid w:val="0EA03B6B"/>
    <w:rsid w:val="0EBA1DAC"/>
    <w:rsid w:val="0EBB3DC3"/>
    <w:rsid w:val="0EE63ED3"/>
    <w:rsid w:val="0F155789"/>
    <w:rsid w:val="0F2F3ECC"/>
    <w:rsid w:val="0F2F5477"/>
    <w:rsid w:val="0F532CC1"/>
    <w:rsid w:val="0F593C1F"/>
    <w:rsid w:val="0F7A57B1"/>
    <w:rsid w:val="0FA74126"/>
    <w:rsid w:val="0FB07258"/>
    <w:rsid w:val="0FB97CEE"/>
    <w:rsid w:val="0FBB4BF5"/>
    <w:rsid w:val="0FDE5019"/>
    <w:rsid w:val="0FE969C4"/>
    <w:rsid w:val="0FF15332"/>
    <w:rsid w:val="0FF812B6"/>
    <w:rsid w:val="0FF84F2B"/>
    <w:rsid w:val="0FFC74F2"/>
    <w:rsid w:val="10757E38"/>
    <w:rsid w:val="10D306BB"/>
    <w:rsid w:val="10E10F7E"/>
    <w:rsid w:val="10FA7AA8"/>
    <w:rsid w:val="115864E9"/>
    <w:rsid w:val="11733776"/>
    <w:rsid w:val="118A184A"/>
    <w:rsid w:val="118C2B6A"/>
    <w:rsid w:val="11924AF1"/>
    <w:rsid w:val="11B80AD8"/>
    <w:rsid w:val="11D37170"/>
    <w:rsid w:val="11DF4E39"/>
    <w:rsid w:val="11ED6B57"/>
    <w:rsid w:val="11F32DD7"/>
    <w:rsid w:val="121220AA"/>
    <w:rsid w:val="12283FFA"/>
    <w:rsid w:val="12940762"/>
    <w:rsid w:val="12BE5A5C"/>
    <w:rsid w:val="12D42287"/>
    <w:rsid w:val="12DA1478"/>
    <w:rsid w:val="131545C2"/>
    <w:rsid w:val="13156625"/>
    <w:rsid w:val="131C657A"/>
    <w:rsid w:val="13696B87"/>
    <w:rsid w:val="13722ADC"/>
    <w:rsid w:val="13A20905"/>
    <w:rsid w:val="13BE1207"/>
    <w:rsid w:val="13E432EC"/>
    <w:rsid w:val="13FD6805"/>
    <w:rsid w:val="141A39BB"/>
    <w:rsid w:val="143D1B4A"/>
    <w:rsid w:val="14524311"/>
    <w:rsid w:val="145938FD"/>
    <w:rsid w:val="147226CE"/>
    <w:rsid w:val="147B6A8B"/>
    <w:rsid w:val="148B34F4"/>
    <w:rsid w:val="14EF2235"/>
    <w:rsid w:val="15056A44"/>
    <w:rsid w:val="151A7601"/>
    <w:rsid w:val="1578483A"/>
    <w:rsid w:val="158565E5"/>
    <w:rsid w:val="158C0C74"/>
    <w:rsid w:val="15901898"/>
    <w:rsid w:val="15A36F53"/>
    <w:rsid w:val="15A86AA0"/>
    <w:rsid w:val="15C26E86"/>
    <w:rsid w:val="15CC677D"/>
    <w:rsid w:val="15E14103"/>
    <w:rsid w:val="15F147BD"/>
    <w:rsid w:val="15F77F3A"/>
    <w:rsid w:val="16015112"/>
    <w:rsid w:val="16235279"/>
    <w:rsid w:val="163C6525"/>
    <w:rsid w:val="16534EF2"/>
    <w:rsid w:val="165B0535"/>
    <w:rsid w:val="16605626"/>
    <w:rsid w:val="167A417E"/>
    <w:rsid w:val="168E1699"/>
    <w:rsid w:val="16C4275C"/>
    <w:rsid w:val="16CF0864"/>
    <w:rsid w:val="16D00FB4"/>
    <w:rsid w:val="16DD0FE4"/>
    <w:rsid w:val="16F0285F"/>
    <w:rsid w:val="16FB17AA"/>
    <w:rsid w:val="17036E59"/>
    <w:rsid w:val="170A0EBA"/>
    <w:rsid w:val="17374E8B"/>
    <w:rsid w:val="173A3575"/>
    <w:rsid w:val="173E6469"/>
    <w:rsid w:val="174407EB"/>
    <w:rsid w:val="175E3462"/>
    <w:rsid w:val="17910A9F"/>
    <w:rsid w:val="17B67729"/>
    <w:rsid w:val="17E2693A"/>
    <w:rsid w:val="17E70F11"/>
    <w:rsid w:val="18243EF1"/>
    <w:rsid w:val="18264CA3"/>
    <w:rsid w:val="185579A8"/>
    <w:rsid w:val="18614085"/>
    <w:rsid w:val="18EA07B4"/>
    <w:rsid w:val="18F900CF"/>
    <w:rsid w:val="191D40B2"/>
    <w:rsid w:val="192E3B01"/>
    <w:rsid w:val="19317307"/>
    <w:rsid w:val="19883E06"/>
    <w:rsid w:val="19C4559E"/>
    <w:rsid w:val="19DC575F"/>
    <w:rsid w:val="19FF047B"/>
    <w:rsid w:val="1A1B7DDC"/>
    <w:rsid w:val="1A2916BC"/>
    <w:rsid w:val="1A360FD4"/>
    <w:rsid w:val="1A755F5A"/>
    <w:rsid w:val="1AC264B4"/>
    <w:rsid w:val="1B0B38D7"/>
    <w:rsid w:val="1B245E94"/>
    <w:rsid w:val="1B2A7955"/>
    <w:rsid w:val="1B320B7D"/>
    <w:rsid w:val="1B694C40"/>
    <w:rsid w:val="1B6A5800"/>
    <w:rsid w:val="1B7706B1"/>
    <w:rsid w:val="1B840BB2"/>
    <w:rsid w:val="1B872A58"/>
    <w:rsid w:val="1BAF4A78"/>
    <w:rsid w:val="1BB70715"/>
    <w:rsid w:val="1BC03B94"/>
    <w:rsid w:val="1BE22983"/>
    <w:rsid w:val="1C0407D0"/>
    <w:rsid w:val="1C0C4BB1"/>
    <w:rsid w:val="1C3E7753"/>
    <w:rsid w:val="1C4311C8"/>
    <w:rsid w:val="1C5B021B"/>
    <w:rsid w:val="1C607CEA"/>
    <w:rsid w:val="1C6A49D1"/>
    <w:rsid w:val="1C9412D9"/>
    <w:rsid w:val="1C967EF4"/>
    <w:rsid w:val="1CE32AD0"/>
    <w:rsid w:val="1CF16851"/>
    <w:rsid w:val="1D0A1980"/>
    <w:rsid w:val="1D3D554F"/>
    <w:rsid w:val="1D672833"/>
    <w:rsid w:val="1D87192D"/>
    <w:rsid w:val="1D9575EC"/>
    <w:rsid w:val="1DB97781"/>
    <w:rsid w:val="1DD44028"/>
    <w:rsid w:val="1DE65208"/>
    <w:rsid w:val="1DE77EF3"/>
    <w:rsid w:val="1E1D2A42"/>
    <w:rsid w:val="1E3D1A73"/>
    <w:rsid w:val="1E3F3D01"/>
    <w:rsid w:val="1E7509C4"/>
    <w:rsid w:val="1E881DEC"/>
    <w:rsid w:val="1EB56089"/>
    <w:rsid w:val="1EBD4B7B"/>
    <w:rsid w:val="1EC212A5"/>
    <w:rsid w:val="1EE21F8C"/>
    <w:rsid w:val="1EF62A8D"/>
    <w:rsid w:val="1F244E8C"/>
    <w:rsid w:val="1F3148C7"/>
    <w:rsid w:val="1F443B13"/>
    <w:rsid w:val="1F4616B3"/>
    <w:rsid w:val="1F5D0D12"/>
    <w:rsid w:val="1F60699F"/>
    <w:rsid w:val="1FC96DFD"/>
    <w:rsid w:val="1FD6567C"/>
    <w:rsid w:val="1FE81E17"/>
    <w:rsid w:val="1FED4550"/>
    <w:rsid w:val="1FF6682A"/>
    <w:rsid w:val="1FFC7527"/>
    <w:rsid w:val="201D1287"/>
    <w:rsid w:val="202D2643"/>
    <w:rsid w:val="20976B6C"/>
    <w:rsid w:val="20A427DA"/>
    <w:rsid w:val="20E87A32"/>
    <w:rsid w:val="20EE055B"/>
    <w:rsid w:val="20FF6D7A"/>
    <w:rsid w:val="210D591F"/>
    <w:rsid w:val="21116B91"/>
    <w:rsid w:val="211B7A11"/>
    <w:rsid w:val="21306A03"/>
    <w:rsid w:val="215112A2"/>
    <w:rsid w:val="21572A1E"/>
    <w:rsid w:val="216D248F"/>
    <w:rsid w:val="21881161"/>
    <w:rsid w:val="21924CCA"/>
    <w:rsid w:val="21966CC1"/>
    <w:rsid w:val="219E2290"/>
    <w:rsid w:val="21CA105A"/>
    <w:rsid w:val="21CE1889"/>
    <w:rsid w:val="21DF3FC7"/>
    <w:rsid w:val="21F3384F"/>
    <w:rsid w:val="22433E2A"/>
    <w:rsid w:val="22666C60"/>
    <w:rsid w:val="22842BDB"/>
    <w:rsid w:val="22871ABE"/>
    <w:rsid w:val="228C6368"/>
    <w:rsid w:val="229713E5"/>
    <w:rsid w:val="22B874E9"/>
    <w:rsid w:val="22F52743"/>
    <w:rsid w:val="230907C1"/>
    <w:rsid w:val="233C3819"/>
    <w:rsid w:val="2355006D"/>
    <w:rsid w:val="23767454"/>
    <w:rsid w:val="238E496D"/>
    <w:rsid w:val="23973197"/>
    <w:rsid w:val="23F3541A"/>
    <w:rsid w:val="23F70E23"/>
    <w:rsid w:val="23FB42DA"/>
    <w:rsid w:val="2410439D"/>
    <w:rsid w:val="24234F55"/>
    <w:rsid w:val="24265D1D"/>
    <w:rsid w:val="245A1C7C"/>
    <w:rsid w:val="248467D1"/>
    <w:rsid w:val="24AD1823"/>
    <w:rsid w:val="24D01EC5"/>
    <w:rsid w:val="24D76623"/>
    <w:rsid w:val="24DB24BE"/>
    <w:rsid w:val="25026A5E"/>
    <w:rsid w:val="253429FF"/>
    <w:rsid w:val="255F0418"/>
    <w:rsid w:val="2592058D"/>
    <w:rsid w:val="259B61E7"/>
    <w:rsid w:val="26020139"/>
    <w:rsid w:val="26280775"/>
    <w:rsid w:val="264721DE"/>
    <w:rsid w:val="264B5B46"/>
    <w:rsid w:val="26AD7F98"/>
    <w:rsid w:val="26DA6CD5"/>
    <w:rsid w:val="26E31C7D"/>
    <w:rsid w:val="27076036"/>
    <w:rsid w:val="27377711"/>
    <w:rsid w:val="27794105"/>
    <w:rsid w:val="27ED44E2"/>
    <w:rsid w:val="27FE7AF2"/>
    <w:rsid w:val="280C73D5"/>
    <w:rsid w:val="28270B2D"/>
    <w:rsid w:val="2837384F"/>
    <w:rsid w:val="28374989"/>
    <w:rsid w:val="28506EE3"/>
    <w:rsid w:val="2869573D"/>
    <w:rsid w:val="288550E2"/>
    <w:rsid w:val="28A075BC"/>
    <w:rsid w:val="28CC2A7C"/>
    <w:rsid w:val="28E76824"/>
    <w:rsid w:val="29026E18"/>
    <w:rsid w:val="292348EE"/>
    <w:rsid w:val="293958AE"/>
    <w:rsid w:val="296B256B"/>
    <w:rsid w:val="29836CAE"/>
    <w:rsid w:val="298F767B"/>
    <w:rsid w:val="29A015DF"/>
    <w:rsid w:val="29A51AD2"/>
    <w:rsid w:val="29BE6933"/>
    <w:rsid w:val="29D32975"/>
    <w:rsid w:val="29D84910"/>
    <w:rsid w:val="29F3495E"/>
    <w:rsid w:val="29F55EDA"/>
    <w:rsid w:val="2A2033FE"/>
    <w:rsid w:val="2A3E568B"/>
    <w:rsid w:val="2A5D3DAF"/>
    <w:rsid w:val="2A8134B0"/>
    <w:rsid w:val="2A9B6F23"/>
    <w:rsid w:val="2AB2083E"/>
    <w:rsid w:val="2B0450D8"/>
    <w:rsid w:val="2B1850C1"/>
    <w:rsid w:val="2B3F74E0"/>
    <w:rsid w:val="2B4919BB"/>
    <w:rsid w:val="2B4E2FE3"/>
    <w:rsid w:val="2B5511C2"/>
    <w:rsid w:val="2B68636E"/>
    <w:rsid w:val="2B751C1A"/>
    <w:rsid w:val="2B7836E7"/>
    <w:rsid w:val="2BB74EC5"/>
    <w:rsid w:val="2BE85482"/>
    <w:rsid w:val="2BF65B9A"/>
    <w:rsid w:val="2BFD0A94"/>
    <w:rsid w:val="2C076E7F"/>
    <w:rsid w:val="2C10569F"/>
    <w:rsid w:val="2C297280"/>
    <w:rsid w:val="2C3F5A7B"/>
    <w:rsid w:val="2C734C43"/>
    <w:rsid w:val="2C7D3C57"/>
    <w:rsid w:val="2CC655F6"/>
    <w:rsid w:val="2CD44545"/>
    <w:rsid w:val="2CE24D16"/>
    <w:rsid w:val="2D2A4F7A"/>
    <w:rsid w:val="2D473016"/>
    <w:rsid w:val="2DB041A7"/>
    <w:rsid w:val="2DBC4F66"/>
    <w:rsid w:val="2DDD1037"/>
    <w:rsid w:val="2E087A7E"/>
    <w:rsid w:val="2E287B04"/>
    <w:rsid w:val="2E37700D"/>
    <w:rsid w:val="2E4C182A"/>
    <w:rsid w:val="2E7059BB"/>
    <w:rsid w:val="2E844E0D"/>
    <w:rsid w:val="2EE2202A"/>
    <w:rsid w:val="2F185F04"/>
    <w:rsid w:val="2F2132DE"/>
    <w:rsid w:val="2F42523B"/>
    <w:rsid w:val="2F6C6389"/>
    <w:rsid w:val="2F8C4E82"/>
    <w:rsid w:val="2F8E5E3B"/>
    <w:rsid w:val="2F9612B9"/>
    <w:rsid w:val="2FA21FC3"/>
    <w:rsid w:val="2FB12304"/>
    <w:rsid w:val="2FB241D4"/>
    <w:rsid w:val="2FCE6000"/>
    <w:rsid w:val="2FE11ED5"/>
    <w:rsid w:val="2FF5103E"/>
    <w:rsid w:val="2FF645AE"/>
    <w:rsid w:val="2FF7090C"/>
    <w:rsid w:val="2FFF5171"/>
    <w:rsid w:val="300D5980"/>
    <w:rsid w:val="303E7D41"/>
    <w:rsid w:val="303F1263"/>
    <w:rsid w:val="30671F43"/>
    <w:rsid w:val="30704F89"/>
    <w:rsid w:val="30706AE1"/>
    <w:rsid w:val="307A4ADE"/>
    <w:rsid w:val="307C7B32"/>
    <w:rsid w:val="309058AA"/>
    <w:rsid w:val="309802CE"/>
    <w:rsid w:val="30A07FDF"/>
    <w:rsid w:val="30A1371E"/>
    <w:rsid w:val="30A61D23"/>
    <w:rsid w:val="30EB52DB"/>
    <w:rsid w:val="3105323F"/>
    <w:rsid w:val="311A7296"/>
    <w:rsid w:val="314739B4"/>
    <w:rsid w:val="31534CB9"/>
    <w:rsid w:val="31732A7E"/>
    <w:rsid w:val="31A81786"/>
    <w:rsid w:val="31C65286"/>
    <w:rsid w:val="31E148D3"/>
    <w:rsid w:val="31FA2DE9"/>
    <w:rsid w:val="31FD0843"/>
    <w:rsid w:val="32034509"/>
    <w:rsid w:val="320D51B9"/>
    <w:rsid w:val="323B607D"/>
    <w:rsid w:val="3278160C"/>
    <w:rsid w:val="32784063"/>
    <w:rsid w:val="328267D4"/>
    <w:rsid w:val="32B56407"/>
    <w:rsid w:val="32E50818"/>
    <w:rsid w:val="32FB1BB6"/>
    <w:rsid w:val="3311273C"/>
    <w:rsid w:val="33245F34"/>
    <w:rsid w:val="334A139F"/>
    <w:rsid w:val="33805F7F"/>
    <w:rsid w:val="33A94CD9"/>
    <w:rsid w:val="340E073A"/>
    <w:rsid w:val="342853A8"/>
    <w:rsid w:val="344421E6"/>
    <w:rsid w:val="34573AAF"/>
    <w:rsid w:val="345B0E94"/>
    <w:rsid w:val="34633A06"/>
    <w:rsid w:val="34652355"/>
    <w:rsid w:val="34905728"/>
    <w:rsid w:val="34995EF5"/>
    <w:rsid w:val="34A26ACB"/>
    <w:rsid w:val="34BE367D"/>
    <w:rsid w:val="34F16D5A"/>
    <w:rsid w:val="35053FA9"/>
    <w:rsid w:val="3506461E"/>
    <w:rsid w:val="350E6C99"/>
    <w:rsid w:val="353712A3"/>
    <w:rsid w:val="3547353D"/>
    <w:rsid w:val="35917D82"/>
    <w:rsid w:val="35950BEC"/>
    <w:rsid w:val="35B20566"/>
    <w:rsid w:val="35C93999"/>
    <w:rsid w:val="361E160A"/>
    <w:rsid w:val="362C5B7C"/>
    <w:rsid w:val="36440281"/>
    <w:rsid w:val="366139F3"/>
    <w:rsid w:val="36750D3B"/>
    <w:rsid w:val="367B1AF6"/>
    <w:rsid w:val="3685232F"/>
    <w:rsid w:val="36907E91"/>
    <w:rsid w:val="36C86F1B"/>
    <w:rsid w:val="36D523C0"/>
    <w:rsid w:val="36DC59A3"/>
    <w:rsid w:val="371E4261"/>
    <w:rsid w:val="374C345F"/>
    <w:rsid w:val="3759278A"/>
    <w:rsid w:val="375942CA"/>
    <w:rsid w:val="376046D2"/>
    <w:rsid w:val="37747D61"/>
    <w:rsid w:val="377B0A60"/>
    <w:rsid w:val="378F0191"/>
    <w:rsid w:val="379D42C0"/>
    <w:rsid w:val="37A00F3A"/>
    <w:rsid w:val="37AD1774"/>
    <w:rsid w:val="37E22C47"/>
    <w:rsid w:val="37FA2E3A"/>
    <w:rsid w:val="384314EE"/>
    <w:rsid w:val="38880F15"/>
    <w:rsid w:val="3897729A"/>
    <w:rsid w:val="38CE31C0"/>
    <w:rsid w:val="38F71097"/>
    <w:rsid w:val="390B70AB"/>
    <w:rsid w:val="3927241F"/>
    <w:rsid w:val="395A67FF"/>
    <w:rsid w:val="395C7D4F"/>
    <w:rsid w:val="396D3381"/>
    <w:rsid w:val="39913876"/>
    <w:rsid w:val="399F0928"/>
    <w:rsid w:val="39AC1342"/>
    <w:rsid w:val="39C13E4C"/>
    <w:rsid w:val="39C61FE4"/>
    <w:rsid w:val="39EC13D3"/>
    <w:rsid w:val="3A0F02E0"/>
    <w:rsid w:val="3A607713"/>
    <w:rsid w:val="3A635381"/>
    <w:rsid w:val="3A6B3DE0"/>
    <w:rsid w:val="3A8863B8"/>
    <w:rsid w:val="3AB7321A"/>
    <w:rsid w:val="3ACC03B1"/>
    <w:rsid w:val="3ACE6398"/>
    <w:rsid w:val="3B491E38"/>
    <w:rsid w:val="3B9A3257"/>
    <w:rsid w:val="3B9E4B44"/>
    <w:rsid w:val="3BA1296C"/>
    <w:rsid w:val="3C3F5861"/>
    <w:rsid w:val="3C4556C3"/>
    <w:rsid w:val="3C4959FC"/>
    <w:rsid w:val="3C5E14EA"/>
    <w:rsid w:val="3C8628ED"/>
    <w:rsid w:val="3C892F27"/>
    <w:rsid w:val="3CAC2311"/>
    <w:rsid w:val="3CB743DA"/>
    <w:rsid w:val="3CC14B5A"/>
    <w:rsid w:val="3CC94155"/>
    <w:rsid w:val="3CF30CE1"/>
    <w:rsid w:val="3D2711EC"/>
    <w:rsid w:val="3D437146"/>
    <w:rsid w:val="3D6B266D"/>
    <w:rsid w:val="3D8461F8"/>
    <w:rsid w:val="3DA657EC"/>
    <w:rsid w:val="3DD87200"/>
    <w:rsid w:val="3DDF4BE6"/>
    <w:rsid w:val="3E3A53E0"/>
    <w:rsid w:val="3E595E78"/>
    <w:rsid w:val="3E5D0A49"/>
    <w:rsid w:val="3E8534F0"/>
    <w:rsid w:val="3E9077BD"/>
    <w:rsid w:val="3E972973"/>
    <w:rsid w:val="3ED403F9"/>
    <w:rsid w:val="3EDB2AA7"/>
    <w:rsid w:val="3EDB7262"/>
    <w:rsid w:val="3EF7658B"/>
    <w:rsid w:val="3F095876"/>
    <w:rsid w:val="3F1824D3"/>
    <w:rsid w:val="3F20048D"/>
    <w:rsid w:val="3F206D2F"/>
    <w:rsid w:val="3F3216C8"/>
    <w:rsid w:val="3F446FBA"/>
    <w:rsid w:val="3F5263CA"/>
    <w:rsid w:val="3F591F99"/>
    <w:rsid w:val="3FAA029C"/>
    <w:rsid w:val="3FB71301"/>
    <w:rsid w:val="3FCB3A33"/>
    <w:rsid w:val="40140458"/>
    <w:rsid w:val="40186AFA"/>
    <w:rsid w:val="401F03CE"/>
    <w:rsid w:val="402E4ADC"/>
    <w:rsid w:val="409A2FFC"/>
    <w:rsid w:val="40B7633C"/>
    <w:rsid w:val="40C6760C"/>
    <w:rsid w:val="40EC5B77"/>
    <w:rsid w:val="40F43C18"/>
    <w:rsid w:val="41010016"/>
    <w:rsid w:val="412D3C52"/>
    <w:rsid w:val="414B1E5C"/>
    <w:rsid w:val="4172645F"/>
    <w:rsid w:val="4177671D"/>
    <w:rsid w:val="41803304"/>
    <w:rsid w:val="41976176"/>
    <w:rsid w:val="41C56563"/>
    <w:rsid w:val="42013080"/>
    <w:rsid w:val="42125900"/>
    <w:rsid w:val="421623D1"/>
    <w:rsid w:val="421C6736"/>
    <w:rsid w:val="42323639"/>
    <w:rsid w:val="4247015F"/>
    <w:rsid w:val="429456C1"/>
    <w:rsid w:val="42993AF9"/>
    <w:rsid w:val="42C271E6"/>
    <w:rsid w:val="43041845"/>
    <w:rsid w:val="431B0D88"/>
    <w:rsid w:val="432C1F67"/>
    <w:rsid w:val="4346768F"/>
    <w:rsid w:val="43542B14"/>
    <w:rsid w:val="43736F25"/>
    <w:rsid w:val="43976DAD"/>
    <w:rsid w:val="43FA1BDC"/>
    <w:rsid w:val="43FA6652"/>
    <w:rsid w:val="442A7164"/>
    <w:rsid w:val="445C5208"/>
    <w:rsid w:val="44877054"/>
    <w:rsid w:val="449249EB"/>
    <w:rsid w:val="449E48E8"/>
    <w:rsid w:val="44A2039B"/>
    <w:rsid w:val="44B422FB"/>
    <w:rsid w:val="44BC7B03"/>
    <w:rsid w:val="44E012F4"/>
    <w:rsid w:val="44E75338"/>
    <w:rsid w:val="452C607D"/>
    <w:rsid w:val="45B9183F"/>
    <w:rsid w:val="45BA4926"/>
    <w:rsid w:val="45C157DF"/>
    <w:rsid w:val="45DB4FCE"/>
    <w:rsid w:val="45DC516D"/>
    <w:rsid w:val="45E03BBD"/>
    <w:rsid w:val="462346EA"/>
    <w:rsid w:val="4645786C"/>
    <w:rsid w:val="46587272"/>
    <w:rsid w:val="46837C42"/>
    <w:rsid w:val="46877E3E"/>
    <w:rsid w:val="46A60A68"/>
    <w:rsid w:val="46C52AC5"/>
    <w:rsid w:val="46F01B23"/>
    <w:rsid w:val="47103FFA"/>
    <w:rsid w:val="475E46B3"/>
    <w:rsid w:val="477C736E"/>
    <w:rsid w:val="477E4455"/>
    <w:rsid w:val="47891528"/>
    <w:rsid w:val="479E60E0"/>
    <w:rsid w:val="47CA410A"/>
    <w:rsid w:val="47E17568"/>
    <w:rsid w:val="48007629"/>
    <w:rsid w:val="480166C1"/>
    <w:rsid w:val="480414FF"/>
    <w:rsid w:val="48341FB9"/>
    <w:rsid w:val="48615D99"/>
    <w:rsid w:val="48807930"/>
    <w:rsid w:val="48896234"/>
    <w:rsid w:val="488B5BC7"/>
    <w:rsid w:val="4893026E"/>
    <w:rsid w:val="48A27ECF"/>
    <w:rsid w:val="48AF2FD2"/>
    <w:rsid w:val="490634C8"/>
    <w:rsid w:val="490D6EE9"/>
    <w:rsid w:val="49852AA2"/>
    <w:rsid w:val="4997112F"/>
    <w:rsid w:val="49976098"/>
    <w:rsid w:val="49DD2A4B"/>
    <w:rsid w:val="49E125D4"/>
    <w:rsid w:val="4A1A4475"/>
    <w:rsid w:val="4A3353C4"/>
    <w:rsid w:val="4A426DE8"/>
    <w:rsid w:val="4A7644FA"/>
    <w:rsid w:val="4AAB4A0A"/>
    <w:rsid w:val="4AC9297E"/>
    <w:rsid w:val="4AC93A0A"/>
    <w:rsid w:val="4AFF481F"/>
    <w:rsid w:val="4B010D96"/>
    <w:rsid w:val="4B3D4CCB"/>
    <w:rsid w:val="4B49032D"/>
    <w:rsid w:val="4B4A4887"/>
    <w:rsid w:val="4B4D31EC"/>
    <w:rsid w:val="4B801C72"/>
    <w:rsid w:val="4B8149F9"/>
    <w:rsid w:val="4BB3081D"/>
    <w:rsid w:val="4BC65D48"/>
    <w:rsid w:val="4BE15BAA"/>
    <w:rsid w:val="4BEE1705"/>
    <w:rsid w:val="4C2E3C2B"/>
    <w:rsid w:val="4C52128B"/>
    <w:rsid w:val="4C8C1BB7"/>
    <w:rsid w:val="4CA01F23"/>
    <w:rsid w:val="4CBE35AE"/>
    <w:rsid w:val="4CDC1A9E"/>
    <w:rsid w:val="4CE30ECA"/>
    <w:rsid w:val="4CEB0C60"/>
    <w:rsid w:val="4CEE16AA"/>
    <w:rsid w:val="4CF04B53"/>
    <w:rsid w:val="4D235EEF"/>
    <w:rsid w:val="4D5D76A5"/>
    <w:rsid w:val="4D8B65BA"/>
    <w:rsid w:val="4DA60F1E"/>
    <w:rsid w:val="4DB454C8"/>
    <w:rsid w:val="4DDB5A95"/>
    <w:rsid w:val="4E0610FA"/>
    <w:rsid w:val="4E0C5204"/>
    <w:rsid w:val="4E181AFD"/>
    <w:rsid w:val="4E600143"/>
    <w:rsid w:val="4E983CB7"/>
    <w:rsid w:val="4ECA50DC"/>
    <w:rsid w:val="4ED90A92"/>
    <w:rsid w:val="4EED7CA2"/>
    <w:rsid w:val="4EF43214"/>
    <w:rsid w:val="4F071D55"/>
    <w:rsid w:val="4F6377E1"/>
    <w:rsid w:val="4F817CAD"/>
    <w:rsid w:val="4F885ABC"/>
    <w:rsid w:val="4FC41E00"/>
    <w:rsid w:val="4FD8487C"/>
    <w:rsid w:val="4FD91C18"/>
    <w:rsid w:val="5071283A"/>
    <w:rsid w:val="507935CE"/>
    <w:rsid w:val="50CD0F52"/>
    <w:rsid w:val="512E2DC0"/>
    <w:rsid w:val="5146734A"/>
    <w:rsid w:val="514D0265"/>
    <w:rsid w:val="516E1B2F"/>
    <w:rsid w:val="51715D18"/>
    <w:rsid w:val="51742A35"/>
    <w:rsid w:val="51B018CE"/>
    <w:rsid w:val="51DC03D3"/>
    <w:rsid w:val="51FC0C14"/>
    <w:rsid w:val="5203065D"/>
    <w:rsid w:val="523A01B7"/>
    <w:rsid w:val="523E2920"/>
    <w:rsid w:val="52450E70"/>
    <w:rsid w:val="52704B3B"/>
    <w:rsid w:val="527D2897"/>
    <w:rsid w:val="528F6201"/>
    <w:rsid w:val="52901AEF"/>
    <w:rsid w:val="52935125"/>
    <w:rsid w:val="529D23C1"/>
    <w:rsid w:val="52BF6DC4"/>
    <w:rsid w:val="52D655C6"/>
    <w:rsid w:val="52E179A8"/>
    <w:rsid w:val="52E36382"/>
    <w:rsid w:val="5328792B"/>
    <w:rsid w:val="53415F23"/>
    <w:rsid w:val="53450FF3"/>
    <w:rsid w:val="535B5020"/>
    <w:rsid w:val="53843CC2"/>
    <w:rsid w:val="53961D5A"/>
    <w:rsid w:val="53AF6DE3"/>
    <w:rsid w:val="53B95C2C"/>
    <w:rsid w:val="53BE513A"/>
    <w:rsid w:val="53D74AE4"/>
    <w:rsid w:val="54172139"/>
    <w:rsid w:val="543E1B97"/>
    <w:rsid w:val="546E676B"/>
    <w:rsid w:val="547C51E1"/>
    <w:rsid w:val="54965153"/>
    <w:rsid w:val="549714F4"/>
    <w:rsid w:val="549B1B16"/>
    <w:rsid w:val="54CE610B"/>
    <w:rsid w:val="54ED1939"/>
    <w:rsid w:val="54F620C9"/>
    <w:rsid w:val="55113BB9"/>
    <w:rsid w:val="557536B0"/>
    <w:rsid w:val="558E60A0"/>
    <w:rsid w:val="55957343"/>
    <w:rsid w:val="559A6263"/>
    <w:rsid w:val="55A65EA6"/>
    <w:rsid w:val="55A720C1"/>
    <w:rsid w:val="55AD6CAD"/>
    <w:rsid w:val="55B05E71"/>
    <w:rsid w:val="55BD6F0F"/>
    <w:rsid w:val="560D5C7B"/>
    <w:rsid w:val="561013A2"/>
    <w:rsid w:val="56164492"/>
    <w:rsid w:val="563621DD"/>
    <w:rsid w:val="56553DD1"/>
    <w:rsid w:val="56566418"/>
    <w:rsid w:val="565D525D"/>
    <w:rsid w:val="56B637AA"/>
    <w:rsid w:val="56F46B9C"/>
    <w:rsid w:val="57133538"/>
    <w:rsid w:val="571F2618"/>
    <w:rsid w:val="572D132E"/>
    <w:rsid w:val="573150DE"/>
    <w:rsid w:val="573B1528"/>
    <w:rsid w:val="57664DEC"/>
    <w:rsid w:val="57A4128F"/>
    <w:rsid w:val="57BA3593"/>
    <w:rsid w:val="57BD6E57"/>
    <w:rsid w:val="57D50302"/>
    <w:rsid w:val="57FB0DB4"/>
    <w:rsid w:val="58095AD5"/>
    <w:rsid w:val="585F41C5"/>
    <w:rsid w:val="587033C7"/>
    <w:rsid w:val="587F1F51"/>
    <w:rsid w:val="588A3543"/>
    <w:rsid w:val="58AC64B0"/>
    <w:rsid w:val="58B132B4"/>
    <w:rsid w:val="58C42558"/>
    <w:rsid w:val="58C81DB4"/>
    <w:rsid w:val="58D3497A"/>
    <w:rsid w:val="597765D1"/>
    <w:rsid w:val="59874C1D"/>
    <w:rsid w:val="59A23649"/>
    <w:rsid w:val="59B15DB9"/>
    <w:rsid w:val="59B415B6"/>
    <w:rsid w:val="59C86097"/>
    <w:rsid w:val="59DB5E71"/>
    <w:rsid w:val="59E0731A"/>
    <w:rsid w:val="5A1D729F"/>
    <w:rsid w:val="5A2923A4"/>
    <w:rsid w:val="5A4941BD"/>
    <w:rsid w:val="5A630A63"/>
    <w:rsid w:val="5A7A0818"/>
    <w:rsid w:val="5A7C1583"/>
    <w:rsid w:val="5A7D04FA"/>
    <w:rsid w:val="5A873E71"/>
    <w:rsid w:val="5AD44EF0"/>
    <w:rsid w:val="5B0C023B"/>
    <w:rsid w:val="5B3868C4"/>
    <w:rsid w:val="5B5F1CA9"/>
    <w:rsid w:val="5B8A44F8"/>
    <w:rsid w:val="5BCE46B5"/>
    <w:rsid w:val="5BE544F3"/>
    <w:rsid w:val="5BF737EB"/>
    <w:rsid w:val="5BFA2BE6"/>
    <w:rsid w:val="5C0C0309"/>
    <w:rsid w:val="5C482FAF"/>
    <w:rsid w:val="5C87478A"/>
    <w:rsid w:val="5CAD2C5D"/>
    <w:rsid w:val="5CF61BBB"/>
    <w:rsid w:val="5D042BC3"/>
    <w:rsid w:val="5D0822AE"/>
    <w:rsid w:val="5D1A7C2A"/>
    <w:rsid w:val="5D3E03A3"/>
    <w:rsid w:val="5D451DF9"/>
    <w:rsid w:val="5D454527"/>
    <w:rsid w:val="5D5959D5"/>
    <w:rsid w:val="5E010C6B"/>
    <w:rsid w:val="5E2459B2"/>
    <w:rsid w:val="5E2E19DF"/>
    <w:rsid w:val="5E320285"/>
    <w:rsid w:val="5E3971F5"/>
    <w:rsid w:val="5E406AA9"/>
    <w:rsid w:val="5E644C39"/>
    <w:rsid w:val="5EB83068"/>
    <w:rsid w:val="5EE34823"/>
    <w:rsid w:val="5EF2250F"/>
    <w:rsid w:val="5F0B7FB5"/>
    <w:rsid w:val="5F287888"/>
    <w:rsid w:val="5F394EA2"/>
    <w:rsid w:val="5FE013A3"/>
    <w:rsid w:val="5FEE6C22"/>
    <w:rsid w:val="5FF67C26"/>
    <w:rsid w:val="5FFB6C0F"/>
    <w:rsid w:val="60471AEC"/>
    <w:rsid w:val="60E117D5"/>
    <w:rsid w:val="60F31D4B"/>
    <w:rsid w:val="61155FC7"/>
    <w:rsid w:val="61181B9C"/>
    <w:rsid w:val="614B60C1"/>
    <w:rsid w:val="61962F3C"/>
    <w:rsid w:val="61C17335"/>
    <w:rsid w:val="61D32299"/>
    <w:rsid w:val="61DB2BB6"/>
    <w:rsid w:val="61DE5484"/>
    <w:rsid w:val="620534E1"/>
    <w:rsid w:val="62173279"/>
    <w:rsid w:val="62457F41"/>
    <w:rsid w:val="62810A26"/>
    <w:rsid w:val="62A70AA2"/>
    <w:rsid w:val="62B52A33"/>
    <w:rsid w:val="62CB5D30"/>
    <w:rsid w:val="62CE1DE7"/>
    <w:rsid w:val="63231FDA"/>
    <w:rsid w:val="633F2DA9"/>
    <w:rsid w:val="637204DF"/>
    <w:rsid w:val="637E4961"/>
    <w:rsid w:val="63876C08"/>
    <w:rsid w:val="63BE4CA0"/>
    <w:rsid w:val="63CD1ECD"/>
    <w:rsid w:val="63EF4A97"/>
    <w:rsid w:val="64047703"/>
    <w:rsid w:val="644D197B"/>
    <w:rsid w:val="644F7237"/>
    <w:rsid w:val="64587903"/>
    <w:rsid w:val="647C05CA"/>
    <w:rsid w:val="64AF6120"/>
    <w:rsid w:val="64BD6371"/>
    <w:rsid w:val="64D37538"/>
    <w:rsid w:val="64ED68E9"/>
    <w:rsid w:val="654A3528"/>
    <w:rsid w:val="656F7A95"/>
    <w:rsid w:val="65796168"/>
    <w:rsid w:val="657F69C4"/>
    <w:rsid w:val="65DA3EF7"/>
    <w:rsid w:val="65F10B9B"/>
    <w:rsid w:val="662F507A"/>
    <w:rsid w:val="6655049A"/>
    <w:rsid w:val="669E4422"/>
    <w:rsid w:val="66A5117F"/>
    <w:rsid w:val="66BF0C86"/>
    <w:rsid w:val="66BF771E"/>
    <w:rsid w:val="66CF6AAF"/>
    <w:rsid w:val="66D1014F"/>
    <w:rsid w:val="6708154F"/>
    <w:rsid w:val="671129A1"/>
    <w:rsid w:val="67183A32"/>
    <w:rsid w:val="671F3A14"/>
    <w:rsid w:val="672A2BEB"/>
    <w:rsid w:val="67383236"/>
    <w:rsid w:val="674A76FF"/>
    <w:rsid w:val="67A317D4"/>
    <w:rsid w:val="67DD3998"/>
    <w:rsid w:val="67E3527C"/>
    <w:rsid w:val="680958E6"/>
    <w:rsid w:val="681C3E72"/>
    <w:rsid w:val="681E2A84"/>
    <w:rsid w:val="68203083"/>
    <w:rsid w:val="68430EA5"/>
    <w:rsid w:val="68547F0D"/>
    <w:rsid w:val="686937F8"/>
    <w:rsid w:val="6884145F"/>
    <w:rsid w:val="68961301"/>
    <w:rsid w:val="68A03F6D"/>
    <w:rsid w:val="68A2429B"/>
    <w:rsid w:val="68AE4C18"/>
    <w:rsid w:val="68C12589"/>
    <w:rsid w:val="68E56152"/>
    <w:rsid w:val="68FA0EB5"/>
    <w:rsid w:val="692A2720"/>
    <w:rsid w:val="695F62EB"/>
    <w:rsid w:val="699D01BA"/>
    <w:rsid w:val="69D21039"/>
    <w:rsid w:val="69DD0359"/>
    <w:rsid w:val="69FE3896"/>
    <w:rsid w:val="6A1D2B28"/>
    <w:rsid w:val="6A3718BD"/>
    <w:rsid w:val="6A8228A7"/>
    <w:rsid w:val="6AC00C05"/>
    <w:rsid w:val="6AE77282"/>
    <w:rsid w:val="6AF33DFD"/>
    <w:rsid w:val="6B14133D"/>
    <w:rsid w:val="6B275250"/>
    <w:rsid w:val="6B2D0911"/>
    <w:rsid w:val="6B3A6C93"/>
    <w:rsid w:val="6B4B0AC7"/>
    <w:rsid w:val="6B732185"/>
    <w:rsid w:val="6BA623D5"/>
    <w:rsid w:val="6BD97B17"/>
    <w:rsid w:val="6BEC507E"/>
    <w:rsid w:val="6C0464FF"/>
    <w:rsid w:val="6C4D7691"/>
    <w:rsid w:val="6C5556B5"/>
    <w:rsid w:val="6C6B337E"/>
    <w:rsid w:val="6C8921B5"/>
    <w:rsid w:val="6CE274CA"/>
    <w:rsid w:val="6CF3239C"/>
    <w:rsid w:val="6D1E7131"/>
    <w:rsid w:val="6D4D649D"/>
    <w:rsid w:val="6D555A3B"/>
    <w:rsid w:val="6D8E7E95"/>
    <w:rsid w:val="6E1E7F1D"/>
    <w:rsid w:val="6E556B63"/>
    <w:rsid w:val="6E575FCF"/>
    <w:rsid w:val="6E6A30A2"/>
    <w:rsid w:val="6E770DA0"/>
    <w:rsid w:val="6E8C7390"/>
    <w:rsid w:val="6EA31A8A"/>
    <w:rsid w:val="6EB842BA"/>
    <w:rsid w:val="6EBD4212"/>
    <w:rsid w:val="6EC477AC"/>
    <w:rsid w:val="6EE56252"/>
    <w:rsid w:val="6EF2500D"/>
    <w:rsid w:val="6EFC0DA3"/>
    <w:rsid w:val="6F2D4E65"/>
    <w:rsid w:val="6F8470D8"/>
    <w:rsid w:val="6FA04FA1"/>
    <w:rsid w:val="6FAE6C13"/>
    <w:rsid w:val="6FEE7501"/>
    <w:rsid w:val="6FFB646D"/>
    <w:rsid w:val="6FFE075A"/>
    <w:rsid w:val="70041B30"/>
    <w:rsid w:val="701F7C2B"/>
    <w:rsid w:val="703B0716"/>
    <w:rsid w:val="70784787"/>
    <w:rsid w:val="70833060"/>
    <w:rsid w:val="70AD7BF2"/>
    <w:rsid w:val="70B04B75"/>
    <w:rsid w:val="70BA79C6"/>
    <w:rsid w:val="70D357A3"/>
    <w:rsid w:val="70E32681"/>
    <w:rsid w:val="70FE63B6"/>
    <w:rsid w:val="71482427"/>
    <w:rsid w:val="71496A80"/>
    <w:rsid w:val="7196755A"/>
    <w:rsid w:val="71AC0E91"/>
    <w:rsid w:val="71AC7BBB"/>
    <w:rsid w:val="71C51872"/>
    <w:rsid w:val="72267196"/>
    <w:rsid w:val="72282FA8"/>
    <w:rsid w:val="7230249E"/>
    <w:rsid w:val="723820C4"/>
    <w:rsid w:val="7247259A"/>
    <w:rsid w:val="726378EE"/>
    <w:rsid w:val="72671D27"/>
    <w:rsid w:val="727B6C4C"/>
    <w:rsid w:val="727F4FB1"/>
    <w:rsid w:val="72824E36"/>
    <w:rsid w:val="728B3A6F"/>
    <w:rsid w:val="72900DC7"/>
    <w:rsid w:val="72B731E8"/>
    <w:rsid w:val="72BE7341"/>
    <w:rsid w:val="72DF680E"/>
    <w:rsid w:val="72FA42B9"/>
    <w:rsid w:val="731E4248"/>
    <w:rsid w:val="73307800"/>
    <w:rsid w:val="734F189A"/>
    <w:rsid w:val="7363241C"/>
    <w:rsid w:val="73665942"/>
    <w:rsid w:val="738735B8"/>
    <w:rsid w:val="73A16CCB"/>
    <w:rsid w:val="73CE2F2D"/>
    <w:rsid w:val="73E93E2F"/>
    <w:rsid w:val="741818F0"/>
    <w:rsid w:val="742B5E9A"/>
    <w:rsid w:val="742C4ED9"/>
    <w:rsid w:val="74316875"/>
    <w:rsid w:val="745C7050"/>
    <w:rsid w:val="74667C01"/>
    <w:rsid w:val="74B27B44"/>
    <w:rsid w:val="74BA1DF5"/>
    <w:rsid w:val="74D81F83"/>
    <w:rsid w:val="74DC6F0B"/>
    <w:rsid w:val="7545453E"/>
    <w:rsid w:val="754771C2"/>
    <w:rsid w:val="754B631B"/>
    <w:rsid w:val="758F3128"/>
    <w:rsid w:val="75E86946"/>
    <w:rsid w:val="760D2060"/>
    <w:rsid w:val="76783F09"/>
    <w:rsid w:val="76BF6F43"/>
    <w:rsid w:val="76CE72D9"/>
    <w:rsid w:val="76E35CC2"/>
    <w:rsid w:val="76EC5624"/>
    <w:rsid w:val="76F34B09"/>
    <w:rsid w:val="76FE59B5"/>
    <w:rsid w:val="77163310"/>
    <w:rsid w:val="7750311A"/>
    <w:rsid w:val="7754283B"/>
    <w:rsid w:val="77A2585C"/>
    <w:rsid w:val="77A66B01"/>
    <w:rsid w:val="77AE7DAE"/>
    <w:rsid w:val="77C21407"/>
    <w:rsid w:val="77D46299"/>
    <w:rsid w:val="77FD5E80"/>
    <w:rsid w:val="78412B2B"/>
    <w:rsid w:val="78794633"/>
    <w:rsid w:val="78D42174"/>
    <w:rsid w:val="78F324E6"/>
    <w:rsid w:val="790F0060"/>
    <w:rsid w:val="793440EB"/>
    <w:rsid w:val="79393FED"/>
    <w:rsid w:val="798A0D22"/>
    <w:rsid w:val="79C57357"/>
    <w:rsid w:val="7A2E1D56"/>
    <w:rsid w:val="7A3C1A38"/>
    <w:rsid w:val="7A443D29"/>
    <w:rsid w:val="7A5360D0"/>
    <w:rsid w:val="7A650C0C"/>
    <w:rsid w:val="7A9F3034"/>
    <w:rsid w:val="7AB32A42"/>
    <w:rsid w:val="7AC6745D"/>
    <w:rsid w:val="7AC92BE2"/>
    <w:rsid w:val="7B3E0627"/>
    <w:rsid w:val="7B6245A5"/>
    <w:rsid w:val="7B826971"/>
    <w:rsid w:val="7BA07E96"/>
    <w:rsid w:val="7BA6454E"/>
    <w:rsid w:val="7BAC2B01"/>
    <w:rsid w:val="7BBE28EF"/>
    <w:rsid w:val="7C4F0D52"/>
    <w:rsid w:val="7CCE254C"/>
    <w:rsid w:val="7CDA018D"/>
    <w:rsid w:val="7CE14D9A"/>
    <w:rsid w:val="7CEF5369"/>
    <w:rsid w:val="7D093591"/>
    <w:rsid w:val="7D8A0DDC"/>
    <w:rsid w:val="7D9205C5"/>
    <w:rsid w:val="7D9C3358"/>
    <w:rsid w:val="7DA7329F"/>
    <w:rsid w:val="7DAE55DE"/>
    <w:rsid w:val="7DBA0C7A"/>
    <w:rsid w:val="7DD71915"/>
    <w:rsid w:val="7DF30334"/>
    <w:rsid w:val="7E1310D7"/>
    <w:rsid w:val="7E3512DB"/>
    <w:rsid w:val="7E39721E"/>
    <w:rsid w:val="7E8852ED"/>
    <w:rsid w:val="7EA45C28"/>
    <w:rsid w:val="7EE0428B"/>
    <w:rsid w:val="7F273DE6"/>
    <w:rsid w:val="7F7B5634"/>
    <w:rsid w:val="7F882C39"/>
    <w:rsid w:val="7F952273"/>
    <w:rsid w:val="7F9A4963"/>
    <w:rsid w:val="7FAF3A71"/>
    <w:rsid w:val="7FC1174A"/>
    <w:rsid w:val="7FEB78BB"/>
    <w:rsid w:val="DB3B6C15"/>
    <w:rsid w:val="EBCB21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38"/>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4"/>
    <w:next w:val="1"/>
    <w:qFormat/>
    <w:uiPriority w:val="0"/>
    <w:pPr>
      <w:adjustRightInd w:val="0"/>
      <w:snapToGrid w:val="0"/>
      <w:spacing w:beforeAutospacing="1" w:after="100" w:afterAutospacing="1" w:line="600" w:lineRule="exact"/>
      <w:ind w:firstLine="880" w:firstLineChars="200"/>
      <w:jc w:val="both"/>
    </w:pPr>
    <w:rPr>
      <w:rFonts w:hint="eastAsia" w:ascii="宋体" w:hAnsi="宋体" w:eastAsia="黑体" w:cs="Times New Roman"/>
      <w:b w:val="0"/>
      <w:kern w:val="44"/>
      <w:sz w:val="36"/>
      <w:szCs w:val="48"/>
    </w:rPr>
  </w:style>
  <w:style w:type="paragraph" w:styleId="2">
    <w:name w:val="heading 4"/>
    <w:basedOn w:val="1"/>
    <w:next w:val="1"/>
    <w:qFormat/>
    <w:uiPriority w:val="0"/>
    <w:pPr>
      <w:keepNext/>
      <w:keepLines/>
      <w:spacing w:before="280" w:after="290" w:line="372" w:lineRule="auto"/>
      <w:outlineLvl w:val="3"/>
    </w:pPr>
    <w:rPr>
      <w:rFonts w:ascii="Arial" w:hAnsi="Arial" w:eastAsia="黑体"/>
      <w:b/>
      <w:sz w:val="28"/>
    </w:rPr>
  </w:style>
  <w:style w:type="character" w:default="1" w:styleId="17">
    <w:name w:val="Default Paragraph Font"/>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4">
    <w:name w:val="Title"/>
    <w:basedOn w:val="1"/>
    <w:next w:val="1"/>
    <w:qFormat/>
    <w:uiPriority w:val="0"/>
    <w:pPr>
      <w:spacing w:before="240" w:after="60"/>
      <w:jc w:val="center"/>
      <w:outlineLvl w:val="0"/>
    </w:pPr>
    <w:rPr>
      <w:rFonts w:ascii="Arial" w:hAnsi="Arial"/>
      <w:b/>
      <w:sz w:val="32"/>
    </w:rPr>
  </w:style>
  <w:style w:type="paragraph" w:styleId="5">
    <w:name w:val="Body Text"/>
    <w:basedOn w:val="1"/>
    <w:qFormat/>
    <w:uiPriority w:val="0"/>
    <w:rPr>
      <w:sz w:val="18"/>
    </w:rPr>
  </w:style>
  <w:style w:type="paragraph" w:styleId="6">
    <w:name w:val="Body Text Indent"/>
    <w:basedOn w:val="1"/>
    <w:qFormat/>
    <w:uiPriority w:val="0"/>
    <w:pPr>
      <w:spacing w:after="120"/>
      <w:ind w:left="420" w:leftChars="200"/>
    </w:pPr>
  </w:style>
  <w:style w:type="paragraph" w:styleId="7">
    <w:name w:val="Date"/>
    <w:basedOn w:val="1"/>
    <w:next w:val="1"/>
    <w:qFormat/>
    <w:uiPriority w:val="0"/>
    <w:pPr>
      <w:ind w:left="100" w:leftChars="2500"/>
    </w:pPr>
  </w:style>
  <w:style w:type="paragraph" w:styleId="8">
    <w:name w:val="Balloon Text"/>
    <w:basedOn w:val="1"/>
    <w:semiHidden/>
    <w:qFormat/>
    <w:uiPriority w:val="0"/>
    <w:rPr>
      <w:sz w:val="18"/>
      <w:szCs w:val="18"/>
    </w:rPr>
  </w:style>
  <w:style w:type="paragraph" w:styleId="9">
    <w:name w:val="footer"/>
    <w:basedOn w:val="1"/>
    <w:link w:val="24"/>
    <w:qFormat/>
    <w:uiPriority w:val="99"/>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rPr>
  </w:style>
  <w:style w:type="paragraph" w:styleId="11">
    <w:name w:val="HTML Preformatted"/>
    <w:basedOn w:val="1"/>
    <w:link w:val="25"/>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3">
    <w:name w:val="Body Text First Indent"/>
    <w:basedOn w:val="5"/>
    <w:qFormat/>
    <w:uiPriority w:val="0"/>
    <w:pPr>
      <w:spacing w:after="120"/>
      <w:ind w:firstLine="420" w:firstLineChars="100"/>
    </w:pPr>
    <w:rPr>
      <w:rFonts w:ascii="Calibri" w:hAnsi="Calibri" w:cs="Calibri"/>
      <w:sz w:val="21"/>
      <w:szCs w:val="21"/>
    </w:rPr>
  </w:style>
  <w:style w:type="paragraph" w:styleId="14">
    <w:name w:val="Body Text First Indent 2"/>
    <w:basedOn w:val="6"/>
    <w:qFormat/>
    <w:uiPriority w:val="0"/>
    <w:pPr>
      <w:ind w:firstLine="42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0"/>
    <w:rPr>
      <w:b/>
    </w:rPr>
  </w:style>
  <w:style w:type="character" w:styleId="19">
    <w:name w:val="page number"/>
    <w:qFormat/>
    <w:uiPriority w:val="0"/>
  </w:style>
  <w:style w:type="character" w:styleId="20">
    <w:name w:val="FollowedHyperlink"/>
    <w:qFormat/>
    <w:uiPriority w:val="0"/>
    <w:rPr>
      <w:color w:val="333333"/>
      <w:u w:val="none"/>
    </w:rPr>
  </w:style>
  <w:style w:type="character" w:styleId="21">
    <w:name w:val="Emphasis"/>
    <w:qFormat/>
    <w:uiPriority w:val="20"/>
    <w:rPr>
      <w:color w:val="CC0000"/>
    </w:rPr>
  </w:style>
  <w:style w:type="character" w:styleId="22">
    <w:name w:val="Hyperlink"/>
    <w:qFormat/>
    <w:uiPriority w:val="0"/>
    <w:rPr>
      <w:color w:val="333333"/>
      <w:u w:val="none"/>
    </w:rPr>
  </w:style>
  <w:style w:type="paragraph" w:customStyle="1" w:styleId="23">
    <w:name w:val="正文格式"/>
    <w:basedOn w:val="1"/>
    <w:qFormat/>
    <w:uiPriority w:val="0"/>
    <w:pPr>
      <w:widowControl/>
      <w:adjustRightInd w:val="0"/>
      <w:snapToGrid w:val="0"/>
      <w:spacing w:line="400" w:lineRule="atLeast"/>
      <w:ind w:firstLine="482"/>
      <w:textAlignment w:val="baseline"/>
    </w:pPr>
    <w:rPr>
      <w:rFonts w:ascii="Times New Roman" w:hAnsi="Times New Roman" w:cs="Times New Roman"/>
      <w:kern w:val="0"/>
      <w:sz w:val="24"/>
    </w:rPr>
  </w:style>
  <w:style w:type="character" w:customStyle="1" w:styleId="24">
    <w:name w:val="页脚 Char"/>
    <w:link w:val="9"/>
    <w:qFormat/>
    <w:uiPriority w:val="99"/>
    <w:rPr>
      <w:kern w:val="2"/>
      <w:sz w:val="18"/>
    </w:rPr>
  </w:style>
  <w:style w:type="character" w:customStyle="1" w:styleId="25">
    <w:name w:val="HTML 预设格式 Char"/>
    <w:link w:val="11"/>
    <w:qFormat/>
    <w:uiPriority w:val="99"/>
    <w:rPr>
      <w:rFonts w:ascii="宋体" w:hAnsi="宋体"/>
      <w:sz w:val="24"/>
      <w:szCs w:val="24"/>
    </w:rPr>
  </w:style>
  <w:style w:type="character" w:customStyle="1" w:styleId="26">
    <w:name w:val="font01"/>
    <w:qFormat/>
    <w:uiPriority w:val="0"/>
    <w:rPr>
      <w:rFonts w:hint="default" w:ascii="Times New Roman" w:hAnsi="Times New Roman" w:cs="Times New Roman"/>
      <w:color w:val="000000"/>
      <w:sz w:val="28"/>
      <w:szCs w:val="28"/>
      <w:u w:val="none"/>
    </w:rPr>
  </w:style>
  <w:style w:type="character" w:customStyle="1" w:styleId="27">
    <w:name w:val="15"/>
    <w:qFormat/>
    <w:uiPriority w:val="0"/>
    <w:rPr>
      <w:rFonts w:hint="default" w:ascii="Times New Roman" w:hAnsi="Times New Roman" w:cs="Times New Roman"/>
      <w:b/>
      <w:bCs/>
    </w:rPr>
  </w:style>
  <w:style w:type="character" w:customStyle="1" w:styleId="28">
    <w:name w:val="page-article"/>
    <w:qFormat/>
    <w:uiPriority w:val="0"/>
    <w:rPr>
      <w:color w:val="FFFFFF"/>
    </w:rPr>
  </w:style>
  <w:style w:type="character" w:customStyle="1" w:styleId="29">
    <w:name w:val="font11"/>
    <w:qFormat/>
    <w:uiPriority w:val="0"/>
    <w:rPr>
      <w:rFonts w:hint="eastAsia" w:ascii="宋体" w:hAnsi="宋体" w:eastAsia="宋体" w:cs="宋体"/>
      <w:color w:val="000000"/>
      <w:sz w:val="28"/>
      <w:szCs w:val="28"/>
      <w:u w:val="none"/>
    </w:rPr>
  </w:style>
  <w:style w:type="paragraph" w:customStyle="1" w:styleId="30">
    <w:name w:val="MSG_EN_FONT_STYLE_NAME_TEMPLATE_ROLE_NUMBER MSG_EN_FONT_STYLE_NAME_BY_ROLE_TEXT 4"/>
    <w:basedOn w:val="1"/>
    <w:qFormat/>
    <w:uiPriority w:val="0"/>
    <w:pPr>
      <w:shd w:val="clear" w:color="auto" w:fill="FFFFFF"/>
      <w:spacing w:line="614" w:lineRule="exact"/>
      <w:ind w:firstLine="720"/>
      <w:jc w:val="distribute"/>
    </w:pPr>
    <w:rPr>
      <w:rFonts w:ascii="PMingLiU" w:hAnsi="PMingLiU" w:eastAsia="PMingLiU" w:cs="PMingLiU"/>
    </w:rPr>
  </w:style>
  <w:style w:type="paragraph" w:customStyle="1" w:styleId="31">
    <w:name w:val="正文3"/>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customStyle="1" w:styleId="32">
    <w:name w:val="首行缩进"/>
    <w:basedOn w:val="1"/>
    <w:qFormat/>
    <w:uiPriority w:val="99"/>
    <w:pPr>
      <w:spacing w:line="360" w:lineRule="auto"/>
      <w:ind w:firstLine="480" w:firstLineChars="200"/>
    </w:pPr>
    <w:rPr>
      <w:rFonts w:ascii="宋体" w:hAnsi="宋体" w:cs="宋体"/>
      <w:kern w:val="0"/>
    </w:rPr>
  </w:style>
  <w:style w:type="paragraph" w:customStyle="1" w:styleId="33">
    <w:name w:val="Body text|1"/>
    <w:basedOn w:val="1"/>
    <w:qFormat/>
    <w:uiPriority w:val="0"/>
    <w:pPr>
      <w:autoSpaceDE w:val="0"/>
      <w:autoSpaceDN w:val="0"/>
      <w:spacing w:line="394" w:lineRule="auto"/>
      <w:ind w:firstLine="400"/>
      <w:jc w:val="left"/>
    </w:pPr>
    <w:rPr>
      <w:rFonts w:ascii="宋体" w:hAnsi="宋体" w:cs="宋体"/>
      <w:color w:val="757577"/>
      <w:kern w:val="0"/>
      <w:sz w:val="30"/>
      <w:szCs w:val="30"/>
      <w:lang w:val="zh-TW" w:eastAsia="zh-TW" w:bidi="zh-TW"/>
    </w:rPr>
  </w:style>
  <w:style w:type="paragraph" w:customStyle="1" w:styleId="34">
    <w:name w:val="Default"/>
    <w:qFormat/>
    <w:uiPriority w:val="0"/>
    <w:pPr>
      <w:widowControl w:val="0"/>
      <w:autoSpaceDE w:val="0"/>
      <w:autoSpaceDN w:val="0"/>
      <w:adjustRightInd w:val="0"/>
    </w:pPr>
    <w:rPr>
      <w:rFonts w:ascii="方正小标宋简体" w:hAnsi="Times New Roman" w:eastAsia="方正小标宋简体" w:cs="方正小标宋简体"/>
      <w:color w:val="000000"/>
      <w:sz w:val="24"/>
      <w:szCs w:val="24"/>
      <w:lang w:val="en-US" w:eastAsia="zh-CN" w:bidi="ar-SA"/>
    </w:rPr>
  </w:style>
  <w:style w:type="paragraph" w:customStyle="1" w:styleId="35">
    <w:name w:val=" Char"/>
    <w:basedOn w:val="1"/>
    <w:qFormat/>
    <w:uiPriority w:val="0"/>
    <w:rPr>
      <w:rFonts w:ascii="Tahoma" w:hAnsi="Tahoma"/>
      <w:sz w:val="24"/>
    </w:rPr>
  </w:style>
  <w:style w:type="paragraph" w:customStyle="1" w:styleId="36">
    <w:name w:val="正文首行缩进 21"/>
    <w:qFormat/>
    <w:uiPriority w:val="0"/>
    <w:pPr>
      <w:ind w:left="420" w:firstLine="420"/>
    </w:pPr>
    <w:rPr>
      <w:rFonts w:ascii="Times New Roman" w:hAnsi="Times New Roman" w:eastAsia="宋体" w:cs="Calibri"/>
      <w:sz w:val="21"/>
      <w:szCs w:val="22"/>
      <w:lang w:val="en-US" w:eastAsia="zh-CN" w:bidi="ar-SA"/>
    </w:rPr>
  </w:style>
  <w:style w:type="paragraph" w:customStyle="1" w:styleId="37">
    <w:name w:val="MSG_EN_FONT_STYLE_NAME_TEMPLATE_ROLE_NUMBER MSG_EN_FONT_STYLE_NAME_BY_ROLE_TEXT 2"/>
    <w:basedOn w:val="1"/>
    <w:qFormat/>
    <w:uiPriority w:val="0"/>
    <w:pPr>
      <w:shd w:val="clear" w:color="auto" w:fill="FFFFFF"/>
      <w:spacing w:before="360" w:after="1640" w:line="260" w:lineRule="exact"/>
      <w:ind w:hanging="280"/>
      <w:jc w:val="center"/>
    </w:pPr>
    <w:rPr>
      <w:rFonts w:ascii="PMingLiU" w:hAnsi="PMingLiU" w:eastAsia="PMingLiU" w:cs="PMingLiU"/>
      <w:spacing w:val="20"/>
      <w:sz w:val="26"/>
      <w:szCs w:val="26"/>
    </w:rPr>
  </w:style>
  <w:style w:type="character" w:customStyle="1" w:styleId="38">
    <w:name w:val="NormalCharacter"/>
    <w:link w:val="1"/>
    <w:semiHidden/>
    <w:qFormat/>
    <w:uiPriority w:val="0"/>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789</Words>
  <Characters>4500</Characters>
  <Lines>37</Lines>
  <Paragraphs>10</Paragraphs>
  <TotalTime>0</TotalTime>
  <ScaleCrop>false</ScaleCrop>
  <LinksUpToDate>false</LinksUpToDate>
  <CharactersWithSpaces>5279</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2021-07-30T19:47:00Z</dcterms:created>
  <dc:creator>lenovo</dc:creator>
  <cp:lastModifiedBy>小菲宝</cp:lastModifiedBy>
  <cp:lastPrinted>2021-11-22T12:11:00Z</cp:lastPrinted>
  <dcterms:modified xsi:type="dcterms:W3CDTF">2022-01-03T03:36:32Z</dcterms:modified>
  <dc:title>关于《济南市城市建设档案管理办法》(草案)的说明</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7128D383F8E149DCBD1F9412C6C49157</vt:lpwstr>
  </property>
</Properties>
</file>