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333333"/>
          <w:kern w:val="0"/>
          <w:sz w:val="44"/>
          <w:szCs w:val="44"/>
          <w:lang w:eastAsia="zh-CN"/>
        </w:rPr>
      </w:pPr>
      <w:r>
        <w:rPr>
          <w:rFonts w:hint="eastAsia" w:ascii="方正小标宋简体" w:hAnsi="方正小标宋简体" w:eastAsia="方正小标宋简体" w:cs="方正小标宋简体"/>
          <w:b w:val="0"/>
          <w:bCs w:val="0"/>
          <w:color w:val="333333"/>
          <w:kern w:val="0"/>
          <w:sz w:val="44"/>
          <w:szCs w:val="44"/>
          <w:lang w:eastAsia="zh-CN"/>
        </w:rPr>
        <w:t>威海市文登区医疗保障局</w:t>
      </w: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333333"/>
          <w:kern w:val="0"/>
          <w:sz w:val="44"/>
          <w:szCs w:val="44"/>
        </w:rPr>
      </w:pPr>
      <w:r>
        <w:rPr>
          <w:rFonts w:hint="eastAsia" w:ascii="方正小标宋简体" w:hAnsi="方正小标宋简体" w:eastAsia="方正小标宋简体" w:cs="方正小标宋简体"/>
          <w:b w:val="0"/>
          <w:bCs w:val="0"/>
          <w:color w:val="333333"/>
          <w:kern w:val="0"/>
          <w:sz w:val="44"/>
          <w:szCs w:val="44"/>
          <w:lang w:val="en-US" w:eastAsia="zh-CN"/>
        </w:rPr>
        <w:t>2020年</w:t>
      </w:r>
      <w:r>
        <w:rPr>
          <w:rFonts w:hint="eastAsia" w:ascii="方正小标宋简体" w:hAnsi="方正小标宋简体" w:eastAsia="方正小标宋简体" w:cs="方正小标宋简体"/>
          <w:b w:val="0"/>
          <w:bCs w:val="0"/>
          <w:color w:val="333333"/>
          <w:kern w:val="0"/>
          <w:sz w:val="44"/>
          <w:szCs w:val="44"/>
        </w:rPr>
        <w:t>政府信息公开工作年度报告</w:t>
      </w:r>
    </w:p>
    <w:p>
      <w:pPr>
        <w:keepNext w:val="0"/>
        <w:keepLines w:val="0"/>
        <w:pageBreakBefore w:val="0"/>
        <w:widowControl/>
        <w:shd w:val="clear" w:color="auto" w:fill="auto"/>
        <w:kinsoku/>
        <w:wordWrap/>
        <w:overflowPunct/>
        <w:topLinePunct w:val="0"/>
        <w:autoSpaceDE/>
        <w:autoSpaceDN/>
        <w:bidi w:val="0"/>
        <w:adjustRightInd/>
        <w:snapToGrid/>
        <w:spacing w:line="560" w:lineRule="exact"/>
        <w:ind w:firstLine="640" w:firstLineChars="200"/>
        <w:jc w:val="both"/>
        <w:textAlignment w:val="auto"/>
        <w:outlineLvl w:val="9"/>
        <w:rPr>
          <w:rFonts w:hint="default" w:ascii="Times New Roman" w:hAnsi="Times New Roman" w:eastAsia="仿宋_GB2312" w:cs="Times New Roman"/>
          <w:color w:val="000000"/>
          <w:sz w:val="32"/>
          <w:szCs w:val="32"/>
          <w:lang w:eastAsia="zh-CN"/>
        </w:rPr>
      </w:pPr>
    </w:p>
    <w:p>
      <w:pPr>
        <w:pStyle w:val="4"/>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rPr>
        <w:t>根据新修订的《中华人民共和国政府信息公开条例》和《山东省政府信息公开规定》(以下简称《规定》)要求</w:t>
      </w:r>
      <w:r>
        <w:rPr>
          <w:rFonts w:hint="eastAsia"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rPr>
        <w:t>现公布威海市文登区</w:t>
      </w:r>
      <w:r>
        <w:rPr>
          <w:rFonts w:hint="eastAsia" w:ascii="Times New Roman" w:hAnsi="Times New Roman" w:eastAsia="仿宋_GB2312" w:cs="Times New Roman"/>
          <w:spacing w:val="0"/>
          <w:sz w:val="32"/>
          <w:szCs w:val="32"/>
          <w:lang w:eastAsia="zh-CN"/>
        </w:rPr>
        <w:t>医疗保障局</w:t>
      </w:r>
      <w:r>
        <w:rPr>
          <w:rFonts w:hint="default" w:ascii="Times New Roman" w:hAnsi="Times New Roman" w:eastAsia="仿宋_GB2312" w:cs="Times New Roman"/>
          <w:spacing w:val="0"/>
          <w:sz w:val="32"/>
          <w:szCs w:val="32"/>
        </w:rPr>
        <w:t>2020年政府信息公开工作年度报告。</w:t>
      </w:r>
    </w:p>
    <w:p>
      <w:pPr>
        <w:pStyle w:val="4"/>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pacing w:val="0"/>
          <w:sz w:val="32"/>
          <w:szCs w:val="32"/>
        </w:rPr>
        <w:t>本报告由总体情况</w:t>
      </w:r>
      <w:r>
        <w:rPr>
          <w:rFonts w:hint="eastAsia"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rPr>
        <w:t>主动公开政府信息情况</w:t>
      </w:r>
      <w:r>
        <w:rPr>
          <w:rFonts w:hint="eastAsia"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rPr>
        <w:t>收到和处理政府信息公开申请的情况</w:t>
      </w:r>
      <w:r>
        <w:rPr>
          <w:rFonts w:hint="eastAsia"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rPr>
        <w:t>政府信息公开行政复议、行政诉讼情况</w:t>
      </w:r>
      <w:r>
        <w:rPr>
          <w:rFonts w:hint="eastAsia"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rPr>
        <w:t>存在的主要问题及改进情况</w:t>
      </w:r>
      <w:r>
        <w:rPr>
          <w:rFonts w:hint="eastAsia" w:ascii="Times New Roman" w:hAnsi="Times New Roman" w:eastAsia="仿宋_GB2312" w:cs="Times New Roman"/>
          <w:spacing w:val="0"/>
          <w:sz w:val="32"/>
          <w:szCs w:val="32"/>
          <w:lang w:eastAsia="zh-CN"/>
        </w:rPr>
        <w:t>，</w:t>
      </w:r>
      <w:r>
        <w:rPr>
          <w:rFonts w:hint="default" w:ascii="Times New Roman" w:hAnsi="Times New Roman" w:eastAsia="仿宋_GB2312" w:cs="Times New Roman"/>
          <w:spacing w:val="0"/>
          <w:sz w:val="32"/>
          <w:szCs w:val="32"/>
        </w:rPr>
        <w:t>其他需要报告的事项等部分组成。本报告中所列数据的统计时限自2020年1月1日起至2020年12月31日止。</w:t>
      </w:r>
    </w:p>
    <w:p>
      <w:pPr>
        <w:keepNext w:val="0"/>
        <w:keepLines w:val="0"/>
        <w:pageBreakBefore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本报告以网上公开的形式进行公布。本报告的电子版可在文登区人民政府门户网站（</w:t>
      </w:r>
      <w:r>
        <w:rPr>
          <w:rFonts w:hint="default" w:ascii="Times New Roman" w:hAnsi="Times New Roman" w:eastAsia="仿宋_GB2312" w:cs="Times New Roman"/>
          <w:color w:val="000000"/>
          <w:sz w:val="32"/>
          <w:szCs w:val="32"/>
          <w:lang w:val="en-US" w:eastAsia="zh-CN"/>
        </w:rPr>
        <w:fldChar w:fldCharType="begin"/>
      </w:r>
      <w:r>
        <w:rPr>
          <w:rFonts w:hint="default" w:ascii="Times New Roman" w:hAnsi="Times New Roman" w:eastAsia="仿宋_GB2312" w:cs="Times New Roman"/>
          <w:color w:val="000000"/>
          <w:sz w:val="32"/>
          <w:szCs w:val="32"/>
          <w:lang w:val="en-US" w:eastAsia="zh-CN"/>
        </w:rPr>
        <w:instrText xml:space="preserve"> HYPERLINK "http://www.wendeng.gov.cn/" </w:instrText>
      </w:r>
      <w:r>
        <w:rPr>
          <w:rFonts w:hint="default" w:ascii="Times New Roman" w:hAnsi="Times New Roman" w:eastAsia="仿宋_GB2312" w:cs="Times New Roman"/>
          <w:color w:val="000000"/>
          <w:sz w:val="32"/>
          <w:szCs w:val="32"/>
          <w:lang w:val="en-US" w:eastAsia="zh-CN"/>
        </w:rPr>
        <w:fldChar w:fldCharType="separate"/>
      </w:r>
      <w:r>
        <w:rPr>
          <w:rFonts w:hint="default" w:ascii="Times New Roman" w:hAnsi="Times New Roman" w:eastAsia="仿宋_GB2312" w:cs="Times New Roman"/>
          <w:color w:val="000000"/>
          <w:sz w:val="32"/>
          <w:szCs w:val="32"/>
          <w:lang w:val="en-US" w:eastAsia="zh-CN"/>
        </w:rPr>
        <w:t>http://www.wendeng.gov.cn</w:t>
      </w:r>
      <w:r>
        <w:rPr>
          <w:rFonts w:hint="default" w:ascii="Times New Roman" w:hAnsi="Times New Roman" w:eastAsia="仿宋_GB2312" w:cs="Times New Roman"/>
          <w:color w:val="000000"/>
          <w:sz w:val="32"/>
          <w:szCs w:val="32"/>
          <w:lang w:val="en-US" w:eastAsia="zh-CN"/>
        </w:rPr>
        <w:fldChar w:fldCharType="end"/>
      </w:r>
      <w:r>
        <w:rPr>
          <w:rFonts w:hint="default" w:ascii="Times New Roman" w:hAnsi="Times New Roman" w:eastAsia="仿宋_GB2312" w:cs="Times New Roman"/>
          <w:color w:val="000000"/>
          <w:sz w:val="32"/>
          <w:szCs w:val="32"/>
          <w:lang w:val="en-US" w:eastAsia="zh-CN"/>
        </w:rPr>
        <w:t>)信息公开专栏检阅。如对本报告有任何疑问，请与威海市文登区医疗保障局办公室联系（地址：文登区世纪大道84号1303室；邮编：264400；电话：0631-3773077）。</w:t>
      </w:r>
    </w:p>
    <w:p>
      <w:pPr>
        <w:keepNext w:val="0"/>
        <w:keepLines w:val="0"/>
        <w:pageBreakBefore w:val="0"/>
        <w:widowControl/>
        <w:shd w:val="clear" w:color="auto" w:fill="FFFFFF"/>
        <w:kinsoku/>
        <w:wordWrap/>
        <w:overflowPunct/>
        <w:topLinePunct w:val="0"/>
        <w:autoSpaceDN/>
        <w:bidi w:val="0"/>
        <w:adjustRightInd/>
        <w:snapToGrid/>
        <w:spacing w:line="560" w:lineRule="exact"/>
        <w:ind w:firstLine="640" w:firstLineChars="200"/>
        <w:textAlignment w:val="auto"/>
        <w:rPr>
          <w:rFonts w:hint="eastAsia" w:ascii="黑体" w:hAnsi="黑体" w:eastAsia="黑体" w:cs="黑体"/>
          <w:kern w:val="0"/>
          <w:sz w:val="32"/>
          <w:szCs w:val="32"/>
          <w:lang w:eastAsia="zh-CN"/>
        </w:rPr>
      </w:pPr>
      <w:r>
        <w:rPr>
          <w:rFonts w:hint="eastAsia" w:ascii="黑体" w:hAnsi="黑体" w:eastAsia="黑体" w:cs="黑体"/>
          <w:b w:val="0"/>
          <w:bCs w:val="0"/>
          <w:color w:val="333333"/>
          <w:kern w:val="0"/>
          <w:sz w:val="32"/>
          <w:szCs w:val="32"/>
        </w:rPr>
        <w:t>一、总体情况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pacing w:val="0"/>
          <w:sz w:val="32"/>
          <w:szCs w:val="32"/>
        </w:rPr>
        <w:t>2020年，威海市文登区</w:t>
      </w:r>
      <w:r>
        <w:rPr>
          <w:rFonts w:hint="default" w:ascii="Times New Roman" w:hAnsi="Times New Roman" w:eastAsia="仿宋_GB2312" w:cs="Times New Roman"/>
          <w:spacing w:val="0"/>
          <w:sz w:val="32"/>
          <w:szCs w:val="32"/>
          <w:lang w:eastAsia="zh-CN"/>
        </w:rPr>
        <w:t>医疗保障</w:t>
      </w:r>
      <w:r>
        <w:rPr>
          <w:rFonts w:hint="default" w:ascii="Times New Roman" w:hAnsi="Times New Roman" w:eastAsia="仿宋_GB2312" w:cs="Times New Roman"/>
          <w:spacing w:val="0"/>
          <w:sz w:val="32"/>
          <w:szCs w:val="32"/>
        </w:rPr>
        <w:t>局认真贯彻落实《中华人民共和国政府信息公开条例》等文件精神，进一步强化组织领导，完善工作制度，全面、及时、准确向全社会公开工作动态、政策法规、通知公告等信息，政务公开工作的覆盖面进一步拓展，人民在政务公开方面的互动体验明显增强。</w:t>
      </w: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sz w:val="32"/>
          <w:szCs w:val="32"/>
        </w:rPr>
      </w:pPr>
      <w:r>
        <w:rPr>
          <w:rFonts w:hint="eastAsia" w:ascii="楷体_GB2312" w:hAnsi="楷体_GB2312" w:eastAsia="楷体_GB2312" w:cs="楷体_GB2312"/>
          <w:spacing w:val="0"/>
          <w:sz w:val="32"/>
          <w:szCs w:val="32"/>
          <w:lang w:eastAsia="zh-CN"/>
        </w:rPr>
        <w:t>（一）</w:t>
      </w:r>
      <w:r>
        <w:rPr>
          <w:rFonts w:hint="eastAsia" w:ascii="楷体_GB2312" w:hAnsi="楷体_GB2312" w:eastAsia="楷体_GB2312" w:cs="楷体_GB2312"/>
          <w:spacing w:val="0"/>
          <w:sz w:val="32"/>
          <w:szCs w:val="32"/>
        </w:rPr>
        <w:t>主动公开</w:t>
      </w:r>
      <w:r>
        <w:rPr>
          <w:rFonts w:hint="eastAsia" w:ascii="楷体_GB2312" w:hAnsi="楷体_GB2312" w:eastAsia="楷体_GB2312" w:cs="楷体_GB2312"/>
          <w:spacing w:val="0"/>
          <w:sz w:val="32"/>
          <w:szCs w:val="32"/>
          <w:lang w:eastAsia="zh-CN"/>
        </w:rPr>
        <w:t>政府信息</w:t>
      </w:r>
      <w:r>
        <w:rPr>
          <w:rFonts w:hint="eastAsia" w:ascii="楷体_GB2312" w:hAnsi="楷体_GB2312" w:eastAsia="楷体_GB2312" w:cs="楷体_GB2312"/>
          <w:spacing w:val="0"/>
          <w:sz w:val="32"/>
          <w:szCs w:val="32"/>
        </w:rPr>
        <w:t>情况</w:t>
      </w:r>
    </w:p>
    <w:p>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pacing w:val="0"/>
          <w:sz w:val="32"/>
          <w:szCs w:val="32"/>
        </w:rPr>
        <w:t>政府机构改革工作完成后，在“威海市文登区人民政府”网站政务公开栏目及时公布我局机构职能、办公地址、办公时间、联系方式、负责人姓名、工作动态等需要主动公开的政务信息。</w:t>
      </w:r>
    </w:p>
    <w:p>
      <w:pPr>
        <w:pStyle w:val="4"/>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pacing w:val="0"/>
          <w:sz w:val="32"/>
          <w:szCs w:val="32"/>
        </w:rPr>
        <w:t>在发布解读、回应社会关切以及互动交流情况方面，充分发挥政务网站、微信公众号等重要载体的作用，开设政策解读专栏，统筹运用文字</w:t>
      </w:r>
      <w:r>
        <w:rPr>
          <w:rFonts w:hint="default" w:ascii="Times New Roman" w:hAnsi="Times New Roman" w:eastAsia="仿宋_GB2312" w:cs="Times New Roman"/>
          <w:spacing w:val="0"/>
          <w:sz w:val="32"/>
          <w:szCs w:val="32"/>
          <w:lang w:eastAsia="zh-CN"/>
        </w:rPr>
        <w:t>、图解等多种方式对政策进行</w:t>
      </w:r>
      <w:r>
        <w:rPr>
          <w:rFonts w:hint="default" w:ascii="Times New Roman" w:hAnsi="Times New Roman" w:eastAsia="仿宋_GB2312" w:cs="Times New Roman"/>
          <w:spacing w:val="0"/>
          <w:sz w:val="32"/>
          <w:szCs w:val="32"/>
        </w:rPr>
        <w:t>解读</w:t>
      </w:r>
      <w:r>
        <w:rPr>
          <w:rFonts w:hint="default" w:ascii="Times New Roman" w:hAnsi="Times New Roman" w:eastAsia="仿宋_GB2312" w:cs="Times New Roman"/>
          <w:spacing w:val="0"/>
          <w:sz w:val="32"/>
          <w:szCs w:val="32"/>
          <w:lang w:eastAsia="zh-CN"/>
        </w:rPr>
        <w:t>，利用文登医保</w:t>
      </w:r>
      <w:r>
        <w:rPr>
          <w:rFonts w:hint="default" w:ascii="Times New Roman" w:hAnsi="Times New Roman" w:eastAsia="仿宋_GB2312" w:cs="Times New Roman"/>
          <w:spacing w:val="0"/>
          <w:sz w:val="32"/>
          <w:szCs w:val="32"/>
        </w:rPr>
        <w:t>公众号</w:t>
      </w:r>
      <w:r>
        <w:rPr>
          <w:rFonts w:hint="default" w:ascii="Times New Roman" w:hAnsi="Times New Roman" w:eastAsia="仿宋_GB2312" w:cs="Times New Roman"/>
          <w:spacing w:val="0"/>
          <w:sz w:val="32"/>
          <w:szCs w:val="32"/>
          <w:lang w:eastAsia="zh-CN"/>
        </w:rPr>
        <w:t>、媒体投稿</w:t>
      </w:r>
      <w:r>
        <w:rPr>
          <w:rFonts w:hint="default" w:ascii="Times New Roman" w:hAnsi="Times New Roman" w:eastAsia="仿宋_GB2312" w:cs="Times New Roman"/>
          <w:spacing w:val="0"/>
          <w:sz w:val="32"/>
          <w:szCs w:val="32"/>
        </w:rPr>
        <w:t>等多种形式，主动、及时、准确发布政策解读，回应社会各界关切。</w:t>
      </w:r>
    </w:p>
    <w:p>
      <w:pPr>
        <w:keepNext w:val="0"/>
        <w:keepLines w:val="0"/>
        <w:pageBreakBefore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2020年，我局共主动公开政府信息</w:t>
      </w:r>
      <w:r>
        <w:rPr>
          <w:rFonts w:hint="eastAsia" w:eastAsia="仿宋_GB2312" w:cs="Times New Roman"/>
          <w:color w:val="000000"/>
          <w:sz w:val="32"/>
          <w:szCs w:val="32"/>
          <w:lang w:val="en-US" w:eastAsia="zh-CN"/>
        </w:rPr>
        <w:t>153</w:t>
      </w:r>
      <w:r>
        <w:rPr>
          <w:rFonts w:hint="default" w:ascii="Times New Roman" w:hAnsi="Times New Roman" w:eastAsia="仿宋_GB2312" w:cs="Times New Roman"/>
          <w:color w:val="000000"/>
          <w:sz w:val="32"/>
          <w:szCs w:val="32"/>
          <w:lang w:val="en-US" w:eastAsia="zh-CN"/>
        </w:rPr>
        <w:t>条。从内容分类看，公告公示5条，工作动态1</w:t>
      </w:r>
      <w:r>
        <w:rPr>
          <w:rFonts w:hint="eastAsia" w:eastAsia="仿宋_GB2312" w:cs="Times New Roman"/>
          <w:color w:val="000000"/>
          <w:sz w:val="32"/>
          <w:szCs w:val="32"/>
          <w:lang w:val="en-US" w:eastAsia="zh-CN"/>
        </w:rPr>
        <w:t>18</w:t>
      </w:r>
      <w:r>
        <w:rPr>
          <w:rFonts w:hint="default" w:ascii="Times New Roman" w:hAnsi="Times New Roman" w:eastAsia="仿宋_GB2312" w:cs="Times New Roman"/>
          <w:color w:val="000000"/>
          <w:sz w:val="32"/>
          <w:szCs w:val="32"/>
          <w:lang w:val="en-US" w:eastAsia="zh-CN"/>
        </w:rPr>
        <w:t>条，信息公开指南1条，政策文件6条，政策解读6条，重点领域信息公开</w:t>
      </w:r>
      <w:r>
        <w:rPr>
          <w:rFonts w:hint="eastAsia" w:eastAsia="仿宋_GB2312" w:cs="Times New Roman"/>
          <w:color w:val="000000"/>
          <w:sz w:val="32"/>
          <w:szCs w:val="32"/>
          <w:lang w:val="en-US" w:eastAsia="zh-CN"/>
        </w:rPr>
        <w:t>13</w:t>
      </w:r>
      <w:r>
        <w:rPr>
          <w:rFonts w:hint="default" w:ascii="Times New Roman" w:hAnsi="Times New Roman" w:eastAsia="仿宋_GB2312" w:cs="Times New Roman"/>
          <w:color w:val="000000"/>
          <w:sz w:val="32"/>
          <w:szCs w:val="32"/>
          <w:lang w:val="en-US" w:eastAsia="zh-CN"/>
        </w:rPr>
        <w:t>条，执行公开3条，</w:t>
      </w:r>
      <w:r>
        <w:rPr>
          <w:rFonts w:hint="eastAsia" w:eastAsia="仿宋_GB2312" w:cs="Times New Roman"/>
          <w:color w:val="000000"/>
          <w:sz w:val="32"/>
          <w:szCs w:val="32"/>
          <w:lang w:val="en-US" w:eastAsia="zh-CN"/>
        </w:rPr>
        <w:t>服务</w:t>
      </w:r>
      <w:r>
        <w:rPr>
          <w:rFonts w:hint="default" w:ascii="Times New Roman" w:hAnsi="Times New Roman" w:eastAsia="仿宋_GB2312" w:cs="Times New Roman"/>
          <w:color w:val="000000"/>
          <w:sz w:val="32"/>
          <w:szCs w:val="32"/>
          <w:lang w:val="en-US" w:eastAsia="zh-CN"/>
        </w:rPr>
        <w:t>公开1条。</w:t>
      </w:r>
    </w:p>
    <w:p>
      <w:pPr>
        <w:keepNext w:val="0"/>
        <w:keepLines w:val="0"/>
        <w:pageBreakBefore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lang w:val="en-US" w:eastAsia="zh-CN"/>
        </w:rPr>
      </w:pPr>
    </w:p>
    <w:p>
      <w:pPr>
        <w:keepNext w:val="0"/>
        <w:keepLines w:val="0"/>
        <w:pageBreakBefore w:val="0"/>
        <w:kinsoku/>
        <w:wordWrap/>
        <w:overflowPunct/>
        <w:topLinePunct w:val="0"/>
        <w:autoSpaceDE w:val="0"/>
        <w:autoSpaceDN/>
        <w:bidi w:val="0"/>
        <w:adjustRightInd/>
        <w:snapToGrid/>
        <w:spacing w:line="560" w:lineRule="exact"/>
        <w:ind w:firstLine="640" w:firstLineChars="200"/>
        <w:textAlignment w:val="auto"/>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lang w:eastAsia="zh-CN"/>
        </w:rPr>
        <w:drawing>
          <wp:anchor distT="0" distB="0" distL="114300" distR="114300" simplePos="0" relativeHeight="251659264" behindDoc="0" locked="0" layoutInCell="1" allowOverlap="1">
            <wp:simplePos x="0" y="0"/>
            <wp:positionH relativeFrom="column">
              <wp:posOffset>85090</wp:posOffset>
            </wp:positionH>
            <wp:positionV relativeFrom="page">
              <wp:posOffset>5192395</wp:posOffset>
            </wp:positionV>
            <wp:extent cx="5579110" cy="4261485"/>
            <wp:effectExtent l="0" t="0" r="2540" b="5715"/>
            <wp:wrapTopAndBottom/>
            <wp:docPr id="3" name="图片 3" descr="动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动态"/>
                    <pic:cNvPicPr>
                      <a:picLocks noChangeAspect="1"/>
                    </pic:cNvPicPr>
                  </pic:nvPicPr>
                  <pic:blipFill>
                    <a:blip r:embed="rId4"/>
                    <a:stretch>
                      <a:fillRect/>
                    </a:stretch>
                  </pic:blipFill>
                  <pic:spPr>
                    <a:xfrm>
                      <a:off x="0" y="0"/>
                      <a:ext cx="5579110" cy="4261485"/>
                    </a:xfrm>
                    <a:prstGeom prst="rect">
                      <a:avLst/>
                    </a:prstGeom>
                  </pic:spPr>
                </pic:pic>
              </a:graphicData>
            </a:graphic>
          </wp:anchor>
        </w:drawing>
      </w:r>
      <w:r>
        <w:drawing>
          <wp:anchor distT="0" distB="0" distL="114300" distR="114300" simplePos="0" relativeHeight="251660288" behindDoc="0" locked="0" layoutInCell="1" allowOverlap="1">
            <wp:simplePos x="0" y="0"/>
            <wp:positionH relativeFrom="column">
              <wp:posOffset>268605</wp:posOffset>
            </wp:positionH>
            <wp:positionV relativeFrom="page">
              <wp:posOffset>1485900</wp:posOffset>
            </wp:positionV>
            <wp:extent cx="5114925" cy="3733800"/>
            <wp:effectExtent l="0" t="0" r="9525" b="0"/>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stretch>
                      <a:fillRect/>
                    </a:stretch>
                  </pic:blipFill>
                  <pic:spPr>
                    <a:xfrm>
                      <a:off x="0" y="0"/>
                      <a:ext cx="5114925" cy="3733800"/>
                    </a:xfrm>
                    <a:prstGeom prst="rect">
                      <a:avLst/>
                    </a:prstGeom>
                    <a:noFill/>
                    <a:ln>
                      <a:noFill/>
                    </a:ln>
                  </pic:spPr>
                </pic:pic>
              </a:graphicData>
            </a:graphic>
          </wp:anchor>
        </w:drawing>
      </w:r>
      <w:bookmarkStart w:id="0" w:name="_GoBack"/>
      <w:bookmarkEnd w:id="0"/>
    </w:p>
    <w:p>
      <w:pPr>
        <w:pStyle w:val="4"/>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pacing w:val="0"/>
          <w:sz w:val="32"/>
          <w:szCs w:val="32"/>
        </w:rPr>
        <w:t>（二）依申请公开</w:t>
      </w:r>
      <w:r>
        <w:rPr>
          <w:rFonts w:hint="eastAsia" w:ascii="楷体_GB2312" w:hAnsi="楷体_GB2312" w:eastAsia="楷体_GB2312" w:cs="楷体_GB2312"/>
          <w:spacing w:val="0"/>
          <w:sz w:val="32"/>
          <w:szCs w:val="32"/>
          <w:lang w:eastAsia="zh-CN"/>
        </w:rPr>
        <w:t>政府信息</w:t>
      </w:r>
      <w:r>
        <w:rPr>
          <w:rFonts w:hint="eastAsia" w:ascii="楷体_GB2312" w:hAnsi="楷体_GB2312" w:eastAsia="楷体_GB2312" w:cs="楷体_GB2312"/>
          <w:spacing w:val="0"/>
          <w:sz w:val="32"/>
          <w:szCs w:val="32"/>
        </w:rPr>
        <w:t>情况</w:t>
      </w:r>
    </w:p>
    <w:p>
      <w:pPr>
        <w:pStyle w:val="4"/>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pacing w:val="0"/>
          <w:sz w:val="32"/>
          <w:szCs w:val="32"/>
        </w:rPr>
        <w:t>2020年，</w:t>
      </w:r>
      <w:r>
        <w:rPr>
          <w:rFonts w:hint="default" w:ascii="Times New Roman" w:hAnsi="Times New Roman" w:eastAsia="仿宋_GB2312" w:cs="Times New Roman"/>
          <w:kern w:val="0"/>
          <w:sz w:val="32"/>
          <w:szCs w:val="32"/>
          <w:lang w:eastAsia="zh-CN"/>
        </w:rPr>
        <w:t>我局收到政府信息公开申请</w:t>
      </w:r>
      <w:r>
        <w:rPr>
          <w:rFonts w:hint="default" w:ascii="Times New Roman" w:hAnsi="Times New Roman" w:eastAsia="仿宋_GB2312" w:cs="Times New Roman"/>
          <w:kern w:val="0"/>
          <w:sz w:val="32"/>
          <w:szCs w:val="32"/>
          <w:lang w:val="en-US" w:eastAsia="zh-CN"/>
        </w:rPr>
        <w:t>2件，均按时予以答复</w:t>
      </w:r>
      <w:r>
        <w:rPr>
          <w:rFonts w:hint="default" w:ascii="Times New Roman" w:hAnsi="Times New Roman" w:eastAsia="仿宋_GB2312" w:cs="Times New Roman"/>
          <w:kern w:val="0"/>
          <w:sz w:val="32"/>
          <w:szCs w:val="32"/>
          <w:lang w:eastAsia="zh-CN"/>
        </w:rPr>
        <w:t>。</w:t>
      </w:r>
    </w:p>
    <w:p>
      <w:pPr>
        <w:pStyle w:val="4"/>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pacing w:val="0"/>
          <w:sz w:val="32"/>
          <w:szCs w:val="32"/>
        </w:rPr>
        <w:t>（三）政府信息管理情况</w:t>
      </w:r>
    </w:p>
    <w:p>
      <w:pPr>
        <w:pStyle w:val="4"/>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3D3D3D"/>
          <w:spacing w:val="0"/>
          <w:sz w:val="32"/>
          <w:szCs w:val="32"/>
        </w:rPr>
        <w:t>根据</w:t>
      </w:r>
      <w:r>
        <w:rPr>
          <w:rFonts w:hint="default" w:ascii="Times New Roman" w:hAnsi="Times New Roman" w:eastAsia="仿宋_GB2312" w:cs="Times New Roman"/>
          <w:color w:val="3D3D3D"/>
          <w:spacing w:val="0"/>
          <w:sz w:val="32"/>
          <w:szCs w:val="32"/>
          <w:lang w:eastAsia="zh-CN"/>
        </w:rPr>
        <w:t>我局</w:t>
      </w:r>
      <w:r>
        <w:rPr>
          <w:rFonts w:hint="default" w:ascii="Times New Roman" w:hAnsi="Times New Roman" w:eastAsia="仿宋_GB2312" w:cs="Times New Roman"/>
          <w:color w:val="3D3D3D"/>
          <w:spacing w:val="0"/>
          <w:sz w:val="32"/>
          <w:szCs w:val="32"/>
        </w:rPr>
        <w:t>人员变动</w:t>
      </w:r>
      <w:r>
        <w:rPr>
          <w:rFonts w:hint="default" w:ascii="Times New Roman" w:hAnsi="Times New Roman" w:eastAsia="仿宋_GB2312" w:cs="Times New Roman"/>
          <w:color w:val="3D3D3D"/>
          <w:spacing w:val="0"/>
          <w:sz w:val="32"/>
          <w:szCs w:val="32"/>
          <w:lang w:eastAsia="zh-CN"/>
        </w:rPr>
        <w:t>情况</w:t>
      </w:r>
      <w:r>
        <w:rPr>
          <w:rFonts w:hint="default" w:ascii="Times New Roman" w:hAnsi="Times New Roman" w:eastAsia="仿宋_GB2312" w:cs="Times New Roman"/>
          <w:spacing w:val="0"/>
          <w:sz w:val="32"/>
          <w:szCs w:val="32"/>
        </w:rPr>
        <w:t>，</w:t>
      </w:r>
      <w:r>
        <w:rPr>
          <w:rFonts w:hint="default" w:ascii="Times New Roman" w:hAnsi="Times New Roman" w:eastAsia="仿宋_GB2312" w:cs="Times New Roman"/>
          <w:spacing w:val="0"/>
          <w:sz w:val="32"/>
          <w:szCs w:val="32"/>
          <w:lang w:eastAsia="zh-CN"/>
        </w:rPr>
        <w:t>及时</w:t>
      </w:r>
      <w:r>
        <w:rPr>
          <w:rFonts w:hint="default" w:ascii="Times New Roman" w:hAnsi="Times New Roman" w:eastAsia="仿宋_GB2312" w:cs="Times New Roman"/>
          <w:spacing w:val="0"/>
          <w:sz w:val="32"/>
          <w:szCs w:val="32"/>
        </w:rPr>
        <w:t>调整威海市文登区</w:t>
      </w:r>
      <w:r>
        <w:rPr>
          <w:rFonts w:hint="default" w:ascii="Times New Roman" w:hAnsi="Times New Roman" w:eastAsia="仿宋_GB2312" w:cs="Times New Roman"/>
          <w:spacing w:val="0"/>
          <w:sz w:val="32"/>
          <w:szCs w:val="32"/>
          <w:lang w:eastAsia="zh-CN"/>
        </w:rPr>
        <w:t>医疗保障</w:t>
      </w:r>
      <w:r>
        <w:rPr>
          <w:rFonts w:hint="default" w:ascii="Times New Roman" w:hAnsi="Times New Roman" w:eastAsia="仿宋_GB2312" w:cs="Times New Roman"/>
          <w:spacing w:val="0"/>
          <w:sz w:val="32"/>
          <w:szCs w:val="32"/>
        </w:rPr>
        <w:t>局信息公开工作领导小组</w:t>
      </w:r>
      <w:r>
        <w:rPr>
          <w:rFonts w:hint="default" w:ascii="Times New Roman" w:hAnsi="Times New Roman" w:eastAsia="仿宋_GB2312" w:cs="Times New Roman"/>
          <w:spacing w:val="0"/>
          <w:sz w:val="32"/>
          <w:szCs w:val="32"/>
          <w:lang w:eastAsia="zh-CN"/>
        </w:rPr>
        <w:t>成员</w:t>
      </w:r>
      <w:r>
        <w:rPr>
          <w:rFonts w:hint="default" w:ascii="Times New Roman" w:hAnsi="Times New Roman" w:eastAsia="仿宋_GB2312" w:cs="Times New Roman"/>
          <w:spacing w:val="0"/>
          <w:sz w:val="32"/>
          <w:szCs w:val="32"/>
        </w:rPr>
        <w:t>，配齐信息公开所需的办公设备，规范整理信息公开各类文件资料，安排2名工作人员负责政府信息公开工作，全局政务公开工作制度向制度化、规范化方向发展。</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pacing w:val="0"/>
          <w:sz w:val="32"/>
          <w:szCs w:val="32"/>
        </w:rPr>
        <w:t>建立健全政府信息公开保密审查制度和责任追究制度，成立了保密审查领导小组，规范审查程序，严格遵循遵循“谁主管、谁负责、谁公开、谁审查”的原则，逐级负责、层层把关。在确认所提交内容为可公开内容之后，再由专职人员对信息进行公开，形成了及时对拟定公开材料进行事前保密审查、事后监督检查的工作机制，确保涉密信息不公开，公开信息不涉密。</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pacing w:val="0"/>
          <w:sz w:val="32"/>
          <w:szCs w:val="32"/>
        </w:rPr>
        <w:t>（四）平台建设情况</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pacing w:val="0"/>
          <w:sz w:val="32"/>
          <w:szCs w:val="32"/>
        </w:rPr>
        <w:t>依托威海市文登区人民政府官网，建立和完善了信息发布与政务公开平台，定期发布</w:t>
      </w:r>
      <w:r>
        <w:rPr>
          <w:rFonts w:hint="default" w:ascii="Times New Roman" w:hAnsi="Times New Roman" w:eastAsia="仿宋_GB2312" w:cs="Times New Roman"/>
          <w:spacing w:val="0"/>
          <w:sz w:val="32"/>
          <w:szCs w:val="32"/>
          <w:lang w:eastAsia="zh-CN"/>
        </w:rPr>
        <w:t>医保</w:t>
      </w:r>
      <w:r>
        <w:rPr>
          <w:rFonts w:hint="default" w:ascii="Times New Roman" w:hAnsi="Times New Roman" w:eastAsia="仿宋_GB2312" w:cs="Times New Roman"/>
          <w:spacing w:val="0"/>
          <w:sz w:val="32"/>
          <w:szCs w:val="32"/>
        </w:rPr>
        <w:t>领域工作动态。同时，将主动公开与群众咨询公开相结合，着力提高行政透明度和办事效率。</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pacing w:val="0"/>
          <w:sz w:val="32"/>
          <w:szCs w:val="32"/>
        </w:rPr>
        <w:t>（五）监督保障情况</w:t>
      </w:r>
    </w:p>
    <w:p>
      <w:pPr>
        <w:pStyle w:val="4"/>
        <w:keepNext w:val="0"/>
        <w:keepLines w:val="0"/>
        <w:pageBreakBefore w:val="0"/>
        <w:widowControl/>
        <w:suppressLineNumbers w:val="0"/>
        <w:kinsoku/>
        <w:wordWrap/>
        <w:overflowPunct/>
        <w:topLinePunct w:val="0"/>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rPr>
        <w:t>结合工作实际对包括《政务信息依申请公开工作流程细则》等在内的政务公开制度进行了修改完善，拟定了年度政府信息公开工作方案和年度工作计划。根据工作开展情况，进一步修改完善了关于发布审核、保密管理、社会评议、考核评比和责任追究制度等。</w:t>
      </w:r>
    </w:p>
    <w:p>
      <w:pPr>
        <w:keepNext w:val="0"/>
        <w:keepLines w:val="0"/>
        <w:pageBreakBefore w:val="0"/>
        <w:widowControl/>
        <w:numPr>
          <w:ilvl w:val="0"/>
          <w:numId w:val="1"/>
        </w:numPr>
        <w:shd w:val="clear" w:color="auto" w:fill="FFFFFF"/>
        <w:kinsoku/>
        <w:wordWrap/>
        <w:overflowPunct/>
        <w:topLinePunct w:val="0"/>
        <w:autoSpaceDN/>
        <w:bidi w:val="0"/>
        <w:adjustRightInd/>
        <w:snapToGrid/>
        <w:spacing w:line="560" w:lineRule="exact"/>
        <w:ind w:left="786" w:leftChars="0" w:firstLine="0" w:firstLineChars="0"/>
        <w:textAlignment w:val="auto"/>
        <w:rPr>
          <w:rFonts w:hint="default" w:ascii="黑体" w:hAnsi="黑体" w:eastAsia="黑体" w:cs="黑体"/>
          <w:color w:val="333333"/>
          <w:kern w:val="0"/>
          <w:sz w:val="32"/>
          <w:szCs w:val="32"/>
        </w:rPr>
      </w:pPr>
      <w:r>
        <w:rPr>
          <w:rFonts w:hint="default" w:ascii="黑体" w:hAnsi="黑体" w:eastAsia="黑体" w:cs="黑体"/>
          <w:color w:val="333333"/>
          <w:kern w:val="0"/>
          <w:sz w:val="32"/>
          <w:szCs w:val="32"/>
        </w:rPr>
        <w:t>主动公开政府信息情况</w:t>
      </w:r>
    </w:p>
    <w:tbl>
      <w:tblPr>
        <w:tblStyle w:val="5"/>
        <w:tblW w:w="8140" w:type="dxa"/>
        <w:jc w:val="center"/>
        <w:tblLayout w:type="autofit"/>
        <w:tblCellMar>
          <w:top w:w="0" w:type="dxa"/>
          <w:left w:w="0" w:type="dxa"/>
          <w:bottom w:w="0" w:type="dxa"/>
          <w:right w:w="0" w:type="dxa"/>
        </w:tblCellMar>
      </w:tblPr>
      <w:tblGrid>
        <w:gridCol w:w="3113"/>
        <w:gridCol w:w="1875"/>
        <w:gridCol w:w="6"/>
        <w:gridCol w:w="1265"/>
        <w:gridCol w:w="1881"/>
      </w:tblGrid>
      <w:tr>
        <w:tblPrEx>
          <w:tblCellMar>
            <w:top w:w="0" w:type="dxa"/>
            <w:left w:w="0" w:type="dxa"/>
            <w:bottom w:w="0" w:type="dxa"/>
            <w:right w:w="0"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第二十条第（一）项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本年新</w:t>
            </w:r>
            <w:r>
              <w:rPr>
                <w:rFonts w:hint="default" w:ascii="Times New Roman" w:hAnsi="Times New Roman" w:cs="Times New Roman"/>
                <w:color w:val="000000"/>
                <w:kern w:val="0"/>
                <w:sz w:val="20"/>
                <w:szCs w:val="20"/>
              </w:rPr>
              <w:br w:type="textWrapping"/>
            </w:r>
            <w:r>
              <w:rPr>
                <w:rFonts w:hint="default" w:ascii="Times New Roman" w:hAnsi="Times New Roman" w:cs="Times New Roman"/>
                <w:kern w:val="0"/>
                <w:sz w:val="20"/>
                <w:szCs w:val="20"/>
              </w:rPr>
              <w:t>制作数量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本年新</w:t>
            </w:r>
            <w:r>
              <w:rPr>
                <w:rFonts w:hint="default" w:ascii="Times New Roman" w:hAnsi="Times New Roman" w:cs="Times New Roman"/>
                <w:color w:val="000000"/>
                <w:kern w:val="0"/>
                <w:sz w:val="20"/>
                <w:szCs w:val="20"/>
              </w:rPr>
              <w:br w:type="textWrapping"/>
            </w:r>
            <w:r>
              <w:rPr>
                <w:rFonts w:hint="default" w:ascii="Times New Roman" w:hAnsi="Times New Roman" w:cs="Times New Roman"/>
                <w:kern w:val="0"/>
                <w:sz w:val="20"/>
                <w:szCs w:val="20"/>
              </w:rPr>
              <w:t>公开数量</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对外公开总数量</w:t>
            </w:r>
          </w:p>
        </w:tc>
      </w:tr>
      <w:tr>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cs="Times New Roman"/>
                <w:color w:val="000000"/>
                <w:kern w:val="0"/>
                <w:sz w:val="20"/>
                <w:szCs w:val="20"/>
              </w:rPr>
              <w:t>规章</w:t>
            </w:r>
          </w:p>
        </w:tc>
        <w:tc>
          <w:tcPr>
            <w:tcW w:w="1875"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cs="Times New Roman"/>
                <w:color w:val="auto"/>
                <w:kern w:val="0"/>
                <w:sz w:val="20"/>
                <w:szCs w:val="20"/>
                <w:u w:val="none"/>
                <w:lang w:val="en-US" w:eastAsia="zh-CN"/>
              </w:rPr>
            </w:pPr>
            <w:r>
              <w:rPr>
                <w:rFonts w:hint="eastAsia" w:cs="Times New Roman"/>
                <w:color w:val="auto"/>
                <w:kern w:val="0"/>
                <w:sz w:val="20"/>
                <w:szCs w:val="20"/>
                <w:u w:val="none"/>
                <w:lang w:val="en-US" w:eastAsia="zh-CN"/>
              </w:rPr>
              <w:t>0</w:t>
            </w:r>
          </w:p>
        </w:tc>
        <w:tc>
          <w:tcPr>
            <w:tcW w:w="127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cs="Times New Roman"/>
                <w:color w:val="auto"/>
                <w:kern w:val="0"/>
                <w:sz w:val="20"/>
                <w:szCs w:val="20"/>
                <w:u w:val="none"/>
                <w:lang w:val="en-US" w:eastAsia="zh-CN"/>
              </w:rPr>
            </w:pPr>
            <w:r>
              <w:rPr>
                <w:rFonts w:hint="eastAsia" w:cs="Times New Roman"/>
                <w:color w:val="auto"/>
                <w:kern w:val="0"/>
                <w:sz w:val="20"/>
                <w:szCs w:val="20"/>
                <w:u w:val="none"/>
                <w:lang w:val="en-US" w:eastAsia="zh-CN"/>
              </w:rPr>
              <w:t>0</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cs="Times New Roman"/>
                <w:color w:val="auto"/>
                <w:kern w:val="0"/>
                <w:sz w:val="20"/>
                <w:szCs w:val="20"/>
                <w:u w:val="none"/>
                <w:lang w:val="en-US" w:eastAsia="zh-CN"/>
              </w:rPr>
            </w:pPr>
            <w:r>
              <w:rPr>
                <w:rFonts w:hint="eastAsia" w:cs="Times New Roman"/>
                <w:color w:val="auto"/>
                <w:kern w:val="0"/>
                <w:sz w:val="20"/>
                <w:szCs w:val="20"/>
                <w:u w:val="none"/>
                <w:lang w:val="en-US" w:eastAsia="zh-CN"/>
              </w:rPr>
              <w:t>0</w:t>
            </w:r>
          </w:p>
        </w:tc>
      </w:tr>
      <w:tr>
        <w:tblPrEx>
          <w:tblCellMar>
            <w:top w:w="0" w:type="dxa"/>
            <w:left w:w="0" w:type="dxa"/>
            <w:bottom w:w="0" w:type="dxa"/>
            <w:right w:w="0" w:type="dxa"/>
          </w:tblCellMar>
        </w:tblPrEx>
        <w:trPr>
          <w:trHeight w:val="441"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cs="Times New Roman"/>
                <w:color w:val="000000"/>
                <w:kern w:val="0"/>
                <w:sz w:val="20"/>
                <w:szCs w:val="20"/>
              </w:rPr>
              <w:t>规范性文件</w:t>
            </w:r>
          </w:p>
        </w:tc>
        <w:tc>
          <w:tcPr>
            <w:tcW w:w="1875"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eastAsia" w:ascii="Times New Roman" w:hAnsi="Times New Roman" w:eastAsia="宋体" w:cs="Times New Roman"/>
                <w:color w:val="auto"/>
                <w:kern w:val="0"/>
                <w:sz w:val="24"/>
                <w:u w:val="none"/>
                <w:lang w:val="en-US" w:eastAsia="zh-CN"/>
              </w:rPr>
            </w:pPr>
            <w:r>
              <w:rPr>
                <w:rFonts w:hint="eastAsia" w:cs="Times New Roman"/>
                <w:color w:val="auto"/>
                <w:kern w:val="0"/>
                <w:sz w:val="20"/>
                <w:szCs w:val="20"/>
                <w:u w:val="none"/>
                <w:lang w:val="en-US" w:eastAsia="zh-CN"/>
              </w:rPr>
              <w:t>0</w:t>
            </w:r>
          </w:p>
        </w:tc>
        <w:tc>
          <w:tcPr>
            <w:tcW w:w="127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eastAsia="宋体" w:cs="Times New Roman"/>
                <w:color w:val="auto"/>
                <w:kern w:val="0"/>
                <w:sz w:val="24"/>
                <w:u w:val="none"/>
                <w:lang w:val="en-US" w:eastAsia="zh-CN"/>
              </w:rPr>
            </w:pPr>
            <w:r>
              <w:rPr>
                <w:rFonts w:hint="eastAsia" w:cs="Times New Roman"/>
                <w:color w:val="auto"/>
                <w:kern w:val="0"/>
                <w:sz w:val="20"/>
                <w:szCs w:val="20"/>
                <w:u w:val="none"/>
                <w:lang w:val="en-US" w:eastAsia="zh-CN"/>
              </w:rPr>
              <w:t>0</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eastAsia="宋体" w:cs="Times New Roman"/>
                <w:color w:val="auto"/>
                <w:kern w:val="0"/>
                <w:sz w:val="24"/>
                <w:u w:val="none"/>
                <w:lang w:val="en-US" w:eastAsia="zh-CN"/>
              </w:rPr>
            </w:pPr>
            <w:r>
              <w:rPr>
                <w:rFonts w:hint="eastAsia" w:cs="Times New Roman"/>
                <w:color w:val="auto"/>
                <w:kern w:val="0"/>
                <w:sz w:val="20"/>
                <w:szCs w:val="20"/>
                <w:u w:val="none"/>
                <w:lang w:val="en-US" w:eastAsia="zh-CN"/>
              </w:rPr>
              <w:t>2</w:t>
            </w:r>
          </w:p>
        </w:tc>
      </w:tr>
      <w:tr>
        <w:tblPrEx>
          <w:tblCellMar>
            <w:top w:w="0" w:type="dxa"/>
            <w:left w:w="0" w:type="dxa"/>
            <w:bottom w:w="0" w:type="dxa"/>
            <w:right w:w="0"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第二十条第（五）项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上一年项目数量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本年增/减</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cs="Times New Roman"/>
                <w:color w:val="000000"/>
                <w:kern w:val="0"/>
                <w:sz w:val="20"/>
                <w:szCs w:val="20"/>
              </w:rPr>
              <w:t>行政许可</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1265"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cs="Times New Roman"/>
                <w:color w:val="000000"/>
                <w:kern w:val="0"/>
                <w:sz w:val="20"/>
                <w:szCs w:val="20"/>
              </w:rPr>
              <w:t>其他对外管理服务事项</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13</w:t>
            </w:r>
          </w:p>
        </w:tc>
        <w:tc>
          <w:tcPr>
            <w:tcW w:w="1265"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第二十条第（六）项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上一年项目数量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本年增/减</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处理决定数量</w:t>
            </w:r>
          </w:p>
        </w:tc>
      </w:tr>
      <w:tr>
        <w:tblPrEx>
          <w:tblCellMar>
            <w:top w:w="0" w:type="dxa"/>
            <w:left w:w="0" w:type="dxa"/>
            <w:bottom w:w="0" w:type="dxa"/>
            <w:right w:w="0"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cs="Times New Roman"/>
                <w:color w:val="000000"/>
                <w:kern w:val="0"/>
                <w:sz w:val="20"/>
                <w:szCs w:val="20"/>
              </w:rPr>
              <w:t>行政处罚</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6</w:t>
            </w:r>
          </w:p>
        </w:tc>
        <w:tc>
          <w:tcPr>
            <w:tcW w:w="1265"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3</w:t>
            </w:r>
          </w:p>
        </w:tc>
      </w:tr>
      <w:tr>
        <w:tblPrEx>
          <w:tblCellMar>
            <w:top w:w="0" w:type="dxa"/>
            <w:left w:w="0" w:type="dxa"/>
            <w:bottom w:w="0" w:type="dxa"/>
            <w:right w:w="0"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cs="Times New Roman"/>
                <w:color w:val="000000"/>
                <w:kern w:val="0"/>
                <w:sz w:val="20"/>
                <w:szCs w:val="20"/>
              </w:rPr>
              <w:t>行政强制</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1</w:t>
            </w:r>
          </w:p>
        </w:tc>
        <w:tc>
          <w:tcPr>
            <w:tcW w:w="1265"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c>
          <w:tcPr>
            <w:tcW w:w="1881"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4"/>
                <w:lang w:val="en-US" w:eastAsia="zh-CN"/>
              </w:rPr>
            </w:pPr>
            <w:r>
              <w:rPr>
                <w:rFonts w:hint="eastAsia" w:cs="Times New Roman"/>
                <w:color w:val="000000"/>
                <w:kern w:val="0"/>
                <w:sz w:val="20"/>
                <w:szCs w:val="20"/>
                <w:lang w:val="en-US" w:eastAsia="zh-CN"/>
              </w:rPr>
              <w:t>0</w:t>
            </w:r>
          </w:p>
        </w:tc>
      </w:tr>
      <w:tr>
        <w:tblPrEx>
          <w:tblCellMar>
            <w:top w:w="0" w:type="dxa"/>
            <w:left w:w="0" w:type="dxa"/>
            <w:bottom w:w="0" w:type="dxa"/>
            <w:right w:w="0"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第二十条第（八）项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信息内容</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上一年项目数量</w:t>
            </w:r>
          </w:p>
        </w:tc>
        <w:tc>
          <w:tcPr>
            <w:tcW w:w="3146" w:type="dxa"/>
            <w:gridSpan w:val="2"/>
            <w:tcBorders>
              <w:top w:val="single" w:color="auto" w:sz="8" w:space="0"/>
              <w:left w:val="nil"/>
              <w:bottom w:val="single" w:color="auto" w:sz="8" w:space="0"/>
              <w:right w:val="single" w:color="000000"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本年增/减</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cs="Times New Roman"/>
                <w:color w:val="000000"/>
                <w:kern w:val="0"/>
                <w:sz w:val="20"/>
                <w:szCs w:val="20"/>
              </w:rPr>
              <w:t>行政事业性收费</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3146" w:type="dxa"/>
            <w:gridSpan w:val="2"/>
            <w:tcBorders>
              <w:top w:val="nil"/>
              <w:left w:val="nil"/>
              <w:bottom w:val="single" w:color="auto" w:sz="8" w:space="0"/>
              <w:right w:val="single" w:color="000000" w:sz="8" w:space="0"/>
            </w:tcBorders>
            <w:noWrap/>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第二十条第（九）项</w:t>
            </w:r>
          </w:p>
        </w:tc>
      </w:tr>
      <w:tr>
        <w:tblPrEx>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信息内容</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采购项目数量</w:t>
            </w:r>
          </w:p>
        </w:tc>
        <w:tc>
          <w:tcPr>
            <w:tcW w:w="3146" w:type="dxa"/>
            <w:gridSpan w:val="2"/>
            <w:tcBorders>
              <w:top w:val="single" w:color="auto" w:sz="8" w:space="0"/>
              <w:left w:val="nil"/>
              <w:bottom w:val="single" w:color="auto" w:sz="8" w:space="0"/>
              <w:right w:val="single" w:color="000000" w:sz="8" w:space="0"/>
            </w:tcBorders>
            <w:noWrap/>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采购总金额</w:t>
            </w:r>
          </w:p>
        </w:tc>
      </w:tr>
      <w:tr>
        <w:tblPrEx>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cs="Times New Roman"/>
                <w:color w:val="000000"/>
                <w:kern w:val="0"/>
                <w:sz w:val="20"/>
                <w:szCs w:val="20"/>
              </w:rPr>
              <w:t>政府集中采购</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widowControl/>
              <w:jc w:val="center"/>
              <w:rPr>
                <w:rFonts w:hint="default"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3146" w:type="dxa"/>
            <w:gridSpan w:val="2"/>
            <w:tcBorders>
              <w:top w:val="nil"/>
              <w:left w:val="nil"/>
              <w:bottom w:val="single" w:color="auto" w:sz="8" w:space="0"/>
              <w:right w:val="single" w:color="000000" w:sz="8" w:space="0"/>
            </w:tcBorders>
            <w:noWrap/>
            <w:tcMar>
              <w:top w:w="0" w:type="dxa"/>
              <w:left w:w="108" w:type="dxa"/>
              <w:bottom w:w="0" w:type="dxa"/>
              <w:right w:w="108" w:type="dxa"/>
            </w:tcMar>
            <w:vAlign w:val="center"/>
          </w:tcPr>
          <w:p>
            <w:pPr>
              <w:widowControl/>
              <w:jc w:val="center"/>
              <w:rPr>
                <w:rFonts w:hint="default"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bl>
    <w:p>
      <w:pPr>
        <w:widowControl/>
        <w:shd w:val="clear" w:color="auto" w:fill="FFFFFF"/>
        <w:rPr>
          <w:rFonts w:hint="default" w:ascii="Times New Roman" w:hAnsi="Times New Roman" w:cs="Times New Roman"/>
          <w:color w:val="333333"/>
          <w:kern w:val="0"/>
          <w:sz w:val="24"/>
        </w:rPr>
      </w:pP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480"/>
        <w:textAlignment w:val="auto"/>
        <w:rPr>
          <w:rFonts w:hint="eastAsia" w:ascii="黑体" w:hAnsi="黑体" w:eastAsia="黑体" w:cs="黑体"/>
          <w:color w:val="333333"/>
          <w:kern w:val="0"/>
          <w:sz w:val="32"/>
          <w:szCs w:val="32"/>
          <w:lang w:eastAsia="zh-CN"/>
        </w:rPr>
      </w:pPr>
      <w:r>
        <w:rPr>
          <w:rFonts w:hint="eastAsia" w:ascii="黑体" w:hAnsi="黑体" w:eastAsia="黑体" w:cs="黑体"/>
          <w:color w:val="333333"/>
          <w:kern w:val="0"/>
          <w:sz w:val="32"/>
          <w:szCs w:val="32"/>
          <w:lang w:eastAsia="zh-CN"/>
        </w:rPr>
        <w:t>三、</w:t>
      </w:r>
      <w:r>
        <w:rPr>
          <w:rFonts w:hint="default" w:ascii="黑体" w:hAnsi="黑体" w:eastAsia="黑体" w:cs="黑体"/>
          <w:color w:val="333333"/>
          <w:kern w:val="0"/>
          <w:sz w:val="32"/>
          <w:szCs w:val="32"/>
        </w:rPr>
        <w:t>收到和处理政府信息公开申请情况</w:t>
      </w:r>
    </w:p>
    <w:p>
      <w:pPr>
        <w:keepNext w:val="0"/>
        <w:keepLines w:val="0"/>
        <w:pageBreakBefore w:val="0"/>
        <w:widowControl/>
        <w:numPr>
          <w:ilvl w:val="0"/>
          <w:numId w:val="0"/>
        </w:numPr>
        <w:shd w:val="clear" w:color="auto" w:fill="FFFFFF"/>
        <w:kinsoku/>
        <w:wordWrap/>
        <w:overflowPunct/>
        <w:topLinePunct w:val="0"/>
        <w:autoSpaceDE/>
        <w:autoSpaceDN/>
        <w:bidi w:val="0"/>
        <w:adjustRightInd/>
        <w:snapToGrid/>
        <w:spacing w:line="560" w:lineRule="exact"/>
        <w:ind w:firstLine="640" w:firstLineChars="200"/>
        <w:textAlignment w:val="auto"/>
        <w:rPr>
          <w:rFonts w:hint="eastAsia" w:eastAsia="仿宋_GB2312"/>
          <w:kern w:val="0"/>
          <w:sz w:val="32"/>
          <w:szCs w:val="32"/>
          <w:lang w:eastAsia="zh-CN"/>
        </w:rPr>
      </w:pPr>
      <w:r>
        <w:rPr>
          <w:rFonts w:hint="eastAsia" w:eastAsia="仿宋_GB2312"/>
          <w:kern w:val="0"/>
          <w:sz w:val="32"/>
          <w:szCs w:val="32"/>
          <w:lang w:eastAsia="zh-CN"/>
        </w:rPr>
        <w:t>本年度我局收到政府信息公开申请</w:t>
      </w:r>
      <w:r>
        <w:rPr>
          <w:rFonts w:hint="eastAsia" w:eastAsia="仿宋_GB2312"/>
          <w:kern w:val="0"/>
          <w:sz w:val="32"/>
          <w:szCs w:val="32"/>
          <w:lang w:val="en-US" w:eastAsia="zh-CN"/>
        </w:rPr>
        <w:t>2件，均按时予以答复</w:t>
      </w:r>
      <w:r>
        <w:rPr>
          <w:rFonts w:hint="eastAsia" w:eastAsia="仿宋_GB2312"/>
          <w:kern w:val="0"/>
          <w:sz w:val="32"/>
          <w:szCs w:val="32"/>
          <w:lang w:eastAsia="zh-CN"/>
        </w:rPr>
        <w:t>。</w:t>
      </w:r>
    </w:p>
    <w:tbl>
      <w:tblPr>
        <w:tblStyle w:val="5"/>
        <w:tblW w:w="9071" w:type="dxa"/>
        <w:jc w:val="center"/>
        <w:tblLayout w:type="autofit"/>
        <w:tblCellMar>
          <w:top w:w="0" w:type="dxa"/>
          <w:left w:w="0" w:type="dxa"/>
          <w:bottom w:w="0" w:type="dxa"/>
          <w:right w:w="0" w:type="dxa"/>
        </w:tblCellMar>
      </w:tblPr>
      <w:tblGrid>
        <w:gridCol w:w="616"/>
        <w:gridCol w:w="854"/>
        <w:gridCol w:w="2084"/>
        <w:gridCol w:w="814"/>
        <w:gridCol w:w="755"/>
        <w:gridCol w:w="755"/>
        <w:gridCol w:w="814"/>
        <w:gridCol w:w="974"/>
        <w:gridCol w:w="711"/>
        <w:gridCol w:w="694"/>
      </w:tblGrid>
      <w:tr>
        <w:tblPrEx>
          <w:tblCellMar>
            <w:top w:w="0" w:type="dxa"/>
            <w:left w:w="0" w:type="dxa"/>
            <w:bottom w:w="0" w:type="dxa"/>
            <w:right w:w="0" w:type="dxa"/>
          </w:tblCellMar>
        </w:tblPrEx>
        <w:trPr>
          <w:jc w:val="center"/>
        </w:trPr>
        <w:tc>
          <w:tcPr>
            <w:tcW w:w="3479" w:type="dxa"/>
            <w:gridSpan w:val="3"/>
            <w:vMerge w:val="restart"/>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（本列数据的勾稽关系为：第一项加第二项之和，等于第三项加第四项之和）</w:t>
            </w:r>
          </w:p>
        </w:tc>
        <w:tc>
          <w:tcPr>
            <w:tcW w:w="5592" w:type="dxa"/>
            <w:gridSpan w:val="7"/>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申请人情况</w:t>
            </w:r>
          </w:p>
        </w:tc>
      </w:tr>
      <w:tr>
        <w:tblPrEx>
          <w:tblCellMar>
            <w:top w:w="0" w:type="dxa"/>
            <w:left w:w="0" w:type="dxa"/>
            <w:bottom w:w="0" w:type="dxa"/>
            <w:right w:w="0" w:type="dxa"/>
          </w:tblCellMar>
        </w:tblPrEx>
        <w:trPr>
          <w:jc w:val="center"/>
        </w:trPr>
        <w:tc>
          <w:tcPr>
            <w:tcW w:w="0" w:type="auto"/>
            <w:gridSpan w:val="3"/>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825"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自然人</w:t>
            </w:r>
          </w:p>
        </w:tc>
        <w:tc>
          <w:tcPr>
            <w:tcW w:w="4065"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法人或其他组织</w:t>
            </w:r>
          </w:p>
        </w:tc>
        <w:tc>
          <w:tcPr>
            <w:tcW w:w="702"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总计</w:t>
            </w:r>
          </w:p>
        </w:tc>
      </w:tr>
      <w:tr>
        <w:tblPrEx>
          <w:tblCellMar>
            <w:top w:w="0" w:type="dxa"/>
            <w:left w:w="0" w:type="dxa"/>
            <w:bottom w:w="0" w:type="dxa"/>
            <w:right w:w="0" w:type="dxa"/>
          </w:tblCellMar>
        </w:tblPrEx>
        <w:trPr>
          <w:jc w:val="center"/>
        </w:trPr>
        <w:tc>
          <w:tcPr>
            <w:tcW w:w="0" w:type="auto"/>
            <w:gridSpan w:val="3"/>
            <w:vMerge w:val="continue"/>
            <w:tcBorders>
              <w:top w:val="single" w:color="auto" w:sz="8" w:space="0"/>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商业企业</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科研机构</w:t>
            </w:r>
          </w:p>
        </w:tc>
        <w:tc>
          <w:tcPr>
            <w:tcW w:w="82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社会公益组织</w:t>
            </w:r>
          </w:p>
        </w:tc>
        <w:tc>
          <w:tcPr>
            <w:tcW w:w="990"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法律服务机构</w:t>
            </w:r>
          </w:p>
        </w:tc>
        <w:tc>
          <w:tcPr>
            <w:tcW w:w="720"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其他</w:t>
            </w:r>
          </w:p>
        </w:tc>
        <w:tc>
          <w:tcPr>
            <w:tcW w:w="0" w:type="auto"/>
            <w:vMerge w:val="continue"/>
            <w:tcBorders>
              <w:top w:val="single" w:color="auto" w:sz="8" w:space="0"/>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r>
      <w:tr>
        <w:tblPrEx>
          <w:tblCellMar>
            <w:top w:w="0" w:type="dxa"/>
            <w:left w:w="0" w:type="dxa"/>
            <w:bottom w:w="0" w:type="dxa"/>
            <w:right w:w="0" w:type="dxa"/>
          </w:tblCellMar>
        </w:tblPrEx>
        <w:trPr>
          <w:jc w:val="center"/>
        </w:trPr>
        <w:tc>
          <w:tcPr>
            <w:tcW w:w="3479"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cs="Times New Roman"/>
                <w:kern w:val="0"/>
                <w:sz w:val="20"/>
                <w:szCs w:val="20"/>
              </w:rPr>
              <w:t>一、本年新收政府信息公开申请数量</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2</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2</w:t>
            </w:r>
          </w:p>
        </w:tc>
      </w:tr>
      <w:tr>
        <w:tblPrEx>
          <w:tblCellMar>
            <w:top w:w="0" w:type="dxa"/>
            <w:left w:w="0" w:type="dxa"/>
            <w:bottom w:w="0" w:type="dxa"/>
            <w:right w:w="0" w:type="dxa"/>
          </w:tblCellMar>
        </w:tblPrEx>
        <w:trPr>
          <w:jc w:val="center"/>
        </w:trPr>
        <w:tc>
          <w:tcPr>
            <w:tcW w:w="3479"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cs="Times New Roman"/>
                <w:kern w:val="0"/>
                <w:sz w:val="20"/>
                <w:szCs w:val="20"/>
              </w:rPr>
              <w:t>二、上年结转政府信息公开申请数量</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494" w:type="dxa"/>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三、本年度办理结果</w:t>
            </w:r>
          </w:p>
        </w:tc>
        <w:tc>
          <w:tcPr>
            <w:tcW w:w="2985"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（一）予以公开</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eastAsia="zh-CN"/>
              </w:rPr>
            </w:pPr>
            <w:r>
              <w:rPr>
                <w:rFonts w:hint="eastAsia" w:cs="Times New Roman"/>
                <w:kern w:val="0"/>
                <w:sz w:val="20"/>
                <w:szCs w:val="20"/>
                <w:lang w:val="en-US" w:eastAsia="zh-CN"/>
              </w:rPr>
              <w:t>2</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2</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985"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（二）部分公开（区分处理的，只计这一情形，不计其他情形）</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855"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（三）不予公开</w:t>
            </w: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1.属于国家秘密</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02"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2.其他法律行政法规禁止公开</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3.危及“三安全一稳定”</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4.保护第三方合法权益</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5.属于三类内部事务信息</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6.属于四类过程性信息</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7.属于行政执法案卷</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8.属于行政查询事项</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855"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（四）无法提供</w:t>
            </w: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1.本机关不掌握相关政府信息</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2.没有现成信息需要另行制作</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3.补正后申请内容仍不明确</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855"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（五）不予处理</w:t>
            </w: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1.信访举报投诉类申请</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2.重复申请</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3.要求提供公开出版物</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4.无正当理由大量反复申请</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13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eastAsia" w:ascii="Times New Roman" w:hAnsi="Times New Roman" w:eastAsia="楷体" w:cs="Times New Roman"/>
                <w:kern w:val="0"/>
                <w:sz w:val="24"/>
                <w:lang w:val="en-US" w:eastAsia="zh-CN"/>
              </w:rPr>
            </w:pPr>
            <w:r>
              <w:rPr>
                <w:rFonts w:hint="default" w:ascii="Times New Roman" w:hAnsi="Times New Roman" w:eastAsia="楷体" w:cs="Times New Roman"/>
                <w:kern w:val="0"/>
                <w:sz w:val="20"/>
                <w:szCs w:val="20"/>
              </w:rPr>
              <w:t>5.要求行政机关确认或重新出具已获取信息</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985"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（六）其他处理</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2985"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eastAsia="楷体" w:cs="Times New Roman"/>
                <w:kern w:val="0"/>
                <w:sz w:val="20"/>
                <w:szCs w:val="20"/>
              </w:rPr>
              <w:t>（七）总计</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2</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2</w:t>
            </w:r>
          </w:p>
        </w:tc>
      </w:tr>
      <w:tr>
        <w:tblPrEx>
          <w:tblCellMar>
            <w:top w:w="0" w:type="dxa"/>
            <w:left w:w="0" w:type="dxa"/>
            <w:bottom w:w="0" w:type="dxa"/>
            <w:right w:w="0" w:type="dxa"/>
          </w:tblCellMar>
        </w:tblPrEx>
        <w:trPr>
          <w:jc w:val="center"/>
        </w:trPr>
        <w:tc>
          <w:tcPr>
            <w:tcW w:w="3479"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left"/>
              <w:rPr>
                <w:rFonts w:hint="default" w:ascii="Times New Roman" w:hAnsi="Times New Roman" w:cs="Times New Roman"/>
                <w:kern w:val="0"/>
                <w:sz w:val="24"/>
              </w:rPr>
            </w:pPr>
            <w:r>
              <w:rPr>
                <w:rFonts w:hint="default" w:ascii="Times New Roman" w:hAnsi="Times New Roman" w:cs="Times New Roman"/>
                <w:kern w:val="0"/>
                <w:sz w:val="20"/>
                <w:szCs w:val="20"/>
              </w:rPr>
              <w:t>四、结转下年度继续办理</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6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82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99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72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p>
        </w:tc>
        <w:tc>
          <w:tcPr>
            <w:tcW w:w="702"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bl>
    <w:p>
      <w:pPr>
        <w:widowControl/>
        <w:shd w:val="clear" w:color="auto" w:fill="FFFFFF"/>
        <w:ind w:firstLine="480"/>
        <w:rPr>
          <w:rFonts w:hint="default" w:ascii="Times New Roman" w:hAnsi="Times New Roman" w:cs="Times New Roman"/>
          <w:color w:val="333333"/>
          <w:kern w:val="0"/>
          <w:sz w:val="24"/>
        </w:rPr>
      </w:pPr>
    </w:p>
    <w:p>
      <w:pPr>
        <w:keepNext w:val="0"/>
        <w:keepLines w:val="0"/>
        <w:pageBreakBefore w:val="0"/>
        <w:widowControl/>
        <w:shd w:val="clear" w:color="auto" w:fill="FFFFFF"/>
        <w:kinsoku/>
        <w:wordWrap/>
        <w:overflowPunct/>
        <w:topLinePunct w:val="0"/>
        <w:autoSpaceDN/>
        <w:bidi w:val="0"/>
        <w:adjustRightInd/>
        <w:snapToGrid/>
        <w:spacing w:line="560" w:lineRule="exact"/>
        <w:ind w:firstLine="480"/>
        <w:textAlignment w:val="auto"/>
        <w:rPr>
          <w:rFonts w:hint="default" w:ascii="黑体" w:hAnsi="黑体" w:eastAsia="黑体" w:cs="黑体"/>
          <w:color w:val="333333"/>
          <w:kern w:val="0"/>
          <w:sz w:val="32"/>
          <w:szCs w:val="32"/>
        </w:rPr>
      </w:pPr>
      <w:r>
        <w:rPr>
          <w:rFonts w:hint="default" w:ascii="黑体" w:hAnsi="黑体" w:eastAsia="黑体" w:cs="黑体"/>
          <w:color w:val="333333"/>
          <w:kern w:val="0"/>
          <w:sz w:val="32"/>
          <w:szCs w:val="32"/>
        </w:rPr>
        <w:t>四、政府信息公开行政复议、行政诉讼情况</w:t>
      </w:r>
    </w:p>
    <w:p>
      <w:pPr>
        <w:keepNext w:val="0"/>
        <w:keepLines w:val="0"/>
        <w:pageBreakBefore w:val="0"/>
        <w:kinsoku/>
        <w:wordWrap/>
        <w:overflowPunct/>
        <w:topLinePunct w:val="0"/>
        <w:autoSpaceDE w:val="0"/>
        <w:autoSpaceDN/>
        <w:bidi w:val="0"/>
        <w:adjustRightInd/>
        <w:snapToGrid/>
        <w:spacing w:line="560" w:lineRule="exact"/>
        <w:ind w:firstLine="640" w:firstLineChars="200"/>
        <w:textAlignment w:val="auto"/>
        <w:rPr>
          <w:rFonts w:hint="eastAsia" w:eastAsia="仿宋_GB2312"/>
          <w:kern w:val="0"/>
          <w:sz w:val="32"/>
          <w:szCs w:val="32"/>
          <w:lang w:eastAsia="zh-CN"/>
        </w:rPr>
      </w:pPr>
      <w:r>
        <w:rPr>
          <w:rFonts w:hint="eastAsia" w:eastAsia="仿宋_GB2312"/>
          <w:kern w:val="0"/>
          <w:sz w:val="32"/>
          <w:szCs w:val="32"/>
          <w:lang w:eastAsia="zh-CN"/>
        </w:rPr>
        <w:t>本年度我局没有行政复议、行政诉讼情况。</w:t>
      </w:r>
    </w:p>
    <w:tbl>
      <w:tblPr>
        <w:tblStyle w:val="5"/>
        <w:tblW w:w="9071" w:type="dxa"/>
        <w:jc w:val="center"/>
        <w:tblLayout w:type="autofit"/>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行政诉讼</w:t>
            </w:r>
          </w:p>
        </w:tc>
      </w:tr>
      <w:tr>
        <w:tblPrEx>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结果维持</w:t>
            </w:r>
          </w:p>
        </w:tc>
        <w:tc>
          <w:tcPr>
            <w:tcW w:w="60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尚未审结</w:t>
            </w:r>
          </w:p>
        </w:tc>
        <w:tc>
          <w:tcPr>
            <w:tcW w:w="658"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总计</w:t>
            </w:r>
          </w:p>
        </w:tc>
        <w:tc>
          <w:tcPr>
            <w:tcW w:w="2970"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复议后起诉</w:t>
            </w:r>
          </w:p>
        </w:tc>
      </w:tr>
      <w:tr>
        <w:tblPrEx>
          <w:tblCellMar>
            <w:top w:w="0" w:type="dxa"/>
            <w:left w:w="0" w:type="dxa"/>
            <w:bottom w:w="0" w:type="dxa"/>
            <w:right w:w="0" w:type="dxa"/>
          </w:tblCellMar>
        </w:tblPrEx>
        <w:trPr>
          <w:jc w:val="center"/>
        </w:trPr>
        <w:tc>
          <w:tcPr>
            <w:tcW w:w="0" w:type="auto"/>
            <w:vMerge w:val="continue"/>
            <w:tcBorders>
              <w:top w:val="nil"/>
              <w:left w:val="single" w:color="auto" w:sz="8" w:space="0"/>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nil"/>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single" w:color="auto" w:sz="8" w:space="0"/>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single" w:color="auto" w:sz="8" w:space="0"/>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0" w:type="auto"/>
            <w:vMerge w:val="continue"/>
            <w:tcBorders>
              <w:top w:val="single" w:color="auto" w:sz="8" w:space="0"/>
              <w:left w:val="nil"/>
              <w:bottom w:val="single" w:color="auto" w:sz="8" w:space="0"/>
              <w:right w:val="single" w:color="auto" w:sz="8" w:space="0"/>
            </w:tcBorders>
            <w:vAlign w:val="center"/>
          </w:tcPr>
          <w:p>
            <w:pPr>
              <w:widowControl/>
              <w:jc w:val="left"/>
              <w:rPr>
                <w:rFonts w:hint="default" w:ascii="Times New Roman" w:hAnsi="Times New Roman" w:cs="Times New Roman"/>
                <w:kern w:val="0"/>
                <w:sz w:val="24"/>
              </w:rPr>
            </w:pPr>
          </w:p>
        </w:tc>
        <w:tc>
          <w:tcPr>
            <w:tcW w:w="55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结果维持</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其他结果</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尚未审结</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总计</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其他结果</w:t>
            </w:r>
          </w:p>
        </w:tc>
        <w:tc>
          <w:tcPr>
            <w:tcW w:w="606"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4"/>
              </w:rPr>
            </w:pPr>
            <w:r>
              <w:rPr>
                <w:rFonts w:hint="default" w:ascii="Times New Roman" w:hAnsi="Times New Roman" w:cs="Times New Roman"/>
                <w:color w:val="000000"/>
                <w:kern w:val="0"/>
                <w:sz w:val="20"/>
                <w:szCs w:val="20"/>
              </w:rPr>
              <w:t>总计</w:t>
            </w:r>
          </w:p>
        </w:tc>
      </w:tr>
      <w:tr>
        <w:tblPrEx>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604"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604"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604"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658"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default" w:ascii="Times New Roman" w:hAnsi="Times New Roman" w:cs="Times New Roman"/>
                <w:kern w:val="0"/>
                <w:sz w:val="20"/>
                <w:szCs w:val="20"/>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550"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default" w:ascii="Times New Roman" w:hAnsi="Times New Roman" w:cs="Times New Roman"/>
                <w:kern w:val="0"/>
                <w:sz w:val="20"/>
                <w:szCs w:val="20"/>
              </w:rPr>
              <w:t> </w:t>
            </w:r>
            <w:r>
              <w:rPr>
                <w:rFonts w:hint="eastAsia" w:cs="Times New Roman"/>
                <w:kern w:val="0"/>
                <w:sz w:val="20"/>
                <w:szCs w:val="20"/>
                <w:lang w:val="en-US" w:eastAsia="zh-CN"/>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default" w:ascii="Times New Roman" w:hAnsi="Times New Roman" w:cs="Times New Roman"/>
                <w:color w:val="000000"/>
                <w:kern w:val="0"/>
                <w:sz w:val="20"/>
                <w:szCs w:val="20"/>
              </w:rPr>
              <w:t> </w:t>
            </w:r>
            <w:r>
              <w:rPr>
                <w:rFonts w:hint="eastAsia" w:cs="Times New Roman"/>
                <w:color w:val="000000"/>
                <w:kern w:val="0"/>
                <w:sz w:val="20"/>
                <w:szCs w:val="20"/>
                <w:lang w:val="en-US" w:eastAsia="zh-CN"/>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r>
              <w:rPr>
                <w:rFonts w:hint="default" w:ascii="Times New Roman" w:hAnsi="Times New Roman" w:cs="Times New Roman"/>
                <w:kern w:val="0"/>
                <w:sz w:val="20"/>
                <w:szCs w:val="20"/>
              </w:rPr>
              <w:t> </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60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c>
          <w:tcPr>
            <w:tcW w:w="606" w:type="dxa"/>
            <w:tcBorders>
              <w:top w:val="nil"/>
              <w:left w:val="nil"/>
              <w:bottom w:val="single" w:color="auto" w:sz="8" w:space="0"/>
              <w:right w:val="single" w:color="auto" w:sz="8" w:space="0"/>
            </w:tcBorders>
            <w:tcMar>
              <w:top w:w="0" w:type="dxa"/>
              <w:left w:w="108" w:type="dxa"/>
              <w:bottom w:w="0" w:type="dxa"/>
              <w:right w:w="108" w:type="dxa"/>
            </w:tcMar>
            <w:vAlign w:val="center"/>
          </w:tcPr>
          <w:p>
            <w:pPr>
              <w:widowControl/>
              <w:jc w:val="center"/>
              <w:rPr>
                <w:rFonts w:hint="eastAsia" w:ascii="Times New Roman" w:hAnsi="Times New Roman" w:eastAsia="宋体" w:cs="Times New Roman"/>
                <w:kern w:val="0"/>
                <w:sz w:val="20"/>
                <w:szCs w:val="20"/>
                <w:lang w:val="en-US" w:eastAsia="zh-CN"/>
              </w:rPr>
            </w:pPr>
            <w:r>
              <w:rPr>
                <w:rFonts w:hint="eastAsia" w:cs="Times New Roman"/>
                <w:kern w:val="0"/>
                <w:sz w:val="20"/>
                <w:szCs w:val="20"/>
                <w:lang w:val="en-US" w:eastAsia="zh-CN"/>
              </w:rPr>
              <w:t>0</w:t>
            </w:r>
          </w:p>
        </w:tc>
      </w:tr>
    </w:tbl>
    <w:p>
      <w:pPr>
        <w:widowControl/>
        <w:shd w:val="clear" w:color="auto" w:fill="FFFFFF"/>
        <w:jc w:val="center"/>
        <w:rPr>
          <w:rFonts w:hint="default" w:ascii="Times New Roman" w:hAnsi="Times New Roman" w:cs="Times New Roman"/>
          <w:color w:val="333333"/>
          <w:kern w:val="0"/>
          <w:sz w:val="24"/>
        </w:rPr>
      </w:pPr>
    </w:p>
    <w:p>
      <w:pPr>
        <w:keepNext w:val="0"/>
        <w:keepLines w:val="0"/>
        <w:pageBreakBefore w:val="0"/>
        <w:widowControl/>
        <w:shd w:val="clear" w:color="auto" w:fill="FFFFFF"/>
        <w:kinsoku/>
        <w:wordWrap/>
        <w:overflowPunct/>
        <w:topLinePunct w:val="0"/>
        <w:autoSpaceDN/>
        <w:bidi w:val="0"/>
        <w:adjustRightInd/>
        <w:snapToGrid/>
        <w:spacing w:line="560" w:lineRule="exact"/>
        <w:ind w:firstLine="640" w:firstLineChars="200"/>
        <w:textAlignment w:val="auto"/>
        <w:rPr>
          <w:rFonts w:hint="default" w:ascii="黑体" w:hAnsi="黑体" w:eastAsia="黑体" w:cs="黑体"/>
          <w:color w:val="333333"/>
          <w:kern w:val="0"/>
          <w:sz w:val="32"/>
          <w:szCs w:val="32"/>
        </w:rPr>
      </w:pPr>
      <w:r>
        <w:rPr>
          <w:rFonts w:hint="default" w:ascii="黑体" w:hAnsi="黑体" w:eastAsia="黑体" w:cs="黑体"/>
          <w:color w:val="333333"/>
          <w:kern w:val="0"/>
          <w:sz w:val="32"/>
          <w:szCs w:val="32"/>
        </w:rPr>
        <w:t>五、存在的主要问题及改进情况</w:t>
      </w:r>
    </w:p>
    <w:p>
      <w:pPr>
        <w:keepNext w:val="0"/>
        <w:keepLines w:val="0"/>
        <w:pageBreakBefore w:val="0"/>
        <w:kinsoku/>
        <w:wordWrap/>
        <w:overflowPunct/>
        <w:topLinePunct w:val="0"/>
        <w:autoSpaceDE w:val="0"/>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2020年政府信息公开工作存在的问题主要有以下两点，一是政府信息公开内容发布不够全面、不够及时，主动性不够强；二是政策信息公开形式不够丰富，政策解读方法不够灵活，还是以文字解释为主，不直观生动。2021年，我局将继续加大工作力度，创新工作方法，坚持以公开为常态，不公开为例外为基本原则，强化责任意识，加强业务培训，提高工作人员素质和能力；健全规章制度，创新工作方法，进一步规范工作流程；加大工作力度，查找问题不足，抓好整改落实，提高政府信息公开水平，持续、深入、高效地推进政府信息公开工作。</w:t>
      </w:r>
    </w:p>
    <w:p>
      <w:pPr>
        <w:keepNext w:val="0"/>
        <w:keepLines w:val="0"/>
        <w:pageBreakBefore w:val="0"/>
        <w:widowControl/>
        <w:numPr>
          <w:ilvl w:val="0"/>
          <w:numId w:val="2"/>
        </w:numPr>
        <w:shd w:val="clear" w:color="auto" w:fill="FFFFFF"/>
        <w:kinsoku/>
        <w:wordWrap/>
        <w:overflowPunct/>
        <w:topLinePunct w:val="0"/>
        <w:autoSpaceDN/>
        <w:bidi w:val="0"/>
        <w:adjustRightInd/>
        <w:snapToGrid/>
        <w:spacing w:line="560" w:lineRule="exact"/>
        <w:ind w:left="-10" w:leftChars="0" w:firstLine="640" w:firstLineChars="0"/>
        <w:textAlignment w:val="auto"/>
        <w:rPr>
          <w:rFonts w:hint="eastAsia" w:ascii="黑体" w:hAnsi="黑体" w:eastAsia="黑体" w:cs="黑体"/>
          <w:color w:val="333333"/>
          <w:kern w:val="0"/>
          <w:sz w:val="32"/>
          <w:szCs w:val="32"/>
          <w:lang w:eastAsia="zh-CN"/>
        </w:rPr>
      </w:pPr>
      <w:r>
        <w:rPr>
          <w:rFonts w:hint="default" w:ascii="黑体" w:hAnsi="黑体" w:eastAsia="黑体" w:cs="黑体"/>
          <w:color w:val="333333"/>
          <w:kern w:val="0"/>
          <w:sz w:val="32"/>
          <w:szCs w:val="32"/>
        </w:rPr>
        <w:t>其他需要报告的事项</w:t>
      </w:r>
    </w:p>
    <w:p>
      <w:pPr>
        <w:keepNext w:val="0"/>
        <w:keepLines w:val="0"/>
        <w:pageBreakBefore w:val="0"/>
        <w:numPr>
          <w:ilvl w:val="0"/>
          <w:numId w:val="0"/>
        </w:numPr>
        <w:kinsoku/>
        <w:wordWrap/>
        <w:overflowPunct/>
        <w:topLinePunct w:val="0"/>
        <w:autoSpaceDE w:val="0"/>
        <w:autoSpaceDN/>
        <w:bidi w:val="0"/>
        <w:adjustRightInd/>
        <w:snapToGrid/>
        <w:spacing w:line="560" w:lineRule="exact"/>
        <w:ind w:firstLine="640" w:firstLineChars="200"/>
        <w:textAlignment w:val="auto"/>
        <w:rPr>
          <w:rFonts w:hint="eastAsia" w:ascii="黑体" w:hAnsi="黑体" w:eastAsia="黑体" w:cs="黑体"/>
          <w:color w:val="333333"/>
          <w:kern w:val="0"/>
          <w:sz w:val="32"/>
          <w:szCs w:val="32"/>
          <w:lang w:eastAsia="zh-CN"/>
        </w:rPr>
      </w:pPr>
      <w:r>
        <w:rPr>
          <w:rFonts w:hint="default" w:ascii="Times New Roman" w:hAnsi="Times New Roman" w:eastAsia="仿宋_GB2312" w:cs="Times New Roman"/>
          <w:kern w:val="0"/>
          <w:sz w:val="32"/>
          <w:szCs w:val="32"/>
          <w:lang w:val="en-US" w:eastAsia="zh-CN"/>
        </w:rPr>
        <w:t>2</w:t>
      </w:r>
      <w:r>
        <w:rPr>
          <w:rFonts w:hint="default" w:ascii="Times New Roman" w:hAnsi="Times New Roman" w:eastAsia="仿宋_GB2312" w:cs="Times New Roman"/>
          <w:color w:val="000000"/>
          <w:sz w:val="32"/>
          <w:szCs w:val="32"/>
          <w:lang w:val="en-US" w:eastAsia="zh-CN"/>
        </w:rPr>
        <w:t>020年</w:t>
      </w:r>
      <w:r>
        <w:rPr>
          <w:rFonts w:hint="eastAsia" w:eastAsia="仿宋_GB2312" w:cs="Times New Roman"/>
          <w:color w:val="000000"/>
          <w:sz w:val="32"/>
          <w:szCs w:val="32"/>
          <w:lang w:val="en-US" w:eastAsia="zh-CN"/>
        </w:rPr>
        <w:t>，我局共</w:t>
      </w:r>
      <w:r>
        <w:rPr>
          <w:rFonts w:hint="default" w:ascii="Times New Roman" w:hAnsi="Times New Roman" w:eastAsia="仿宋_GB2312" w:cs="Times New Roman"/>
          <w:color w:val="000000"/>
          <w:sz w:val="32"/>
          <w:szCs w:val="32"/>
          <w:lang w:val="en-US" w:eastAsia="zh-CN"/>
        </w:rPr>
        <w:t>办理区人大建议1件，公开区人大十八届四次会议第32号代表关于对加快落实医保DRG付费建议；政协提案2件，公开区政协十届四次会议第74号委员关于促进传统中医药更好服务群众提案及区政协十届四次会议第84号委员关于规范“长护险”建议提案，答复满意度100%，以上均通过政府网站专栏主动公开。</w:t>
      </w:r>
    </w:p>
    <w:p>
      <w:pPr>
        <w:keepNext w:val="0"/>
        <w:keepLines w:val="0"/>
        <w:pageBreakBefore w:val="0"/>
        <w:widowControl/>
        <w:numPr>
          <w:ilvl w:val="0"/>
          <w:numId w:val="0"/>
        </w:numPr>
        <w:shd w:val="clear" w:color="auto" w:fill="FFFFFF"/>
        <w:kinsoku/>
        <w:wordWrap/>
        <w:overflowPunct/>
        <w:topLinePunct w:val="0"/>
        <w:autoSpaceDN/>
        <w:bidi w:val="0"/>
        <w:adjustRightInd/>
        <w:snapToGrid/>
        <w:spacing w:line="560" w:lineRule="exact"/>
        <w:textAlignment w:val="auto"/>
        <w:rPr>
          <w:rFonts w:hint="eastAsia" w:eastAsia="仿宋_GB2312" w:cs="Times New Roman"/>
          <w:color w:val="000000"/>
          <w:sz w:val="32"/>
          <w:lang w:val="en-US" w:eastAsia="zh-CN"/>
        </w:rPr>
      </w:pPr>
    </w:p>
    <w:p>
      <w:pPr>
        <w:keepNext w:val="0"/>
        <w:keepLines w:val="0"/>
        <w:pageBreakBefore w:val="0"/>
        <w:kinsoku/>
        <w:wordWrap/>
        <w:overflowPunct/>
        <w:topLinePunct w:val="0"/>
        <w:autoSpaceDE w:val="0"/>
        <w:autoSpaceDN/>
        <w:bidi w:val="0"/>
        <w:adjustRightInd/>
        <w:snapToGrid/>
        <w:spacing w:line="560" w:lineRule="exact"/>
        <w:ind w:firstLine="640" w:firstLineChars="200"/>
        <w:textAlignment w:val="auto"/>
        <w:rPr>
          <w:rFonts w:hint="eastAsia" w:eastAsia="仿宋_GB2312" w:cs="Times New Roman"/>
          <w:color w:val="000000"/>
          <w:sz w:val="32"/>
          <w:lang w:val="en-US" w:eastAsia="zh-CN"/>
        </w:rPr>
      </w:pPr>
    </w:p>
    <w:p>
      <w:pPr>
        <w:keepNext w:val="0"/>
        <w:keepLines w:val="0"/>
        <w:pageBreakBefore w:val="0"/>
        <w:kinsoku/>
        <w:wordWrap w:val="0"/>
        <w:overflowPunct/>
        <w:topLinePunct w:val="0"/>
        <w:autoSpaceDE w:val="0"/>
        <w:autoSpaceDN/>
        <w:bidi w:val="0"/>
        <w:adjustRightInd/>
        <w:snapToGrid/>
        <w:spacing w:line="560" w:lineRule="exact"/>
        <w:ind w:firstLine="640" w:firstLineChars="200"/>
        <w:jc w:val="right"/>
        <w:textAlignment w:val="auto"/>
        <w:rPr>
          <w:rFonts w:hint="default" w:eastAsia="仿宋_GB2312" w:cs="Times New Roman"/>
          <w:color w:val="000000"/>
          <w:sz w:val="32"/>
          <w:lang w:val="en-US" w:eastAsia="zh-CN"/>
        </w:rPr>
      </w:pPr>
      <w:r>
        <w:rPr>
          <w:rFonts w:hint="eastAsia" w:eastAsia="仿宋_GB2312" w:cs="Times New Roman"/>
          <w:color w:val="000000"/>
          <w:sz w:val="32"/>
          <w:lang w:val="en-US" w:eastAsia="zh-CN"/>
        </w:rPr>
        <w:t xml:space="preserve">威海市文登区医疗保障局    </w:t>
      </w:r>
    </w:p>
    <w:p>
      <w:pPr>
        <w:keepNext w:val="0"/>
        <w:keepLines w:val="0"/>
        <w:pageBreakBefore w:val="0"/>
        <w:kinsoku/>
        <w:wordWrap w:val="0"/>
        <w:overflowPunct/>
        <w:topLinePunct w:val="0"/>
        <w:autoSpaceDE w:val="0"/>
        <w:autoSpaceDN/>
        <w:bidi w:val="0"/>
        <w:adjustRightInd/>
        <w:snapToGrid/>
        <w:spacing w:line="560" w:lineRule="exact"/>
        <w:ind w:firstLine="640" w:firstLineChars="200"/>
        <w:jc w:val="right"/>
        <w:textAlignment w:val="auto"/>
        <w:rPr>
          <w:rFonts w:hint="eastAsia" w:ascii="仿宋_GB2312" w:hAnsi="仿宋_GB2312" w:eastAsia="仿宋_GB2312" w:cs="仿宋_GB2312"/>
          <w:color w:val="000000"/>
          <w:sz w:val="32"/>
          <w:szCs w:val="32"/>
          <w:lang w:val="en-US" w:eastAsia="zh-CN"/>
        </w:rPr>
      </w:pPr>
      <w:r>
        <w:rPr>
          <w:rFonts w:hint="eastAsia" w:eastAsia="仿宋_GB2312" w:cs="Times New Roman"/>
          <w:color w:val="000000"/>
          <w:sz w:val="32"/>
          <w:lang w:val="en-US" w:eastAsia="zh-CN"/>
        </w:rPr>
        <w:t xml:space="preserve">2021年1月25日       </w:t>
      </w:r>
    </w:p>
    <w:sectPr>
      <w:pgSz w:w="11906" w:h="16838"/>
      <w:pgMar w:top="2211" w:right="1531" w:bottom="187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C41015"/>
    <w:multiLevelType w:val="singleLevel"/>
    <w:tmpl w:val="15C41015"/>
    <w:lvl w:ilvl="0" w:tentative="0">
      <w:start w:val="2"/>
      <w:numFmt w:val="chineseCounting"/>
      <w:suff w:val="nothing"/>
      <w:lvlText w:val="%1、"/>
      <w:lvlJc w:val="left"/>
      <w:pPr>
        <w:ind w:left="786" w:leftChars="0" w:firstLine="0" w:firstLineChars="0"/>
      </w:pPr>
      <w:rPr>
        <w:rFonts w:hint="eastAsia"/>
      </w:rPr>
    </w:lvl>
  </w:abstractNum>
  <w:abstractNum w:abstractNumId="1">
    <w:nsid w:val="6ACC5CF5"/>
    <w:multiLevelType w:val="singleLevel"/>
    <w:tmpl w:val="6ACC5CF5"/>
    <w:lvl w:ilvl="0" w:tentative="0">
      <w:start w:val="6"/>
      <w:numFmt w:val="chineseCounting"/>
      <w:suff w:val="nothing"/>
      <w:lvlText w:val="%1、"/>
      <w:lvlJc w:val="left"/>
      <w:pPr>
        <w:ind w:left="-1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368E"/>
    <w:rsid w:val="00063594"/>
    <w:rsid w:val="000D02F0"/>
    <w:rsid w:val="000D4163"/>
    <w:rsid w:val="001A19E4"/>
    <w:rsid w:val="0029368E"/>
    <w:rsid w:val="005E2450"/>
    <w:rsid w:val="006332DF"/>
    <w:rsid w:val="00751FB6"/>
    <w:rsid w:val="007B7A7E"/>
    <w:rsid w:val="00911ED5"/>
    <w:rsid w:val="00975971"/>
    <w:rsid w:val="00A30E73"/>
    <w:rsid w:val="00AB3F14"/>
    <w:rsid w:val="00B25125"/>
    <w:rsid w:val="00D127C4"/>
    <w:rsid w:val="00D52DA7"/>
    <w:rsid w:val="00DB6BFC"/>
    <w:rsid w:val="00E21D94"/>
    <w:rsid w:val="00EC666A"/>
    <w:rsid w:val="00F933B7"/>
    <w:rsid w:val="03382772"/>
    <w:rsid w:val="03E01FB0"/>
    <w:rsid w:val="05304F08"/>
    <w:rsid w:val="11B607C8"/>
    <w:rsid w:val="13BD2912"/>
    <w:rsid w:val="146311A9"/>
    <w:rsid w:val="187400B0"/>
    <w:rsid w:val="1B4B756E"/>
    <w:rsid w:val="1C337DB8"/>
    <w:rsid w:val="234C47AB"/>
    <w:rsid w:val="26DA3187"/>
    <w:rsid w:val="2A580356"/>
    <w:rsid w:val="2D5A61EB"/>
    <w:rsid w:val="2DD62D3A"/>
    <w:rsid w:val="328352B9"/>
    <w:rsid w:val="366648CF"/>
    <w:rsid w:val="38896B58"/>
    <w:rsid w:val="3E462C9E"/>
    <w:rsid w:val="409A2F2F"/>
    <w:rsid w:val="483A2F61"/>
    <w:rsid w:val="48CF1D06"/>
    <w:rsid w:val="4BE742B5"/>
    <w:rsid w:val="4E33192D"/>
    <w:rsid w:val="5BB23735"/>
    <w:rsid w:val="5D8458A0"/>
    <w:rsid w:val="5F9B036A"/>
    <w:rsid w:val="63E86992"/>
    <w:rsid w:val="6C0715DB"/>
    <w:rsid w:val="6C2E004A"/>
    <w:rsid w:val="72474BE9"/>
    <w:rsid w:val="76936259"/>
    <w:rsid w:val="776A198C"/>
    <w:rsid w:val="7C943AE4"/>
    <w:rsid w:val="7DF44B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qFormat="1"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6"/>
    <w:qFormat/>
    <w:uiPriority w:val="0"/>
    <w:pPr>
      <w:tabs>
        <w:tab w:val="center" w:pos="4153"/>
        <w:tab w:val="right" w:pos="8306"/>
      </w:tabs>
      <w:snapToGrid w:val="0"/>
      <w:jc w:val="left"/>
    </w:pPr>
    <w:rPr>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styleId="7">
    <w:name w:val="FollowedHyperlink"/>
    <w:basedOn w:val="6"/>
    <w:qFormat/>
    <w:uiPriority w:val="0"/>
    <w:rPr>
      <w:rFonts w:hint="eastAsia" w:ascii="微软雅黑" w:hAnsi="微软雅黑" w:eastAsia="微软雅黑" w:cs="微软雅黑"/>
      <w:color w:val="3D3D3D"/>
      <w:sz w:val="22"/>
      <w:szCs w:val="22"/>
      <w:u w:val="none"/>
    </w:rPr>
  </w:style>
  <w:style w:type="character" w:styleId="8">
    <w:name w:val="Emphasis"/>
    <w:basedOn w:val="6"/>
    <w:qFormat/>
    <w:uiPriority w:val="0"/>
  </w:style>
  <w:style w:type="character" w:styleId="9">
    <w:name w:val="HTML Definition"/>
    <w:basedOn w:val="6"/>
    <w:qFormat/>
    <w:uiPriority w:val="0"/>
  </w:style>
  <w:style w:type="character" w:styleId="10">
    <w:name w:val="HTML Acronym"/>
    <w:basedOn w:val="6"/>
    <w:qFormat/>
    <w:uiPriority w:val="0"/>
  </w:style>
  <w:style w:type="character" w:styleId="11">
    <w:name w:val="HTML Variable"/>
    <w:basedOn w:val="6"/>
    <w:semiHidden/>
    <w:unhideWhenUsed/>
    <w:qFormat/>
    <w:uiPriority w:val="0"/>
  </w:style>
  <w:style w:type="character" w:styleId="12">
    <w:name w:val="Hyperlink"/>
    <w:basedOn w:val="6"/>
    <w:qFormat/>
    <w:uiPriority w:val="0"/>
    <w:rPr>
      <w:rFonts w:hint="eastAsia" w:ascii="微软雅黑" w:hAnsi="微软雅黑" w:eastAsia="微软雅黑" w:cs="微软雅黑"/>
      <w:color w:val="3D3D3D"/>
      <w:sz w:val="22"/>
      <w:szCs w:val="22"/>
      <w:u w:val="none"/>
    </w:rPr>
  </w:style>
  <w:style w:type="character" w:styleId="13">
    <w:name w:val="HTML Code"/>
    <w:basedOn w:val="6"/>
    <w:qFormat/>
    <w:uiPriority w:val="0"/>
    <w:rPr>
      <w:rFonts w:ascii="Courier New" w:hAnsi="Courier New"/>
      <w:sz w:val="20"/>
    </w:rPr>
  </w:style>
  <w:style w:type="character" w:styleId="14">
    <w:name w:val="HTML Cite"/>
    <w:basedOn w:val="6"/>
    <w:qFormat/>
    <w:uiPriority w:val="0"/>
  </w:style>
  <w:style w:type="character" w:customStyle="1" w:styleId="15">
    <w:name w:val="页眉 字符"/>
    <w:basedOn w:val="6"/>
    <w:link w:val="3"/>
    <w:qFormat/>
    <w:uiPriority w:val="0"/>
    <w:rPr>
      <w:kern w:val="2"/>
      <w:sz w:val="18"/>
      <w:szCs w:val="18"/>
    </w:rPr>
  </w:style>
  <w:style w:type="character" w:customStyle="1" w:styleId="16">
    <w:name w:val="页脚 字符"/>
    <w:basedOn w:val="6"/>
    <w:link w:val="2"/>
    <w:qFormat/>
    <w:uiPriority w:val="0"/>
    <w:rPr>
      <w:kern w:val="2"/>
      <w:sz w:val="18"/>
      <w:szCs w:val="18"/>
    </w:rPr>
  </w:style>
  <w:style w:type="character" w:customStyle="1" w:styleId="17">
    <w:name w:val="bsharetext"/>
    <w:basedOn w:val="6"/>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899</Words>
  <Characters>5126</Characters>
  <Lines>42</Lines>
  <Paragraphs>12</Paragraphs>
  <TotalTime>68</TotalTime>
  <ScaleCrop>false</ScaleCrop>
  <LinksUpToDate>false</LinksUpToDate>
  <CharactersWithSpaces>6013</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2019-11-27T06:07:00Z</dcterms:created>
  <dc:creator>朱朱</dc:creator>
  <cp:lastModifiedBy>WANG.J</cp:lastModifiedBy>
  <cp:lastPrinted>2021-12-15T08:46:00Z</cp:lastPrinted>
  <dcterms:modified xsi:type="dcterms:W3CDTF">2021-12-15T09:41:01Z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5D533EC07BA6431699CD77040C64549B</vt:lpwstr>
  </property>
</Properties>
</file>