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lang w:val="en-US" w:eastAsia="zh-CN"/>
        </w:rPr>
      </w:pP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rPr>
      </w:pPr>
      <w:r>
        <w:rPr>
          <w:rFonts w:hint="eastAsia" w:ascii="方正小标宋简体" w:hAnsi="方正小标宋简体" w:eastAsia="方正小标宋简体" w:cs="方正小标宋简体"/>
          <w:b w:val="0"/>
          <w:bCs w:val="0"/>
          <w:color w:val="333333"/>
          <w:kern w:val="0"/>
          <w:sz w:val="44"/>
          <w:szCs w:val="44"/>
          <w:lang w:val="en-US" w:eastAsia="zh-CN"/>
        </w:rPr>
        <w:t>威海市</w:t>
      </w:r>
      <w:r>
        <w:rPr>
          <w:rFonts w:hint="eastAsia" w:ascii="方正小标宋简体" w:hAnsi="方正小标宋简体" w:eastAsia="方正小标宋简体" w:cs="方正小标宋简体"/>
          <w:b w:val="0"/>
          <w:bCs w:val="0"/>
          <w:color w:val="333333"/>
          <w:kern w:val="0"/>
          <w:sz w:val="44"/>
          <w:szCs w:val="44"/>
        </w:rPr>
        <w:t>文登区</w:t>
      </w:r>
      <w:r>
        <w:rPr>
          <w:rFonts w:hint="eastAsia" w:ascii="方正小标宋简体" w:hAnsi="方正小标宋简体" w:eastAsia="方正小标宋简体" w:cs="方正小标宋简体"/>
          <w:b w:val="0"/>
          <w:bCs w:val="0"/>
          <w:color w:val="333333"/>
          <w:kern w:val="0"/>
          <w:sz w:val="44"/>
          <w:szCs w:val="44"/>
          <w:lang w:eastAsia="zh-CN"/>
        </w:rPr>
        <w:t>行政审批服务</w:t>
      </w:r>
      <w:r>
        <w:rPr>
          <w:rFonts w:hint="eastAsia" w:ascii="方正小标宋简体" w:hAnsi="方正小标宋简体" w:eastAsia="方正小标宋简体" w:cs="方正小标宋简体"/>
          <w:b w:val="0"/>
          <w:bCs w:val="0"/>
          <w:color w:val="333333"/>
          <w:kern w:val="0"/>
          <w:sz w:val="44"/>
          <w:szCs w:val="44"/>
        </w:rPr>
        <w:t>局</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val="0"/>
          <w:color w:val="333333"/>
          <w:kern w:val="0"/>
          <w:sz w:val="44"/>
          <w:szCs w:val="44"/>
        </w:rPr>
      </w:pPr>
      <w:r>
        <w:rPr>
          <w:rFonts w:hint="eastAsia" w:ascii="方正小标宋简体" w:hAnsi="方正小标宋简体" w:eastAsia="方正小标宋简体" w:cs="方正小标宋简体"/>
          <w:b w:val="0"/>
          <w:bCs w:val="0"/>
          <w:color w:val="333333"/>
          <w:kern w:val="0"/>
          <w:sz w:val="44"/>
          <w:szCs w:val="44"/>
        </w:rPr>
        <w:t>2021年政府信息公开工作年度报告</w:t>
      </w: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firstLine="880" w:firstLineChars="200"/>
        <w:jc w:val="center"/>
        <w:textAlignment w:val="auto"/>
        <w:rPr>
          <w:rFonts w:hint="eastAsia" w:ascii="方正小标宋简体" w:hAnsi="方正小标宋简体" w:eastAsia="方正小标宋简体" w:cs="方正小标宋简体"/>
          <w:b w:val="0"/>
          <w:bCs w:val="0"/>
          <w:color w:val="333333"/>
          <w:kern w:val="0"/>
          <w:sz w:val="44"/>
          <w:szCs w:val="44"/>
        </w:rPr>
      </w:pPr>
    </w:p>
    <w:p>
      <w:pPr>
        <w:keepNext w:val="0"/>
        <w:keepLines w:val="0"/>
        <w:pageBreakBefore w:val="0"/>
        <w:widowControl/>
        <w:shd w:val="clear" w:color="auto" w:fill="FFFFFF"/>
        <w:kinsoku/>
        <w:wordWrap/>
        <w:overflowPunct/>
        <w:topLinePunct w:val="0"/>
        <w:autoSpaceDE/>
        <w:autoSpaceDN/>
        <w:bidi w:val="0"/>
        <w:adjustRightInd w:val="0"/>
        <w:snapToGrid w:val="0"/>
        <w:spacing w:line="560" w:lineRule="exact"/>
        <w:ind w:left="0" w:firstLine="640" w:firstLineChars="200"/>
        <w:jc w:val="left"/>
        <w:textAlignment w:val="auto"/>
        <w:rPr>
          <w:rFonts w:hint="default" w:ascii="Times New Roman" w:hAnsi="Times New Roman" w:eastAsia="仿宋_GB2312" w:cs="Times New Roman"/>
          <w:color w:val="333333"/>
          <w:kern w:val="0"/>
          <w:sz w:val="32"/>
          <w:szCs w:val="32"/>
          <w:lang w:val="en-US" w:eastAsia="zh-CN" w:bidi="ar-SA"/>
        </w:rPr>
      </w:pPr>
      <w:r>
        <w:rPr>
          <w:rFonts w:hint="default" w:ascii="Times New Roman" w:hAnsi="Times New Roman" w:eastAsia="仿宋_GB2312" w:cs="Times New Roman"/>
          <w:color w:val="333333"/>
          <w:kern w:val="0"/>
          <w:sz w:val="32"/>
          <w:szCs w:val="32"/>
          <w:lang w:val="en-US" w:eastAsia="zh-CN" w:bidi="ar-SA"/>
        </w:rPr>
        <w:t>根据《中华人民共和国政府信息公开条例》（以下简称《条例》）的规定要求，现公布文登区行政审批服务局2021年度政府信息公开工作报告。本报告由总体情况、主动公开政府信息情况、收到和处理政府信息公开申请情况、因政府信息公开工作被申请行政复议、提起行政诉讼情况、政府信息公开工作存在的主要问题及改进情况、其他需要报告的事项等部分组成。本报告中所列数据的统计时限自2021年1月1日起至2021年12月31日止。本报告的电子版可在威海市文登区人民政府网站（http://www.wendeng.gov.cn/）政府信息公开专栏查阅。如对本报告有疑问，请与文登区行政审批服务局办公室联系（地址：威海市文登区世纪大道80号市民中心B区，邮编：264400，电话：0631—8989916）。</w:t>
      </w:r>
    </w:p>
    <w:p>
      <w:pPr>
        <w:pStyle w:val="2"/>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黑体" w:cs="Times New Roman"/>
          <w:color w:val="333333"/>
          <w:sz w:val="32"/>
          <w:szCs w:val="32"/>
        </w:rPr>
      </w:pPr>
      <w:r>
        <w:rPr>
          <w:rFonts w:hint="default" w:ascii="Times New Roman" w:hAnsi="Times New Roman" w:eastAsia="黑体" w:cs="Times New Roman"/>
          <w:color w:val="333333"/>
          <w:sz w:val="32"/>
          <w:szCs w:val="32"/>
          <w:shd w:val="clear" w:color="auto" w:fill="FFFFFF"/>
        </w:rPr>
        <w:t>一、总体情况</w:t>
      </w:r>
    </w:p>
    <w:p>
      <w:pPr>
        <w:pStyle w:val="2"/>
        <w:keepNext w:val="0"/>
        <w:keepLines w:val="0"/>
        <w:pageBreakBefore w:val="0"/>
        <w:widowControl/>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202</w:t>
      </w:r>
      <w:r>
        <w:rPr>
          <w:rFonts w:hint="default" w:ascii="Times New Roman" w:hAnsi="Times New Roman" w:eastAsia="仿宋_GB2312" w:cs="Times New Roman"/>
          <w:color w:val="333333"/>
          <w:sz w:val="32"/>
          <w:szCs w:val="32"/>
          <w:lang w:val="en-US" w:eastAsia="zh-CN"/>
        </w:rPr>
        <w:t>1</w:t>
      </w:r>
      <w:r>
        <w:rPr>
          <w:rFonts w:hint="default" w:ascii="Times New Roman" w:hAnsi="Times New Roman" w:eastAsia="仿宋_GB2312" w:cs="Times New Roman"/>
          <w:color w:val="333333"/>
          <w:sz w:val="32"/>
          <w:szCs w:val="32"/>
        </w:rPr>
        <w:t>年，文登区行政审批服务局认真落实《条例》以及山东省、威海市信息公开工作相关</w:t>
      </w:r>
      <w:r>
        <w:rPr>
          <w:rFonts w:hint="default" w:ascii="Times New Roman" w:hAnsi="Times New Roman" w:eastAsia="仿宋_GB2312" w:cs="Times New Roman"/>
          <w:color w:val="333333"/>
          <w:sz w:val="32"/>
          <w:szCs w:val="32"/>
          <w:lang w:eastAsia="zh-CN"/>
        </w:rPr>
        <w:t>决策部署</w:t>
      </w:r>
      <w:r>
        <w:rPr>
          <w:rFonts w:hint="default" w:ascii="Times New Roman" w:hAnsi="Times New Roman" w:eastAsia="仿宋_GB2312" w:cs="Times New Roman"/>
          <w:color w:val="333333"/>
          <w:sz w:val="32"/>
          <w:szCs w:val="32"/>
        </w:rPr>
        <w:t>，</w:t>
      </w:r>
      <w:r>
        <w:rPr>
          <w:rFonts w:hint="default" w:ascii="Times New Roman" w:hAnsi="Times New Roman" w:eastAsia="仿宋_GB2312" w:cs="Times New Roman"/>
          <w:color w:val="333333"/>
          <w:sz w:val="32"/>
          <w:szCs w:val="32"/>
          <w:lang w:eastAsia="zh-CN"/>
        </w:rPr>
        <w:t>以公开、便民、廉政、高效为出发点</w:t>
      </w:r>
      <w:r>
        <w:rPr>
          <w:rFonts w:hint="default" w:ascii="Times New Roman" w:hAnsi="Times New Roman" w:eastAsia="仿宋_GB2312" w:cs="Times New Roman"/>
          <w:color w:val="333333"/>
          <w:sz w:val="32"/>
          <w:szCs w:val="32"/>
        </w:rPr>
        <w:t>，不断拓宽信息公开渠道，充分利用“文登区政府信息公开网站”、“文登区政务服务网”及</w:t>
      </w:r>
      <w:r>
        <w:rPr>
          <w:rFonts w:hint="default" w:ascii="Times New Roman" w:hAnsi="Times New Roman" w:eastAsia="仿宋_GB2312" w:cs="Times New Roman"/>
          <w:color w:val="333333"/>
          <w:sz w:val="32"/>
          <w:szCs w:val="32"/>
          <w:lang w:eastAsia="zh-CN"/>
        </w:rPr>
        <w:t>微信公众号</w:t>
      </w:r>
      <w:r>
        <w:rPr>
          <w:rFonts w:hint="default" w:ascii="Times New Roman" w:hAnsi="Times New Roman" w:eastAsia="仿宋_GB2312" w:cs="Times New Roman"/>
          <w:color w:val="333333"/>
          <w:sz w:val="32"/>
          <w:szCs w:val="32"/>
        </w:rPr>
        <w:t>等</w:t>
      </w:r>
      <w:r>
        <w:rPr>
          <w:rFonts w:hint="default" w:ascii="Times New Roman" w:hAnsi="Times New Roman" w:eastAsia="仿宋_GB2312" w:cs="Times New Roman"/>
          <w:color w:val="333333"/>
          <w:sz w:val="32"/>
          <w:szCs w:val="32"/>
          <w:lang w:eastAsia="zh-CN"/>
        </w:rPr>
        <w:t>全渠道平台，</w:t>
      </w:r>
      <w:r>
        <w:rPr>
          <w:rFonts w:hint="default" w:ascii="Times New Roman" w:hAnsi="Times New Roman" w:eastAsia="仿宋_GB2312" w:cs="Times New Roman"/>
          <w:color w:val="333333"/>
          <w:sz w:val="32"/>
          <w:szCs w:val="32"/>
        </w:rPr>
        <w:t>全面地公开政府信息，推动政府信息公开工作稳定开展。</w:t>
      </w:r>
    </w:p>
    <w:p>
      <w:pPr>
        <w:pStyle w:val="2"/>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lang w:eastAsia="zh-CN"/>
        </w:rPr>
      </w:pPr>
      <w:r>
        <w:rPr>
          <w:rFonts w:hint="default" w:ascii="Times New Roman" w:hAnsi="Times New Roman" w:eastAsia="楷体_GB2312" w:cs="Times New Roman"/>
          <w:b w:val="0"/>
          <w:bCs w:val="0"/>
          <w:color w:val="333333"/>
          <w:sz w:val="32"/>
          <w:szCs w:val="32"/>
        </w:rPr>
        <w:t>主动公开政府信息情况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val="en-US" w:eastAsia="zh-CN"/>
        </w:rPr>
        <w:t>2021年，文登区行政审批服务局共主动公开各类业务工作、</w:t>
      </w:r>
      <w:r>
        <w:rPr>
          <w:rFonts w:hint="default" w:ascii="Times New Roman" w:hAnsi="Times New Roman" w:eastAsia="仿宋_GB2312" w:cs="Times New Roman"/>
          <w:color w:val="333333"/>
          <w:sz w:val="32"/>
          <w:szCs w:val="32"/>
        </w:rPr>
        <w:t>政策文件</w:t>
      </w:r>
      <w:r>
        <w:rPr>
          <w:rFonts w:hint="default" w:ascii="Times New Roman" w:hAnsi="Times New Roman" w:eastAsia="仿宋_GB2312" w:cs="Times New Roman"/>
          <w:color w:val="333333"/>
          <w:sz w:val="32"/>
          <w:szCs w:val="32"/>
          <w:lang w:eastAsia="zh-CN"/>
        </w:rPr>
        <w:t>、公示公告等政府服务信息</w:t>
      </w:r>
      <w:r>
        <w:rPr>
          <w:rFonts w:hint="default" w:ascii="Times New Roman" w:hAnsi="Times New Roman" w:eastAsia="仿宋_GB2312" w:cs="Times New Roman"/>
          <w:color w:val="333333"/>
          <w:sz w:val="32"/>
          <w:szCs w:val="32"/>
          <w:lang w:val="en-US" w:eastAsia="zh-CN"/>
        </w:rPr>
        <w:t>317条，其中公告公示227条、工作动态54条、政策文件及解读7条、重点领域信息公开19条。</w:t>
      </w:r>
    </w:p>
    <w:p>
      <w:pPr>
        <w:pStyle w:val="2"/>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cs="Times New Roman"/>
          <w:sz w:val="32"/>
          <w:szCs w:val="32"/>
        </w:rPr>
        <w:drawing>
          <wp:anchor distT="0" distB="0" distL="114300" distR="114300" simplePos="0" relativeHeight="251660288" behindDoc="0" locked="0" layoutInCell="1" allowOverlap="1">
            <wp:simplePos x="0" y="0"/>
            <wp:positionH relativeFrom="column">
              <wp:posOffset>223520</wp:posOffset>
            </wp:positionH>
            <wp:positionV relativeFrom="paragraph">
              <wp:posOffset>127635</wp:posOffset>
            </wp:positionV>
            <wp:extent cx="5107305" cy="2566035"/>
            <wp:effectExtent l="4445" t="4445" r="12700" b="20320"/>
            <wp:wrapTopAndBottom/>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r>
        <w:rPr>
          <w:rFonts w:hint="default" w:ascii="Times New Roman" w:hAnsi="Times New Roman" w:cs="Times New Roman"/>
          <w:sz w:val="32"/>
          <w:szCs w:val="32"/>
        </w:rPr>
        <w:drawing>
          <wp:anchor distT="0" distB="0" distL="114300" distR="114300" simplePos="0" relativeHeight="251659264" behindDoc="0" locked="0" layoutInCell="1" allowOverlap="1">
            <wp:simplePos x="0" y="0"/>
            <wp:positionH relativeFrom="column">
              <wp:posOffset>317500</wp:posOffset>
            </wp:positionH>
            <wp:positionV relativeFrom="paragraph">
              <wp:posOffset>2619375</wp:posOffset>
            </wp:positionV>
            <wp:extent cx="4995545" cy="3212465"/>
            <wp:effectExtent l="0" t="0" r="14605" b="6985"/>
            <wp:wrapTopAndBottom/>
            <wp:docPr id="5" name="图片 5" descr="年报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年报图片1"/>
                    <pic:cNvPicPr>
                      <a:picLocks noChangeAspect="1"/>
                    </pic:cNvPicPr>
                  </pic:nvPicPr>
                  <pic:blipFill>
                    <a:blip r:embed="rId5"/>
                    <a:stretch>
                      <a:fillRect/>
                    </a:stretch>
                  </pic:blipFill>
                  <pic:spPr>
                    <a:xfrm>
                      <a:off x="0" y="0"/>
                      <a:ext cx="4995545" cy="3212465"/>
                    </a:xfrm>
                    <a:prstGeom prst="rect">
                      <a:avLst/>
                    </a:prstGeom>
                  </pic:spPr>
                </pic:pic>
              </a:graphicData>
            </a:graphic>
          </wp:anchor>
        </w:drawing>
      </w:r>
      <w:r>
        <w:rPr>
          <w:rFonts w:hint="default" w:ascii="Times New Roman" w:hAnsi="Times New Roman" w:eastAsia="楷体_GB2312" w:cs="Times New Roman"/>
          <w:b w:val="0"/>
          <w:bCs w:val="0"/>
          <w:color w:val="333333"/>
          <w:sz w:val="32"/>
          <w:szCs w:val="32"/>
        </w:rPr>
        <w:t>依申请公开政府信息情况。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202</w:t>
      </w:r>
      <w:r>
        <w:rPr>
          <w:rFonts w:hint="default" w:ascii="Times New Roman" w:hAnsi="Times New Roman" w:eastAsia="仿宋_GB2312" w:cs="Times New Roman"/>
          <w:color w:val="333333"/>
          <w:sz w:val="32"/>
          <w:szCs w:val="32"/>
          <w:lang w:val="en-US" w:eastAsia="zh-CN"/>
        </w:rPr>
        <w:t>1</w:t>
      </w:r>
      <w:r>
        <w:rPr>
          <w:rFonts w:hint="default" w:ascii="Times New Roman" w:hAnsi="Times New Roman" w:eastAsia="仿宋_GB2312" w:cs="Times New Roman"/>
          <w:color w:val="333333"/>
          <w:sz w:val="32"/>
          <w:szCs w:val="32"/>
        </w:rPr>
        <w:t>年度</w:t>
      </w:r>
      <w:r>
        <w:rPr>
          <w:rFonts w:hint="default" w:ascii="Times New Roman" w:hAnsi="Times New Roman" w:eastAsia="仿宋_GB2312" w:cs="Times New Roman"/>
          <w:color w:val="333333"/>
          <w:sz w:val="32"/>
          <w:szCs w:val="32"/>
          <w:lang w:eastAsia="zh-CN"/>
        </w:rPr>
        <w:t>区行政审批服务局未</w:t>
      </w:r>
      <w:r>
        <w:rPr>
          <w:rFonts w:hint="default" w:ascii="Times New Roman" w:hAnsi="Times New Roman" w:eastAsia="仿宋_GB2312" w:cs="Times New Roman"/>
          <w:color w:val="333333"/>
          <w:sz w:val="32"/>
          <w:szCs w:val="32"/>
        </w:rPr>
        <w:t>收到政府信息公开申请。</w:t>
      </w:r>
    </w:p>
    <w:p>
      <w:pPr>
        <w:pStyle w:val="2"/>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lang w:val="en-US" w:eastAsia="zh-CN"/>
        </w:rPr>
      </w:pPr>
      <w:r>
        <w:rPr>
          <w:rFonts w:hint="default" w:ascii="Times New Roman" w:hAnsi="Times New Roman" w:eastAsia="楷体_GB2312" w:cs="Times New Roman"/>
          <w:b w:val="0"/>
          <w:bCs w:val="0"/>
          <w:color w:val="333333"/>
          <w:sz w:val="32"/>
          <w:szCs w:val="32"/>
        </w:rPr>
        <w:t>政府信息管理情况。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val="en-US" w:eastAsia="zh-CN"/>
        </w:rPr>
        <w:t>建立健全政府信息公开保密审查制度和责任追究制度，成立了保密审查领导小组，规范审查程序，严格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2021年区行政审批服务局未制定规范性文件，未开展规范性文件清理工作。</w:t>
      </w:r>
    </w:p>
    <w:p>
      <w:pPr>
        <w:pStyle w:val="2"/>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eastAsia="楷体_GB2312" w:cs="Times New Roman"/>
          <w:b w:val="0"/>
          <w:bCs w:val="0"/>
          <w:color w:val="333333"/>
          <w:sz w:val="32"/>
          <w:szCs w:val="32"/>
        </w:rPr>
        <w:t>平台建设情况。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eastAsia="zh-CN"/>
        </w:rPr>
      </w:pPr>
      <w:r>
        <w:rPr>
          <w:rFonts w:hint="default" w:ascii="Times New Roman" w:hAnsi="Times New Roman" w:eastAsia="仿宋_GB2312" w:cs="Times New Roman"/>
          <w:color w:val="333333"/>
          <w:sz w:val="32"/>
          <w:szCs w:val="32"/>
          <w:lang w:eastAsia="zh-CN"/>
        </w:rPr>
        <w:t>依托威海市文登区人民政府网站，建立和完善了信息发布与政务公开平台，不定期发布行政审批工作动态。同时，将主动公开与群众咨询公开相结合，着力提高行政透明度和办事效率。全面强化“文登区行政审批服务局”微信公众号宣传力度，</w:t>
      </w:r>
      <w:r>
        <w:rPr>
          <w:rFonts w:hint="default" w:ascii="Times New Roman" w:hAnsi="Times New Roman" w:eastAsia="仿宋_GB2312" w:cs="Times New Roman"/>
          <w:color w:val="333333"/>
          <w:sz w:val="32"/>
          <w:szCs w:val="32"/>
          <w:lang w:val="en-US" w:eastAsia="zh-CN"/>
        </w:rPr>
        <w:t>实现新媒体</w:t>
      </w:r>
      <w:r>
        <w:rPr>
          <w:rFonts w:hint="default" w:ascii="Times New Roman" w:hAnsi="Times New Roman" w:eastAsia="仿宋_GB2312" w:cs="Times New Roman"/>
          <w:color w:val="333333"/>
          <w:sz w:val="32"/>
          <w:szCs w:val="32"/>
        </w:rPr>
        <w:t>信息发布与政府信息公开一体</w:t>
      </w:r>
      <w:r>
        <w:rPr>
          <w:rFonts w:hint="default" w:ascii="Times New Roman" w:hAnsi="Times New Roman" w:eastAsia="仿宋_GB2312" w:cs="Times New Roman"/>
          <w:color w:val="333333"/>
          <w:sz w:val="32"/>
          <w:szCs w:val="32"/>
          <w:lang w:eastAsia="zh-CN"/>
        </w:rPr>
        <w:t>同步，全年发布信息</w:t>
      </w:r>
      <w:r>
        <w:rPr>
          <w:rFonts w:hint="default" w:ascii="Times New Roman" w:hAnsi="Times New Roman" w:eastAsia="仿宋_GB2312" w:cs="Times New Roman"/>
          <w:color w:val="333333"/>
          <w:sz w:val="32"/>
          <w:szCs w:val="32"/>
          <w:lang w:val="en-US" w:eastAsia="zh-CN"/>
        </w:rPr>
        <w:t>100</w:t>
      </w:r>
      <w:r>
        <w:rPr>
          <w:rFonts w:hint="default" w:ascii="Times New Roman" w:hAnsi="Times New Roman" w:eastAsia="仿宋_GB2312" w:cs="Times New Roman"/>
          <w:color w:val="333333"/>
          <w:sz w:val="32"/>
          <w:szCs w:val="32"/>
          <w:lang w:eastAsia="zh-CN"/>
        </w:rPr>
        <w:t>条，阅读量突破</w:t>
      </w:r>
      <w:r>
        <w:rPr>
          <w:rFonts w:hint="default" w:ascii="Times New Roman" w:hAnsi="Times New Roman" w:eastAsia="仿宋_GB2312" w:cs="Times New Roman"/>
          <w:color w:val="333333"/>
          <w:sz w:val="32"/>
          <w:szCs w:val="32"/>
          <w:lang w:val="en-US" w:eastAsia="zh-CN"/>
        </w:rPr>
        <w:t>3</w:t>
      </w:r>
      <w:r>
        <w:rPr>
          <w:rFonts w:hint="default" w:ascii="Times New Roman" w:hAnsi="Times New Roman" w:eastAsia="仿宋_GB2312" w:cs="Times New Roman"/>
          <w:color w:val="333333"/>
          <w:sz w:val="32"/>
          <w:szCs w:val="32"/>
          <w:lang w:eastAsia="zh-CN"/>
        </w:rPr>
        <w:t>0万，为群众了解行政审批工作信息提供方便。</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lang w:val="en-US" w:eastAsia="zh-CN"/>
        </w:rPr>
      </w:pPr>
      <w:r>
        <w:rPr>
          <w:rFonts w:hint="default" w:ascii="Times New Roman" w:hAnsi="Times New Roman" w:eastAsia="仿宋_GB2312" w:cs="Times New Roman"/>
          <w:color w:val="333333"/>
          <w:sz w:val="32"/>
          <w:szCs w:val="32"/>
          <w:lang w:eastAsia="zh-CN"/>
        </w:rPr>
        <w:t>在区政务服务大厅设置政务公开专区，对政府信息和服务指南及时进行公开，方便百姓查阅。</w:t>
      </w:r>
      <w:r>
        <w:rPr>
          <w:rFonts w:hint="default" w:ascii="Times New Roman" w:hAnsi="Times New Roman" w:eastAsia="仿宋_GB2312" w:cs="Times New Roman"/>
          <w:color w:val="333333"/>
          <w:sz w:val="32"/>
          <w:szCs w:val="32"/>
          <w:lang w:val="en-US" w:eastAsia="zh-CN"/>
        </w:rPr>
        <w:t>24小时自助服务区以及智能终端设备，全方位公开行政许可等主动公开事项，</w:t>
      </w:r>
      <w:r>
        <w:rPr>
          <w:rFonts w:hint="default" w:ascii="Times New Roman" w:hAnsi="Times New Roman" w:eastAsia="仿宋_GB2312" w:cs="Times New Roman"/>
          <w:color w:val="333333"/>
          <w:sz w:val="32"/>
          <w:szCs w:val="32"/>
          <w:lang w:eastAsia="zh-CN"/>
        </w:rPr>
        <w:t>实现政务服务公开多样化、公开效果最大化，真正方便群众和企业办事</w:t>
      </w:r>
      <w:r>
        <w:rPr>
          <w:rFonts w:hint="default" w:ascii="Times New Roman" w:hAnsi="Times New Roman" w:eastAsia="仿宋_GB2312" w:cs="Times New Roman"/>
          <w:color w:val="333333"/>
          <w:sz w:val="32"/>
          <w:szCs w:val="32"/>
        </w:rPr>
        <w:t>。</w:t>
      </w:r>
    </w:p>
    <w:p>
      <w:pPr>
        <w:pStyle w:val="2"/>
        <w:keepNext w:val="0"/>
        <w:keepLines w:val="0"/>
        <w:pageBreakBefore w:val="0"/>
        <w:widowControl/>
        <w:numPr>
          <w:ilvl w:val="0"/>
          <w:numId w:val="1"/>
        </w:numPr>
        <w:kinsoku/>
        <w:wordWrap/>
        <w:overflowPunct/>
        <w:topLinePunct w:val="0"/>
        <w:autoSpaceDE/>
        <w:autoSpaceDN/>
        <w:bidi w:val="0"/>
        <w:adjustRightInd/>
        <w:snapToGrid/>
        <w:spacing w:line="560" w:lineRule="exact"/>
        <w:ind w:left="-10" w:leftChars="0" w:firstLine="640" w:firstLineChars="0"/>
        <w:jc w:val="both"/>
        <w:textAlignment w:val="auto"/>
        <w:rPr>
          <w:rFonts w:hint="default" w:ascii="Times New Roman" w:hAnsi="Times New Roman" w:eastAsia="楷体_GB2312" w:cs="Times New Roman"/>
          <w:b w:val="0"/>
          <w:bCs w:val="0"/>
          <w:color w:val="333333"/>
          <w:sz w:val="32"/>
          <w:szCs w:val="32"/>
        </w:rPr>
      </w:pPr>
      <w:r>
        <w:rPr>
          <w:rFonts w:hint="default" w:ascii="Times New Roman" w:hAnsi="Times New Roman" w:eastAsia="楷体_GB2312" w:cs="Times New Roman"/>
          <w:b w:val="0"/>
          <w:bCs w:val="0"/>
          <w:color w:val="333333"/>
          <w:sz w:val="32"/>
          <w:szCs w:val="32"/>
        </w:rPr>
        <w:t>监督保障情况。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积极落实政府信息公开工作考核制度，</w:t>
      </w:r>
      <w:r>
        <w:rPr>
          <w:rFonts w:hint="default" w:ascii="Times New Roman" w:hAnsi="Times New Roman" w:eastAsia="仿宋_GB2312" w:cs="Times New Roman"/>
          <w:color w:val="333333"/>
          <w:sz w:val="32"/>
          <w:szCs w:val="32"/>
          <w:lang w:eastAsia="zh-CN"/>
        </w:rPr>
        <w:t>加大日常监督检查力度，</w:t>
      </w:r>
      <w:r>
        <w:rPr>
          <w:rFonts w:hint="default" w:ascii="Times New Roman" w:hAnsi="Times New Roman" w:eastAsia="仿宋_GB2312" w:cs="Times New Roman"/>
          <w:color w:val="333333"/>
          <w:sz w:val="32"/>
          <w:szCs w:val="32"/>
        </w:rPr>
        <w:t>将相关考核结果纳入年度考核内容</w:t>
      </w:r>
      <w:r>
        <w:rPr>
          <w:rFonts w:hint="default" w:ascii="Times New Roman" w:hAnsi="Times New Roman" w:eastAsia="仿宋_GB2312" w:cs="Times New Roman"/>
          <w:color w:val="333333"/>
          <w:sz w:val="32"/>
          <w:szCs w:val="32"/>
          <w:lang w:eastAsia="zh-CN"/>
        </w:rPr>
        <w:t>。督促问题及时整改</w:t>
      </w:r>
      <w:r>
        <w:rPr>
          <w:rFonts w:hint="default" w:ascii="Times New Roman" w:hAnsi="Times New Roman" w:eastAsia="仿宋_GB2312" w:cs="Times New Roman"/>
          <w:color w:val="333333"/>
          <w:sz w:val="32"/>
          <w:szCs w:val="32"/>
        </w:rPr>
        <w:t>。</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Times New Roman" w:hAnsi="Times New Roman" w:eastAsia="仿宋_GB2312" w:cs="Times New Roman"/>
          <w:color w:val="333333"/>
          <w:sz w:val="32"/>
          <w:szCs w:val="32"/>
        </w:rPr>
      </w:pPr>
      <w:r>
        <w:rPr>
          <w:rFonts w:hint="default" w:ascii="Times New Roman" w:hAnsi="Times New Roman" w:eastAsia="仿宋_GB2312" w:cs="Times New Roman"/>
          <w:color w:val="333333"/>
          <w:sz w:val="32"/>
          <w:szCs w:val="32"/>
        </w:rPr>
        <w:t>根据威海市文登区</w:t>
      </w:r>
      <w:r>
        <w:rPr>
          <w:rFonts w:hint="default" w:ascii="Times New Roman" w:hAnsi="Times New Roman" w:eastAsia="仿宋_GB2312" w:cs="Times New Roman"/>
          <w:color w:val="333333"/>
          <w:sz w:val="32"/>
          <w:szCs w:val="32"/>
          <w:lang w:eastAsia="zh-CN"/>
        </w:rPr>
        <w:t>行政审批服务</w:t>
      </w:r>
      <w:r>
        <w:rPr>
          <w:rFonts w:hint="default" w:ascii="Times New Roman" w:hAnsi="Times New Roman" w:eastAsia="仿宋_GB2312" w:cs="Times New Roman"/>
          <w:color w:val="333333"/>
          <w:sz w:val="32"/>
          <w:szCs w:val="32"/>
        </w:rPr>
        <w:t>局严格按政府信息公开工作领导小组成员分工，配齐信息公开所需的办公设备，规范整理信息公开各类文件资料，安排2名工作人员负责政府信息公开工作，</w:t>
      </w:r>
      <w:r>
        <w:rPr>
          <w:rFonts w:hint="default" w:ascii="Times New Roman" w:hAnsi="Times New Roman" w:eastAsia="仿宋_GB2312" w:cs="Times New Roman"/>
          <w:color w:val="333333"/>
          <w:sz w:val="32"/>
          <w:szCs w:val="32"/>
          <w:lang w:eastAsia="zh-CN"/>
        </w:rPr>
        <w:t>全年参加政务公开培训</w:t>
      </w:r>
      <w:r>
        <w:rPr>
          <w:rFonts w:hint="default" w:ascii="Times New Roman" w:hAnsi="Times New Roman" w:eastAsia="仿宋_GB2312" w:cs="Times New Roman"/>
          <w:color w:val="333333"/>
          <w:sz w:val="32"/>
          <w:szCs w:val="32"/>
          <w:lang w:val="en-US" w:eastAsia="zh-CN"/>
        </w:rPr>
        <w:t>24课时，</w:t>
      </w:r>
      <w:r>
        <w:rPr>
          <w:rFonts w:hint="default" w:ascii="Times New Roman" w:hAnsi="Times New Roman" w:eastAsia="仿宋_GB2312" w:cs="Times New Roman"/>
          <w:color w:val="333333"/>
          <w:sz w:val="32"/>
          <w:szCs w:val="32"/>
        </w:rPr>
        <w:t>全局政务公开工作向制度化、规范化方向发展。</w:t>
      </w:r>
    </w:p>
    <w:p>
      <w:pPr>
        <w:pStyle w:val="2"/>
        <w:keepNext w:val="0"/>
        <w:keepLines w:val="0"/>
        <w:pageBreakBefore w:val="0"/>
        <w:widowControl/>
        <w:numPr>
          <w:ilvl w:val="0"/>
          <w:numId w:val="2"/>
        </w:numPr>
        <w:kinsoku/>
        <w:wordWrap/>
        <w:overflowPunct/>
        <w:topLinePunct w:val="0"/>
        <w:autoSpaceDE/>
        <w:autoSpaceDN/>
        <w:bidi w:val="0"/>
        <w:adjustRightInd/>
        <w:snapToGrid/>
        <w:spacing w:after="240" w:line="560" w:lineRule="exact"/>
        <w:ind w:firstLine="640" w:firstLineChars="200"/>
        <w:jc w:val="both"/>
        <w:textAlignment w:val="auto"/>
        <w:rPr>
          <w:rFonts w:hint="default" w:ascii="Times New Roman" w:hAnsi="Times New Roman" w:eastAsia="黑体" w:cs="Times New Roman"/>
          <w:color w:val="333333"/>
          <w:sz w:val="32"/>
          <w:szCs w:val="32"/>
          <w:shd w:val="clear" w:fill="FFFFFF"/>
        </w:rPr>
      </w:pPr>
      <w:r>
        <w:rPr>
          <w:rFonts w:hint="default" w:ascii="Times New Roman" w:hAnsi="Times New Roman" w:eastAsia="黑体" w:cs="Times New Roman"/>
          <w:color w:val="333333"/>
          <w:sz w:val="32"/>
          <w:szCs w:val="32"/>
          <w:shd w:val="clear" w:fill="FFFFFF"/>
        </w:rPr>
        <w:t>主动公开政府信息情况</w:t>
      </w:r>
    </w:p>
    <w:tbl>
      <w:tblPr>
        <w:tblStyle w:val="3"/>
        <w:tblW w:w="5000" w:type="pct"/>
        <w:jc w:val="center"/>
        <w:tblLayout w:type="autofit"/>
        <w:tblCellMar>
          <w:top w:w="0" w:type="dxa"/>
          <w:left w:w="108" w:type="dxa"/>
          <w:bottom w:w="0" w:type="dxa"/>
          <w:right w:w="108" w:type="dxa"/>
        </w:tblCellMar>
      </w:tblPr>
      <w:tblGrid>
        <w:gridCol w:w="2256"/>
        <w:gridCol w:w="2265"/>
        <w:gridCol w:w="2265"/>
        <w:gridCol w:w="2274"/>
      </w:tblGrid>
      <w:tr>
        <w:tblPrEx>
          <w:tblCellMar>
            <w:top w:w="0" w:type="dxa"/>
            <w:left w:w="108" w:type="dxa"/>
            <w:bottom w:w="0" w:type="dxa"/>
            <w:right w:w="108" w:type="dxa"/>
          </w:tblCellMar>
        </w:tblPrEx>
        <w:trPr>
          <w:trHeight w:val="551"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第二十条第（一）项</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信息内容</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本年制发件数</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本年废止件数</w:t>
            </w:r>
          </w:p>
        </w:tc>
        <w:tc>
          <w:tcPr>
            <w:tcW w:w="1254"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现行有效件数</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规章</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c>
          <w:tcPr>
            <w:tcW w:w="1254"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行政规范性文件</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c>
          <w:tcPr>
            <w:tcW w:w="1250"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c>
          <w:tcPr>
            <w:tcW w:w="1254" w:type="pct"/>
            <w:tcBorders>
              <w:top w:val="nil"/>
              <w:left w:val="nil"/>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r>
      <w:tr>
        <w:tblPrEx>
          <w:tblCellMar>
            <w:top w:w="0" w:type="dxa"/>
            <w:left w:w="108" w:type="dxa"/>
            <w:bottom w:w="0" w:type="dxa"/>
            <w:right w:w="108" w:type="dxa"/>
          </w:tblCellMar>
        </w:tblPrEx>
        <w:trPr>
          <w:trHeight w:val="551"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第二十条第（五）项</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信息内容</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行政许可</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30297</w:t>
            </w:r>
          </w:p>
        </w:tc>
      </w:tr>
      <w:tr>
        <w:tblPrEx>
          <w:tblCellMar>
            <w:top w:w="0" w:type="dxa"/>
            <w:left w:w="108" w:type="dxa"/>
            <w:bottom w:w="0" w:type="dxa"/>
            <w:right w:w="108" w:type="dxa"/>
          </w:tblCellMar>
        </w:tblPrEx>
        <w:trPr>
          <w:trHeight w:val="551"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第二十条第（六）项</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信息内容</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本年处理决定数量</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行政处罚</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行政强制</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Times New Roman" w:cs="Times New Roman"/>
                <w:color w:val="000000"/>
                <w:kern w:val="0"/>
                <w:szCs w:val="21"/>
                <w:lang w:val="en-US" w:eastAsia="zh-CN"/>
              </w:rPr>
            </w:pPr>
            <w:r>
              <w:rPr>
                <w:rFonts w:hint="default" w:ascii="Times New Roman" w:hAnsi="Times New Roman" w:eastAsia="Times New Roman" w:cs="Times New Roman"/>
                <w:color w:val="000000"/>
                <w:kern w:val="0"/>
                <w:szCs w:val="21"/>
                <w:lang w:val="en-US" w:eastAsia="zh-CN"/>
              </w:rPr>
              <w:t>0</w:t>
            </w:r>
          </w:p>
        </w:tc>
      </w:tr>
      <w:tr>
        <w:tblPrEx>
          <w:tblCellMar>
            <w:top w:w="0" w:type="dxa"/>
            <w:left w:w="108" w:type="dxa"/>
            <w:bottom w:w="0" w:type="dxa"/>
            <w:right w:w="108" w:type="dxa"/>
          </w:tblCellMar>
        </w:tblPrEx>
        <w:trPr>
          <w:trHeight w:val="551" w:hRule="atLeast"/>
          <w:jc w:val="center"/>
        </w:trPr>
        <w:tc>
          <w:tcPr>
            <w:tcW w:w="5000" w:type="pct"/>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第二十条第（八）项</w:t>
            </w:r>
          </w:p>
        </w:tc>
      </w:tr>
      <w:tr>
        <w:tblPrEx>
          <w:tblCellMar>
            <w:top w:w="0" w:type="dxa"/>
            <w:left w:w="108" w:type="dxa"/>
            <w:bottom w:w="0" w:type="dxa"/>
            <w:right w:w="108" w:type="dxa"/>
          </w:tblCellMar>
        </w:tblPrEx>
        <w:trPr>
          <w:trHeight w:val="551"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信息内容</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Cs w:val="21"/>
              </w:rPr>
            </w:pPr>
            <w:r>
              <w:rPr>
                <w:rFonts w:hint="default" w:ascii="Times New Roman" w:hAnsi="Times New Roman" w:eastAsia="仿宋_GB2312" w:cs="Times New Roman"/>
                <w:color w:val="000000"/>
                <w:kern w:val="0"/>
                <w:szCs w:val="21"/>
              </w:rPr>
              <w:t>本年收费金额（单位：万元）</w:t>
            </w:r>
          </w:p>
        </w:tc>
      </w:tr>
      <w:tr>
        <w:tblPrEx>
          <w:tblCellMar>
            <w:top w:w="0" w:type="dxa"/>
            <w:left w:w="108" w:type="dxa"/>
            <w:bottom w:w="0" w:type="dxa"/>
            <w:right w:w="108" w:type="dxa"/>
          </w:tblCellMar>
        </w:tblPrEx>
        <w:trPr>
          <w:trHeight w:val="573" w:hRule="atLeast"/>
          <w:jc w:val="center"/>
        </w:trPr>
        <w:tc>
          <w:tcPr>
            <w:tcW w:w="1245" w:type="pct"/>
            <w:tcBorders>
              <w:top w:val="nil"/>
              <w:left w:val="single" w:color="auto" w:sz="8" w:space="0"/>
              <w:bottom w:val="single" w:color="auto" w:sz="8" w:space="0"/>
              <w:right w:val="single" w:color="auto"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仿宋_GB2312" w:cs="Times New Roman"/>
                <w:color w:val="000000"/>
                <w:kern w:val="0"/>
                <w:sz w:val="21"/>
                <w:szCs w:val="21"/>
              </w:rPr>
            </w:pPr>
            <w:r>
              <w:rPr>
                <w:rFonts w:hint="default" w:ascii="Times New Roman" w:hAnsi="Times New Roman" w:eastAsia="仿宋_GB2312" w:cs="Times New Roman"/>
                <w:color w:val="000000"/>
                <w:kern w:val="0"/>
                <w:sz w:val="21"/>
                <w:szCs w:val="21"/>
              </w:rPr>
              <w:t>行政事业性收费</w:t>
            </w:r>
          </w:p>
        </w:tc>
        <w:tc>
          <w:tcPr>
            <w:tcW w:w="3754" w:type="pct"/>
            <w:gridSpan w:val="3"/>
            <w:tcBorders>
              <w:top w:val="single" w:color="auto" w:sz="8" w:space="0"/>
              <w:left w:val="nil"/>
              <w:bottom w:val="single" w:color="auto" w:sz="8" w:space="0"/>
              <w:right w:val="single" w:color="000000" w:sz="8"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auto"/>
              <w:ind w:firstLine="420" w:firstLineChars="200"/>
              <w:jc w:val="center"/>
              <w:textAlignment w:val="auto"/>
              <w:rPr>
                <w:rFonts w:hint="default" w:ascii="Times New Roman" w:hAnsi="Times New Roman" w:eastAsia="仿宋_GB2312" w:cs="Times New Roman"/>
                <w:color w:val="000000"/>
                <w:kern w:val="0"/>
                <w:szCs w:val="21"/>
                <w:lang w:val="en-US" w:eastAsia="zh-CN"/>
              </w:rPr>
            </w:pPr>
            <w:r>
              <w:rPr>
                <w:rFonts w:hint="eastAsia" w:ascii="Times New Roman" w:hAnsi="Times New Roman" w:eastAsia="Times New Roman" w:cs="Times New Roman"/>
                <w:color w:val="000000"/>
                <w:kern w:val="0"/>
                <w:szCs w:val="21"/>
                <w:lang w:val="en-US" w:eastAsia="zh-CN"/>
              </w:rPr>
              <w:t>90.24</w:t>
            </w:r>
            <w:bookmarkStart w:id="10" w:name="_GoBack"/>
            <w:bookmarkEnd w:id="10"/>
          </w:p>
        </w:tc>
      </w:tr>
    </w:tbl>
    <w:p>
      <w:pPr>
        <w:pStyle w:val="2"/>
        <w:keepNext w:val="0"/>
        <w:keepLines w:val="0"/>
        <w:pageBreakBefore w:val="0"/>
        <w:widowControl/>
        <w:numPr>
          <w:ilvl w:val="0"/>
          <w:numId w:val="0"/>
        </w:numPr>
        <w:kinsoku/>
        <w:wordWrap/>
        <w:overflowPunct/>
        <w:topLinePunct w:val="0"/>
        <w:autoSpaceDE/>
        <w:autoSpaceDN/>
        <w:bidi w:val="0"/>
        <w:adjustRightInd/>
        <w:snapToGrid/>
        <w:spacing w:after="240" w:line="560" w:lineRule="exact"/>
        <w:ind w:leftChars="200"/>
        <w:jc w:val="both"/>
        <w:textAlignment w:val="auto"/>
        <w:rPr>
          <w:rFonts w:hint="default" w:ascii="Times New Roman" w:hAnsi="Times New Roman" w:eastAsia="仿宋_GB2312" w:cs="Times New Roman"/>
          <w:sz w:val="32"/>
          <w:szCs w:val="32"/>
        </w:rPr>
      </w:pPr>
    </w:p>
    <w:p>
      <w:pPr>
        <w:pStyle w:val="2"/>
        <w:keepNext w:val="0"/>
        <w:keepLines w:val="0"/>
        <w:pageBreakBefore w:val="0"/>
        <w:widowControl/>
        <w:numPr>
          <w:ilvl w:val="0"/>
          <w:numId w:val="0"/>
        </w:numPr>
        <w:kinsoku/>
        <w:wordWrap/>
        <w:overflowPunct/>
        <w:topLinePunct w:val="0"/>
        <w:autoSpaceDE/>
        <w:autoSpaceDN/>
        <w:bidi w:val="0"/>
        <w:adjustRightInd/>
        <w:snapToGrid/>
        <w:spacing w:after="240" w:line="560" w:lineRule="exact"/>
        <w:ind w:leftChars="200"/>
        <w:jc w:val="both"/>
        <w:textAlignment w:val="auto"/>
        <w:rPr>
          <w:rFonts w:hint="default" w:ascii="Times New Roman" w:hAnsi="Times New Roman" w:eastAsia="仿宋_GB2312" w:cs="Times New Roman"/>
          <w:sz w:val="32"/>
          <w:szCs w:val="32"/>
        </w:rPr>
      </w:pPr>
    </w:p>
    <w:p>
      <w:pPr>
        <w:pStyle w:val="2"/>
        <w:keepNext w:val="0"/>
        <w:keepLines w:val="0"/>
        <w:pageBreakBefore w:val="0"/>
        <w:widowControl/>
        <w:numPr>
          <w:ilvl w:val="0"/>
          <w:numId w:val="0"/>
        </w:numPr>
        <w:kinsoku/>
        <w:wordWrap/>
        <w:overflowPunct/>
        <w:topLinePunct w:val="0"/>
        <w:autoSpaceDE/>
        <w:autoSpaceDN/>
        <w:bidi w:val="0"/>
        <w:adjustRightInd/>
        <w:snapToGrid/>
        <w:spacing w:after="240" w:line="560" w:lineRule="exact"/>
        <w:ind w:leftChars="200"/>
        <w:jc w:val="both"/>
        <w:textAlignment w:val="auto"/>
        <w:rPr>
          <w:rFonts w:hint="default" w:ascii="Times New Roman" w:hAnsi="Times New Roman" w:eastAsia="仿宋_GB2312" w:cs="Times New Roman"/>
          <w:sz w:val="32"/>
          <w:szCs w:val="32"/>
        </w:rPr>
      </w:pPr>
    </w:p>
    <w:p>
      <w:pPr>
        <w:pStyle w:val="2"/>
        <w:keepNext w:val="0"/>
        <w:keepLines w:val="0"/>
        <w:pageBreakBefore w:val="0"/>
        <w:widowControl/>
        <w:numPr>
          <w:ilvl w:val="0"/>
          <w:numId w:val="0"/>
        </w:numPr>
        <w:kinsoku/>
        <w:wordWrap/>
        <w:overflowPunct/>
        <w:topLinePunct w:val="0"/>
        <w:autoSpaceDE/>
        <w:autoSpaceDN/>
        <w:bidi w:val="0"/>
        <w:adjustRightInd/>
        <w:snapToGrid/>
        <w:spacing w:after="240" w:line="560" w:lineRule="exact"/>
        <w:ind w:leftChars="200"/>
        <w:jc w:val="both"/>
        <w:textAlignment w:val="auto"/>
        <w:rPr>
          <w:rFonts w:hint="default" w:ascii="Times New Roman" w:hAnsi="Times New Roman" w:eastAsia="仿宋_GB2312" w:cs="Times New Roman"/>
          <w:sz w:val="32"/>
          <w:szCs w:val="32"/>
        </w:rPr>
      </w:pPr>
    </w:p>
    <w:p>
      <w:pPr>
        <w:pStyle w:val="2"/>
        <w:keepNext w:val="0"/>
        <w:keepLines w:val="0"/>
        <w:pageBreakBefore w:val="0"/>
        <w:widowControl/>
        <w:numPr>
          <w:ilvl w:val="0"/>
          <w:numId w:val="0"/>
        </w:numPr>
        <w:kinsoku/>
        <w:wordWrap/>
        <w:overflowPunct/>
        <w:topLinePunct w:val="0"/>
        <w:autoSpaceDE/>
        <w:autoSpaceDN/>
        <w:bidi w:val="0"/>
        <w:adjustRightInd/>
        <w:snapToGrid/>
        <w:spacing w:after="240" w:line="560" w:lineRule="exact"/>
        <w:ind w:leftChars="200"/>
        <w:jc w:val="both"/>
        <w:textAlignment w:val="auto"/>
        <w:rPr>
          <w:rFonts w:hint="default" w:ascii="Times New Roman" w:hAnsi="Times New Roman" w:eastAsia="仿宋_GB2312" w:cs="Times New Roman"/>
          <w:sz w:val="32"/>
          <w:szCs w:val="32"/>
        </w:rPr>
      </w:pPr>
    </w:p>
    <w:p>
      <w:pPr>
        <w:pStyle w:val="2"/>
        <w:keepNext w:val="0"/>
        <w:keepLines w:val="0"/>
        <w:pageBreakBefore w:val="0"/>
        <w:widowControl/>
        <w:numPr>
          <w:ilvl w:val="0"/>
          <w:numId w:val="2"/>
        </w:numPr>
        <w:kinsoku/>
        <w:wordWrap/>
        <w:overflowPunct/>
        <w:topLinePunct w:val="0"/>
        <w:autoSpaceDE/>
        <w:autoSpaceDN/>
        <w:bidi w:val="0"/>
        <w:adjustRightInd/>
        <w:snapToGrid/>
        <w:spacing w:after="240" w:line="560" w:lineRule="exact"/>
        <w:ind w:left="0" w:leftChars="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color w:val="333333"/>
          <w:sz w:val="32"/>
          <w:szCs w:val="32"/>
          <w:shd w:val="clear" w:fill="FFFFFF"/>
          <w:lang w:eastAsia="zh-CN"/>
        </w:rPr>
        <w:t>收到和处理</w:t>
      </w:r>
      <w:r>
        <w:rPr>
          <w:rFonts w:hint="default" w:ascii="Times New Roman" w:hAnsi="Times New Roman" w:eastAsia="黑体" w:cs="Times New Roman"/>
          <w:color w:val="333333"/>
          <w:sz w:val="32"/>
          <w:szCs w:val="32"/>
          <w:shd w:val="clear" w:fill="FFFFFF"/>
        </w:rPr>
        <w:t>政府信息</w:t>
      </w:r>
      <w:r>
        <w:rPr>
          <w:rFonts w:hint="default" w:ascii="Times New Roman" w:hAnsi="Times New Roman" w:eastAsia="黑体" w:cs="Times New Roman"/>
          <w:color w:val="333333"/>
          <w:sz w:val="32"/>
          <w:szCs w:val="32"/>
          <w:shd w:val="clear" w:fill="FFFFFF"/>
          <w:lang w:eastAsia="zh-CN"/>
        </w:rPr>
        <w:t>公开申请</w:t>
      </w:r>
      <w:r>
        <w:rPr>
          <w:rFonts w:hint="default" w:ascii="Times New Roman" w:hAnsi="Times New Roman" w:eastAsia="黑体" w:cs="Times New Roman"/>
          <w:color w:val="333333"/>
          <w:sz w:val="32"/>
          <w:szCs w:val="32"/>
          <w:shd w:val="clear" w:fill="FFFFFF"/>
        </w:rPr>
        <w:t>情况</w:t>
      </w:r>
    </w:p>
    <w:tbl>
      <w:tblPr>
        <w:tblStyle w:val="3"/>
        <w:tblW w:w="4998"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5"/>
        <w:gridCol w:w="1764"/>
        <w:gridCol w:w="2572"/>
        <w:gridCol w:w="703"/>
        <w:gridCol w:w="476"/>
        <w:gridCol w:w="476"/>
        <w:gridCol w:w="619"/>
        <w:gridCol w:w="600"/>
        <w:gridCol w:w="489"/>
        <w:gridCol w:w="9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2" w:hRule="atLeast"/>
          <w:jc w:val="center"/>
        </w:trPr>
        <w:tc>
          <w:tcPr>
            <w:tcW w:w="2623" w:type="pct"/>
            <w:gridSpan w:val="3"/>
            <w:vMerge w:val="restart"/>
            <w:shd w:val="clear" w:color="auto" w:fill="auto"/>
            <w:tcMar>
              <w:left w:w="108" w:type="dxa"/>
              <w:right w:w="108" w:type="dxa"/>
            </w:tcMar>
            <w:vAlign w:val="center"/>
          </w:tcPr>
          <w:p>
            <w:pPr>
              <w:widowControl/>
              <w:jc w:val="center"/>
              <w:rPr>
                <w:rFonts w:hint="default" w:ascii="Times New Roman" w:hAnsi="Times New Roman" w:eastAsia="楷体_GB2312" w:cs="Times New Roman"/>
                <w:kern w:val="0"/>
                <w:szCs w:val="21"/>
              </w:rPr>
            </w:pPr>
            <w:r>
              <w:rPr>
                <w:rFonts w:hint="default" w:ascii="Times New Roman" w:hAnsi="Times New Roman" w:eastAsia="楷体_GB2312" w:cs="Times New Roman"/>
                <w:kern w:val="0"/>
                <w:szCs w:val="21"/>
              </w:rPr>
              <w:t>（本列数据的勾稽关系为：第一项加第二项之和，</w:t>
            </w:r>
          </w:p>
          <w:p>
            <w:pPr>
              <w:widowControl/>
              <w:jc w:val="center"/>
              <w:rPr>
                <w:rFonts w:hint="default" w:ascii="Times New Roman" w:hAnsi="Times New Roman" w:eastAsia="仿宋_GB2312" w:cs="Times New Roman"/>
                <w:szCs w:val="21"/>
              </w:rPr>
            </w:pPr>
            <w:r>
              <w:rPr>
                <w:rFonts w:hint="default" w:ascii="Times New Roman" w:hAnsi="Times New Roman" w:eastAsia="楷体_GB2312" w:cs="Times New Roman"/>
                <w:kern w:val="0"/>
                <w:szCs w:val="21"/>
              </w:rPr>
              <w:t>等于第三项加第四项之和）</w:t>
            </w:r>
          </w:p>
        </w:tc>
        <w:tc>
          <w:tcPr>
            <w:tcW w:w="2376" w:type="pct"/>
            <w:gridSpan w:val="7"/>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atLeast"/>
          <w:jc w:val="center"/>
        </w:trPr>
        <w:tc>
          <w:tcPr>
            <w:tcW w:w="2623" w:type="pct"/>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388" w:type="pct"/>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自然人</w:t>
            </w:r>
          </w:p>
        </w:tc>
        <w:tc>
          <w:tcPr>
            <w:tcW w:w="1469" w:type="pct"/>
            <w:gridSpan w:val="5"/>
            <w:shd w:val="clear" w:color="auto" w:fill="auto"/>
            <w:tcMar>
              <w:left w:w="108" w:type="dxa"/>
              <w:right w:w="108" w:type="dxa"/>
            </w:tcMar>
            <w:vAlign w:val="center"/>
          </w:tcPr>
          <w:p>
            <w:pPr>
              <w:widowControl/>
              <w:spacing w:line="320" w:lineRule="exact"/>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法人或其他组织</w:t>
            </w:r>
          </w:p>
        </w:tc>
        <w:tc>
          <w:tcPr>
            <w:tcW w:w="518" w:type="pct"/>
            <w:vMerge w:val="restart"/>
            <w:shd w:val="clear" w:color="auto" w:fill="auto"/>
            <w:tcMar>
              <w:left w:w="108" w:type="dxa"/>
              <w:right w:w="108" w:type="dxa"/>
            </w:tcMar>
            <w:vAlign w:val="center"/>
          </w:tcPr>
          <w:p>
            <w:pPr>
              <w:widowControl/>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32" w:hRule="atLeast"/>
          <w:jc w:val="center"/>
        </w:trPr>
        <w:tc>
          <w:tcPr>
            <w:tcW w:w="2623" w:type="pct"/>
            <w:gridSpan w:val="3"/>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c>
          <w:tcPr>
            <w:tcW w:w="388" w:type="pct"/>
            <w:vMerge w:val="continue"/>
            <w:shd w:val="clear" w:color="auto" w:fill="auto"/>
            <w:tcMar>
              <w:left w:w="108" w:type="dxa"/>
              <w:right w:w="108" w:type="dxa"/>
            </w:tcMar>
            <w:vAlign w:val="center"/>
          </w:tcPr>
          <w:p>
            <w:pPr>
              <w:jc w:val="center"/>
              <w:rPr>
                <w:rFonts w:hint="default" w:ascii="Times New Roman" w:hAnsi="Times New Roman" w:eastAsia="黑体" w:cs="Times New Roman"/>
                <w:szCs w:val="21"/>
              </w:rPr>
            </w:pPr>
          </w:p>
        </w:tc>
        <w:tc>
          <w:tcPr>
            <w:tcW w:w="263" w:type="pct"/>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商业企业</w:t>
            </w:r>
          </w:p>
        </w:tc>
        <w:tc>
          <w:tcPr>
            <w:tcW w:w="263" w:type="pct"/>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科研机构</w:t>
            </w:r>
          </w:p>
        </w:tc>
        <w:tc>
          <w:tcPr>
            <w:tcW w:w="342" w:type="pct"/>
            <w:shd w:val="clear" w:color="auto" w:fill="auto"/>
            <w:tcMar>
              <w:left w:w="108" w:type="dxa"/>
              <w:right w:w="108" w:type="dxa"/>
            </w:tcMar>
            <w:vAlign w:val="center"/>
          </w:tcPr>
          <w:p>
            <w:pPr>
              <w:widowControl/>
              <w:spacing w:line="320" w:lineRule="exact"/>
              <w:ind w:left="-107" w:leftChars="-51" w:right="-107" w:rightChars="-5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社会公益组织</w:t>
            </w:r>
          </w:p>
        </w:tc>
        <w:tc>
          <w:tcPr>
            <w:tcW w:w="331" w:type="pct"/>
            <w:shd w:val="clear" w:color="auto" w:fill="auto"/>
            <w:tcMar>
              <w:left w:w="108" w:type="dxa"/>
              <w:right w:w="108" w:type="dxa"/>
            </w:tcMar>
            <w:vAlign w:val="center"/>
          </w:tcPr>
          <w:p>
            <w:pPr>
              <w:widowControl/>
              <w:spacing w:line="320" w:lineRule="exact"/>
              <w:ind w:left="-106" w:leftChars="-51" w:right="-107" w:rightChars="-51" w:hanging="1"/>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法律服务机构</w:t>
            </w:r>
          </w:p>
        </w:tc>
        <w:tc>
          <w:tcPr>
            <w:tcW w:w="268" w:type="pct"/>
            <w:shd w:val="clear" w:color="auto" w:fill="auto"/>
            <w:tcMar>
              <w:left w:w="108" w:type="dxa"/>
              <w:right w:w="108" w:type="dxa"/>
            </w:tcMar>
            <w:vAlign w:val="center"/>
          </w:tcPr>
          <w:p>
            <w:pPr>
              <w:widowControl/>
              <w:spacing w:line="360" w:lineRule="exact"/>
              <w:ind w:left="-63" w:leftChars="-30" w:right="-134" w:rightChars="-64"/>
              <w:jc w:val="center"/>
              <w:rPr>
                <w:rFonts w:hint="default" w:ascii="Times New Roman" w:hAnsi="Times New Roman" w:eastAsia="黑体" w:cs="Times New Roman"/>
                <w:szCs w:val="21"/>
              </w:rPr>
            </w:pPr>
            <w:r>
              <w:rPr>
                <w:rFonts w:hint="default" w:ascii="Times New Roman" w:hAnsi="Times New Roman" w:eastAsia="黑体" w:cs="Times New Roman"/>
                <w:kern w:val="0"/>
                <w:szCs w:val="21"/>
              </w:rPr>
              <w:t>其他</w:t>
            </w:r>
          </w:p>
        </w:tc>
        <w:tc>
          <w:tcPr>
            <w:tcW w:w="518" w:type="pct"/>
            <w:vMerge w:val="continue"/>
            <w:shd w:val="clear" w:color="auto" w:fill="auto"/>
            <w:tcMar>
              <w:left w:w="108" w:type="dxa"/>
              <w:right w:w="108" w:type="dxa"/>
            </w:tcMar>
            <w:vAlign w:val="center"/>
          </w:tcPr>
          <w:p>
            <w:pPr>
              <w:jc w:val="center"/>
              <w:rPr>
                <w:rFonts w:hint="default" w:ascii="Times New Roman" w:hAnsi="Times New Roman" w:eastAsia="仿宋_GB2312" w:cs="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1" w:hRule="atLeast"/>
          <w:jc w:val="center"/>
        </w:trPr>
        <w:tc>
          <w:tcPr>
            <w:tcW w:w="2623" w:type="pct"/>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w:t>
            </w:r>
            <w:bookmarkStart w:id="0" w:name="_Hlk66973412"/>
            <w:r>
              <w:rPr>
                <w:rFonts w:hint="default" w:ascii="Times New Roman" w:hAnsi="Times New Roman" w:eastAsia="黑体" w:cs="Times New Roman"/>
                <w:kern w:val="0"/>
                <w:szCs w:val="21"/>
              </w:rPr>
              <w:t>本年新收政府信息公开申请数量</w:t>
            </w:r>
            <w:bookmarkEnd w:id="0"/>
          </w:p>
        </w:tc>
        <w:tc>
          <w:tcPr>
            <w:tcW w:w="38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1" w:hRule="atLeast"/>
          <w:jc w:val="center"/>
        </w:trPr>
        <w:tc>
          <w:tcPr>
            <w:tcW w:w="2623" w:type="pct"/>
            <w:gridSpan w:val="3"/>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二、上年结转政府信息公开申请数量</w:t>
            </w:r>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1" w:hRule="atLeast"/>
          <w:jc w:val="center"/>
        </w:trPr>
        <w:tc>
          <w:tcPr>
            <w:tcW w:w="229" w:type="pct"/>
            <w:vMerge w:val="restart"/>
            <w:shd w:val="clear" w:color="auto" w:fill="auto"/>
            <w:tcMar>
              <w:left w:w="108" w:type="dxa"/>
              <w:right w:w="108" w:type="dxa"/>
            </w:tcMar>
            <w:vAlign w:val="center"/>
          </w:tcPr>
          <w:p>
            <w:pPr>
              <w:widowControl/>
              <w:spacing w:after="180"/>
              <w:rPr>
                <w:rFonts w:hint="default" w:ascii="Times New Roman" w:hAnsi="Times New Roman" w:eastAsia="黑体" w:cs="Times New Roman"/>
                <w:szCs w:val="21"/>
              </w:rPr>
            </w:pPr>
            <w:r>
              <w:rPr>
                <w:rFonts w:hint="default" w:ascii="Times New Roman" w:hAnsi="Times New Roman" w:eastAsia="黑体" w:cs="Times New Roman"/>
                <w:kern w:val="0"/>
                <w:szCs w:val="21"/>
              </w:rPr>
              <w:t>三、本年度办理结果</w:t>
            </w:r>
          </w:p>
        </w:tc>
        <w:tc>
          <w:tcPr>
            <w:tcW w:w="2394" w:type="pct"/>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（一）予以公开</w:t>
            </w:r>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4"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2394" w:type="pct"/>
            <w:gridSpan w:val="2"/>
            <w:shd w:val="clear" w:color="auto" w:fill="auto"/>
            <w:tcMar>
              <w:left w:w="108" w:type="dxa"/>
              <w:right w:w="108" w:type="dxa"/>
            </w:tcMar>
            <w:vAlign w:val="center"/>
          </w:tcPr>
          <w:p>
            <w:pPr>
              <w:widowControl/>
              <w:rPr>
                <w:rFonts w:hint="default" w:ascii="Times New Roman" w:hAnsi="Times New Roman" w:eastAsia="黑体" w:cs="Times New Roman"/>
                <w:szCs w:val="21"/>
              </w:rPr>
            </w:pPr>
            <w:r>
              <w:rPr>
                <w:rFonts w:hint="default" w:ascii="Times New Roman" w:hAnsi="Times New Roman" w:eastAsia="黑体" w:cs="Times New Roman"/>
                <w:kern w:val="0"/>
                <w:szCs w:val="21"/>
              </w:rPr>
              <w:t>（二）部分公开（</w:t>
            </w:r>
            <w:bookmarkStart w:id="1" w:name="_Hlk66973981"/>
            <w:r>
              <w:rPr>
                <w:rFonts w:hint="default" w:ascii="Times New Roman" w:hAnsi="Times New Roman" w:eastAsia="黑体" w:cs="Times New Roman"/>
                <w:kern w:val="0"/>
                <w:szCs w:val="21"/>
              </w:rPr>
              <w:t>区分处理的，只计这一情形，不计其他情形</w:t>
            </w:r>
            <w:bookmarkEnd w:id="1"/>
            <w:r>
              <w:rPr>
                <w:rFonts w:hint="default" w:ascii="Times New Roman" w:hAnsi="Times New Roman" w:eastAsia="黑体" w:cs="Times New Roman"/>
                <w:kern w:val="0"/>
                <w:szCs w:val="21"/>
              </w:rPr>
              <w:t>）</w:t>
            </w:r>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2"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 w:val="20"/>
                <w:szCs w:val="20"/>
              </w:rPr>
            </w:pPr>
            <w:r>
              <w:rPr>
                <w:rFonts w:hint="default" w:ascii="Times New Roman" w:hAnsi="Times New Roman" w:eastAsia="黑体" w:cs="Times New Roman"/>
                <w:kern w:val="0"/>
                <w:sz w:val="20"/>
                <w:szCs w:val="20"/>
              </w:rPr>
              <w:t>（三）不予公开</w:t>
            </w: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1.属于国家秘密</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41"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2.</w:t>
            </w:r>
            <w:bookmarkStart w:id="2" w:name="_Hlk66974104"/>
            <w:r>
              <w:rPr>
                <w:rFonts w:hint="default" w:ascii="Times New Roman" w:hAnsi="Times New Roman" w:eastAsia="仿宋_GB2312" w:cs="Times New Roman"/>
                <w:kern w:val="0"/>
                <w:sz w:val="20"/>
                <w:szCs w:val="20"/>
              </w:rPr>
              <w:t>其他法律行政法规禁止公开</w:t>
            </w:r>
            <w:bookmarkEnd w:id="2"/>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3.危及“三安全一稳定”</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4.</w:t>
            </w:r>
            <w:bookmarkStart w:id="3" w:name="_Hlk66974290"/>
            <w:r>
              <w:rPr>
                <w:rFonts w:hint="default" w:ascii="Times New Roman" w:hAnsi="Times New Roman" w:eastAsia="仿宋_GB2312" w:cs="Times New Roman"/>
                <w:kern w:val="0"/>
                <w:sz w:val="20"/>
                <w:szCs w:val="20"/>
              </w:rPr>
              <w:t>保护第三方合法权益</w:t>
            </w:r>
            <w:bookmarkEnd w:id="3"/>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8"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5.属于三类内部事务信息</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6.</w:t>
            </w:r>
            <w:bookmarkStart w:id="4" w:name="_Hlk66974555"/>
            <w:r>
              <w:rPr>
                <w:rFonts w:hint="default" w:ascii="Times New Roman" w:hAnsi="Times New Roman" w:eastAsia="仿宋_GB2312" w:cs="Times New Roman"/>
                <w:kern w:val="0"/>
                <w:sz w:val="20"/>
                <w:szCs w:val="20"/>
              </w:rPr>
              <w:t>属于四类过程性信息</w:t>
            </w:r>
            <w:bookmarkEnd w:id="4"/>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7.属于行政执法案卷</w:t>
            </w:r>
          </w:p>
        </w:tc>
        <w:tc>
          <w:tcPr>
            <w:tcW w:w="38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8"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8.</w:t>
            </w:r>
            <w:bookmarkStart w:id="5" w:name="_Hlk66975211"/>
            <w:r>
              <w:rPr>
                <w:rFonts w:hint="default" w:ascii="Times New Roman" w:hAnsi="Times New Roman" w:eastAsia="仿宋_GB2312" w:cs="Times New Roman"/>
                <w:kern w:val="0"/>
                <w:sz w:val="20"/>
                <w:szCs w:val="20"/>
              </w:rPr>
              <w:t>属于行政查询事项</w:t>
            </w:r>
            <w:bookmarkEnd w:id="5"/>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2"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 w:val="20"/>
                <w:szCs w:val="20"/>
              </w:rPr>
            </w:pPr>
            <w:r>
              <w:rPr>
                <w:rFonts w:hint="default" w:ascii="Times New Roman" w:hAnsi="Times New Roman" w:eastAsia="黑体" w:cs="Times New Roman"/>
                <w:kern w:val="0"/>
                <w:sz w:val="20"/>
                <w:szCs w:val="20"/>
              </w:rPr>
              <w:t>（四）无法提供</w:t>
            </w: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1.本机关不掌握相关政府信息</w:t>
            </w:r>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6"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2.</w:t>
            </w:r>
            <w:bookmarkStart w:id="6" w:name="_Hlk66975392"/>
            <w:r>
              <w:rPr>
                <w:rFonts w:hint="default" w:ascii="Times New Roman" w:hAnsi="Times New Roman" w:eastAsia="仿宋_GB2312" w:cs="Times New Roman"/>
                <w:kern w:val="0"/>
                <w:sz w:val="20"/>
                <w:szCs w:val="20"/>
              </w:rPr>
              <w:t>没有现成信息需要另行制作</w:t>
            </w:r>
            <w:bookmarkEnd w:id="6"/>
          </w:p>
        </w:tc>
        <w:tc>
          <w:tcPr>
            <w:tcW w:w="38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05"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ind w:left="-107" w:leftChars="-51"/>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3.</w:t>
            </w:r>
            <w:bookmarkStart w:id="7" w:name="_Hlk66975466"/>
            <w:r>
              <w:rPr>
                <w:rFonts w:hint="default" w:ascii="Times New Roman" w:hAnsi="Times New Roman" w:eastAsia="仿宋_GB2312" w:cs="Times New Roman"/>
                <w:kern w:val="0"/>
                <w:sz w:val="20"/>
                <w:szCs w:val="20"/>
              </w:rPr>
              <w:t>补正后申请内容仍不明确</w:t>
            </w:r>
            <w:bookmarkEnd w:id="7"/>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restart"/>
            <w:shd w:val="clear" w:color="auto" w:fill="auto"/>
            <w:tcMar>
              <w:left w:w="108" w:type="dxa"/>
              <w:right w:w="108" w:type="dxa"/>
            </w:tcMar>
            <w:vAlign w:val="center"/>
          </w:tcPr>
          <w:p>
            <w:pPr>
              <w:widowControl/>
              <w:spacing w:line="200" w:lineRule="exact"/>
              <w:ind w:left="-107" w:leftChars="-51"/>
              <w:rPr>
                <w:rFonts w:hint="default" w:ascii="Times New Roman" w:hAnsi="Times New Roman" w:eastAsia="黑体" w:cs="Times New Roman"/>
                <w:sz w:val="20"/>
                <w:szCs w:val="20"/>
              </w:rPr>
            </w:pPr>
            <w:r>
              <w:rPr>
                <w:rFonts w:hint="default" w:ascii="Times New Roman" w:hAnsi="Times New Roman" w:eastAsia="黑体" w:cs="Times New Roman"/>
                <w:kern w:val="0"/>
                <w:sz w:val="20"/>
                <w:szCs w:val="20"/>
              </w:rPr>
              <w:t>（五）不予处理</w:t>
            </w: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1.</w:t>
            </w:r>
            <w:bookmarkStart w:id="8" w:name="_Hlk66975537"/>
            <w:r>
              <w:rPr>
                <w:rFonts w:hint="default" w:ascii="Times New Roman" w:hAnsi="Times New Roman" w:eastAsia="仿宋_GB2312" w:cs="Times New Roman"/>
                <w:kern w:val="0"/>
                <w:sz w:val="20"/>
                <w:szCs w:val="20"/>
              </w:rPr>
              <w:t>信访举报投诉类申请</w:t>
            </w:r>
            <w:bookmarkEnd w:id="8"/>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2.重复申请</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tabs>
                <w:tab w:val="left" w:pos="247"/>
              </w:tabs>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sz w:val="20"/>
                <w:szCs w:val="20"/>
              </w:rPr>
            </w:pPr>
            <w:r>
              <w:rPr>
                <w:rFonts w:hint="default" w:ascii="Times New Roman" w:hAnsi="Times New Roman" w:eastAsia="仿宋_GB2312" w:cs="Times New Roman"/>
                <w:kern w:val="0"/>
                <w:sz w:val="20"/>
                <w:szCs w:val="20"/>
              </w:rPr>
              <w:t>3.要求提供公开出版物</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exac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200" w:lineRule="exact"/>
              <w:jc w:val="left"/>
              <w:rPr>
                <w:rFonts w:hint="default" w:ascii="Times New Roman" w:hAnsi="Times New Roman" w:eastAsia="仿宋_GB2312" w:cs="Times New Roman"/>
                <w:sz w:val="20"/>
                <w:szCs w:val="20"/>
              </w:rPr>
            </w:pPr>
            <w:r>
              <w:rPr>
                <w:rFonts w:hint="default" w:ascii="Times New Roman" w:hAnsi="Times New Roman" w:eastAsia="仿宋_GB2312" w:cs="Times New Roman"/>
                <w:kern w:val="0"/>
                <w:sz w:val="20"/>
                <w:szCs w:val="20"/>
              </w:rPr>
              <w:t>4.无正当理由大量反复申请</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3"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spacing w:line="200" w:lineRule="exact"/>
              <w:rPr>
                <w:rFonts w:hint="default" w:ascii="Times New Roman" w:hAnsi="Times New Roman" w:eastAsia="黑体" w:cs="Times New Roman"/>
                <w:sz w:val="20"/>
                <w:szCs w:val="20"/>
              </w:rPr>
            </w:pPr>
          </w:p>
        </w:tc>
        <w:tc>
          <w:tcPr>
            <w:tcW w:w="1419" w:type="pct"/>
            <w:shd w:val="clear" w:color="auto" w:fill="auto"/>
            <w:tcMar>
              <w:left w:w="108" w:type="dxa"/>
              <w:right w:w="108" w:type="dxa"/>
            </w:tcMar>
            <w:vAlign w:val="center"/>
          </w:tcPr>
          <w:p>
            <w:pPr>
              <w:widowControl/>
              <w:spacing w:line="300" w:lineRule="exact"/>
              <w:jc w:val="both"/>
              <w:rPr>
                <w:rFonts w:hint="default" w:ascii="Times New Roman" w:hAnsi="Times New Roman" w:eastAsia="仿宋_GB2312" w:cs="Times New Roman"/>
                <w:sz w:val="20"/>
                <w:szCs w:val="20"/>
              </w:rPr>
            </w:pPr>
            <w:r>
              <w:rPr>
                <w:rFonts w:hint="default" w:ascii="Times New Roman" w:hAnsi="Times New Roman" w:eastAsia="仿宋_GB2312" w:cs="Times New Roman"/>
                <w:kern w:val="0"/>
                <w:sz w:val="20"/>
                <w:szCs w:val="20"/>
              </w:rPr>
              <w:t>5.要求行政机关确认或重新出具已获取信息</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kern w:val="2"/>
                <w:sz w:val="21"/>
                <w:szCs w:val="21"/>
                <w:lang w:val="en-US" w:eastAsia="zh-CN" w:bidi="ar-SA"/>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80"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restart"/>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（六）其他处理</w:t>
            </w:r>
          </w:p>
        </w:tc>
        <w:tc>
          <w:tcPr>
            <w:tcW w:w="1419" w:type="pct"/>
            <w:shd w:val="clear" w:color="auto" w:fill="auto"/>
            <w:vAlign w:val="center"/>
          </w:tcPr>
          <w:p>
            <w:pPr>
              <w:widowControl/>
              <w:spacing w:line="300" w:lineRule="exact"/>
              <w:jc w:val="both"/>
              <w:rPr>
                <w:rFonts w:hint="default" w:ascii="Times New Roman" w:hAnsi="Times New Roman" w:eastAsia="仿宋_GB2312" w:cs="Times New Roman"/>
                <w:sz w:val="20"/>
                <w:szCs w:val="20"/>
              </w:rPr>
            </w:pPr>
            <w:r>
              <w:rPr>
                <w:rFonts w:hint="default" w:ascii="Times New Roman" w:hAnsi="Times New Roman" w:eastAsia="仿宋_GB2312" w:cs="Times New Roman"/>
                <w:sz w:val="20"/>
                <w:szCs w:val="20"/>
              </w:rPr>
              <w:t>1.申请人无正当理由逾期不补正、行政机关不再处理其政府信息公开申请</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80"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1419" w:type="pct"/>
            <w:shd w:val="clear" w:color="auto" w:fill="auto"/>
            <w:vAlign w:val="center"/>
          </w:tcPr>
          <w:p>
            <w:pPr>
              <w:widowControl/>
              <w:spacing w:line="300" w:lineRule="exact"/>
              <w:jc w:val="both"/>
              <w:rPr>
                <w:rFonts w:hint="default" w:ascii="Times New Roman" w:hAnsi="Times New Roman" w:eastAsia="仿宋_GB2312" w:cs="Times New Roman"/>
                <w:kern w:val="0"/>
                <w:sz w:val="20"/>
                <w:szCs w:val="20"/>
              </w:rPr>
            </w:pPr>
            <w:r>
              <w:rPr>
                <w:rFonts w:hint="default" w:ascii="Times New Roman" w:hAnsi="Times New Roman" w:eastAsia="仿宋_GB2312" w:cs="Times New Roman"/>
                <w:sz w:val="20"/>
                <w:szCs w:val="20"/>
              </w:rPr>
              <w:t>2.申请人逾期未按收费通知要求缴纳费用、行政机关不再处理其政府信息公开申请</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lang w:val="en-US" w:eastAsia="zh-CN"/>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35"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974" w:type="pct"/>
            <w:vMerge w:val="continue"/>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p>
        </w:tc>
        <w:tc>
          <w:tcPr>
            <w:tcW w:w="1419" w:type="pct"/>
            <w:shd w:val="clear" w:color="auto" w:fill="auto"/>
            <w:vAlign w:val="center"/>
          </w:tcPr>
          <w:p>
            <w:pPr>
              <w:widowControl/>
              <w:spacing w:line="300" w:lineRule="exact"/>
              <w:jc w:val="left"/>
              <w:rPr>
                <w:rFonts w:hint="default" w:ascii="Times New Roman" w:hAnsi="Times New Roman" w:eastAsia="仿宋_GB2312" w:cs="Times New Roman"/>
                <w:kern w:val="0"/>
                <w:sz w:val="20"/>
                <w:szCs w:val="20"/>
              </w:rPr>
            </w:pPr>
            <w:r>
              <w:rPr>
                <w:rFonts w:hint="default" w:ascii="Times New Roman" w:hAnsi="Times New Roman" w:eastAsia="仿宋_GB2312" w:cs="Times New Roman"/>
                <w:sz w:val="20"/>
                <w:szCs w:val="20"/>
              </w:rPr>
              <w:t>3.其他</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35" w:hRule="atLeast"/>
          <w:jc w:val="center"/>
        </w:trPr>
        <w:tc>
          <w:tcPr>
            <w:tcW w:w="229" w:type="pct"/>
            <w:vMerge w:val="continue"/>
            <w:shd w:val="clear" w:color="auto" w:fill="auto"/>
            <w:tcMar>
              <w:left w:w="108" w:type="dxa"/>
              <w:right w:w="108" w:type="dxa"/>
            </w:tcMar>
            <w:vAlign w:val="center"/>
          </w:tcPr>
          <w:p>
            <w:pPr>
              <w:rPr>
                <w:rFonts w:hint="default" w:ascii="Times New Roman" w:hAnsi="Times New Roman" w:eastAsia="黑体" w:cs="Times New Roman"/>
                <w:szCs w:val="21"/>
              </w:rPr>
            </w:pPr>
          </w:p>
        </w:tc>
        <w:tc>
          <w:tcPr>
            <w:tcW w:w="2394" w:type="pct"/>
            <w:gridSpan w:val="2"/>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（七）总计</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0" w:hRule="atLeast"/>
          <w:jc w:val="center"/>
        </w:trPr>
        <w:tc>
          <w:tcPr>
            <w:tcW w:w="2623" w:type="pct"/>
            <w:gridSpan w:val="3"/>
            <w:shd w:val="clear" w:color="auto" w:fill="auto"/>
            <w:tcMar>
              <w:left w:w="108" w:type="dxa"/>
              <w:right w:w="108" w:type="dxa"/>
            </w:tcMar>
            <w:vAlign w:val="center"/>
          </w:tcPr>
          <w:p>
            <w:pPr>
              <w:widowControl/>
              <w:spacing w:line="300" w:lineRule="exact"/>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四、结转下年度继续办理</w:t>
            </w:r>
          </w:p>
        </w:tc>
        <w:tc>
          <w:tcPr>
            <w:tcW w:w="38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3"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42"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331"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26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c>
          <w:tcPr>
            <w:tcW w:w="518" w:type="pct"/>
            <w:shd w:val="clear" w:color="auto" w:fill="auto"/>
            <w:tcMar>
              <w:left w:w="108" w:type="dxa"/>
              <w:right w:w="108" w:type="dxa"/>
            </w:tcMar>
            <w:vAlign w:val="center"/>
          </w:tcPr>
          <w:p>
            <w:pPr>
              <w:widowControl/>
              <w:spacing w:after="180" w:line="200" w:lineRule="exact"/>
              <w:jc w:val="center"/>
              <w:rPr>
                <w:rFonts w:hint="default" w:ascii="Times New Roman" w:hAnsi="Times New Roman" w:eastAsia="仿宋_GB2312" w:cs="Times New Roman"/>
                <w:szCs w:val="21"/>
              </w:rPr>
            </w:pPr>
            <w:r>
              <w:rPr>
                <w:rFonts w:hint="default" w:ascii="Times New Roman" w:hAnsi="Times New Roman" w:eastAsia="仿宋_GB2312" w:cs="Times New Roman"/>
                <w:szCs w:val="21"/>
                <w:lang w:val="en-US" w:eastAsia="zh-CN"/>
              </w:rPr>
              <w:t>0</w:t>
            </w:r>
          </w:p>
        </w:tc>
      </w:tr>
    </w:tbl>
    <w:p>
      <w:pPr>
        <w:keepNext w:val="0"/>
        <w:keepLines w:val="0"/>
        <w:pageBreakBefore w:val="0"/>
        <w:kinsoku/>
        <w:wordWrap/>
        <w:overflowPunct/>
        <w:topLinePunct w:val="0"/>
        <w:autoSpaceDE/>
        <w:autoSpaceDN/>
        <w:bidi w:val="0"/>
        <w:adjustRightInd/>
        <w:snapToGrid/>
        <w:spacing w:line="560" w:lineRule="exact"/>
        <w:ind w:left="0" w:leftChars="0" w:firstLine="0" w:firstLineChars="0"/>
        <w:textAlignment w:val="auto"/>
        <w:rPr>
          <w:rFonts w:hint="default" w:ascii="Times New Roman" w:hAnsi="Times New Roman" w:eastAsia="仿宋_GB2312" w:cs="Times New Roman"/>
          <w:sz w:val="32"/>
          <w:szCs w:val="32"/>
        </w:rPr>
        <w:sectPr>
          <w:pgSz w:w="11906" w:h="16838"/>
          <w:pgMar w:top="1440" w:right="1474" w:bottom="1440" w:left="1588" w:header="851" w:footer="992" w:gutter="0"/>
          <w:cols w:space="425" w:num="1"/>
          <w:docGrid w:type="lines" w:linePitch="312" w:charSpace="0"/>
        </w:sectPr>
      </w:pPr>
    </w:p>
    <w:p>
      <w:pPr>
        <w:pStyle w:val="2"/>
        <w:keepNext w:val="0"/>
        <w:keepLines w:val="0"/>
        <w:pageBreakBefore w:val="0"/>
        <w:widowControl/>
        <w:numPr>
          <w:ilvl w:val="0"/>
          <w:numId w:val="2"/>
        </w:numPr>
        <w:kinsoku/>
        <w:wordWrap/>
        <w:overflowPunct/>
        <w:topLinePunct w:val="0"/>
        <w:autoSpaceDE/>
        <w:autoSpaceDN/>
        <w:bidi w:val="0"/>
        <w:adjustRightInd/>
        <w:snapToGrid/>
        <w:spacing w:after="240" w:line="560" w:lineRule="exact"/>
        <w:ind w:left="0" w:leftChars="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color w:val="333333"/>
          <w:sz w:val="32"/>
          <w:szCs w:val="32"/>
          <w:shd w:val="clear" w:fill="FFFFFF"/>
          <w:lang w:eastAsia="zh-CN"/>
        </w:rPr>
        <w:t>政府信息公开被申请行政复议、提起行政诉讼</w:t>
      </w:r>
      <w:r>
        <w:rPr>
          <w:rFonts w:hint="default" w:ascii="Times New Roman" w:hAnsi="Times New Roman" w:eastAsia="黑体" w:cs="Times New Roman"/>
          <w:color w:val="333333"/>
          <w:sz w:val="32"/>
          <w:szCs w:val="32"/>
          <w:shd w:val="clear" w:fill="FFFFFF"/>
        </w:rPr>
        <w:t>情况</w:t>
      </w:r>
    </w:p>
    <w:tbl>
      <w:tblPr>
        <w:tblStyle w:val="3"/>
        <w:tblW w:w="4999" w:type="pct"/>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565"/>
        <w:gridCol w:w="565"/>
        <w:gridCol w:w="565"/>
        <w:gridCol w:w="565"/>
        <w:gridCol w:w="623"/>
        <w:gridCol w:w="515"/>
        <w:gridCol w:w="568"/>
        <w:gridCol w:w="568"/>
        <w:gridCol w:w="568"/>
        <w:gridCol w:w="573"/>
        <w:gridCol w:w="568"/>
        <w:gridCol w:w="568"/>
        <w:gridCol w:w="568"/>
        <w:gridCol w:w="568"/>
        <w:gridCol w:w="57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trPr>
        <w:tc>
          <w:tcPr>
            <w:tcW w:w="1694" w:type="pct"/>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行政复议</w:t>
            </w:r>
          </w:p>
        </w:tc>
        <w:tc>
          <w:tcPr>
            <w:tcW w:w="3305" w:type="pct"/>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trPr>
        <w:tc>
          <w:tcPr>
            <w:tcW w:w="332" w:type="pct"/>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结果</w:t>
            </w:r>
          </w:p>
          <w:p>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维持</w:t>
            </w:r>
          </w:p>
        </w:tc>
        <w:tc>
          <w:tcPr>
            <w:tcW w:w="332" w:type="pct"/>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44" w:leftChars="-21" w:right="-132" w:rightChars="-63"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结果纠正</w:t>
            </w:r>
          </w:p>
        </w:tc>
        <w:tc>
          <w:tcPr>
            <w:tcW w:w="332"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82" w:leftChars="-39" w:right="-97" w:rightChars="-46"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其他结果</w:t>
            </w:r>
          </w:p>
        </w:tc>
        <w:tc>
          <w:tcPr>
            <w:tcW w:w="332"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尚未</w:t>
            </w:r>
          </w:p>
          <w:p>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审结</w:t>
            </w:r>
          </w:p>
        </w:tc>
        <w:tc>
          <w:tcPr>
            <w:tcW w:w="363" w:type="pct"/>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总</w:t>
            </w:r>
          </w:p>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计</w:t>
            </w:r>
          </w:p>
        </w:tc>
        <w:tc>
          <w:tcPr>
            <w:tcW w:w="1637"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未经复议直接起诉</w:t>
            </w:r>
          </w:p>
        </w:tc>
        <w:tc>
          <w:tcPr>
            <w:tcW w:w="1668" w:type="pct"/>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bookmarkStart w:id="9" w:name="_Hlk67039688"/>
            <w:r>
              <w:rPr>
                <w:rFonts w:hint="default" w:ascii="Times New Roman" w:hAnsi="Times New Roman" w:eastAsia="仿宋_GB2312" w:cs="Times New Roman"/>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trPr>
        <w:tc>
          <w:tcPr>
            <w:tcW w:w="332" w:type="pct"/>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sz w:val="24"/>
                <w:szCs w:val="22"/>
              </w:rPr>
            </w:pPr>
          </w:p>
        </w:tc>
        <w:tc>
          <w:tcPr>
            <w:tcW w:w="332" w:type="pct"/>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sz w:val="24"/>
                <w:szCs w:val="22"/>
              </w:rPr>
            </w:pPr>
          </w:p>
        </w:tc>
        <w:tc>
          <w:tcPr>
            <w:tcW w:w="332"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sz w:val="24"/>
                <w:szCs w:val="22"/>
              </w:rPr>
            </w:pPr>
          </w:p>
        </w:tc>
        <w:tc>
          <w:tcPr>
            <w:tcW w:w="332"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sz w:val="24"/>
                <w:szCs w:val="22"/>
              </w:rPr>
            </w:pPr>
          </w:p>
        </w:tc>
        <w:tc>
          <w:tcPr>
            <w:tcW w:w="363" w:type="pct"/>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560" w:lineRule="exact"/>
              <w:ind w:firstLine="0" w:firstLineChars="0"/>
              <w:textAlignment w:val="auto"/>
              <w:rPr>
                <w:rFonts w:hint="default" w:ascii="Times New Roman" w:hAnsi="Times New Roman" w:eastAsia="仿宋_GB2312" w:cs="Times New Roman"/>
                <w:sz w:val="24"/>
                <w:szCs w:val="22"/>
              </w:rPr>
            </w:pPr>
          </w:p>
        </w:tc>
        <w:tc>
          <w:tcPr>
            <w:tcW w:w="302"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05" w:leftChars="-50" w:right="-126" w:rightChars="-60"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结果维持</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86" w:leftChars="-41" w:right="-88" w:rightChars="-42"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结果纠正</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其他</w:t>
            </w:r>
          </w:p>
          <w:p>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尚未</w:t>
            </w:r>
          </w:p>
          <w:p>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审结</w:t>
            </w:r>
          </w:p>
        </w:tc>
        <w:tc>
          <w:tcPr>
            <w:tcW w:w="334"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总计</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99" w:leftChars="-47" w:right="-78" w:rightChars="-37"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结果维持</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结果</w:t>
            </w:r>
          </w:p>
          <w:p>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纠正</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174" w:leftChars="-83" w:right="-134" w:rightChars="-64" w:firstLine="0" w:firstLineChars="0"/>
              <w:jc w:val="center"/>
              <w:textAlignment w:val="auto"/>
              <w:rPr>
                <w:rFonts w:hint="default" w:ascii="Times New Roman" w:hAnsi="Times New Roman" w:eastAsia="仿宋_GB2312" w:cs="Times New Roman"/>
                <w:kern w:val="0"/>
                <w:sz w:val="20"/>
                <w:szCs w:val="20"/>
              </w:rPr>
            </w:pPr>
            <w:r>
              <w:rPr>
                <w:rFonts w:hint="default" w:ascii="Times New Roman" w:hAnsi="Times New Roman" w:eastAsia="仿宋_GB2312" w:cs="Times New Roman"/>
                <w:kern w:val="0"/>
                <w:sz w:val="20"/>
                <w:szCs w:val="20"/>
              </w:rPr>
              <w:t>其他</w:t>
            </w:r>
          </w:p>
          <w:p>
            <w:pPr>
              <w:keepNext w:val="0"/>
              <w:keepLines w:val="0"/>
              <w:pageBreakBefore w:val="0"/>
              <w:widowControl/>
              <w:kinsoku/>
              <w:wordWrap/>
              <w:overflowPunct/>
              <w:topLinePunct w:val="0"/>
              <w:autoSpaceDE/>
              <w:autoSpaceDN/>
              <w:bidi w:val="0"/>
              <w:adjustRightInd/>
              <w:snapToGrid/>
              <w:spacing w:line="560" w:lineRule="exact"/>
              <w:ind w:left="-174" w:leftChars="-83" w:right="-134" w:rightChars="-64"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结果</w:t>
            </w:r>
          </w:p>
        </w:tc>
        <w:tc>
          <w:tcPr>
            <w:tcW w:w="333"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left="-69" w:leftChars="-33" w:right="-105" w:rightChars="-50"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尚未审结</w:t>
            </w:r>
          </w:p>
        </w:tc>
        <w:tc>
          <w:tcPr>
            <w:tcW w:w="335" w:type="pc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default" w:ascii="Times New Roman" w:hAnsi="Times New Roman" w:eastAsia="仿宋_GB2312" w:cs="Times New Roman"/>
                <w:szCs w:val="22"/>
              </w:rPr>
            </w:pPr>
            <w:r>
              <w:rPr>
                <w:rFonts w:hint="default" w:ascii="Times New Roman" w:hAnsi="Times New Roman" w:eastAsia="仿宋_GB2312" w:cs="Times New Roman"/>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32" w:type="pc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2"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6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02"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lang w:val="en-US" w:eastAsia="zh-CN"/>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4"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3"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c>
          <w:tcPr>
            <w:tcW w:w="335" w:type="pc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after="180" w:line="560" w:lineRule="exact"/>
              <w:ind w:firstLine="0" w:firstLineChars="0"/>
              <w:jc w:val="center"/>
              <w:textAlignment w:val="auto"/>
              <w:rPr>
                <w:rFonts w:hint="default" w:ascii="Times New Roman" w:hAnsi="Times New Roman" w:eastAsia="Times New Roman" w:cs="Times New Roman"/>
                <w:szCs w:val="22"/>
              </w:rPr>
            </w:pPr>
            <w:r>
              <w:rPr>
                <w:rFonts w:hint="default" w:ascii="Times New Roman" w:hAnsi="Times New Roman" w:eastAsia="Times New Roman" w:cs="Times New Roman"/>
                <w:szCs w:val="22"/>
                <w:lang w:val="en-US" w:eastAsia="zh-CN"/>
              </w:rPr>
              <w:t>0</w:t>
            </w:r>
          </w:p>
        </w:tc>
      </w:tr>
    </w:tbl>
    <w:p>
      <w:pPr>
        <w:pStyle w:val="2"/>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both"/>
        <w:textAlignment w:val="auto"/>
        <w:rPr>
          <w:rFonts w:hint="default" w:ascii="Times New Roman" w:hAnsi="Times New Roman" w:eastAsia="黑体" w:cs="Times New Roman"/>
          <w:color w:val="333333"/>
          <w:sz w:val="32"/>
          <w:szCs w:val="32"/>
          <w:shd w:val="clear" w:fill="FFFFFF"/>
          <w:lang w:val="en-US" w:eastAsia="zh-CN"/>
        </w:rPr>
      </w:pPr>
      <w:r>
        <w:rPr>
          <w:rFonts w:hint="default" w:ascii="Times New Roman" w:hAnsi="Times New Roman" w:eastAsia="黑体" w:cs="Times New Roman"/>
          <w:color w:val="333333"/>
          <w:sz w:val="32"/>
          <w:szCs w:val="32"/>
          <w:shd w:val="clear" w:fill="FFFFFF"/>
          <w:lang w:val="en-US" w:eastAsia="zh-CN"/>
        </w:rPr>
        <w:t>政府信息公开工作存在的问题及改进情况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我局政府信息公开工作在制度机制建设、提升规范化水平等方面取得了一定进展和成绩，但在某些方面还有差距，主要表现在内容的深度和精度还不够、扩大公众参与与社会监督还不到位。我局针对以上问题进行了改进，进一步深化内容服务，在政府网站政策解读上采取图文、媒体、动画等多视角解读，切实增强内容的丰富度；在微信公众号创建了“小鲁话审批”栏目，通俗化解读惠企利民的政务服务，对群众关心的电子证照网上办、电子印章申领等服务事项和热点问题进行了广泛宣传和讲解。下一步，我局将加强运营管理，畅通全媒体渠道内容的衔接，更好地促进政府信息公开工作。</w:t>
      </w:r>
    </w:p>
    <w:p>
      <w:pPr>
        <w:pStyle w:val="2"/>
        <w:keepNext w:val="0"/>
        <w:keepLines w:val="0"/>
        <w:pageBreakBefore w:val="0"/>
        <w:widowControl/>
        <w:numPr>
          <w:ilvl w:val="0"/>
          <w:numId w:val="2"/>
        </w:numPr>
        <w:kinsoku/>
        <w:wordWrap/>
        <w:overflowPunct/>
        <w:topLinePunct w:val="0"/>
        <w:autoSpaceDE/>
        <w:autoSpaceDN/>
        <w:bidi w:val="0"/>
        <w:adjustRightInd/>
        <w:snapToGrid/>
        <w:spacing w:line="560" w:lineRule="exact"/>
        <w:ind w:left="0" w:leftChars="0"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黑体" w:cs="Times New Roman"/>
          <w:color w:val="333333"/>
          <w:sz w:val="32"/>
          <w:szCs w:val="32"/>
          <w:shd w:val="clear" w:fill="FFFFFF"/>
          <w:lang w:val="en-US" w:eastAsia="zh-CN"/>
        </w:rPr>
        <w:t>其他需要报告的事项</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（一）政府信息公开申请收费情况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本年度依申请公开政府信息未收取任何费用。</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（二）落实上级政务公开工作要点情况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依照政务公开迎评工作的要求，严格按照第三方评估指标，梳理并完善政府公开网站各栏目信息，将政务公开整改到位。根据区优化营商环境专班要求，在政府公开网站优化营商环境专栏发布政策文件及微视频内容，丰富栏目信息建设。</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（三）人大代表建议、政协委员提案办理情况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本年度未收到需要办理的人大代表建议、政协委员提案。</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（四）政务公开工作创新情况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2021年，区行政审批服务局开展了政府开放日活动，安排讲解员对参加活动的群众深入介绍</w:t>
      </w:r>
      <w:r>
        <w:rPr>
          <w:rFonts w:hint="default" w:ascii="Times New Roman" w:hAnsi="Times New Roman" w:eastAsia="仿宋_GB2312" w:cs="Times New Roman"/>
          <w:color w:val="333333"/>
          <w:sz w:val="32"/>
          <w:szCs w:val="32"/>
          <w:lang w:eastAsia="zh-CN"/>
        </w:rPr>
        <w:t>在区政务服务大厅设置政务公开专区</w:t>
      </w:r>
      <w:r>
        <w:rPr>
          <w:rFonts w:hint="default" w:ascii="Times New Roman" w:hAnsi="Times New Roman" w:eastAsia="仿宋_GB2312" w:cs="Times New Roman"/>
          <w:color w:val="333333"/>
          <w:sz w:val="32"/>
          <w:szCs w:val="32"/>
          <w:shd w:val="clear" w:fill="FFFFFF"/>
          <w:lang w:val="en-US" w:eastAsia="zh-CN"/>
        </w:rPr>
        <w:t>，智能终端及帮办代办等具体业务，让市民有机会深入了解政务公开事项及审批流程，成为审批服务与群众宣传交流的新窗口。</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333333"/>
          <w:sz w:val="32"/>
          <w:szCs w:val="32"/>
          <w:shd w:val="clear" w:fill="FFFFFF"/>
          <w:lang w:val="en-US" w:eastAsia="zh-CN"/>
        </w:rPr>
      </w:pPr>
      <w:r>
        <w:rPr>
          <w:rFonts w:hint="default" w:ascii="Times New Roman" w:hAnsi="Times New Roman" w:eastAsia="楷体_GB2312" w:cs="Times New Roman"/>
          <w:color w:val="333333"/>
          <w:sz w:val="32"/>
          <w:szCs w:val="32"/>
          <w:shd w:val="clear" w:fill="FFFFFF"/>
          <w:lang w:val="en-US" w:eastAsia="zh-CN"/>
        </w:rPr>
        <w:t>（五）所属事业单位信息公开工作情况</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本单位所属事业单位文登区政务服务中心、文登区行政审批开发区服务中心均按照统一要求落实了信息公开工作。</w:t>
      </w: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333333"/>
          <w:sz w:val="32"/>
          <w:szCs w:val="32"/>
          <w:shd w:val="clear" w:fill="FFFFFF"/>
          <w:lang w:val="en-US" w:eastAsia="zh-CN"/>
        </w:rPr>
      </w:pPr>
    </w:p>
    <w:p>
      <w:pPr>
        <w:pStyle w:val="2"/>
        <w:keepNext w:val="0"/>
        <w:keepLines w:val="0"/>
        <w:pageBreakBefore w:val="0"/>
        <w:widowControl/>
        <w:numPr>
          <w:ilvl w:val="0"/>
          <w:numId w:val="0"/>
        </w:numPr>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威海市文登区行政审批服务局</w:t>
      </w:r>
    </w:p>
    <w:p>
      <w:pPr>
        <w:pStyle w:val="2"/>
        <w:keepNext w:val="0"/>
        <w:keepLines w:val="0"/>
        <w:pageBreakBefore w:val="0"/>
        <w:widowControl/>
        <w:numPr>
          <w:ilvl w:val="0"/>
          <w:numId w:val="0"/>
        </w:numPr>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color w:val="333333"/>
          <w:sz w:val="32"/>
          <w:szCs w:val="32"/>
          <w:shd w:val="clear" w:fill="FFFFFF"/>
          <w:lang w:val="en-US" w:eastAsia="zh-CN"/>
        </w:rPr>
      </w:pPr>
      <w:r>
        <w:rPr>
          <w:rFonts w:hint="default" w:ascii="Times New Roman" w:hAnsi="Times New Roman" w:eastAsia="仿宋_GB2312" w:cs="Times New Roman"/>
          <w:color w:val="333333"/>
          <w:sz w:val="32"/>
          <w:szCs w:val="32"/>
          <w:shd w:val="clear" w:fill="FFFFFF"/>
          <w:lang w:val="en-US" w:eastAsia="zh-CN"/>
        </w:rPr>
        <w:t xml:space="preserve">2021年1月28日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886B87"/>
    <w:multiLevelType w:val="singleLevel"/>
    <w:tmpl w:val="D5886B87"/>
    <w:lvl w:ilvl="0" w:tentative="0">
      <w:start w:val="2"/>
      <w:numFmt w:val="chineseCounting"/>
      <w:suff w:val="nothing"/>
      <w:lvlText w:val="%1、"/>
      <w:lvlJc w:val="left"/>
      <w:rPr>
        <w:rFonts w:hint="eastAsia" w:ascii="黑体" w:hAnsi="黑体" w:eastAsia="黑体" w:cs="黑体"/>
      </w:rPr>
    </w:lvl>
  </w:abstractNum>
  <w:abstractNum w:abstractNumId="1">
    <w:nsid w:val="26446BE3"/>
    <w:multiLevelType w:val="singleLevel"/>
    <w:tmpl w:val="26446BE3"/>
    <w:lvl w:ilvl="0" w:tentative="0">
      <w:start w:val="1"/>
      <w:numFmt w:val="chineseCounting"/>
      <w:suff w:val="nothing"/>
      <w:lvlText w:val="（%1）"/>
      <w:lvlJc w:val="left"/>
      <w:pPr>
        <w:ind w:left="-2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hMDAwYTMyMmU1NzEzNTZmZGQ2YjgxMjBmZjE2ZjYifQ=="/>
  </w:docVars>
  <w:rsids>
    <w:rsidRoot w:val="00000000"/>
    <w:rsid w:val="128C6E3E"/>
    <w:rsid w:val="14231FF1"/>
    <w:rsid w:val="23690005"/>
    <w:rsid w:val="34480DCC"/>
    <w:rsid w:val="38804AB1"/>
    <w:rsid w:val="39996356"/>
    <w:rsid w:val="3E0A1AA1"/>
    <w:rsid w:val="60921E4F"/>
    <w:rsid w:val="648F747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line="420" w:lineRule="atLeast"/>
      <w:jc w:val="left"/>
    </w:pPr>
    <w:rPr>
      <w:rFonts w:cs="Times New Roman"/>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image" Target="media/image1.jpe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AppData\Local\Temp\wps.hKOuPW\Chart2%20in%20Wp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政府网站公开信息数据对比</a:t>
            </a:r>
          </a:p>
        </c:rich>
      </c:tx>
      <c:layout>
        <c:manualLayout>
          <c:xMode val="edge"/>
          <c:yMode val="edge"/>
          <c:x val="0.272777777777778"/>
          <c:y val="0.03125"/>
        </c:manualLayout>
      </c:layout>
      <c:overlay val="0"/>
      <c:spPr>
        <a:noFill/>
        <a:ln>
          <a:noFill/>
        </a:ln>
        <a:effectLst/>
      </c:spPr>
    </c:title>
    <c:autoTitleDeleted val="0"/>
    <c:plotArea>
      <c:layout>
        <c:manualLayout>
          <c:layoutTarget val="inner"/>
          <c:xMode val="edge"/>
          <c:yMode val="edge"/>
          <c:x val="0.0905880890215094"/>
          <c:y val="0.195991091314031"/>
          <c:w val="0.90568195946786"/>
          <c:h val="0.579658500371195"/>
        </c:manualLayout>
      </c:layout>
      <c:barChart>
        <c:barDir val="col"/>
        <c:grouping val="clustered"/>
        <c:varyColors val="0"/>
        <c:ser>
          <c:idx val="0"/>
          <c:order val="0"/>
          <c:tx>
            <c:strRef>
              <c:f>'[Chart2 in Wps.xlsx]Sheet1'!$B$1</c:f>
              <c:strCache>
                <c:ptCount val="1"/>
                <c:pt idx="0">
                  <c:v>2020年</c:v>
                </c:pt>
              </c:strCache>
            </c:strRef>
          </c:tx>
          <c:spPr>
            <a:solidFill>
              <a:schemeClr val="accent1"/>
            </a:solidFill>
            <a:ln>
              <a:noFill/>
            </a:ln>
            <a:effectLst/>
          </c:spPr>
          <c:invertIfNegative val="0"/>
          <c:dLbls>
            <c:delete val="1"/>
          </c:dLbls>
          <c:cat>
            <c:strRef>
              <c:f>'[Chart2 in Wps.xlsx]Sheet1'!$A$2:$A$5</c:f>
              <c:strCache>
                <c:ptCount val="4"/>
                <c:pt idx="0">
                  <c:v>公告公示</c:v>
                </c:pt>
                <c:pt idx="1">
                  <c:v>工作动态</c:v>
                </c:pt>
                <c:pt idx="2">
                  <c:v>政策文件及解读</c:v>
                </c:pt>
                <c:pt idx="3">
                  <c:v>重点领域信息公开</c:v>
                </c:pt>
              </c:strCache>
            </c:strRef>
          </c:cat>
          <c:val>
            <c:numRef>
              <c:f>'[Chart2 in Wps.xlsx]Sheet1'!$B$2:$B$5</c:f>
              <c:numCache>
                <c:formatCode>General</c:formatCode>
                <c:ptCount val="4"/>
                <c:pt idx="0">
                  <c:v>21</c:v>
                </c:pt>
                <c:pt idx="1">
                  <c:v>31</c:v>
                </c:pt>
                <c:pt idx="2">
                  <c:v>4</c:v>
                </c:pt>
                <c:pt idx="3">
                  <c:v>5</c:v>
                </c:pt>
              </c:numCache>
            </c:numRef>
          </c:val>
        </c:ser>
        <c:ser>
          <c:idx val="1"/>
          <c:order val="1"/>
          <c:tx>
            <c:strRef>
              <c:f>'[Chart2 in Wps.xlsx]Sheet1'!$C$1</c:f>
              <c:strCache>
                <c:ptCount val="1"/>
                <c:pt idx="0">
                  <c:v>2021年</c:v>
                </c:pt>
              </c:strCache>
            </c:strRef>
          </c:tx>
          <c:spPr>
            <a:solidFill>
              <a:schemeClr val="accent2"/>
            </a:solidFill>
            <a:ln>
              <a:noFill/>
            </a:ln>
            <a:effectLst/>
          </c:spPr>
          <c:invertIfNegative val="0"/>
          <c:dLbls>
            <c:delete val="1"/>
          </c:dLbls>
          <c:cat>
            <c:strRef>
              <c:f>'[Chart2 in Wps.xlsx]Sheet1'!$A$2:$A$5</c:f>
              <c:strCache>
                <c:ptCount val="4"/>
                <c:pt idx="0">
                  <c:v>公告公示</c:v>
                </c:pt>
                <c:pt idx="1">
                  <c:v>工作动态</c:v>
                </c:pt>
                <c:pt idx="2">
                  <c:v>政策文件及解读</c:v>
                </c:pt>
                <c:pt idx="3">
                  <c:v>重点领域信息公开</c:v>
                </c:pt>
              </c:strCache>
            </c:strRef>
          </c:cat>
          <c:val>
            <c:numRef>
              <c:f>'[Chart2 in Wps.xlsx]Sheet1'!$C$2:$C$5</c:f>
              <c:numCache>
                <c:formatCode>General</c:formatCode>
                <c:ptCount val="4"/>
                <c:pt idx="0">
                  <c:v>227</c:v>
                </c:pt>
                <c:pt idx="1">
                  <c:v>54</c:v>
                </c:pt>
                <c:pt idx="2">
                  <c:v>7</c:v>
                </c:pt>
                <c:pt idx="3">
                  <c:v>10</c:v>
                </c:pt>
              </c:numCache>
            </c:numRef>
          </c:val>
        </c:ser>
        <c:dLbls>
          <c:showLegendKey val="0"/>
          <c:showVal val="0"/>
          <c:showCatName val="0"/>
          <c:showSerName val="0"/>
          <c:showPercent val="0"/>
          <c:showBubbleSize val="0"/>
        </c:dLbls>
        <c:gapWidth val="219"/>
        <c:overlap val="-27"/>
        <c:axId val="45586788"/>
        <c:axId val="591953119"/>
      </c:barChart>
      <c:catAx>
        <c:axId val="4558678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1953119"/>
        <c:crosses val="autoZero"/>
        <c:auto val="1"/>
        <c:lblAlgn val="ctr"/>
        <c:lblOffset val="100"/>
        <c:noMultiLvlLbl val="0"/>
      </c:catAx>
      <c:valAx>
        <c:axId val="591953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58678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no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95</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2021-12-20T17:29:00Z</dcterms:created>
  <dc:creator>Administrator</dc:creator>
  <cp:lastModifiedBy>七酱</cp:lastModifiedBy>
  <dcterms:modified xsi:type="dcterms:W3CDTF">2024-02-28T00:16:48Z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4568A50C2C1E4E4BB6DCD476ADDEA1F0</vt:lpwstr>
  </property>
</Properties>
</file>