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eastAsia="仿宋_GB2312" w:cs="Times New Roman"/>
          <w:b w:val="0"/>
          <w:color w:val="auto"/>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color w:val="auto"/>
          <w:sz w:val="44"/>
          <w:szCs w:val="44"/>
        </w:rPr>
        <w:t>威海市文登区人民政府</w:t>
      </w:r>
      <w:r>
        <w:rPr>
          <w:rFonts w:hint="eastAsia" w:eastAsia="方正小标宋简体" w:cs="Times New Roman"/>
          <w:color w:val="auto"/>
          <w:sz w:val="44"/>
          <w:szCs w:val="44"/>
          <w:lang w:eastAsia="zh-CN"/>
        </w:rPr>
        <w:t>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r>
        <w:rPr>
          <w:rFonts w:hint="eastAsia" w:eastAsia="方正小标宋简体" w:cs="Times New Roman"/>
          <w:b w:val="0"/>
          <w:bCs w:val="0"/>
          <w:color w:val="000000"/>
          <w:sz w:val="44"/>
          <w:szCs w:val="44"/>
          <w:lang w:eastAsia="zh-CN"/>
        </w:rPr>
        <w:t>关于印发《</w:t>
      </w:r>
      <w:r>
        <w:rPr>
          <w:rFonts w:hint="default" w:ascii="Times New Roman" w:hAnsi="Times New Roman" w:eastAsia="方正小标宋简体" w:cs="Times New Roman"/>
          <w:b w:val="0"/>
          <w:bCs w:val="0"/>
          <w:color w:val="000000"/>
          <w:sz w:val="44"/>
          <w:szCs w:val="44"/>
        </w:rPr>
        <w:t>威海市文登区“十四五”养老服务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val="0"/>
          <w:bCs w:val="0"/>
          <w:color w:val="000000"/>
          <w:sz w:val="44"/>
          <w:szCs w:val="44"/>
          <w:lang w:eastAsia="zh-CN"/>
        </w:rPr>
      </w:pPr>
      <w:r>
        <w:rPr>
          <w:rFonts w:hint="default" w:ascii="Times New Roman" w:hAnsi="Times New Roman" w:eastAsia="方正小标宋简体" w:cs="Times New Roman"/>
          <w:b w:val="0"/>
          <w:bCs w:val="0"/>
          <w:color w:val="000000"/>
          <w:sz w:val="44"/>
          <w:szCs w:val="44"/>
        </w:rPr>
        <w:t>发展规划（2021</w:t>
      </w:r>
      <w:r>
        <w:rPr>
          <w:rFonts w:hint="default" w:ascii="Times New Roman" w:hAnsi="Times New Roman" w:eastAsia="方正小标宋简体" w:cs="Times New Roman"/>
          <w:b w:val="0"/>
          <w:bCs w:val="0"/>
          <w:color w:val="000000"/>
          <w:sz w:val="44"/>
          <w:szCs w:val="44"/>
          <w:lang w:eastAsia="zh-CN"/>
        </w:rPr>
        <w:t>—</w:t>
      </w:r>
      <w:r>
        <w:rPr>
          <w:rFonts w:hint="default" w:ascii="Times New Roman" w:hAnsi="Times New Roman" w:eastAsia="方正小标宋简体" w:cs="Times New Roman"/>
          <w:b w:val="0"/>
          <w:bCs w:val="0"/>
          <w:color w:val="000000"/>
          <w:sz w:val="44"/>
          <w:szCs w:val="44"/>
        </w:rPr>
        <w:t>2025）</w:t>
      </w:r>
      <w:r>
        <w:rPr>
          <w:rFonts w:hint="eastAsia" w:eastAsia="方正小标宋简体" w:cs="Times New Roman"/>
          <w:b w:val="0"/>
          <w:bCs w:val="0"/>
          <w:color w:val="000000"/>
          <w:sz w:val="44"/>
          <w:szCs w:val="44"/>
          <w:lang w:eastAsia="zh-CN"/>
        </w:rPr>
        <w:t>》的通知</w:t>
      </w:r>
    </w:p>
    <w:p>
      <w:pPr>
        <w:pStyle w:val="4"/>
        <w:jc w:val="center"/>
        <w:rPr>
          <w:rFonts w:hint="eastAsia" w:ascii="Times New Roman" w:hAnsi="Times New Roman" w:eastAsia="仿宋_GB2312" w:cs="Times New Roman"/>
          <w:b w:val="0"/>
          <w:bCs w:val="0"/>
          <w:color w:val="000000"/>
          <w:sz w:val="44"/>
          <w:szCs w:val="44"/>
          <w:lang w:eastAsia="zh-CN"/>
        </w:rPr>
      </w:pPr>
      <w:r>
        <w:rPr>
          <w:rFonts w:hint="default" w:ascii="Times New Roman" w:hAnsi="Times New Roman" w:eastAsia="仿宋_GB2312" w:cs="Times New Roman"/>
          <w:b w:val="0"/>
          <w:color w:val="auto"/>
          <w:kern w:val="2"/>
          <w:sz w:val="32"/>
          <w:szCs w:val="32"/>
          <w:lang w:val="en-US" w:eastAsia="zh-CN" w:bidi="ar-SA"/>
        </w:rPr>
        <w:t>威文政</w:t>
      </w:r>
      <w:r>
        <w:rPr>
          <w:rFonts w:hint="eastAsia" w:ascii="Times New Roman" w:hAnsi="Times New Roman" w:eastAsia="仿宋_GB2312" w:cs="Times New Roman"/>
          <w:b w:val="0"/>
          <w:color w:val="auto"/>
          <w:kern w:val="2"/>
          <w:sz w:val="32"/>
          <w:szCs w:val="32"/>
          <w:lang w:val="en-US" w:eastAsia="zh-CN" w:bidi="ar-SA"/>
        </w:rPr>
        <w:t>办发</w:t>
      </w:r>
      <w:r>
        <w:rPr>
          <w:rFonts w:hint="default" w:ascii="Times New Roman" w:hAnsi="Times New Roman" w:eastAsia="仿宋_GB2312" w:cs="Times New Roman"/>
          <w:b w:val="0"/>
          <w:color w:val="auto"/>
          <w:kern w:val="2"/>
          <w:sz w:val="32"/>
          <w:szCs w:val="32"/>
          <w:lang w:val="en-US" w:eastAsia="zh-CN" w:bidi="ar-SA"/>
        </w:rPr>
        <w:t>〔2021〕</w:t>
      </w:r>
      <w:r>
        <w:rPr>
          <w:rFonts w:hint="eastAsia" w:ascii="Times New Roman" w:hAnsi="Times New Roman" w:eastAsia="仿宋_GB2312" w:cs="Times New Roman"/>
          <w:b w:val="0"/>
          <w:color w:val="auto"/>
          <w:kern w:val="2"/>
          <w:sz w:val="32"/>
          <w:szCs w:val="32"/>
          <w:lang w:val="en-US" w:eastAsia="zh-CN" w:bidi="ar-SA"/>
        </w:rPr>
        <w:t>7</w:t>
      </w:r>
      <w:r>
        <w:rPr>
          <w:rFonts w:hint="default" w:ascii="Times New Roman" w:hAnsi="Times New Roman" w:eastAsia="仿宋_GB2312" w:cs="Times New Roman"/>
          <w:b w:val="0"/>
          <w:color w:val="auto"/>
          <w:kern w:val="2"/>
          <w:sz w:val="32"/>
          <w:szCs w:val="32"/>
          <w:lang w:val="en-US" w:eastAsia="zh-CN" w:bidi="ar-SA"/>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cs="Times New Roman"/>
          <w:b w:val="0"/>
          <w:bCs w:val="0"/>
          <w:color w:val="000000"/>
          <w:sz w:val="32"/>
          <w:szCs w:val="32"/>
          <w:lang w:eastAsia="zh-CN"/>
        </w:rPr>
      </w:pPr>
      <w:r>
        <w:rPr>
          <w:rFonts w:hint="eastAsia" w:eastAsia="仿宋_GB2312" w:cs="Times New Roman"/>
          <w:b w:val="0"/>
          <w:bCs w:val="0"/>
          <w:color w:val="000000"/>
          <w:sz w:val="32"/>
          <w:szCs w:val="32"/>
          <w:lang w:eastAsia="zh-CN"/>
        </w:rPr>
        <w:t>各镇人民政府，各街道办事处，金山综合服务中心，区直有关部门、单位，驻文有关单位：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《威海市文登区“十四五”养老服务发展规划（2021—2025）》已经区政府</w:t>
      </w:r>
      <w:r>
        <w:rPr>
          <w:rFonts w:hint="eastAsia" w:eastAsia="仿宋_GB2312" w:cs="Times New Roman"/>
          <w:b w:val="0"/>
          <w:bCs w:val="0"/>
          <w:color w:val="000000"/>
          <w:sz w:val="32"/>
          <w:szCs w:val="32"/>
          <w:lang w:eastAsia="zh-CN"/>
        </w:rPr>
        <w:t>常务会议</w:t>
      </w:r>
      <w:r>
        <w:rPr>
          <w:rFonts w:hint="default" w:ascii="Times New Roman" w:hAnsi="Times New Roman" w:eastAsia="仿宋_GB2312" w:cs="Times New Roman"/>
          <w:b w:val="0"/>
          <w:bCs w:val="0"/>
          <w:color w:val="000000"/>
          <w:sz w:val="32"/>
          <w:szCs w:val="32"/>
        </w:rPr>
        <w:t>同意</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现印发给你们</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请认真组织实施。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3840" w:firstLineChars="1200"/>
        <w:jc w:val="righ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rPr>
        <w:t>威海市文登区人民政府办公室</w:t>
      </w:r>
      <w:r>
        <w:rPr>
          <w:rFonts w:hint="eastAsia" w:eastAsia="仿宋_GB2312" w:cs="Times New Roman"/>
          <w:b w:val="0"/>
          <w:bCs w:val="0"/>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000000"/>
          <w:sz w:val="32"/>
          <w:szCs w:val="32"/>
          <w:lang w:val="en-US" w:eastAsia="zh-CN"/>
        </w:rPr>
      </w:pPr>
      <w:r>
        <w:rPr>
          <w:rFonts w:hint="eastAsia" w:eastAsia="仿宋_GB2312" w:cs="Times New Roman"/>
          <w:b w:val="0"/>
          <w:bCs w:val="0"/>
          <w:color w:val="000000"/>
          <w:sz w:val="32"/>
          <w:szCs w:val="32"/>
          <w:lang w:val="en-US" w:eastAsia="zh-CN"/>
        </w:rPr>
        <w:t xml:space="preserve">                         </w:t>
      </w:r>
      <w:r>
        <w:rPr>
          <w:rFonts w:hint="default" w:ascii="Times New Roman" w:hAnsi="Times New Roman" w:eastAsia="仿宋_GB2312" w:cs="Times New Roman"/>
          <w:b w:val="0"/>
          <w:bCs w:val="0"/>
          <w:color w:val="000000"/>
          <w:sz w:val="32"/>
          <w:szCs w:val="32"/>
        </w:rPr>
        <w:t>2021年</w:t>
      </w:r>
      <w:r>
        <w:rPr>
          <w:rFonts w:hint="eastAsia" w:eastAsia="仿宋_GB2312" w:cs="Times New Roman"/>
          <w:b w:val="0"/>
          <w:bCs w:val="0"/>
          <w:color w:val="000000"/>
          <w:sz w:val="32"/>
          <w:szCs w:val="32"/>
          <w:lang w:val="en-US" w:eastAsia="zh-CN"/>
        </w:rPr>
        <w:t>11</w:t>
      </w:r>
      <w:r>
        <w:rPr>
          <w:rFonts w:hint="default" w:ascii="Times New Roman" w:hAnsi="Times New Roman" w:eastAsia="仿宋_GB2312" w:cs="Times New Roman"/>
          <w:b w:val="0"/>
          <w:bCs w:val="0"/>
          <w:color w:val="000000"/>
          <w:sz w:val="32"/>
          <w:szCs w:val="32"/>
        </w:rPr>
        <w:t>月</w:t>
      </w:r>
      <w:r>
        <w:rPr>
          <w:rFonts w:hint="eastAsia" w:eastAsia="仿宋_GB2312" w:cs="Times New Roman"/>
          <w:b w:val="0"/>
          <w:bCs w:val="0"/>
          <w:color w:val="000000"/>
          <w:sz w:val="32"/>
          <w:szCs w:val="32"/>
          <w:lang w:val="en-US" w:eastAsia="zh-CN"/>
        </w:rPr>
        <w:t>12</w:t>
      </w:r>
      <w:r>
        <w:rPr>
          <w:rFonts w:hint="eastAsia" w:eastAsia="仿宋_GB2312" w:cs="Times New Roman"/>
          <w:b w:val="0"/>
          <w:bCs w:val="0"/>
          <w:color w:val="000000"/>
          <w:sz w:val="32"/>
          <w:szCs w:val="32"/>
          <w:lang w:eastAsia="zh-CN"/>
        </w:rPr>
        <w:t>日</w:t>
      </w:r>
      <w:r>
        <w:rPr>
          <w:rFonts w:hint="eastAsia" w:eastAsia="仿宋_GB2312" w:cs="Times New Roman"/>
          <w:b w:val="0"/>
          <w:bCs w:val="0"/>
          <w:color w:val="000000"/>
          <w:sz w:val="32"/>
          <w:szCs w:val="32"/>
          <w:lang w:val="en-US" w:eastAsia="zh-CN"/>
        </w:rPr>
        <w:t xml:space="preserve">        </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val="0"/>
          <w:color w:val="000000"/>
          <w:sz w:val="44"/>
          <w:szCs w:val="44"/>
        </w:rPr>
      </w:pPr>
      <w:r>
        <w:rPr>
          <w:rFonts w:hint="default" w:ascii="Times New Roman" w:hAnsi="Times New Roman" w:eastAsia="方正小标宋简体" w:cs="Times New Roman"/>
          <w:b w:val="0"/>
          <w:bCs w:val="0"/>
          <w:color w:val="000000"/>
          <w:sz w:val="44"/>
          <w:szCs w:val="44"/>
        </w:rPr>
        <w:t>威海市文登区“十四五”养老服务发展规划（2021</w:t>
      </w:r>
      <w:r>
        <w:rPr>
          <w:rFonts w:hint="default" w:ascii="Times New Roman" w:hAnsi="Times New Roman" w:eastAsia="方正小标宋简体" w:cs="Times New Roman"/>
          <w:b w:val="0"/>
          <w:bCs w:val="0"/>
          <w:color w:val="000000"/>
          <w:sz w:val="44"/>
          <w:szCs w:val="44"/>
          <w:lang w:eastAsia="zh-CN"/>
        </w:rPr>
        <w:t>—</w:t>
      </w:r>
      <w:r>
        <w:rPr>
          <w:rFonts w:hint="default" w:ascii="Times New Roman" w:hAnsi="Times New Roman" w:eastAsia="方正小标宋简体" w:cs="Times New Roman"/>
          <w:b w:val="0"/>
          <w:bCs w:val="0"/>
          <w:color w:val="000000"/>
          <w:sz w:val="44"/>
          <w:szCs w:val="44"/>
        </w:rPr>
        <w:t>2025）</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为积极应对人口老龄化，加快构建居家社区机构相协调、医养康养相结合的多层次养老服务体系，根据《国家积极应对人口老龄化中长期规划》《山东省国民经济和社会发展第十四个五年规划纲要》《山东省养老服务条例》《山东省“十四五”养老服务体系规划》《威海市文登区国民经济和社会发展第十四个五年规划和二〇三五年远景目标纲要》等，结合我区实际，制定本规划</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规划期限为2021</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2025年。</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一、发展基础与背景</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（一）发展基础</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十三五”期间，全区深入贯彻落实党中央、国务院建设健康中国、积极应对人口老龄化战略部署，养老服务设施布局基本完成，养老服务政策初步构建，养老服务发展理念明显转变，以“居家为基础、社区为依托、机构为补充、医养相结合”的养老服务体系基本建成。截至2020年年底，全区共有养老服务设施165处，其中养老机构49处、城市社区日间照料中心43处、农村幸福院73处；共有床位10888张，其中护理型床位占57.5%。在城区搭建四级养老服务网络、在农村创新睦邻互助积分养老模式、通过“6012349”智慧养老服务平台为全区65周岁以上的老年人免费办理6012349普惠套餐。5处社区食堂、49处幸福餐桌让老年人每天吃上了一餐热饭。分散特困供养服务站和特困供养人员监护试点建设，进一步提升了分散特困供养的服务质量。2020年文登区在全省136个县区城乡居民满意度调查中排名第三，取得历史最好成绩。</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（二）发展背景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十四五”时期，我区养老服务面临新形势。一是深度老龄化加速发展。截至2020年，文登区总人口51.9万，其中60周岁及以上老年人口17.1万，占33%。未来5年文登区老年人口规模将持续增长，老龄化进程加快。二是失能失智照护刚需增加。随着老龄化的加速发展，高龄老年人相应增加，失能失智比例增长。同时，受少子化、家庭规模小型化、新型城镇化等的多重影响，独居、空巢老人人数剧增，家庭照护能力相对不足，迫切需要更多数量更高质量的社会化养老服务。三是信息技术推动养老服务发展深刻转型。随着人工智能、大数据等信息技术的快速发展，特别是互联网+医疗、智慧养老等发展提速，养老服务的供给结构和发展质量在快速变化，需要我们主动顺应养老服务智慧化发展趋势，实现养老服务的转型升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对照老年人对美好生活的向往与全面建成“精致城市·幸福威海”的现代化强区的目标，全区养老服务还存在一些问题与不足。一是城乡发展不平衡。全区农村老龄化程度比城区更高，绝大部分村庄60%以上为老年人，个别村庄实际居住人口老龄化率甚至达到90%以上，成为名副其实的“老人村”。但与之相匹配的养老服务设施不足、养老服务质量不高。二是养老服务供给不够丰富。养老服务设施不够健全，“居家</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社区</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机构”一体化融合发展趋势不显著，普惠性养老服务供给不足。部分民办养老机构基础设施较差、功能较弱，仅能提供基本生活照料服务，无法收住失能老年人。三是养老服务专业人才短缺。养老机构护理员普遍存在年龄大、收入低、学历低、地位低、职业缺乏吸引力、专业性不足等问题。养老机构普遍存在找不到、招不来、留不住的人才困境，限制了养老服务的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黑体" w:cs="Times New Roman"/>
          <w:b w:val="0"/>
          <w:bCs w:val="0"/>
          <w:color w:val="000000"/>
          <w:sz w:val="32"/>
          <w:szCs w:val="32"/>
        </w:rPr>
        <w:t>二、总体要求</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坚持以习近平新时代中国特色社会主义思想为指导，全面贯彻党的十九大和十九届二中、三中、四中、五中全会精神，深入贯彻落实党中央、国务院决策部署和山东省委、省政府工作要求，立足新发展阶段，贯彻新发展理念，构建养老服务新发展格局，积极实施人口老龄化国家战略，以满足文登区老年人多样化、多层次服务需求为导向，以推动高质量发展为主题，以供给侧结构性改革为主线，以失能老年人长期照护和农村留守老人日常生活照料为重点，完善基本养老服务，发展普惠养老服务，推进互助养老服务，培育人才队伍，支持家庭承担养老功能，培育养老服务新业态，充分激发养老市场活力，引导规范社会化养老，促进养老事业和养老产业协同发展，着力打造居家社区机构相协调、医养康养相结合、城乡统筹兼顾的养老服务体系，真正实现“康养圣地，品质养老”的美好愿景。</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（二）基本原则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政府主导，多元参与。坚持政府主导文登养老服务发展，为老年居民提供基本生活保障，确保基础养老服务的公益性。以养老服务的市场化、产业化为起点，构建文登全域融合的养老产业体系，广泛吸纳社会资本参与文登养老服务发展，培育市场服务主体，规范市场主体经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保障基本，统筹发展。加大对养老服务的财政投入和社会资本吸纳力度，增加基本养老服务供给，建立健全基本养老服务监督考评体系，提高基本养老服务水平。建设多层次、普惠型基本养老服务体系，健全困难群体兜底养老服务、留守老人日常照料服务、失能老人长期照护服务，建设全区范围基本养老服务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立足社区，改革创新。将养老服务有效融入社区公共服务体系，明确社区在养老服务中的功能定位，发挥社区的养老平台作用。以社区为基础，了解养老服务需求，擘画养老服务制度，建设养老服务设施，培养社区养老服务人才队伍，规划养老服务内容，完善居家养老服务体系。提高社区的养老服务自治能力，促进社区内互助养老。将养老产业作为农村一二三</w:t>
      </w:r>
      <w:r>
        <w:rPr>
          <w:rFonts w:hint="default" w:ascii="Times New Roman" w:hAnsi="Times New Roman" w:eastAsia="仿宋_GB2312" w:cs="Times New Roman"/>
          <w:b w:val="0"/>
          <w:bCs w:val="0"/>
          <w:color w:val="000000"/>
          <w:sz w:val="32"/>
          <w:szCs w:val="32"/>
          <w:lang w:eastAsia="zh-CN"/>
        </w:rPr>
        <w:t>产业</w:t>
      </w:r>
      <w:r>
        <w:rPr>
          <w:rFonts w:hint="default" w:ascii="Times New Roman" w:hAnsi="Times New Roman" w:eastAsia="仿宋_GB2312" w:cs="Times New Roman"/>
          <w:b w:val="0"/>
          <w:bCs w:val="0"/>
          <w:color w:val="000000"/>
          <w:sz w:val="32"/>
          <w:szCs w:val="32"/>
        </w:rPr>
        <w:t>融合发展的导向性目标和组成部分之一，统筹文登文旅项目融入养老产业，投资养老服务，构建养老产业品牌。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数字支撑，高质发展。搭建文登区智慧养老综合指挥平台，建设全区养老服务统一指挥调度体系。全流程支持、监督家庭养老床位项目，促进居家老年人生活环境的适老化改造，引进数字化、智能化老年人能力评估系统和养老服务设施等级评估系统，为养老机构、日间照料中心、农村幸福院开展等级评定。服务城市社区日间照料中心、农村幸福院、农村睦邻点的建设和运营，统筹补助资金的审批和监管。</w:t>
      </w:r>
    </w:p>
    <w:p>
      <w:pPr>
        <w:keepNext w:val="0"/>
        <w:keepLines w:val="0"/>
        <w:pageBreakBefore w:val="0"/>
        <w:widowControl w:val="0"/>
        <w:kinsoku/>
        <w:wordWrap/>
        <w:overflowPunct/>
        <w:topLinePunct w:val="0"/>
        <w:autoSpaceDE/>
        <w:autoSpaceDN/>
        <w:bidi w:val="0"/>
        <w:adjustRightInd/>
        <w:snapToGrid/>
        <w:spacing w:line="560" w:lineRule="exact"/>
        <w:ind w:left="210" w:firstLine="320" w:firstLineChars="1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（三）主要目标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以国家积极应对人口老龄化战略为统领，以“党委领导、政府主导、社会参与、全民行动”为方针，持续推进老年友好型社会建设。到2025年，建立与文登区经济社会发展水平相适应、与人口老龄化进程相匹配的老龄事业发展体系。不断健全养老服务制度，挖掘健康养老文化，优化养老服务环境，培育养老服务人才，提质养老服务产业，丰富养老服务技术，逐步形成兜底供养有保障、普惠养老能满足、中高端市场可选择的多层次、城乡统筹的“县域整合式”养老服务供给机制，优化居家、社区及机构养老布局，高水平建设“环境精致、机构精简、服务精细、技术精准”的“县域养老创新示范区”，打造具有文登本土特色的组合式养老品牌，全面提升广大老年人的获得感、幸福感和安全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养老服务主体不断扩展。坚持党对养老服务工作的全面领导，营造“党建+养老”服务品牌，发挥政府主导作用，构建家庭、社会、个人共同参与、各尽其责的基本格局。引导社会力量广泛参与，打造“社区（村集体）+企业+社会工作者+志愿者”四方联动养老服务品牌，充分激发市场和全社会的养老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老年福利水平明显提升。探索老年人福利政策逐步惠及常住老年人口。兜底保障、基本养老服务、多层次长期护理保险三项制度落实到位，失能失智老年人得到长期照护保障。建立健全特殊老年人巡访关爱制度，高龄津贴、百岁老人长寿保健金逐步提高，老年优待对象不断扩大、更加精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医养结合能力显著加强。居家社区机构养老服务更加紧密，家庭适老化改造更加普及，家庭照护支持政策进一步健全。医养健康服务深入推进，健康教育、预防保健、疾病诊治、康复护理、长期照护、安宁疗护等老年健康服务与供给不断丰富完善，进一步加强老年人健康管理，满足老年人身体、心理、社会参与等不同层面的健康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城乡养老服务更加均衡。通过“骨干培育一批，高端引进一批，服务质量淘汰一批”，推动城区机构养老资源布局优化。补齐农村养老服务短板，实施特困人员供养服务设施（敬老院）改造提升工程，升级农村幸福院等互助养老设施，优化农村养老睦邻互助点建设，建立健全农村区域性综合养老服务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康复护理质量不断提高。聚焦失能老年人的长期照护需求，支持将普通型床位改造升级为护理型床位，护理型床位占比60%以上。护理服务队伍日趋壮大，大力开展养老护理员培训，增加护理人员数量，完善人才激励政策，促进社会工作更好地运用于养老服务领域。争取到2025年，每万名老年人拥有持证养老护理员达到25人，持证养老护理员持救护员证比例达60%以上，每60张养老机构床位配备1名社会工作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智慧养老服务深化拓展。坚持把科技创新作为积极应对人口老龄化的第一动力和战略支撑，加快养老服务业的技术创新、模式创新、业态创新和产品创新，着力推进养老领域数字化赋能及服务与管理流程再造，提升养老服务的信息化、科学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养老服务市场健康发展。促进养老服务产业高质量发展，不断增强养老机构运营管理与市场竞争能力，打造一批骨干型养老服务企业。促进养老服务产业与文化、教育、家政、医疗、商业、金融、保险、旅游等行业融合发展，形成一批产业链条长、覆盖领域广、经济社会效益好的服务名牌和产业集群。</w:t>
      </w:r>
    </w:p>
    <w:p>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“十四五”期间文登区养老服务发展规划指标</w:t>
      </w:r>
    </w:p>
    <w:tbl>
      <w:tblPr>
        <w:tblStyle w:val="15"/>
        <w:tblpPr w:leftFromText="180" w:rightFromText="180" w:vertAnchor="text" w:horzAnchor="page" w:tblpXSpec="center" w:tblpY="154"/>
        <w:tblOverlap w:val="never"/>
        <w:tblW w:w="0" w:type="auto"/>
        <w:jc w:val="center"/>
        <w:tblLayout w:type="fixed"/>
        <w:tblCellMar>
          <w:top w:w="15" w:type="dxa"/>
          <w:left w:w="15" w:type="dxa"/>
          <w:bottom w:w="15" w:type="dxa"/>
          <w:right w:w="15" w:type="dxa"/>
        </w:tblCellMar>
      </w:tblPr>
      <w:tblGrid>
        <w:gridCol w:w="6031"/>
        <w:gridCol w:w="1120"/>
        <w:gridCol w:w="1469"/>
      </w:tblGrid>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00000"/>
                <w:szCs w:val="21"/>
              </w:rPr>
            </w:pPr>
            <w:r>
              <w:rPr>
                <w:rFonts w:hint="default" w:ascii="Times New Roman" w:hAnsi="Times New Roman" w:eastAsia="黑体" w:cs="Times New Roman"/>
                <w:b w:val="0"/>
                <w:bCs w:val="0"/>
                <w:color w:val="000000"/>
                <w:szCs w:val="21"/>
              </w:rPr>
              <w:t>指      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00000"/>
                <w:szCs w:val="21"/>
              </w:rPr>
            </w:pPr>
            <w:r>
              <w:rPr>
                <w:rFonts w:hint="default" w:ascii="Times New Roman" w:hAnsi="Times New Roman" w:eastAsia="黑体" w:cs="Times New Roman"/>
                <w:b w:val="0"/>
                <w:bCs w:val="0"/>
                <w:color w:val="000000"/>
                <w:szCs w:val="21"/>
              </w:rPr>
              <w:t>类型</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00000"/>
                <w:szCs w:val="21"/>
              </w:rPr>
            </w:pPr>
            <w:r>
              <w:rPr>
                <w:rFonts w:hint="default" w:ascii="Times New Roman" w:hAnsi="Times New Roman" w:eastAsia="黑体" w:cs="Times New Roman"/>
                <w:b w:val="0"/>
                <w:bCs w:val="0"/>
                <w:color w:val="000000"/>
                <w:szCs w:val="21"/>
              </w:rPr>
              <w:t>2025年目标值</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失能特困人员集中供养率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≥60%</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有集中供养意愿的特困人员集中供养率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特殊困难老年人月探访率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新建城区、新建居住（小）区配套建设养老服务设施达标率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全区养老床位总数（万张）</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2</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养老机构护理型床位占比</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≥60%</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老年认知障碍照护床位（万张）</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0.2</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家庭病床总建床数占常住人口比例</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3‰</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每百张养老机构床位配备社工数量</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&gt;1</w:t>
            </w:r>
          </w:p>
        </w:tc>
      </w:tr>
      <w:tr>
        <w:tblPrEx>
          <w:tblCellMar>
            <w:top w:w="15" w:type="dxa"/>
            <w:left w:w="15" w:type="dxa"/>
            <w:bottom w:w="15" w:type="dxa"/>
            <w:right w:w="15" w:type="dxa"/>
          </w:tblCellMar>
        </w:tblPrEx>
        <w:trPr>
          <w:trHeight w:val="570" w:hRule="atLeast"/>
          <w:jc w:val="center"/>
        </w:trPr>
        <w:tc>
          <w:tcPr>
            <w:tcW w:w="6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街道（乡镇）综合养老服务中心覆盖率</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70" w:hRule="atLeast"/>
          <w:jc w:val="center"/>
        </w:trPr>
        <w:tc>
          <w:tcPr>
            <w:tcW w:w="60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kern w:val="44"/>
                <w:szCs w:val="21"/>
              </w:rPr>
              <w:t>养老机构医养结合服务覆盖率</w:t>
            </w:r>
          </w:p>
        </w:tc>
        <w:tc>
          <w:tcPr>
            <w:tcW w:w="11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约束性</w:t>
            </w:r>
          </w:p>
        </w:tc>
        <w:tc>
          <w:tcPr>
            <w:tcW w:w="14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81" w:hRule="atLeast"/>
          <w:jc w:val="center"/>
        </w:trPr>
        <w:tc>
          <w:tcPr>
            <w:tcW w:w="60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kern w:val="44"/>
                <w:szCs w:val="21"/>
              </w:rPr>
            </w:pPr>
            <w:r>
              <w:rPr>
                <w:rFonts w:hint="default" w:ascii="Times New Roman" w:hAnsi="Times New Roman" w:eastAsia="仿宋" w:cs="Times New Roman"/>
                <w:b w:val="0"/>
                <w:bCs w:val="0"/>
                <w:color w:val="000000"/>
                <w:szCs w:val="21"/>
              </w:rPr>
              <w:t>每万老年人拥有持证养老护理员数（人）</w:t>
            </w:r>
          </w:p>
        </w:tc>
        <w:tc>
          <w:tcPr>
            <w:tcW w:w="11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25</w:t>
            </w:r>
          </w:p>
        </w:tc>
      </w:tr>
      <w:tr>
        <w:tblPrEx>
          <w:tblCellMar>
            <w:top w:w="15" w:type="dxa"/>
            <w:left w:w="15" w:type="dxa"/>
            <w:bottom w:w="15" w:type="dxa"/>
            <w:right w:w="15" w:type="dxa"/>
          </w:tblCellMar>
        </w:tblPrEx>
        <w:trPr>
          <w:trHeight w:val="581" w:hRule="atLeast"/>
          <w:jc w:val="center"/>
        </w:trPr>
        <w:tc>
          <w:tcPr>
            <w:tcW w:w="60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kern w:val="0"/>
                <w:szCs w:val="21"/>
              </w:rPr>
              <w:t>新建城市道路、公共建筑和养老机构场所无障碍设施率</w:t>
            </w:r>
          </w:p>
        </w:tc>
        <w:tc>
          <w:tcPr>
            <w:tcW w:w="11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100%</w:t>
            </w:r>
          </w:p>
        </w:tc>
      </w:tr>
      <w:tr>
        <w:tblPrEx>
          <w:tblCellMar>
            <w:top w:w="15" w:type="dxa"/>
            <w:left w:w="15" w:type="dxa"/>
            <w:bottom w:w="15" w:type="dxa"/>
            <w:right w:w="15" w:type="dxa"/>
          </w:tblCellMar>
        </w:tblPrEx>
        <w:trPr>
          <w:trHeight w:val="581" w:hRule="atLeast"/>
          <w:jc w:val="center"/>
        </w:trPr>
        <w:tc>
          <w:tcPr>
            <w:tcW w:w="60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二级以上医院设置老年医学科比例</w:t>
            </w:r>
          </w:p>
        </w:tc>
        <w:tc>
          <w:tcPr>
            <w:tcW w:w="11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90%</w:t>
            </w:r>
          </w:p>
        </w:tc>
      </w:tr>
      <w:tr>
        <w:tblPrEx>
          <w:tblCellMar>
            <w:top w:w="15" w:type="dxa"/>
            <w:left w:w="15" w:type="dxa"/>
            <w:bottom w:w="15" w:type="dxa"/>
            <w:right w:w="15" w:type="dxa"/>
          </w:tblCellMar>
        </w:tblPrEx>
        <w:trPr>
          <w:trHeight w:val="591" w:hRule="atLeast"/>
          <w:jc w:val="center"/>
        </w:trPr>
        <w:tc>
          <w:tcPr>
            <w:tcW w:w="60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居室环境适老化改造户数（万户）</w:t>
            </w:r>
          </w:p>
        </w:tc>
        <w:tc>
          <w:tcPr>
            <w:tcW w:w="11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预期性</w:t>
            </w:r>
          </w:p>
        </w:tc>
        <w:tc>
          <w:tcPr>
            <w:tcW w:w="14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仿宋" w:cs="Times New Roman"/>
                <w:b w:val="0"/>
                <w:bCs w:val="0"/>
                <w:color w:val="000000"/>
                <w:szCs w:val="21"/>
              </w:rPr>
            </w:pPr>
            <w:r>
              <w:rPr>
                <w:rFonts w:hint="default" w:ascii="Times New Roman" w:hAnsi="Times New Roman" w:eastAsia="仿宋" w:cs="Times New Roman"/>
                <w:b w:val="0"/>
                <w:bCs w:val="0"/>
                <w:color w:val="000000"/>
                <w:szCs w:val="21"/>
              </w:rPr>
              <w:t>1</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黑体" w:cs="Times New Roman"/>
          <w:b w:val="0"/>
          <w:bCs w:val="0"/>
          <w:color w:val="000000"/>
          <w:sz w:val="32"/>
          <w:szCs w:val="32"/>
        </w:rPr>
        <w:t>三、主要任务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（一）完善文登区养老服务保障制度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1.健全基本养老服务制度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健全基本养老公共服务清单发布及定期更新制度，以高龄、失能老年人为重点，明确服务对象、服务内容、服务标准和支出责任，并根据经济社会发展水平，逐步丰富服务项目、提高服务标准。建立完善老年人能力与需求综合评估制度，为具备相关资格条件的老年人开展能力评估，评估结果作为领取老年人补贴、接受基本养老服务的依据。建立健全特殊老年人巡访关爱制度，定期对独居、空巢、农村留守、计划生育特殊家庭老年人开展探视与帮扶服务，特殊老年人月探访率达到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2.强化兜底保障制度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color w:val="000000"/>
        </w:rPr>
      </w:pPr>
      <w:r>
        <w:rPr>
          <w:rFonts w:hint="default" w:ascii="Times New Roman" w:hAnsi="Times New Roman" w:eastAsia="仿宋_GB2312" w:cs="Times New Roman"/>
          <w:b w:val="0"/>
          <w:bCs w:val="0"/>
          <w:color w:val="000000"/>
          <w:sz w:val="32"/>
          <w:szCs w:val="32"/>
        </w:rPr>
        <w:t>加强对失能特困老年人的兜底保障。改造提升11个乡镇敬老院，提高公办养老机构兜底保障能力，2021年底前失能特困老年人集中供养率达到55%以上。在满足特困人员集中供养需求的前提下，重点为经济困难高龄、失能老年人、计划生育特殊家庭老年人提供无偿或低收费托养服务。发挥14处分散特困供养服务站作用，通过政府购买服务方式，为生活困难的低保、特困和有特殊贡献的老党员、老模范、优抚对象提供助餐、助洁、助医、生活照料等服务。抓好全省特困供养人员监护试点工作，完善分散特困人员供养监护制度，维护好他们的合法权益。</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27"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 w:cs="Times New Roman"/>
                <w:b w:val="0"/>
                <w:bCs w:val="0"/>
                <w:color w:val="000000"/>
                <w:szCs w:val="21"/>
              </w:rPr>
            </w:pPr>
            <w:r>
              <w:rPr>
                <w:rFonts w:hint="default" w:ascii="Times New Roman" w:hAnsi="Times New Roman" w:eastAsia="仿宋_GB2312" w:cs="Times New Roman"/>
                <w:b w:val="0"/>
                <w:bCs w:val="0"/>
                <w:color w:val="000000"/>
                <w:szCs w:val="21"/>
              </w:rPr>
              <w:t>专栏1 文登区养老服务兜底保障项目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27" w:type="dxa"/>
            <w:noWrap w:val="0"/>
            <w:vAlign w:val="top"/>
          </w:tcPr>
          <w:p>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01扩大兜底保障范围</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 w:cs="Times New Roman"/>
                <w:b w:val="0"/>
                <w:bCs w:val="0"/>
                <w:color w:val="000000"/>
                <w:szCs w:val="21"/>
              </w:rPr>
            </w:pPr>
            <w:r>
              <w:rPr>
                <w:rFonts w:hint="default" w:ascii="Times New Roman" w:hAnsi="Times New Roman" w:eastAsia="仿宋_GB2312" w:cs="Times New Roman"/>
                <w:b w:val="0"/>
                <w:bCs w:val="0"/>
                <w:color w:val="000000"/>
                <w:szCs w:val="21"/>
              </w:rPr>
              <w:t>在现有特困人员基础上，按照上级政策，将兜底保障逐步扩大到低保家庭中的失能、失智老年人或高龄老年人，低收入家庭中的失能、失智或高龄老年人。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27" w:type="dxa"/>
            <w:noWrap w:val="0"/>
            <w:vAlign w:val="top"/>
          </w:tcPr>
          <w:p>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 扩大集中供养规模</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 w:cs="Times New Roman"/>
                <w:b w:val="0"/>
                <w:bCs w:val="0"/>
                <w:color w:val="000000"/>
                <w:szCs w:val="21"/>
              </w:rPr>
            </w:pPr>
            <w:r>
              <w:rPr>
                <w:rFonts w:hint="default" w:ascii="Times New Roman" w:hAnsi="Times New Roman" w:eastAsia="仿宋_GB2312" w:cs="Times New Roman"/>
                <w:b w:val="0"/>
                <w:bCs w:val="0"/>
                <w:color w:val="000000"/>
                <w:szCs w:val="21"/>
              </w:rPr>
              <w:t>2021年底前失能特困老年人集中供养率达到55%以上。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27" w:type="dxa"/>
            <w:noWrap w:val="0"/>
            <w:vAlign w:val="top"/>
          </w:tcPr>
          <w:p>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03抓实分散供养</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 w:cs="Times New Roman"/>
                <w:b w:val="0"/>
                <w:bCs w:val="0"/>
                <w:color w:val="000000"/>
                <w:szCs w:val="21"/>
              </w:rPr>
            </w:pPr>
            <w:r>
              <w:rPr>
                <w:rFonts w:hint="default" w:ascii="Times New Roman" w:hAnsi="Times New Roman" w:eastAsia="仿宋_GB2312" w:cs="Times New Roman"/>
                <w:b w:val="0"/>
                <w:bCs w:val="0"/>
                <w:color w:val="000000"/>
                <w:szCs w:val="21"/>
              </w:rPr>
              <w:t>在现有14处分散特困供养服务站基础上，扩大分散供养服务站规模，实现城乡区域全覆盖。</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3.健全满足多元需求的长期护理保险制度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在现有长期护理保险制度试点基础上，优先推动高龄经济困难、失能老年人进入制度保障范围，2025年实现城乡居民长期护理保险全覆盖。根据国家要求和本区发展实际，研究建立体现个人、社会、政府多方责任的多渠道筹资机制，建立服务内容清单，优化长期护理保险支付机制。支持推进商业保险公司参与长期护理保险经办服务。构建以长期护理保险为基础，社会救助、社会福利、慈善事业、商业保险为补充的多层次照护保障体系，力争在“十四五”期间，基本形成更适应本区经济发展水平和人口老龄化发展趋势的长期护理保险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（二）优化文登区养老服务有效供给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4.健全养老服务设施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依托现有设施资源，引导各方增加供给，健全覆盖城乡、分布均衡、功能完善、惠及</w:t>
      </w:r>
      <w:r>
        <w:rPr>
          <w:rFonts w:hint="default" w:ascii="Times New Roman" w:hAnsi="Times New Roman" w:eastAsia="仿宋_GB2312" w:cs="Times New Roman"/>
          <w:b w:val="0"/>
          <w:bCs w:val="0"/>
          <w:color w:val="000000"/>
          <w:sz w:val="32"/>
          <w:szCs w:val="32"/>
          <w:lang w:eastAsia="zh-CN"/>
        </w:rPr>
        <w:t>全民的区</w:t>
      </w:r>
      <w:r>
        <w:rPr>
          <w:rFonts w:hint="default" w:ascii="Times New Roman" w:hAnsi="Times New Roman" w:eastAsia="仿宋_GB2312" w:cs="Times New Roman"/>
          <w:b w:val="0"/>
          <w:bCs w:val="0"/>
          <w:color w:val="000000"/>
          <w:sz w:val="32"/>
          <w:szCs w:val="32"/>
        </w:rPr>
        <w:t>、街道（乡镇）、社区（村）、小区四级养老服务设施网络。在区级层面，扩建人民医院康养中心，打造成以失能失智老年人专业照护为主的县域养老服务中心。加强医养康养机构建设，2021</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2023年建成7所医养、康养中心。在街道层面，加快建设4个具备全托、日托、上门服务、对下指导等功能的街道综合养老服务中心，2022年底前实现街道全覆盖。在乡镇层面，改造提升11个乡镇敬老院发展区域性综合养老服务中心，到2025年底前实现乡镇全覆盖。在社区（村）层面，新建或依托现有社区服务中心，增加养老服务项目，成立社区养老服务站，盘活城市社区日间照料中心、农村幸福院等设施，到2025年实现社区（村）日间照料服务全覆盖。在小区层面，盘活现有公共服务设施，赋予现有设施养老服务内涵，发挥现有设施的养老服务功能。</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专栏2 文登区健全养老服务设施项目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01文登区人民医院精神卫生康养中心二期</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计划投资400万元，建筑面积4426平方米，设置康养床位200张，预计2022年建成。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 文登区瑞云祥医疗养护照护中心</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计划投资2950万元，建筑面积1.6万平方米，建设护理型床位800张，预计2021年投入使用。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03 文登区整骨健康服务中心</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计划投资4.8亿元，建筑面积5.1万平方米，设置康养床位510张，预计2022年整体建成。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04 文登区天佑安康于家口医养照护中心</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计划总投资1870万元，总建筑面积5796平方米，设置医疗床位76张，养老床位200张，预计2022年建成。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05文登区晒字医养综合体</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计划总投资696万元，总建筑面积3571平方米，设置医养结合床位68张，预计2022年建成。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06宋村镇敬老院颐养康疗扩建工程</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计划总投资5000万元，总建筑面积1.5万平方米，设计康养床位500张。</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5.推动“居家</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社区</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机构”一体化融合发展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实施“居家</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社区</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机构”一体化工程。紧密结合老年人不断变化的养老服务需求，合理配置服务内容，健全“符合全区实际，居家为基础，社区为依托，机构充分发展，居家</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社区</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机构相协调，医养康养相结合”的养老服务体系，推动养老服务转型升级。加快补齐农村养老服务短板，推动城市优质养老服务资源向农村覆盖延伸，实现城乡养老资源共建共享，构建城乡养老服务一体化发展新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推进机构养老服务提档升级。在机构养老领域，强化专业细分、精细化管理，提高专业化运营效能。聚焦高龄及失能失智老年人长期照护服务的刚性需求，重点扶持发展满足基本养老服务需求、服务高龄及失能失智老年人的养老机构，不断提高养老机构对高龄及失能失智老年人的照护能力。持续开展养老机构质量建设专项行动，集中解决养老机构消防安全问题。推进养老服务标准化建设，培育打造一批具有影响力和竞争力的养老服务品牌。到2022年，养老机构护理型床位占比不低于60%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推动社区养老服务高质量发展。出台《文登区居家社区养老服务建设行动计划2021</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2023》、《文登区街道（镇）级居家社区养老服务中心等级评定暂行办法》，大力实施社区养老服务设施配建，2022年底前，社区养老服务设施配建达标率达到100%。鼓励以医养结合养老机构为主体，托管街道（乡镇）综合养老服务中心，连锁运营社区日间照料设施和农村幸福院，承接政府购买服务项目，推动专业养老服务向社区延伸，打造“15分钟养老圈”。积极推进城乡社区幸福餐桌建设，为老年人就餐提供优惠和便利。探索“物业服务+养老服务”模式。推进农村睦邻互助点建设，为老年人实现“原居养老”提供有效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促进居家养老服务提质增效。鼓励养老机构、社区养老服务机构积极主动参与居家养老服务，规范居家养老服务标准、服务制度及后续监督。加大政府购买服务力度，支持和引导养老机构、社会组织等重点面向独居、空巢、留守、失能、计划生育特殊家庭等特殊困难老年人开展服务。出台《文登区家庭养老床位服务规范》，先行试点瑞云祥镇街养老服务中心辐射带动环山办事处11处社区养老服务站和家庭护理床位建设和运营。开展“家庭照护床位”试点，推动专业养老服务向家庭延伸。实施经济困难老年人家庭适老化改造，改善老年人居家环境。提高家庭照护能力，探索建立家庭喘息服务机制。</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Cs w:val="21"/>
              </w:rPr>
            </w:pPr>
            <w:bookmarkStart w:id="0" w:name="_Hlk80094798"/>
            <w:r>
              <w:rPr>
                <w:rFonts w:hint="default" w:ascii="Times New Roman" w:hAnsi="Times New Roman" w:eastAsia="仿宋_GB2312" w:cs="Times New Roman"/>
                <w:b w:val="0"/>
                <w:bCs w:val="0"/>
                <w:color w:val="000000"/>
                <w:szCs w:val="21"/>
              </w:rPr>
              <w:t>专栏3 文登区“居家</w:t>
            </w:r>
            <w:r>
              <w:rPr>
                <w:rFonts w:hint="default" w:ascii="Times New Roman" w:hAnsi="Times New Roman" w:eastAsia="仿宋_GB2312" w:cs="Times New Roman"/>
                <w:b w:val="0"/>
                <w:bCs w:val="0"/>
                <w:color w:val="000000"/>
                <w:szCs w:val="21"/>
                <w:lang w:eastAsia="zh-CN"/>
              </w:rPr>
              <w:t>－</w:t>
            </w:r>
            <w:r>
              <w:rPr>
                <w:rFonts w:hint="default" w:ascii="Times New Roman" w:hAnsi="Times New Roman" w:eastAsia="仿宋_GB2312" w:cs="Times New Roman"/>
                <w:b w:val="0"/>
                <w:bCs w:val="0"/>
                <w:color w:val="000000"/>
                <w:szCs w:val="21"/>
              </w:rPr>
              <w:t>社区</w:t>
            </w:r>
            <w:r>
              <w:rPr>
                <w:rFonts w:hint="default" w:ascii="Times New Roman" w:hAnsi="Times New Roman" w:eastAsia="仿宋_GB2312" w:cs="Times New Roman"/>
                <w:b w:val="0"/>
                <w:bCs w:val="0"/>
                <w:color w:val="000000"/>
                <w:szCs w:val="21"/>
                <w:lang w:eastAsia="zh-CN"/>
              </w:rPr>
              <w:t>－</w:t>
            </w:r>
            <w:r>
              <w:rPr>
                <w:rFonts w:hint="default" w:ascii="Times New Roman" w:hAnsi="Times New Roman" w:eastAsia="仿宋_GB2312" w:cs="Times New Roman"/>
                <w:b w:val="0"/>
                <w:bCs w:val="0"/>
                <w:color w:val="000000"/>
                <w:szCs w:val="21"/>
              </w:rPr>
              <w:t>机构”一体化项目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01推进机构养老服务提档升级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2022年底前，养老机构护理型床位占比不低于60%。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02推动社区养老服务高质量发展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2022年底前，社区养老服务设施配建达标率达到100%。积极推进城乡社区幸福餐桌建设，为老年人就餐提供优惠和便利。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03 推进农村睦邻互助点建设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出台《威海市文登区农村睦邻互助积分养老实施方案》，先从泽库、泽头两镇试点，然后在全区范围开展村级睦邻互助工作，为老年人实现“原居养老”提供有效支撑。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04 促进居家养老服务提质增效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开展“家庭照护床位”试点。实施经济困难老年人家庭适老化改造。提高家庭照护能力，探索建立家庭喘息服务机制</w:t>
            </w:r>
          </w:p>
        </w:tc>
      </w:tr>
      <w:bookmarkEnd w:id="0"/>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6.扩大普惠性养老服务供给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坚持公办养老机构（含公建民营）的公益属性，鼓励公办养老机构为广大老年人提供价格适中、方便可及、质量可靠的养老服务。政府给予支持性政策，持续提升营商环境，培育发展以普惠性养老为主责主业的民办养老机构。鼓励社会力量参与普惠性养老服务供给。培育发展为老社会组织，通过政府购买服务，促进社会组织、志愿者参与养老服务。引导开展银龄互助活动，通过村级睦邻互助试点建设、12349积分养老项目等，鼓励多方服务资源参与养老服务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（三）积极推进文登区医养结合服务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7.建立医养结合领导机制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健全政府主导、部门配合的有效运行机制，各有关部门各司其职，进一步加强协调配合，形成合力，推进医养结合协同发展。民政、卫健部门把医养结合纳入养老服务体系、医疗服务体系发展规划，制定完善医养结合机构建设和服务标准，完善政策体系，督导扶持政策落实。医保部门将符合条件的医养结合机构纳入基本医疗保险、长期护理保险定点机构，加强监督管理。自然资源和规划部门切实保障医养结合机构的土地供应，做好社区配建养老服务设施和医疗服务设施规划工作。住建部门做好社区配建养老服务设施和医疗服务设施建设工作。发展改革部门将推动医养结合纳入国民经济和社会发展规划。财政部门落实相关投入政策，积极支持医养结合机构发展。文旅部门将健康旅游特色产品纳入旅游项目推广计划。市场监管部门强化医养结合机构食品安全，推进医养结合标准化建设。行政审批部门简化医养结合机构审批登记，将医养结合医疗机构审批纳入“一窗办理”，实现一窗受理、一表填报，全程网办。</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0"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专栏4 文登区“医养结合议事小组”建设项目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8440"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01成立区级“医养结合议事小组”</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2022年底前，由各级民政牵头，组织卫健、医保、规划、住建、发改、财政、文旅、市场监管、行政审批等部门，成立区级医养结合议事小组，对重大医养结合项目进行“一事一议”，帮助项目解决推进过程中土地、资金、税费、投融资等难点问题。</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rPr>
        <w:t>普及健康生活方式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以人民健康为中心，坚持预防为主，推行健康生活方式，减少疾病发生，提高老年人健康水平。建立健全部门分工协作、全社会共同参与的健康促进与教育体系。</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100" w:firstLineChars="10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专栏5 文登区普及健康生活方式项目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01开设和规范各类广播电视等健康栏目</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发挥新媒体传播优势，规范健康资讯传播。开展普及健康生活方式行动，强化健康生活方式指导，普及健康文化、健康养老等理念。 倡导科学健身，推广中医传统运动项目，制定实施老年人体质健康干预计划。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02推进社区“老年健康自我管理小组”建设</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加强老年人健康素养和生活方式监测，提升老年人身体、心理、社会参与等不同层面需求，进一步加强老年人健康管理，为老年人提供公平、适宜、优质的健康服务。</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优化医疗服务供给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rPr>
      </w:pPr>
      <w:r>
        <w:rPr>
          <w:rFonts w:hint="default" w:ascii="Times New Roman" w:hAnsi="Times New Roman" w:eastAsia="仿宋_GB2312" w:cs="Times New Roman"/>
          <w:b w:val="0"/>
          <w:bCs w:val="0"/>
          <w:color w:val="000000"/>
          <w:sz w:val="32"/>
          <w:szCs w:val="32"/>
        </w:rPr>
        <w:t>建立整合型老年医疗卫生服务体系，健全“预防</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治疗</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康复</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护理</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长期照护</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安宁疗护”服务链。支持医务人员从事医养结合服务，实施医师执业地点区域注册制度，按规定支持医务人员到医养结合机构多点执业、多机构备案。建立健全保障机制，适当提高上门服务人员的待遇水平。</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专栏6文登区医疗服务供给优化项目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 做实做优家庭医生签约服务</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完善老年人健康档案，加强动态管理，推进“互联网+护理”“互联网+医疗”“互联网+家庭医生”等服务模式应用于老年健康服务。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 实施慢性病综合防控</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开展对老年人常见疾病的早发现、早干预、早治疗。推进老年人心理健康服务体系建设和规范化管理，开展认知障碍、抑郁等老年人常见精神障碍的预防、识别与干预。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03 优化疾病诊治模式</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推动文登区各类医院开设老年医学科，形成以区老年医学中心为引领、综合医院老年医学科为骨干、基层医疗卫生机构为基础、相关教学科研机构为支撑的医疗服务网络。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04 建立健全安宁疗护服务体系</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普及安宁疗护文化理念，提升安宁疗护服务能力，改善临终患者生存质量，形成以社区卫生服务中心为重点、机构和居家服务相结合的安宁疗护服务网络。</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val="en-US" w:eastAsia="zh-CN"/>
        </w:rPr>
        <w:t>10.</w:t>
      </w:r>
      <w:r>
        <w:rPr>
          <w:rFonts w:hint="default" w:ascii="Times New Roman" w:hAnsi="Times New Roman" w:eastAsia="仿宋_GB2312" w:cs="Times New Roman"/>
          <w:b w:val="0"/>
          <w:bCs w:val="0"/>
          <w:color w:val="000000"/>
          <w:sz w:val="32"/>
          <w:szCs w:val="32"/>
        </w:rPr>
        <w:t>深化医养结合模式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推动养老机构和医疗卫生机构建设的项目衔接和审批合作，鼓励养老机构设置护理院、护理中心、康复医疗中心等医疗机构，支持社会力量通过市场化运作方式举办医养结合机构，加快建设瑞云祥医疗养护照护中心、文登整骨健康服务中心、界石晒字康养综合体等6个项目，推动全区养老产业多元化布局、高端化发展。聚焦医养结合发展的难点、重点问题，强化改革思维，破解发展难题，持续推进国家级、省级医养结合示范先行区建设，积极争创国家社区居家改革试点、国家积极应对人口老龄化重点联系城市试点，总结推广一批医养结合服务模式，公布一批医养结合示范单位，树立一批具有示范带动效应的服务典型。大力实施县域养老服务体系建设，以整体解决县域医养结合问题为目标，统筹要素资源，强化改革集成，开展创新示范活动，全面开展服务体系创新、业态模式创新、要素支持创新、适老环境创新、体制机制创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专栏7 文登区医养结合模式营造项目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 护理康复机构软硬件建设提升</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推进文登区人民医院精神卫生康养中心二期、文登区瑞云祥医疗养护照护中心、文登区整骨健康服务中心、文登区天佑安康于家口医养照护中心、文登区晒字医养综合体等医养结合机构建设，满足失智失能老年人刚性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 社区卫生服务中心提质增效</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将社区卫生服务中心打造成医养结合重要平台，推进社区综合养老服务中心医养结合功能建设，提高基层医疗卫生机构在健康教育、预防保健、疾病诊治、康复护理、长期照护、安宁疗护等方面为居家老年人提供上门医疗服务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03 营河福邸悠然康养小镇建设</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支持建邦集团与威海宇程建设集团联手打造营河福邸悠然康养小镇，总投资3.8亿元，占地87亩。</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（四）促进文登区老年产业创新发展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 w:cs="Times New Roman"/>
          <w:b w:val="0"/>
          <w:bCs w:val="0"/>
          <w:color w:val="000000"/>
          <w:sz w:val="24"/>
        </w:rPr>
        <w:t xml:space="preserve">    </w:t>
      </w:r>
      <w:r>
        <w:rPr>
          <w:rFonts w:hint="default" w:ascii="Times New Roman" w:hAnsi="Times New Roman" w:eastAsia="仿宋_GB2312" w:cs="Times New Roman"/>
          <w:b w:val="0"/>
          <w:bCs w:val="0"/>
          <w:color w:val="000000"/>
          <w:sz w:val="32"/>
          <w:szCs w:val="32"/>
          <w:lang w:val="en-US" w:eastAsia="zh-CN"/>
        </w:rPr>
        <w:t>11.推动老龄产业高质量发展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把老龄产业纳入经济社会发展总体规划，定期公布相关扶持政策措施清单和投资指南。优化老龄产业市场竞争环境，建立健全老龄产业相关产品和服务的标准规范。提升融资能力，加强财税支持，加大对养老服务、智慧养老、生物医药等企业和项目的支持。大力发展辅具用品产业，加快发展老年人服装服饰、日用辅助产品、生活护理产品、康复训练及健康促进辅具等老年用品产业。夯实老年用品产业发展基础，提高产业创新能力，发展一批养老产品和服务特色街区，鼓励服务机构专业化、连锁化、品牌化发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rPr>
        <w:t>  </w:t>
      </w:r>
      <w:r>
        <w:rPr>
          <w:rFonts w:hint="default" w:ascii="Times New Roman" w:hAnsi="Times New Roman" w:eastAsia="仿宋_GB2312" w:cs="Times New Roman"/>
          <w:b w:val="0"/>
          <w:bCs w:val="0"/>
          <w:color w:val="000000"/>
          <w:sz w:val="32"/>
          <w:szCs w:val="32"/>
          <w:lang w:val="en-US" w:eastAsia="zh-CN"/>
        </w:rPr>
        <w:t>12.激活老年产品市场需求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color w:val="000000"/>
        </w:rPr>
      </w:pPr>
      <w:r>
        <w:rPr>
          <w:rFonts w:hint="default" w:ascii="Times New Roman" w:hAnsi="Times New Roman" w:eastAsia="仿宋_GB2312" w:cs="Times New Roman"/>
          <w:b w:val="0"/>
          <w:bCs w:val="0"/>
          <w:color w:val="000000"/>
          <w:sz w:val="32"/>
          <w:szCs w:val="32"/>
        </w:rPr>
        <w:t>倡导健康、科学的养老理念，通过适度补贴等方式，引导有条件的老年人购买或租赁适宜的专业服务和辅具用品。在符合公平竞争相关标准前提下，建立文登区老年用品目录，促进优质产品应用推广。加强对老年产品的宣传推介和消费引导，鼓励电商、零售企业线上线下联动，展示销售老年产品。搭建信息对接和应用平台，促进优质康复辅具等老年适用产品在社区、医疗机构和养老机构率先使用和推广。充分发挥家庭的支撑作用，倡导子女更多为老人消费，提升老年人生活品质。鼓励社会力量打造集康复辅具展示体验、老年用品消费、老年教育文娱等一体的银发消费综合体。</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专栏8 文登区养老市场体系建设项目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针对文登区不同老年群体需求，注重养老市场高、中、低层面合作发展。鼓励社会资本进入文登养老市场，拓宽资金来源。加强内部监管和调控，扶持优势市场主体发展，淘汰小乱散弱养老企业，培育合理有序的养老市场竞争环境。</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13.推动老龄产业融合发展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创新和丰富养老服务产业新模式与新业态，依托文登既有的自然资源和产业优势，拓展旅居养老、文化养老、健康养老、养生养老等新型消费领域，深入推进医养康养结合。把老龄产业的发展</w:t>
      </w:r>
      <w:r>
        <w:rPr>
          <w:rFonts w:hint="default" w:ascii="Times New Roman" w:hAnsi="Times New Roman" w:eastAsia="仿宋_GB2312" w:cs="Times New Roman"/>
          <w:b w:val="0"/>
          <w:bCs w:val="0"/>
          <w:color w:val="000000"/>
          <w:sz w:val="32"/>
          <w:szCs w:val="32"/>
          <w:lang w:eastAsia="zh-CN"/>
        </w:rPr>
        <w:t>融入</w:t>
      </w:r>
      <w:r>
        <w:rPr>
          <w:rFonts w:hint="default" w:ascii="Times New Roman" w:hAnsi="Times New Roman" w:eastAsia="仿宋_GB2312" w:cs="Times New Roman"/>
          <w:b w:val="0"/>
          <w:bCs w:val="0"/>
          <w:color w:val="000000"/>
          <w:sz w:val="32"/>
          <w:szCs w:val="32"/>
        </w:rPr>
        <w:t xml:space="preserve">城市治理和乡村振兴之中，支持社会资本设计开发更多适合老年人居住的商业住宅产品。加强公共文化数字化服务，鼓励发展老年数字教育新业态，推进“互联网+老年教育”的融合创新发展。促进老年旅游健康发展，鼓励旅游企业设计更多的一日游、半日游、短途游和康养游等适合老年人旅游产品，进一步提升老年旅游产品与服务品质。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专栏9 文登区区域养老市场融入项目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01 特色康养旅居机构建设</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充分利用5—10月份旅游旺季，鼓励引导养老机构利用空闲床位资源，创新开发“候鸟式、疗养式、田园式”等旅居康养产品，召开全国旅居养老论坛，深挖养生养老文化内涵，打造“全国康养旅居后花园”。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02 优化“东方康养圣地”城市品牌</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依托文登区山、海、温泉和整骨、中心医院两家三甲医院等优质康养资源，重点突破“养生旅游、医养康疗、养老服务”等产业，积极引进资源开发和产业合作项目，做实和优化“康养圣地”的城市品牌。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03 东亚“区域性养老服务集散中心”建设</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积极融入威海市养老服务规划，明确定位，打造威海养老产业高地。突出服务特色，对接山东全省和其他省市相关老年群体，融入全国养老服务市场。利用区位优势，依托国内市场，对接日韩，形成养老资源市场、养老服务市场的良性互动，打造东亚区域性养老“资源、人才、服务、技术”集散中心，提高国际养老市场竞争力。</w:t>
            </w:r>
          </w:p>
        </w:tc>
      </w:tr>
    </w:tbl>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（五）构筑文登区养老服务队伍新高地</w:t>
      </w:r>
    </w:p>
    <w:p>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14.加强养老人才培养</w:t>
      </w:r>
    </w:p>
    <w:p>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推动校企合作，将养老服务列为职业教育校企合作优先领域；实施本地高职院校设立养老服务相关专业奖补制度，鼓励高职院校设置养老服务相关专业。支持本地高职院校开展“学历证书+若干职业技能等级证书”1+X制度试点，加大对养老服务复合型人才的培养力度。加强与外地院校合作，积极采取</w:t>
      </w:r>
      <w:r>
        <w:rPr>
          <w:rStyle w:val="38"/>
          <w:rFonts w:hint="default" w:ascii="Times New Roman" w:hAnsi="Times New Roman" w:eastAsia="仿宋_GB2312" w:cs="Times New Roman"/>
          <w:b w:val="0"/>
          <w:bCs w:val="0"/>
          <w:color w:val="000000"/>
          <w:sz w:val="32"/>
          <w:szCs w:val="32"/>
        </w:rPr>
        <w:t>“订单式”、“定向式”等多种培养模式，</w:t>
      </w:r>
      <w:r>
        <w:rPr>
          <w:rFonts w:hint="default" w:ascii="Times New Roman" w:hAnsi="Times New Roman" w:eastAsia="仿宋_GB2312" w:cs="Times New Roman"/>
          <w:b w:val="0"/>
          <w:bCs w:val="0"/>
          <w:color w:val="000000"/>
          <w:sz w:val="32"/>
          <w:szCs w:val="32"/>
        </w:rPr>
        <w:t>培养“养老顾问”、养老职业经理、老年人能力评估师等各类涉老人才。</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Cs w:val="21"/>
              </w:rPr>
              <w:t xml:space="preserve">专栏10 </w:t>
            </w:r>
            <w:r>
              <w:rPr>
                <w:rFonts w:hint="default" w:ascii="Times New Roman" w:hAnsi="Times New Roman" w:eastAsia="仿宋_GB2312" w:cs="Times New Roman"/>
                <w:b w:val="0"/>
                <w:bCs w:val="0"/>
                <w:color w:val="000000"/>
                <w:kern w:val="0"/>
                <w:szCs w:val="21"/>
              </w:rPr>
              <w:t>文登区高端养老人才培训项目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01 养老服务人才“产教研用训”综合培育</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Cs w:val="21"/>
              </w:rPr>
              <w:t>探索建立养老服务人才“产教研用训”一条龙推进机制，鼓励文登卫校、文登职业技术学校设置养老服务相关专业，吸引山东女子学院设立产业学院建设点，加快培养老年医学、康复、护理、营养、社会工作等专业人才，把文登打造成鲁东养老人才培训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val="0"/>
                <w:bCs w:val="0"/>
                <w:color w:val="000000"/>
                <w:szCs w:val="21"/>
              </w:rPr>
            </w:pPr>
            <w:r>
              <w:rPr>
                <w:rFonts w:hint="default" w:ascii="Times New Roman" w:hAnsi="Times New Roman" w:eastAsia="仿宋_GB2312" w:cs="Times New Roman"/>
                <w:b w:val="0"/>
                <w:bCs w:val="0"/>
                <w:color w:val="000000"/>
                <w:szCs w:val="21"/>
              </w:rPr>
              <w:t>02 养老护理人员系统培训</w:t>
            </w:r>
          </w:p>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Cs w:val="21"/>
              </w:rPr>
              <w:t>支持医务人员到养老机构从事医养结合服务；推动养老护理技能等级认定，推动养老护理技能等级认定机构的建设和规范管理；加强农村养老护理员队伍建设和培训，实现服务机构人员100%接受培训；开展失能、半失能老年人家庭照护者技能培训；引进日韩先进的养老服务模式，建设涉外实训、服务基地，输出高端养老服务人才。</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15.扩充志愿服务队伍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大力培养为老年人服务的社会工作者队伍，在养老服务机构中开发设置社会工作者岗位。深入推进养老领域志愿服务工作发展，采取政府购买志愿服务组织服务等方式，积极扶持培育各类为老志愿服务组织。鼓励退休医务人员到养老机构执业，动员吸纳退休护士从事老年人护理指导、培训和服务。探索互助养老模式，鼓励与支持互助养老服务组织，鼓励有条件的集体经济组织资助发展农村互助养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1890" w:firstLineChars="900"/>
              <w:jc w:val="both"/>
              <w:textAlignment w:val="auto"/>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Cs w:val="21"/>
              </w:rPr>
              <w:t xml:space="preserve">专栏11 </w:t>
            </w:r>
            <w:r>
              <w:rPr>
                <w:rFonts w:hint="default" w:ascii="Times New Roman" w:hAnsi="Times New Roman" w:eastAsia="仿宋_GB2312" w:cs="Times New Roman"/>
                <w:b w:val="0"/>
                <w:bCs w:val="0"/>
                <w:color w:val="000000"/>
                <w:kern w:val="0"/>
                <w:szCs w:val="21"/>
              </w:rPr>
              <w:t>文登区“社工站+养老站”综合体建设项目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Cs w:val="21"/>
              </w:rPr>
              <w:t>依托文登区镇街社工站建设机遇，将社区养老服务项目融进社工站建设，在党建引领下，打造“社工站+养老站”综合体，建设“社区（村集体）+企业+社会工作者+志愿者”四方联动的养老服务品牌。</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16.完善激励保障机制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kern w:val="0"/>
          <w:sz w:val="32"/>
          <w:szCs w:val="32"/>
        </w:rPr>
        <w:t>加强养老护理员队伍建设，建立健全养老护理员培养措施、评价标准、晋升通道、薪酬体系、激励机制和管理系统。通过政策、财政补贴等形式支持养老行业，鼓励大中专院校护理专业的毕业生到养老服务机构实习、就业，创业；建立养老服务专业人员持证奖励、特岗补贴、入职补贴和免费保险等激励制度，努力提高养老服务人才队伍待遇。实施养老志愿服务积分兑换、人员激励、队伍支持等政策，吸引志愿者参与养老服务事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kern w:val="0"/>
          <w:sz w:val="32"/>
          <w:szCs w:val="32"/>
        </w:rPr>
        <w:t>（六）构建文登区数字养老新图景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17.打造数字养老服务圈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以镇、街区域性综合养老服务中心为核心，围绕养老需求与服务清单，充分利用区块链、云计算、大数据、物联网等新一代信息技术提供物联化、互联化、智能化的养老服务，布设互联感知的智慧养老设施与服务供给，建立文登县域养老服务数字化服务圈。</w:t>
      </w:r>
      <w:r>
        <w:rPr>
          <w:rFonts w:hint="default" w:ascii="Times New Roman" w:hAnsi="Times New Roman" w:eastAsia="仿宋_GB2312" w:cs="Times New Roman"/>
          <w:b w:val="0"/>
          <w:bCs w:val="0"/>
          <w:color w:val="000000"/>
          <w:kern w:val="0"/>
          <w:sz w:val="32"/>
          <w:szCs w:val="32"/>
          <w:lang w:eastAsia="zh-CN"/>
        </w:rPr>
        <w:t>制定</w:t>
      </w:r>
      <w:r>
        <w:rPr>
          <w:rFonts w:hint="default" w:ascii="Times New Roman" w:hAnsi="Times New Roman" w:eastAsia="仿宋_GB2312" w:cs="Times New Roman"/>
          <w:b w:val="0"/>
          <w:bCs w:val="0"/>
          <w:color w:val="000000"/>
          <w:kern w:val="0"/>
          <w:sz w:val="32"/>
          <w:szCs w:val="32"/>
        </w:rPr>
        <w:t>完善智慧养老相关产品和服务标准，开展家庭、社区服务中心、养老机构等多种应用场景的试点；培育一批智慧养老应用示范基地、示范社区和示范品牌。逐步建立各类养老机构信息管理系统，及时公布养老服务需求和资源供应信息。依托社区服务信息平台，建立完善居家社区服务热线、呼叫系统等便捷的求助和服务信息网络，努力打造“虚拟养老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18.实施数字养老拓展行动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进一步推进养老服务数字化改革，提高数字服务决策、服务监管、服务供需对接的能力，推进养老服务信息与户籍、医疗、社会保险、社会救助等信息资源对接，完善养老服务支付系统，实现养老服务数字化新飞跃。通过养老服务数字化改革，重塑老年福利与养老服务的流程，保障政府决策更加精准、监管更加有效。落实新基建智慧康养设施建设，形成“养老云”数据，建设一批智慧养老机构和养老社区。支持家庭安装智能监控设备等智慧终端。加强智慧技术无障碍建设，降低老年人应用数字技术的难度，保留线下服务途径，便利老年人获取养老服务和老年福利。建立全区统一的养老服务数据标准，规范数据来源，提高数据自动获取和大数据分析能力。</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520" w:firstLineChars="1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 xml:space="preserve">专栏12 </w:t>
            </w:r>
            <w:r>
              <w:rPr>
                <w:rFonts w:hint="default" w:ascii="Times New Roman" w:hAnsi="Times New Roman" w:eastAsia="仿宋_GB2312" w:cs="Times New Roman"/>
                <w:b w:val="0"/>
                <w:bCs w:val="0"/>
                <w:color w:val="000000"/>
                <w:kern w:val="0"/>
                <w:sz w:val="21"/>
                <w:szCs w:val="21"/>
              </w:rPr>
              <w:t>文登区数字养老拓展项目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推进养老服务信息与户籍、医疗、社会保险、社会救助等信息资源对接，完善养老服务支付系统，实现养老服务数字化新飞跃。建立全区统一的养老服务数据标准，规范数据来源，提高数据自动获取和大数据分析能力。培育一批智慧养老应用示范基地、示范社区和示范品牌。</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19.建设“老吾老”智慧养老服务平台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000000"/>
          <w:sz w:val="28"/>
          <w:szCs w:val="28"/>
        </w:rPr>
      </w:pPr>
      <w:r>
        <w:rPr>
          <w:rFonts w:hint="default" w:ascii="Times New Roman" w:hAnsi="Times New Roman" w:eastAsia="仿宋_GB2312" w:cs="Times New Roman"/>
          <w:b w:val="0"/>
          <w:bCs w:val="0"/>
          <w:color w:val="000000"/>
          <w:sz w:val="32"/>
          <w:szCs w:val="32"/>
        </w:rPr>
        <w:t>利用物联网、大数据和人工智能等技术，升级山东省、威海6012349等已有互联网养老平台，完善已有智慧养老体系，建成全区统一的“老吾老”智慧养老服务平台。打造县域养老服务数据库，推进养老机构开业“一件事”、“一床一人一码”、家庭养老床位、智慧养老社区、幸福养老指数发布等服务应用场景，实现信息共享、供需对接和综合监管。实现不同养老服务平台有效连接，为老年人及家属、养老服务机构、从业人员和各级涉老政府部门，提供养老政务服务、社会服务、公益服务并链接市场服务。</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1890" w:firstLineChars="9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 xml:space="preserve">专栏13 </w:t>
            </w:r>
            <w:r>
              <w:rPr>
                <w:rFonts w:hint="default" w:ascii="Times New Roman" w:hAnsi="Times New Roman" w:eastAsia="仿宋_GB2312" w:cs="Times New Roman"/>
                <w:b w:val="0"/>
                <w:bCs w:val="0"/>
                <w:color w:val="000000"/>
                <w:kern w:val="0"/>
                <w:sz w:val="21"/>
                <w:szCs w:val="21"/>
              </w:rPr>
              <w:t>文登区老年人“信息呼叫及应急服务”项目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kern w:val="0"/>
                <w:sz w:val="21"/>
                <w:szCs w:val="21"/>
              </w:rPr>
              <w:t>依托社区服务信息平台，建立完善居家社区服务热线、呼叫系统等便捷的求助和服务信息网络，努力打造“虚拟养老院”。支持家庭安装智能监控设备等智慧终端。加强智慧技术无障碍建设，降低老年人应用数字技术的难度。逐步建立各类养老机构信息管理系统，及时公布养老服务需求和资源供应信息，对接老年人信息流与需求信息，推进老年人信息呼叫及应急服务便捷化。</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rPr>
        <w:t>（七）推动文登区文化养老体系建设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20.家庭文化支撑养老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对接新时代养老现状和养老文化，立足文登乡土文化，结合养老服务需要，传承文登优秀家庭文化，保障老年人在家庭内的合法权益，促进代际健康互动。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 xml:space="preserve">专栏14 </w:t>
            </w:r>
            <w:r>
              <w:rPr>
                <w:rFonts w:hint="default" w:ascii="Times New Roman" w:hAnsi="Times New Roman" w:eastAsia="仿宋_GB2312" w:cs="Times New Roman"/>
                <w:b w:val="0"/>
                <w:bCs w:val="0"/>
                <w:color w:val="000000"/>
                <w:kern w:val="0"/>
                <w:sz w:val="21"/>
                <w:szCs w:val="21"/>
              </w:rPr>
              <w:t>文登区</w:t>
            </w:r>
            <w:r>
              <w:rPr>
                <w:rFonts w:hint="default" w:ascii="Times New Roman" w:hAnsi="Times New Roman" w:eastAsia="仿宋_GB2312" w:cs="Times New Roman"/>
                <w:b w:val="0"/>
                <w:bCs w:val="0"/>
                <w:color w:val="000000"/>
                <w:sz w:val="21"/>
                <w:szCs w:val="21"/>
              </w:rPr>
              <w:t>家庭养老文化营造项目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kern w:val="0"/>
                <w:sz w:val="21"/>
                <w:szCs w:val="21"/>
              </w:rPr>
              <w:t>推动健康养老教育进家庭，宣传树立健康生活习惯，健康饮食，合理运动，提高老人对自身健康的判断能力和自理自护能力。提高子代养老意识，构建家庭内多代健康生活文化环境，消除对老年人认知、行为、心理、精神等领域的歧视和忽视</w:t>
            </w:r>
            <w:r>
              <w:rPr>
                <w:rFonts w:hint="default" w:ascii="Times New Roman" w:hAnsi="Times New Roman" w:eastAsia="仿宋_GB2312" w:cs="Times New Roman"/>
                <w:b w:val="0"/>
                <w:bCs w:val="0"/>
                <w:color w:val="000000"/>
                <w:sz w:val="21"/>
                <w:szCs w:val="21"/>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21.红色文化促进养老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挖掘、保护、传承文登红色文化资源，保护文登革命遗址，系统整理文登人民红色记忆，讲好文登红色故事，以红色文化作为文登养老的精神基础和产业支柱之一。</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专栏15 文登区红色养老文化营造项目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kern w:val="0"/>
                <w:sz w:val="21"/>
                <w:szCs w:val="21"/>
              </w:rPr>
              <w:t>开展红色文化教育，发展红色文化旅游，将红色文旅作为养老产业的重要组成部分，促进老年人对文登红色文化发展和红色文旅产业的参与，增加经济收入，提高养老保障。延续军民共建传统，提高军民共建在文登老年服务中促进作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22.社会文化承载养老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加强养老文化宣传，建设文登公共养老文化品牌，促进养老文化的公益性推广和建设，增强居民爱老敬老助老意识。进行养老政策知识普及，使居民正确认识养老现状和养老服务，提高养老服务的社会关注度和认可度。</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专栏16 文登区社会养老文化营造项目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kern w:val="0"/>
                <w:sz w:val="21"/>
                <w:szCs w:val="21"/>
              </w:rPr>
              <w:t>促进公共设施的适老化建设和改造，建设无障碍公共环境，营造和谐友好老年生活环境。促进公共文化场馆与老年文化的对接，提供老年文化活动场所，提高对文化设施对老年人的服务水平。建设全龄社区、全龄设施、全龄产业，促进老年文化与其他群体文化的有机融合。</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rPr>
      </w:pPr>
      <w:r>
        <w:rPr>
          <w:rFonts w:hint="default" w:ascii="Times New Roman" w:hAnsi="Times New Roman" w:eastAsia="楷体_GB2312" w:cs="Times New Roman"/>
          <w:b w:val="0"/>
          <w:bCs w:val="0"/>
          <w:color w:val="000000"/>
          <w:sz w:val="32"/>
          <w:szCs w:val="32"/>
        </w:rPr>
        <w:t>（八）健全</w:t>
      </w:r>
      <w:r>
        <w:rPr>
          <w:rFonts w:hint="default" w:ascii="Times New Roman" w:hAnsi="Times New Roman" w:eastAsia="楷体_GB2312" w:cs="Times New Roman"/>
          <w:b w:val="0"/>
          <w:bCs w:val="0"/>
          <w:color w:val="000000"/>
          <w:kern w:val="0"/>
          <w:sz w:val="32"/>
          <w:szCs w:val="32"/>
        </w:rPr>
        <w:t>文登区</w:t>
      </w:r>
      <w:r>
        <w:rPr>
          <w:rFonts w:hint="default" w:ascii="Times New Roman" w:hAnsi="Times New Roman" w:eastAsia="楷体_GB2312" w:cs="Times New Roman"/>
          <w:b w:val="0"/>
          <w:bCs w:val="0"/>
          <w:color w:val="000000"/>
          <w:sz w:val="32"/>
          <w:szCs w:val="32"/>
        </w:rPr>
        <w:t>养老服务综合监管体系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23.规范养老服务市场秩序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依托《威海市文登区养老服务领域信用分级分类管理实施方案》，促进养老服务业持续健康发展。优化“一名养老机构质量监督员+一名安全管理员+一名社会监督员+一名第三方评估员”的养老服务质量评定管理机制，全方位提升养老机构服务质量。建立多部门联合监管为核心的养老服务新型监管模式。民政部门会同住房城乡建设、应急管理、市场监督管理、医疗保障等部门，加强对养老机构建筑安全、消防安全、食品安全、医疗安全的监督管理。加强对从业人员职业道德和职业技能的监管。加强对养老服务涉及资金以及运营秩序的监管。引导养老服务机构增强风险防范意识和应对处置能力，预防和减少突发事件的发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24.推行“互联网+监管”服务平台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充分运用大数据等新技术手段，统筹运用养老服务领域政务数据资源和社会数据资源，实现监管规范化、精准化、智能化。在6012349居家养老服务及监管平台之上，构建文登区“政府—机构—老人”的养老服务协同监管平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296" w:type="dxa"/>
            <w:noWrap w:val="0"/>
            <w:vAlign w:val="top"/>
          </w:tcPr>
          <w:p>
            <w:pPr>
              <w:keepNext w:val="0"/>
              <w:keepLines w:val="0"/>
              <w:pageBreakBefore w:val="0"/>
              <w:kinsoku/>
              <w:wordWrap/>
              <w:overflowPunct/>
              <w:topLinePunct w:val="0"/>
              <w:autoSpaceDE/>
              <w:autoSpaceDN/>
              <w:bidi w:val="0"/>
              <w:spacing w:line="560" w:lineRule="exact"/>
              <w:ind w:firstLine="2310" w:firstLineChars="1100"/>
              <w:jc w:val="both"/>
              <w:textAlignment w:val="auto"/>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专栏17 文登区养老服务协同监管项目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9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kern w:val="0"/>
                <w:sz w:val="21"/>
                <w:szCs w:val="21"/>
              </w:rPr>
              <w:t>建设文登区“政府—机构—老人”的养老服务协同监管平台，包括“业务监管平台、老人能力评估系统、移动互联网端、系统管理”等监管程序。对照影响养老院服务质量的“运营管理、生活服务、健康服务、社会工作服务、安全管理”等五个方面，对“农村睦邻点建设、家庭养老床位建设、居家老年人适老化改造、日间照料中心和农村幸福院运营”等项目，开展养老服务质量的综合监管。依托养老服务监管平台，实现部门间的信息共享和业务协同。</w:t>
            </w:r>
          </w:p>
        </w:tc>
      </w:tr>
    </w:tbl>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黑体" w:cs="Times New Roman"/>
          <w:b w:val="0"/>
          <w:bCs w:val="0"/>
          <w:color w:val="000000"/>
          <w:sz w:val="32"/>
          <w:szCs w:val="32"/>
        </w:rPr>
        <w:t>四、保障措施</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48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楷体_GB2312" w:cs="Times New Roman"/>
          <w:b w:val="0"/>
          <w:bCs w:val="0"/>
          <w:color w:val="000000"/>
          <w:sz w:val="32"/>
          <w:szCs w:val="32"/>
        </w:rPr>
        <w:t>（一）强化组织保障。</w:t>
      </w:r>
      <w:r>
        <w:rPr>
          <w:rFonts w:hint="default" w:ascii="Times New Roman" w:hAnsi="Times New Roman" w:eastAsia="仿宋_GB2312" w:cs="Times New Roman"/>
          <w:b w:val="0"/>
          <w:bCs w:val="0"/>
          <w:color w:val="000000"/>
          <w:kern w:val="2"/>
          <w:sz w:val="32"/>
          <w:szCs w:val="32"/>
        </w:rPr>
        <w:t>坚持党对养老服务工作的全面领导，进一步健全“党委领导、政府主导、社会参与、全民行动”的工作机制，将规划的主要任务指标纳入本地区经济社会发展规划目录清单与为民办实事项目，将养老服务纳入地方党政领导班子考核指标体系。充分发挥县级养老服务联席会议重要作用，区政府牵头定期研究解决规划实施中的重大问题，加强部门协调。积极引导党员干部参与养老服务，充分发挥离退休党员干部、工青妇等群团组织的作用，最大限度凝聚为老服务力量。做好各类养老机构党建工作，实现公建民营机构和所有民办养老机构全覆盖，加强党在养老服务领域的影响力、渗透力、控制力。</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48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楷体_GB2312" w:cs="Times New Roman"/>
          <w:b w:val="0"/>
          <w:bCs w:val="0"/>
          <w:color w:val="000000"/>
          <w:kern w:val="2"/>
          <w:sz w:val="32"/>
          <w:szCs w:val="32"/>
        </w:rPr>
        <w:t>（二）加大经费投入。</w:t>
      </w:r>
      <w:r>
        <w:rPr>
          <w:rFonts w:hint="default" w:ascii="Times New Roman" w:hAnsi="Times New Roman" w:eastAsia="仿宋_GB2312" w:cs="Times New Roman"/>
          <w:b w:val="0"/>
          <w:bCs w:val="0"/>
          <w:color w:val="000000"/>
          <w:kern w:val="2"/>
          <w:sz w:val="32"/>
          <w:szCs w:val="32"/>
        </w:rPr>
        <w:t>健全养老服务经费投入保障机制，根据本区养老服务发展的需要和财政基础，为养老服务提供必要的财力保障。建立多元投入机制，引导各类社会资本投入老龄事业，划转部分国有资本充实社保基金，确保老龄事业顺利推进。福利彩票公益金55%以上用于支持养老服务发展。健全政府购买服务机制，逐步形成政府投入带动全社会共同参与的经费多渠道筹集机制。加强养老服务各项经费的绩效管理，强化资金监管，提高资金使用效益。</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48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楷体_GB2312" w:cs="Times New Roman"/>
          <w:b w:val="0"/>
          <w:bCs w:val="0"/>
          <w:color w:val="000000"/>
          <w:kern w:val="2"/>
          <w:sz w:val="32"/>
          <w:szCs w:val="32"/>
        </w:rPr>
        <w:t>（三）完善制度保障。</w:t>
      </w:r>
      <w:r>
        <w:rPr>
          <w:rFonts w:hint="default" w:ascii="Times New Roman" w:hAnsi="Times New Roman" w:eastAsia="仿宋_GB2312" w:cs="Times New Roman"/>
          <w:b w:val="0"/>
          <w:bCs w:val="0"/>
          <w:color w:val="000000"/>
          <w:kern w:val="2"/>
          <w:sz w:val="32"/>
          <w:szCs w:val="32"/>
        </w:rPr>
        <w:t>政府、事业单位和企业腾退的用地、用房，适宜的要优先用于养老服务。鼓励银行等金融机构创新养老金融产品和服务，加大对养老服务机构、涉老产品生产建设的支持力度。加强老年人权益保障法律法规宣传教育，加快老年人社会服务和社会参与等制度建设。健全向老年人服务保障适当倾斜的财政投入、服务评价、监督检查、奖励表彰等政策。</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480"/>
        <w:jc w:val="both"/>
        <w:textAlignment w:val="auto"/>
        <w:rPr>
          <w:rFonts w:hint="default"/>
        </w:rPr>
      </w:pPr>
      <w:r>
        <w:rPr>
          <w:rFonts w:hint="default" w:ascii="Times New Roman" w:hAnsi="Times New Roman" w:eastAsia="楷体_GB2312" w:cs="Times New Roman"/>
          <w:b w:val="0"/>
          <w:bCs w:val="0"/>
          <w:color w:val="000000"/>
          <w:kern w:val="2"/>
          <w:sz w:val="32"/>
          <w:szCs w:val="32"/>
        </w:rPr>
        <w:t>（四）强化监测评估。</w:t>
      </w:r>
      <w:r>
        <w:rPr>
          <w:rFonts w:hint="default" w:ascii="Times New Roman" w:hAnsi="Times New Roman" w:eastAsia="仿宋_GB2312" w:cs="Times New Roman"/>
          <w:b w:val="0"/>
          <w:bCs w:val="0"/>
          <w:color w:val="000000"/>
          <w:kern w:val="2"/>
          <w:sz w:val="32"/>
          <w:szCs w:val="32"/>
        </w:rPr>
        <w:t>加强对区域内老年人口信息的管理、分析和预测，监测和评估人口老龄化变动情况及发展趋势，形成人口老龄化预测预报制度。依托</w:t>
      </w:r>
      <w:r>
        <w:rPr>
          <w:rFonts w:hint="default" w:ascii="Times New Roman" w:hAnsi="Times New Roman" w:eastAsia="仿宋_GB2312" w:cs="Times New Roman"/>
          <w:b w:val="0"/>
          <w:bCs w:val="0"/>
          <w:color w:val="000000"/>
          <w:kern w:val="2"/>
          <w:sz w:val="32"/>
          <w:szCs w:val="32"/>
          <w:lang w:eastAsia="zh-CN"/>
        </w:rPr>
        <w:t>文登</w:t>
      </w:r>
      <w:r>
        <w:rPr>
          <w:rFonts w:hint="default" w:ascii="Times New Roman" w:hAnsi="Times New Roman" w:eastAsia="仿宋_GB2312" w:cs="Times New Roman"/>
          <w:color w:val="000000"/>
          <w:sz w:val="32"/>
          <w:szCs w:val="32"/>
          <w:lang w:eastAsia="zh-CN"/>
        </w:rPr>
        <w:t>诚信养老服务体系</w:t>
      </w:r>
      <w:r>
        <w:rPr>
          <w:rFonts w:hint="default" w:ascii="Times New Roman" w:hAnsi="Times New Roman" w:eastAsia="仿宋_GB2312" w:cs="Times New Roman"/>
          <w:color w:val="000000"/>
          <w:sz w:val="32"/>
          <w:szCs w:val="32"/>
        </w:rPr>
        <w:t>+“四专员”养老服务质量管理评定体系+部门联动议事机制“1+1+1”养老服务监管模式</w:t>
      </w:r>
      <w:r>
        <w:rPr>
          <w:rFonts w:hint="default" w:ascii="Times New Roman" w:hAnsi="Times New Roman" w:eastAsia="仿宋_GB2312" w:cs="Times New Roman"/>
          <w:b w:val="0"/>
          <w:bCs w:val="0"/>
          <w:color w:val="000000"/>
          <w:kern w:val="2"/>
          <w:sz w:val="32"/>
          <w:szCs w:val="32"/>
        </w:rPr>
        <w:t>，出台《文登养老服务发展指标监测标准与指标体系》，加强对规划实施情况的动态监测。建立规划实施动态监测机制，进一步细化责任主体，严格跟踪考核机制，建立“年度考核、中期考核、结果评估”、综合评估和专项评估等相结合的闭环式评估体系。健全第三方评估机制，对本规划八大项目</w:t>
      </w:r>
      <w:r>
        <w:rPr>
          <w:rFonts w:hint="eastAsia" w:ascii="Times New Roman" w:hAnsi="Times New Roman" w:eastAsia="仿宋_GB2312" w:cs="Times New Roman"/>
          <w:b w:val="0"/>
          <w:bCs w:val="0"/>
          <w:color w:val="000000"/>
          <w:kern w:val="2"/>
          <w:sz w:val="32"/>
          <w:szCs w:val="32"/>
          <w:lang w:eastAsia="zh-CN"/>
        </w:rPr>
        <w:t>适时</w:t>
      </w:r>
      <w:r>
        <w:rPr>
          <w:rFonts w:hint="default" w:ascii="Times New Roman" w:hAnsi="Times New Roman" w:eastAsia="仿宋_GB2312" w:cs="Times New Roman"/>
          <w:b w:val="0"/>
          <w:bCs w:val="0"/>
          <w:color w:val="000000"/>
          <w:kern w:val="2"/>
          <w:sz w:val="32"/>
          <w:szCs w:val="32"/>
        </w:rPr>
        <w:t>进行评估。</w:t>
      </w:r>
      <w:bookmarkStart w:id="1" w:name="_GoBack"/>
      <w:bookmarkEnd w:id="1"/>
    </w:p>
    <w:sectPr>
      <w:footerReference r:id="rId5" w:type="first"/>
      <w:headerReference r:id="rId3" w:type="default"/>
      <w:footerReference r:id="rId4" w:type="default"/>
      <w:pgSz w:w="11906" w:h="16838"/>
      <w:pgMar w:top="2098" w:right="1531" w:bottom="2098" w:left="1531" w:header="851" w:footer="992" w:gutter="0"/>
      <w:cols w:space="720" w:num="1"/>
      <w:titlePg/>
      <w:docGrid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-123825</wp:posOffset>
              </wp:positionV>
              <wp:extent cx="812800" cy="230505"/>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812800" cy="230505"/>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6</w:t>
                          </w:r>
                          <w:r>
                            <w:rPr>
                              <w:sz w:val="28"/>
                              <w:szCs w:val="28"/>
                            </w:rPr>
                            <w:fldChar w:fldCharType="end"/>
                          </w:r>
                          <w:r>
                            <w:rPr>
                              <w:rFonts w:hint="eastAsia" w:ascii="宋体" w:hAnsi="宋体" w:cs="宋体"/>
                              <w:sz w:val="28"/>
                              <w:szCs w:val="28"/>
                            </w:rPr>
                            <w:t>—　</w:t>
                          </w:r>
                        </w:p>
                      </w:txbxContent>
                    </wps:txbx>
                    <wps:bodyPr lIns="0" tIns="0" rIns="0" bIns="0" upright="1"/>
                  </wps:wsp>
                </a:graphicData>
              </a:graphic>
            </wp:anchor>
          </w:drawing>
        </mc:Choice>
        <mc:Fallback>
          <w:pict>
            <v:shape id="文本框 1041" o:spid="_x0000_s1026" o:spt="202" type="#_x0000_t202" style="position:absolute;left:0pt;margin-top:-9.75pt;height:18.15pt;width:64pt;mso-position-horizontal:outside;mso-position-horizontal-relative:margin;z-index:251659264;mso-width-relative:page;mso-height-relative:page;" filled="f" stroked="f" coordsize="21600,21600" o:gfxdata="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vpakPWAAAABwEAAA8AAAAAAAAAAQAgAAAAIgAAAGRycy9kb3ducmV2LnhtbFBLAQIU&#10;ABQAAAAIAIdO4kDKR1B/vAEAAHQDAAAOAAAAAAAAAAEAIAAAACUBAABkcnMvZTJvRG9jLnhtbFBL&#10;BQYAAAAABgAGAFkBAABTBQAAAAA=&#10;">
              <v:fill on="f" focussize="0,0"/>
              <v:stroke on="f"/>
              <v:imagedata o:title=""/>
              <o:lock v:ext="edit" aspectratio="f"/>
              <v:textbox inset="0mm,0mm,0mm,0mm">
                <w:txbxContent>
                  <w:p>
                    <w:pPr>
                      <w:snapToGrid w:val="0"/>
                      <w:rPr>
                        <w:rFonts w:hint="eastAsia" w:ascii="宋体" w:hAnsi="宋体" w:cs="宋体"/>
                        <w:sz w:val="28"/>
                        <w:szCs w:val="28"/>
                      </w:rPr>
                    </w:pPr>
                    <w:r>
                      <w:rPr>
                        <w:rFonts w:hint="eastAsia" w:ascii="宋体" w:hAnsi="宋体" w:cs="宋体"/>
                        <w:sz w:val="28"/>
                        <w:szCs w:val="28"/>
                      </w:rPr>
                      <w:t>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6</w:t>
                    </w:r>
                    <w:r>
                      <w:rPr>
                        <w:sz w:val="28"/>
                        <w:szCs w:val="28"/>
                      </w:rPr>
                      <w:fldChar w:fldCharType="end"/>
                    </w:r>
                    <w:r>
                      <w:rPr>
                        <w:rFonts w:hint="eastAsia" w:ascii="宋体" w:hAnsi="宋体" w:cs="宋体"/>
                        <w:sz w:val="28"/>
                        <w:szCs w:val="28"/>
                      </w:rPr>
                      <w:t>—　</w:t>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-352425</wp:posOffset>
              </wp:positionV>
              <wp:extent cx="793115" cy="1828800"/>
              <wp:effectExtent l="0" t="0" r="0" b="0"/>
              <wp:wrapNone/>
              <wp:docPr id="3" name="文本框 1042"/>
              <wp:cNvGraphicFramePr/>
              <a:graphic xmlns:a="http://schemas.openxmlformats.org/drawingml/2006/main">
                <a:graphicData uri="http://schemas.microsoft.com/office/word/2010/wordprocessingShape">
                  <wps:wsp>
                    <wps:cNvSpPr txBox="1"/>
                    <wps:spPr>
                      <a:xfrm>
                        <a:off x="0" y="0"/>
                        <a:ext cx="793115"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1</w:t>
                          </w:r>
                          <w:r>
                            <w:rPr>
                              <w:rFonts w:hint="eastAsia" w:ascii="宋体" w:hAnsi="宋体" w:cs="宋体"/>
                              <w:sz w:val="28"/>
                              <w:szCs w:val="28"/>
                            </w:rPr>
                            <w:fldChar w:fldCharType="end"/>
                          </w:r>
                          <w:r>
                            <w:rPr>
                              <w:rFonts w:hint="eastAsia" w:ascii="宋体" w:hAnsi="宋体" w:cs="宋体"/>
                              <w:sz w:val="28"/>
                              <w:szCs w:val="28"/>
                            </w:rPr>
                            <w:t>—　</w:t>
                          </w:r>
                        </w:p>
                      </w:txbxContent>
                    </wps:txbx>
                    <wps:bodyPr lIns="0" tIns="0" rIns="0" bIns="0" upright="1">
                      <a:spAutoFit/>
                    </wps:bodyPr>
                  </wps:wsp>
                </a:graphicData>
              </a:graphic>
            </wp:anchor>
          </w:drawing>
        </mc:Choice>
        <mc:Fallback>
          <w:pict>
            <v:shape id="文本框 1042" o:spid="_x0000_s1026" o:spt="202" type="#_x0000_t202" style="position:absolute;left:0pt;margin-top:-27.75pt;height:144pt;width:62.45pt;mso-position-horizontal:outside;mso-position-horizontal-relative:margin;z-index:251660288;mso-width-relative:page;mso-height-relative:page;" filled="f" stroked="f" coordsize="21600,21600" o:gfxdata="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76bln1QAAAAgBAAAPAAAAAAAAAAEAIAAAACIAAABkcnMvZG93&#10;bnJldi54bWxQSwECFAAUAAAACACHTuJALZEHD8oBAACPAwAADgAAAAAAAAABACAAAAAkAQAAZHJz&#10;L2Uyb0RvYy54bWxQSwUGAAAAAAYABgBZAQAAYAU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1</w:t>
                    </w:r>
                    <w:r>
                      <w:rPr>
                        <w:rFonts w:hint="eastAsia" w:ascii="宋体" w:hAnsi="宋体" w:cs="宋体"/>
                        <w:sz w:val="28"/>
                        <w:szCs w:val="28"/>
                      </w:rPr>
                      <w:fldChar w:fldCharType="end"/>
                    </w:r>
                    <w:r>
                      <w:rPr>
                        <w:rFonts w:hint="eastAsia" w:ascii="宋体" w:hAnsi="宋体" w:cs="宋体"/>
                        <w:sz w:val="28"/>
                        <w:szCs w:val="28"/>
                      </w:rPr>
                      <w:t>—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84"/>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52"/>
    <w:rsid w:val="0001633E"/>
    <w:rsid w:val="0002473F"/>
    <w:rsid w:val="00025442"/>
    <w:rsid w:val="00034ED5"/>
    <w:rsid w:val="00047260"/>
    <w:rsid w:val="000565EA"/>
    <w:rsid w:val="000577FB"/>
    <w:rsid w:val="00076E12"/>
    <w:rsid w:val="000774E1"/>
    <w:rsid w:val="000779E3"/>
    <w:rsid w:val="0008034F"/>
    <w:rsid w:val="00080846"/>
    <w:rsid w:val="0008680A"/>
    <w:rsid w:val="000952BF"/>
    <w:rsid w:val="000B4763"/>
    <w:rsid w:val="000C2285"/>
    <w:rsid w:val="000C2B5C"/>
    <w:rsid w:val="000D5D53"/>
    <w:rsid w:val="000E45FE"/>
    <w:rsid w:val="000E4A71"/>
    <w:rsid w:val="000F3296"/>
    <w:rsid w:val="000F6256"/>
    <w:rsid w:val="000F67B2"/>
    <w:rsid w:val="00105813"/>
    <w:rsid w:val="001064E0"/>
    <w:rsid w:val="00106ABE"/>
    <w:rsid w:val="00112213"/>
    <w:rsid w:val="00113AE3"/>
    <w:rsid w:val="001261FC"/>
    <w:rsid w:val="00141DF9"/>
    <w:rsid w:val="001822F2"/>
    <w:rsid w:val="0019535B"/>
    <w:rsid w:val="001970C0"/>
    <w:rsid w:val="001A2FF6"/>
    <w:rsid w:val="001A6773"/>
    <w:rsid w:val="001A6C1A"/>
    <w:rsid w:val="001B178E"/>
    <w:rsid w:val="001B64CD"/>
    <w:rsid w:val="001B69F8"/>
    <w:rsid w:val="001C0E3F"/>
    <w:rsid w:val="001C750E"/>
    <w:rsid w:val="001F26B9"/>
    <w:rsid w:val="001F483D"/>
    <w:rsid w:val="001F48DB"/>
    <w:rsid w:val="001F566D"/>
    <w:rsid w:val="001F58AA"/>
    <w:rsid w:val="00211575"/>
    <w:rsid w:val="00217618"/>
    <w:rsid w:val="00222191"/>
    <w:rsid w:val="00236B44"/>
    <w:rsid w:val="002523AA"/>
    <w:rsid w:val="00255A5A"/>
    <w:rsid w:val="002565D4"/>
    <w:rsid w:val="00264178"/>
    <w:rsid w:val="002655E9"/>
    <w:rsid w:val="002674E7"/>
    <w:rsid w:val="00270FB7"/>
    <w:rsid w:val="002739F3"/>
    <w:rsid w:val="002807E9"/>
    <w:rsid w:val="00291C71"/>
    <w:rsid w:val="00295520"/>
    <w:rsid w:val="00295F41"/>
    <w:rsid w:val="002A5A30"/>
    <w:rsid w:val="002B0447"/>
    <w:rsid w:val="002C3531"/>
    <w:rsid w:val="002E008B"/>
    <w:rsid w:val="002E5673"/>
    <w:rsid w:val="002F4E66"/>
    <w:rsid w:val="002F52AC"/>
    <w:rsid w:val="002F53C6"/>
    <w:rsid w:val="002F7C47"/>
    <w:rsid w:val="003243AF"/>
    <w:rsid w:val="00325991"/>
    <w:rsid w:val="003307A2"/>
    <w:rsid w:val="003321D6"/>
    <w:rsid w:val="00337635"/>
    <w:rsid w:val="00340AA1"/>
    <w:rsid w:val="0034217F"/>
    <w:rsid w:val="003447DF"/>
    <w:rsid w:val="00347112"/>
    <w:rsid w:val="00352742"/>
    <w:rsid w:val="0035660C"/>
    <w:rsid w:val="00357925"/>
    <w:rsid w:val="0036430A"/>
    <w:rsid w:val="00384C41"/>
    <w:rsid w:val="0038523F"/>
    <w:rsid w:val="0039141C"/>
    <w:rsid w:val="003A6CFF"/>
    <w:rsid w:val="003B560A"/>
    <w:rsid w:val="003F4095"/>
    <w:rsid w:val="004046E0"/>
    <w:rsid w:val="00410B41"/>
    <w:rsid w:val="00415904"/>
    <w:rsid w:val="00417F55"/>
    <w:rsid w:val="004463A5"/>
    <w:rsid w:val="00455191"/>
    <w:rsid w:val="00484B0E"/>
    <w:rsid w:val="00484C2E"/>
    <w:rsid w:val="00486DFA"/>
    <w:rsid w:val="00490FE7"/>
    <w:rsid w:val="00497608"/>
    <w:rsid w:val="004B08B3"/>
    <w:rsid w:val="004B5714"/>
    <w:rsid w:val="004B5A0A"/>
    <w:rsid w:val="004C2181"/>
    <w:rsid w:val="004C3D33"/>
    <w:rsid w:val="004D3763"/>
    <w:rsid w:val="004E0D0E"/>
    <w:rsid w:val="004E16CB"/>
    <w:rsid w:val="004E2743"/>
    <w:rsid w:val="004E2875"/>
    <w:rsid w:val="004F41BF"/>
    <w:rsid w:val="00501592"/>
    <w:rsid w:val="00503BCA"/>
    <w:rsid w:val="0050418D"/>
    <w:rsid w:val="00510F71"/>
    <w:rsid w:val="00511A93"/>
    <w:rsid w:val="005151E2"/>
    <w:rsid w:val="005171F1"/>
    <w:rsid w:val="00523CC8"/>
    <w:rsid w:val="005313EE"/>
    <w:rsid w:val="0053369C"/>
    <w:rsid w:val="00541105"/>
    <w:rsid w:val="00555EA9"/>
    <w:rsid w:val="005566DC"/>
    <w:rsid w:val="00557799"/>
    <w:rsid w:val="005815D1"/>
    <w:rsid w:val="00596393"/>
    <w:rsid w:val="005B0D04"/>
    <w:rsid w:val="005B3A92"/>
    <w:rsid w:val="005B7C3B"/>
    <w:rsid w:val="005D0293"/>
    <w:rsid w:val="005D3224"/>
    <w:rsid w:val="005D4467"/>
    <w:rsid w:val="005F7227"/>
    <w:rsid w:val="00607B05"/>
    <w:rsid w:val="00611F8A"/>
    <w:rsid w:val="0061508A"/>
    <w:rsid w:val="0062089F"/>
    <w:rsid w:val="00627683"/>
    <w:rsid w:val="00630381"/>
    <w:rsid w:val="00630AFF"/>
    <w:rsid w:val="00633822"/>
    <w:rsid w:val="00633B4A"/>
    <w:rsid w:val="006430DB"/>
    <w:rsid w:val="00646E80"/>
    <w:rsid w:val="0066094C"/>
    <w:rsid w:val="00662079"/>
    <w:rsid w:val="00665FF7"/>
    <w:rsid w:val="006727E5"/>
    <w:rsid w:val="00682A07"/>
    <w:rsid w:val="00697B32"/>
    <w:rsid w:val="006C72CE"/>
    <w:rsid w:val="006D027B"/>
    <w:rsid w:val="006D22A5"/>
    <w:rsid w:val="006E2F70"/>
    <w:rsid w:val="006E4A40"/>
    <w:rsid w:val="006E59B2"/>
    <w:rsid w:val="006E7A55"/>
    <w:rsid w:val="00703C26"/>
    <w:rsid w:val="00707CBF"/>
    <w:rsid w:val="00712D31"/>
    <w:rsid w:val="00721894"/>
    <w:rsid w:val="007302A2"/>
    <w:rsid w:val="007306E5"/>
    <w:rsid w:val="007335F7"/>
    <w:rsid w:val="007350E6"/>
    <w:rsid w:val="00736182"/>
    <w:rsid w:val="00757946"/>
    <w:rsid w:val="00765978"/>
    <w:rsid w:val="00766CAE"/>
    <w:rsid w:val="007742B3"/>
    <w:rsid w:val="0077572D"/>
    <w:rsid w:val="0077692C"/>
    <w:rsid w:val="007937D2"/>
    <w:rsid w:val="00794C44"/>
    <w:rsid w:val="007953A1"/>
    <w:rsid w:val="007962EF"/>
    <w:rsid w:val="007A7209"/>
    <w:rsid w:val="007B7CEB"/>
    <w:rsid w:val="007C327D"/>
    <w:rsid w:val="007C5B13"/>
    <w:rsid w:val="007C69A8"/>
    <w:rsid w:val="007C6B55"/>
    <w:rsid w:val="007D089B"/>
    <w:rsid w:val="007E2E36"/>
    <w:rsid w:val="007E59E9"/>
    <w:rsid w:val="007F5404"/>
    <w:rsid w:val="007F782F"/>
    <w:rsid w:val="00801EB1"/>
    <w:rsid w:val="0082324A"/>
    <w:rsid w:val="00823575"/>
    <w:rsid w:val="008235C8"/>
    <w:rsid w:val="00826705"/>
    <w:rsid w:val="00827704"/>
    <w:rsid w:val="0084054E"/>
    <w:rsid w:val="00845EB0"/>
    <w:rsid w:val="0087668B"/>
    <w:rsid w:val="00880858"/>
    <w:rsid w:val="0088189C"/>
    <w:rsid w:val="008843EE"/>
    <w:rsid w:val="0089048C"/>
    <w:rsid w:val="008A1598"/>
    <w:rsid w:val="008C6377"/>
    <w:rsid w:val="008D1179"/>
    <w:rsid w:val="008D1E40"/>
    <w:rsid w:val="008F0175"/>
    <w:rsid w:val="008F4AAA"/>
    <w:rsid w:val="008F7245"/>
    <w:rsid w:val="00900D89"/>
    <w:rsid w:val="00900F66"/>
    <w:rsid w:val="00917D60"/>
    <w:rsid w:val="00921BEA"/>
    <w:rsid w:val="0093059F"/>
    <w:rsid w:val="00932EFD"/>
    <w:rsid w:val="00934F35"/>
    <w:rsid w:val="0094178C"/>
    <w:rsid w:val="00945EDA"/>
    <w:rsid w:val="00961B0B"/>
    <w:rsid w:val="00972FDA"/>
    <w:rsid w:val="009767B8"/>
    <w:rsid w:val="00977F2D"/>
    <w:rsid w:val="00987CCD"/>
    <w:rsid w:val="009A4388"/>
    <w:rsid w:val="009A7735"/>
    <w:rsid w:val="009B29DE"/>
    <w:rsid w:val="009B3973"/>
    <w:rsid w:val="009C1B3E"/>
    <w:rsid w:val="009C297C"/>
    <w:rsid w:val="009C4429"/>
    <w:rsid w:val="009C7F03"/>
    <w:rsid w:val="009D7742"/>
    <w:rsid w:val="009E13B5"/>
    <w:rsid w:val="00A00474"/>
    <w:rsid w:val="00A03BFC"/>
    <w:rsid w:val="00A171E7"/>
    <w:rsid w:val="00A23795"/>
    <w:rsid w:val="00A2755C"/>
    <w:rsid w:val="00A3009C"/>
    <w:rsid w:val="00A31653"/>
    <w:rsid w:val="00A320C0"/>
    <w:rsid w:val="00A44193"/>
    <w:rsid w:val="00A51009"/>
    <w:rsid w:val="00A55688"/>
    <w:rsid w:val="00A6256B"/>
    <w:rsid w:val="00A711DB"/>
    <w:rsid w:val="00A72AE1"/>
    <w:rsid w:val="00A73655"/>
    <w:rsid w:val="00A838CC"/>
    <w:rsid w:val="00A86438"/>
    <w:rsid w:val="00A873C8"/>
    <w:rsid w:val="00A91D28"/>
    <w:rsid w:val="00A92C46"/>
    <w:rsid w:val="00AA1471"/>
    <w:rsid w:val="00AB0E58"/>
    <w:rsid w:val="00AC1B33"/>
    <w:rsid w:val="00AD5449"/>
    <w:rsid w:val="00AD625D"/>
    <w:rsid w:val="00AE3C49"/>
    <w:rsid w:val="00AE4593"/>
    <w:rsid w:val="00B00120"/>
    <w:rsid w:val="00B00767"/>
    <w:rsid w:val="00B23C9F"/>
    <w:rsid w:val="00B23DE9"/>
    <w:rsid w:val="00B265FC"/>
    <w:rsid w:val="00B33753"/>
    <w:rsid w:val="00B43620"/>
    <w:rsid w:val="00B462C5"/>
    <w:rsid w:val="00B46FEC"/>
    <w:rsid w:val="00B504A5"/>
    <w:rsid w:val="00B51FAA"/>
    <w:rsid w:val="00B52D8A"/>
    <w:rsid w:val="00B53E1E"/>
    <w:rsid w:val="00B53FCD"/>
    <w:rsid w:val="00B54B3D"/>
    <w:rsid w:val="00B80D01"/>
    <w:rsid w:val="00B834FD"/>
    <w:rsid w:val="00B91DC3"/>
    <w:rsid w:val="00BB1FC2"/>
    <w:rsid w:val="00BB35E6"/>
    <w:rsid w:val="00BB59E4"/>
    <w:rsid w:val="00BC113E"/>
    <w:rsid w:val="00BC79D8"/>
    <w:rsid w:val="00BD425B"/>
    <w:rsid w:val="00BD57F5"/>
    <w:rsid w:val="00BE739E"/>
    <w:rsid w:val="00BF00E0"/>
    <w:rsid w:val="00BF06A7"/>
    <w:rsid w:val="00C00DDA"/>
    <w:rsid w:val="00C1052B"/>
    <w:rsid w:val="00C10EFA"/>
    <w:rsid w:val="00C12A01"/>
    <w:rsid w:val="00C21B03"/>
    <w:rsid w:val="00C23788"/>
    <w:rsid w:val="00C239E6"/>
    <w:rsid w:val="00C36FA9"/>
    <w:rsid w:val="00C44709"/>
    <w:rsid w:val="00C76550"/>
    <w:rsid w:val="00C7680F"/>
    <w:rsid w:val="00C8289B"/>
    <w:rsid w:val="00C82DDA"/>
    <w:rsid w:val="00C85216"/>
    <w:rsid w:val="00C8554E"/>
    <w:rsid w:val="00C9093B"/>
    <w:rsid w:val="00C92643"/>
    <w:rsid w:val="00C96AA2"/>
    <w:rsid w:val="00CA7AAE"/>
    <w:rsid w:val="00CB5AC5"/>
    <w:rsid w:val="00CC5E2E"/>
    <w:rsid w:val="00CD50FC"/>
    <w:rsid w:val="00CD65A7"/>
    <w:rsid w:val="00CE5EFC"/>
    <w:rsid w:val="00CE7DC0"/>
    <w:rsid w:val="00CF6B5C"/>
    <w:rsid w:val="00D02F3F"/>
    <w:rsid w:val="00D03376"/>
    <w:rsid w:val="00D051EF"/>
    <w:rsid w:val="00D37182"/>
    <w:rsid w:val="00D40EF6"/>
    <w:rsid w:val="00D44923"/>
    <w:rsid w:val="00D55A2C"/>
    <w:rsid w:val="00D55AAC"/>
    <w:rsid w:val="00D80410"/>
    <w:rsid w:val="00D82453"/>
    <w:rsid w:val="00D93B02"/>
    <w:rsid w:val="00D93E5F"/>
    <w:rsid w:val="00D94116"/>
    <w:rsid w:val="00DA0F0D"/>
    <w:rsid w:val="00DB683E"/>
    <w:rsid w:val="00DC0182"/>
    <w:rsid w:val="00DC1B82"/>
    <w:rsid w:val="00DC3CAF"/>
    <w:rsid w:val="00E0044B"/>
    <w:rsid w:val="00E01D13"/>
    <w:rsid w:val="00E055FE"/>
    <w:rsid w:val="00E129CA"/>
    <w:rsid w:val="00E20875"/>
    <w:rsid w:val="00E26B1D"/>
    <w:rsid w:val="00E316AB"/>
    <w:rsid w:val="00E33350"/>
    <w:rsid w:val="00E412D6"/>
    <w:rsid w:val="00E43E02"/>
    <w:rsid w:val="00E44250"/>
    <w:rsid w:val="00E51366"/>
    <w:rsid w:val="00E54A56"/>
    <w:rsid w:val="00E63A97"/>
    <w:rsid w:val="00E66DCE"/>
    <w:rsid w:val="00E72AF0"/>
    <w:rsid w:val="00E72C9A"/>
    <w:rsid w:val="00E82491"/>
    <w:rsid w:val="00E82F0B"/>
    <w:rsid w:val="00E93A50"/>
    <w:rsid w:val="00EA719D"/>
    <w:rsid w:val="00EA79A1"/>
    <w:rsid w:val="00EB5B2A"/>
    <w:rsid w:val="00EB62CF"/>
    <w:rsid w:val="00EC39C8"/>
    <w:rsid w:val="00EC3A3C"/>
    <w:rsid w:val="00EE7FA1"/>
    <w:rsid w:val="00EF33AD"/>
    <w:rsid w:val="00F20E08"/>
    <w:rsid w:val="00F22C38"/>
    <w:rsid w:val="00F30A79"/>
    <w:rsid w:val="00F36563"/>
    <w:rsid w:val="00F46D90"/>
    <w:rsid w:val="00F5658A"/>
    <w:rsid w:val="00F5769A"/>
    <w:rsid w:val="00F60B12"/>
    <w:rsid w:val="00F611ED"/>
    <w:rsid w:val="00F63176"/>
    <w:rsid w:val="00F7237C"/>
    <w:rsid w:val="00F763D6"/>
    <w:rsid w:val="00F86B0E"/>
    <w:rsid w:val="00F8702A"/>
    <w:rsid w:val="00FA2E97"/>
    <w:rsid w:val="00FA5A41"/>
    <w:rsid w:val="00FC3182"/>
    <w:rsid w:val="00FC7264"/>
    <w:rsid w:val="00FF2805"/>
    <w:rsid w:val="00FF3590"/>
    <w:rsid w:val="01495973"/>
    <w:rsid w:val="019217BF"/>
    <w:rsid w:val="01A80C26"/>
    <w:rsid w:val="01B4515D"/>
    <w:rsid w:val="021933EA"/>
    <w:rsid w:val="022675FA"/>
    <w:rsid w:val="022A6F23"/>
    <w:rsid w:val="0245726C"/>
    <w:rsid w:val="02593055"/>
    <w:rsid w:val="0271160B"/>
    <w:rsid w:val="0272198E"/>
    <w:rsid w:val="02A546D9"/>
    <w:rsid w:val="02B949AF"/>
    <w:rsid w:val="02BC3220"/>
    <w:rsid w:val="02CD6702"/>
    <w:rsid w:val="02E96BE5"/>
    <w:rsid w:val="03026C47"/>
    <w:rsid w:val="03056135"/>
    <w:rsid w:val="03344EC9"/>
    <w:rsid w:val="034F51A0"/>
    <w:rsid w:val="035709F5"/>
    <w:rsid w:val="036409C6"/>
    <w:rsid w:val="03983053"/>
    <w:rsid w:val="039F67B0"/>
    <w:rsid w:val="03C22FE6"/>
    <w:rsid w:val="03DE2736"/>
    <w:rsid w:val="03E96359"/>
    <w:rsid w:val="048C6109"/>
    <w:rsid w:val="04962DB2"/>
    <w:rsid w:val="049E12C7"/>
    <w:rsid w:val="04B95918"/>
    <w:rsid w:val="04BB73A5"/>
    <w:rsid w:val="04C065E1"/>
    <w:rsid w:val="04DA0149"/>
    <w:rsid w:val="04F247CD"/>
    <w:rsid w:val="05124474"/>
    <w:rsid w:val="05191197"/>
    <w:rsid w:val="05225A89"/>
    <w:rsid w:val="05252BF9"/>
    <w:rsid w:val="0567250D"/>
    <w:rsid w:val="05674584"/>
    <w:rsid w:val="05B7414F"/>
    <w:rsid w:val="05C60AB2"/>
    <w:rsid w:val="05F42166"/>
    <w:rsid w:val="060001A5"/>
    <w:rsid w:val="061F7FA6"/>
    <w:rsid w:val="062A0208"/>
    <w:rsid w:val="06533A42"/>
    <w:rsid w:val="065A14D0"/>
    <w:rsid w:val="0682273B"/>
    <w:rsid w:val="069807B7"/>
    <w:rsid w:val="06A11B72"/>
    <w:rsid w:val="06A83863"/>
    <w:rsid w:val="06BA48E9"/>
    <w:rsid w:val="06E80B75"/>
    <w:rsid w:val="06FB0F3D"/>
    <w:rsid w:val="0714669F"/>
    <w:rsid w:val="07350FA1"/>
    <w:rsid w:val="07427F3C"/>
    <w:rsid w:val="07531933"/>
    <w:rsid w:val="0768230C"/>
    <w:rsid w:val="07A372B6"/>
    <w:rsid w:val="07A75C38"/>
    <w:rsid w:val="07D611AE"/>
    <w:rsid w:val="07E01BEF"/>
    <w:rsid w:val="081A39AB"/>
    <w:rsid w:val="081D39C3"/>
    <w:rsid w:val="08240087"/>
    <w:rsid w:val="085E628B"/>
    <w:rsid w:val="089C28FA"/>
    <w:rsid w:val="08A473ED"/>
    <w:rsid w:val="08A9648A"/>
    <w:rsid w:val="08F25681"/>
    <w:rsid w:val="08FD016B"/>
    <w:rsid w:val="092F19FD"/>
    <w:rsid w:val="092F6659"/>
    <w:rsid w:val="09343592"/>
    <w:rsid w:val="097748FF"/>
    <w:rsid w:val="09943F87"/>
    <w:rsid w:val="099730EA"/>
    <w:rsid w:val="09AA7952"/>
    <w:rsid w:val="09D117F1"/>
    <w:rsid w:val="09E509E9"/>
    <w:rsid w:val="09E76AA3"/>
    <w:rsid w:val="0A040513"/>
    <w:rsid w:val="0A19583D"/>
    <w:rsid w:val="0A2E3E66"/>
    <w:rsid w:val="0A9127DD"/>
    <w:rsid w:val="0AA04133"/>
    <w:rsid w:val="0AE311D8"/>
    <w:rsid w:val="0AED7EE1"/>
    <w:rsid w:val="0B0A2BE4"/>
    <w:rsid w:val="0B163F42"/>
    <w:rsid w:val="0B316F11"/>
    <w:rsid w:val="0B3E0D16"/>
    <w:rsid w:val="0B57475B"/>
    <w:rsid w:val="0B666930"/>
    <w:rsid w:val="0B7557A2"/>
    <w:rsid w:val="0B79138B"/>
    <w:rsid w:val="0B881A84"/>
    <w:rsid w:val="0B9319CE"/>
    <w:rsid w:val="0BA705DB"/>
    <w:rsid w:val="0BB25C07"/>
    <w:rsid w:val="0C1C7B49"/>
    <w:rsid w:val="0C3514E3"/>
    <w:rsid w:val="0C6225CF"/>
    <w:rsid w:val="0C677EF6"/>
    <w:rsid w:val="0C795DFF"/>
    <w:rsid w:val="0C7F4268"/>
    <w:rsid w:val="0CAE32FB"/>
    <w:rsid w:val="0CC425C4"/>
    <w:rsid w:val="0CD476DE"/>
    <w:rsid w:val="0CE70CB1"/>
    <w:rsid w:val="0CF52948"/>
    <w:rsid w:val="0D0825A4"/>
    <w:rsid w:val="0D2B4AE8"/>
    <w:rsid w:val="0D2E0232"/>
    <w:rsid w:val="0D3A261F"/>
    <w:rsid w:val="0D422131"/>
    <w:rsid w:val="0D4B749C"/>
    <w:rsid w:val="0D564192"/>
    <w:rsid w:val="0D637176"/>
    <w:rsid w:val="0D685702"/>
    <w:rsid w:val="0D77398A"/>
    <w:rsid w:val="0D8630C0"/>
    <w:rsid w:val="0D891460"/>
    <w:rsid w:val="0D8B09BC"/>
    <w:rsid w:val="0D9F2255"/>
    <w:rsid w:val="0DDC5CAA"/>
    <w:rsid w:val="0E13270B"/>
    <w:rsid w:val="0E2818D8"/>
    <w:rsid w:val="0E325097"/>
    <w:rsid w:val="0E4E562B"/>
    <w:rsid w:val="0E5A2B09"/>
    <w:rsid w:val="0E666774"/>
    <w:rsid w:val="0E7C22FD"/>
    <w:rsid w:val="0EA03B6B"/>
    <w:rsid w:val="0EBA1DAC"/>
    <w:rsid w:val="0EBB3DC3"/>
    <w:rsid w:val="0EE63ED3"/>
    <w:rsid w:val="0F155789"/>
    <w:rsid w:val="0F2F3ECC"/>
    <w:rsid w:val="0F2F5477"/>
    <w:rsid w:val="0F532CC1"/>
    <w:rsid w:val="0F593C1F"/>
    <w:rsid w:val="0F7A57B1"/>
    <w:rsid w:val="0FA74126"/>
    <w:rsid w:val="0FB07258"/>
    <w:rsid w:val="0FB97CEE"/>
    <w:rsid w:val="0FBB4BF5"/>
    <w:rsid w:val="0FDE5019"/>
    <w:rsid w:val="0FE969C4"/>
    <w:rsid w:val="0FF15332"/>
    <w:rsid w:val="0FF812B6"/>
    <w:rsid w:val="0FF84F2B"/>
    <w:rsid w:val="0FFC74F2"/>
    <w:rsid w:val="100E61C6"/>
    <w:rsid w:val="10757E38"/>
    <w:rsid w:val="10D306BB"/>
    <w:rsid w:val="10E10F7E"/>
    <w:rsid w:val="10FA7AA8"/>
    <w:rsid w:val="11733776"/>
    <w:rsid w:val="118A184A"/>
    <w:rsid w:val="118C2B6A"/>
    <w:rsid w:val="11924AF1"/>
    <w:rsid w:val="11B80AD8"/>
    <w:rsid w:val="11D37170"/>
    <w:rsid w:val="11DF4E39"/>
    <w:rsid w:val="11ED6B57"/>
    <w:rsid w:val="11F32DD7"/>
    <w:rsid w:val="121220AA"/>
    <w:rsid w:val="12283FFA"/>
    <w:rsid w:val="12940762"/>
    <w:rsid w:val="12BE5A5C"/>
    <w:rsid w:val="12D42287"/>
    <w:rsid w:val="12DA1478"/>
    <w:rsid w:val="131545C2"/>
    <w:rsid w:val="13156625"/>
    <w:rsid w:val="131C657A"/>
    <w:rsid w:val="13696B87"/>
    <w:rsid w:val="13722ADC"/>
    <w:rsid w:val="13A20905"/>
    <w:rsid w:val="13BE1207"/>
    <w:rsid w:val="13E432EC"/>
    <w:rsid w:val="13FD6805"/>
    <w:rsid w:val="141A39BB"/>
    <w:rsid w:val="143D1B4A"/>
    <w:rsid w:val="14524311"/>
    <w:rsid w:val="145938FD"/>
    <w:rsid w:val="147226CE"/>
    <w:rsid w:val="147B6A8B"/>
    <w:rsid w:val="148B34F4"/>
    <w:rsid w:val="14EF2235"/>
    <w:rsid w:val="15056A44"/>
    <w:rsid w:val="151A7601"/>
    <w:rsid w:val="1578483A"/>
    <w:rsid w:val="158565E5"/>
    <w:rsid w:val="158C0C74"/>
    <w:rsid w:val="15901898"/>
    <w:rsid w:val="15A36F53"/>
    <w:rsid w:val="15A86AA0"/>
    <w:rsid w:val="15AE4C67"/>
    <w:rsid w:val="15C26E86"/>
    <w:rsid w:val="15CC677D"/>
    <w:rsid w:val="15E14103"/>
    <w:rsid w:val="15F147BD"/>
    <w:rsid w:val="15F77F3A"/>
    <w:rsid w:val="16015112"/>
    <w:rsid w:val="16235279"/>
    <w:rsid w:val="163C6525"/>
    <w:rsid w:val="16534EF2"/>
    <w:rsid w:val="165B0535"/>
    <w:rsid w:val="16605626"/>
    <w:rsid w:val="167A417E"/>
    <w:rsid w:val="168E1699"/>
    <w:rsid w:val="16C4275C"/>
    <w:rsid w:val="16CF0864"/>
    <w:rsid w:val="16D00FB4"/>
    <w:rsid w:val="16DD0FE4"/>
    <w:rsid w:val="16F0285F"/>
    <w:rsid w:val="16FB17AA"/>
    <w:rsid w:val="17036E59"/>
    <w:rsid w:val="170A0EBA"/>
    <w:rsid w:val="17374E8B"/>
    <w:rsid w:val="173A3575"/>
    <w:rsid w:val="174407EB"/>
    <w:rsid w:val="175E3462"/>
    <w:rsid w:val="17910A9F"/>
    <w:rsid w:val="17B67729"/>
    <w:rsid w:val="17E2693A"/>
    <w:rsid w:val="17E70F11"/>
    <w:rsid w:val="18243EF1"/>
    <w:rsid w:val="18264CA3"/>
    <w:rsid w:val="185579A8"/>
    <w:rsid w:val="18614085"/>
    <w:rsid w:val="18EA07B4"/>
    <w:rsid w:val="18F900CF"/>
    <w:rsid w:val="191D40B2"/>
    <w:rsid w:val="192E3B01"/>
    <w:rsid w:val="19317307"/>
    <w:rsid w:val="19883E06"/>
    <w:rsid w:val="19C4559E"/>
    <w:rsid w:val="19DC575F"/>
    <w:rsid w:val="19FF047B"/>
    <w:rsid w:val="1A1B7DDC"/>
    <w:rsid w:val="1A2916BC"/>
    <w:rsid w:val="1A360FD4"/>
    <w:rsid w:val="1A5B5292"/>
    <w:rsid w:val="1A755F5A"/>
    <w:rsid w:val="1AC264B4"/>
    <w:rsid w:val="1B0B38D7"/>
    <w:rsid w:val="1B245E94"/>
    <w:rsid w:val="1B2A7955"/>
    <w:rsid w:val="1B320B7D"/>
    <w:rsid w:val="1B694C40"/>
    <w:rsid w:val="1B6A5800"/>
    <w:rsid w:val="1B7706B1"/>
    <w:rsid w:val="1B840BB2"/>
    <w:rsid w:val="1B872A58"/>
    <w:rsid w:val="1BAF4A78"/>
    <w:rsid w:val="1BB70715"/>
    <w:rsid w:val="1BC03B94"/>
    <w:rsid w:val="1BE22983"/>
    <w:rsid w:val="1C0407D0"/>
    <w:rsid w:val="1C0C4BB1"/>
    <w:rsid w:val="1C3E7753"/>
    <w:rsid w:val="1C4311C8"/>
    <w:rsid w:val="1C5B021B"/>
    <w:rsid w:val="1C607CEA"/>
    <w:rsid w:val="1C6A49D1"/>
    <w:rsid w:val="1C9412D9"/>
    <w:rsid w:val="1C967EF4"/>
    <w:rsid w:val="1CE32AD0"/>
    <w:rsid w:val="1CF16851"/>
    <w:rsid w:val="1D0A1980"/>
    <w:rsid w:val="1D3D554F"/>
    <w:rsid w:val="1D672833"/>
    <w:rsid w:val="1D87192D"/>
    <w:rsid w:val="1D9575EC"/>
    <w:rsid w:val="1DB97781"/>
    <w:rsid w:val="1DD15520"/>
    <w:rsid w:val="1DD44028"/>
    <w:rsid w:val="1DE65208"/>
    <w:rsid w:val="1DE77EF3"/>
    <w:rsid w:val="1E1D2A42"/>
    <w:rsid w:val="1E3D1A73"/>
    <w:rsid w:val="1E3F3D01"/>
    <w:rsid w:val="1E7509C4"/>
    <w:rsid w:val="1E881DEC"/>
    <w:rsid w:val="1EB56089"/>
    <w:rsid w:val="1EBD4B7B"/>
    <w:rsid w:val="1EC212A5"/>
    <w:rsid w:val="1EE21F8C"/>
    <w:rsid w:val="1EF62A8D"/>
    <w:rsid w:val="1F244E8C"/>
    <w:rsid w:val="1F3148C7"/>
    <w:rsid w:val="1F443B13"/>
    <w:rsid w:val="1F4616B3"/>
    <w:rsid w:val="1F5D0D12"/>
    <w:rsid w:val="1F60699F"/>
    <w:rsid w:val="1FC96DFD"/>
    <w:rsid w:val="1FD6567C"/>
    <w:rsid w:val="1FE81E17"/>
    <w:rsid w:val="1FED4550"/>
    <w:rsid w:val="1FF6682A"/>
    <w:rsid w:val="1FFC7527"/>
    <w:rsid w:val="201D1287"/>
    <w:rsid w:val="202D2643"/>
    <w:rsid w:val="20976B6C"/>
    <w:rsid w:val="20A427DA"/>
    <w:rsid w:val="20E87A32"/>
    <w:rsid w:val="20EE055B"/>
    <w:rsid w:val="20FF6D7A"/>
    <w:rsid w:val="210D591F"/>
    <w:rsid w:val="21116B91"/>
    <w:rsid w:val="211B7A11"/>
    <w:rsid w:val="21306A03"/>
    <w:rsid w:val="215112A2"/>
    <w:rsid w:val="21572A1E"/>
    <w:rsid w:val="216D248F"/>
    <w:rsid w:val="21881161"/>
    <w:rsid w:val="21924CCA"/>
    <w:rsid w:val="21966CC1"/>
    <w:rsid w:val="219E2290"/>
    <w:rsid w:val="21CA105A"/>
    <w:rsid w:val="21CE1889"/>
    <w:rsid w:val="21DF3FC7"/>
    <w:rsid w:val="21F3384F"/>
    <w:rsid w:val="22433E2A"/>
    <w:rsid w:val="22666C60"/>
    <w:rsid w:val="22842BDB"/>
    <w:rsid w:val="22871ABE"/>
    <w:rsid w:val="228C6368"/>
    <w:rsid w:val="229713E5"/>
    <w:rsid w:val="22B874E9"/>
    <w:rsid w:val="22F52743"/>
    <w:rsid w:val="230907C1"/>
    <w:rsid w:val="233C3819"/>
    <w:rsid w:val="2355006D"/>
    <w:rsid w:val="23767454"/>
    <w:rsid w:val="238E496D"/>
    <w:rsid w:val="23973197"/>
    <w:rsid w:val="23F70E23"/>
    <w:rsid w:val="23FB42DA"/>
    <w:rsid w:val="2410439D"/>
    <w:rsid w:val="24234F55"/>
    <w:rsid w:val="24265D1D"/>
    <w:rsid w:val="245A1C7C"/>
    <w:rsid w:val="248467D1"/>
    <w:rsid w:val="24AD1823"/>
    <w:rsid w:val="24D01EC5"/>
    <w:rsid w:val="24D76623"/>
    <w:rsid w:val="24DB24BE"/>
    <w:rsid w:val="25026A5E"/>
    <w:rsid w:val="253429FF"/>
    <w:rsid w:val="255F0418"/>
    <w:rsid w:val="2592058D"/>
    <w:rsid w:val="259B61E7"/>
    <w:rsid w:val="26020139"/>
    <w:rsid w:val="26280775"/>
    <w:rsid w:val="264721DE"/>
    <w:rsid w:val="264B5B46"/>
    <w:rsid w:val="26AD7F98"/>
    <w:rsid w:val="26D878B9"/>
    <w:rsid w:val="26DA6CD5"/>
    <w:rsid w:val="26E31C7D"/>
    <w:rsid w:val="27076036"/>
    <w:rsid w:val="27377711"/>
    <w:rsid w:val="27794105"/>
    <w:rsid w:val="27ED44E2"/>
    <w:rsid w:val="27FE7AF2"/>
    <w:rsid w:val="280C73D5"/>
    <w:rsid w:val="28270B2D"/>
    <w:rsid w:val="2837384F"/>
    <w:rsid w:val="28374989"/>
    <w:rsid w:val="28506EE3"/>
    <w:rsid w:val="2869573D"/>
    <w:rsid w:val="288550E2"/>
    <w:rsid w:val="28A075BC"/>
    <w:rsid w:val="28CC2A7C"/>
    <w:rsid w:val="28E76824"/>
    <w:rsid w:val="29026E18"/>
    <w:rsid w:val="290D0895"/>
    <w:rsid w:val="292348EE"/>
    <w:rsid w:val="293958AE"/>
    <w:rsid w:val="296B256B"/>
    <w:rsid w:val="29836CAE"/>
    <w:rsid w:val="298F767B"/>
    <w:rsid w:val="29A015DF"/>
    <w:rsid w:val="29A51AD2"/>
    <w:rsid w:val="29BE6933"/>
    <w:rsid w:val="29D32975"/>
    <w:rsid w:val="29D54704"/>
    <w:rsid w:val="29D84910"/>
    <w:rsid w:val="29F3495E"/>
    <w:rsid w:val="29F55EDA"/>
    <w:rsid w:val="2A2033FE"/>
    <w:rsid w:val="2A3E568B"/>
    <w:rsid w:val="2A5D3DAF"/>
    <w:rsid w:val="2A8134B0"/>
    <w:rsid w:val="2A9B6F23"/>
    <w:rsid w:val="2AB2083E"/>
    <w:rsid w:val="2B0450D8"/>
    <w:rsid w:val="2B1850C1"/>
    <w:rsid w:val="2B3F74E0"/>
    <w:rsid w:val="2B4E2FE3"/>
    <w:rsid w:val="2B5511C2"/>
    <w:rsid w:val="2B68636E"/>
    <w:rsid w:val="2B751C1A"/>
    <w:rsid w:val="2B7836E7"/>
    <w:rsid w:val="2BE85482"/>
    <w:rsid w:val="2BF65B9A"/>
    <w:rsid w:val="2BFD0A94"/>
    <w:rsid w:val="2C076E7F"/>
    <w:rsid w:val="2C10569F"/>
    <w:rsid w:val="2C297280"/>
    <w:rsid w:val="2C3F5A7B"/>
    <w:rsid w:val="2C734C43"/>
    <w:rsid w:val="2C7D3C57"/>
    <w:rsid w:val="2CC655F6"/>
    <w:rsid w:val="2CD44545"/>
    <w:rsid w:val="2CE24D16"/>
    <w:rsid w:val="2D2A4F7A"/>
    <w:rsid w:val="2D473016"/>
    <w:rsid w:val="2DB041A7"/>
    <w:rsid w:val="2DBC4F66"/>
    <w:rsid w:val="2DDD1037"/>
    <w:rsid w:val="2E087A7E"/>
    <w:rsid w:val="2E287B04"/>
    <w:rsid w:val="2E37700D"/>
    <w:rsid w:val="2E4C182A"/>
    <w:rsid w:val="2E7059BB"/>
    <w:rsid w:val="2E844E0D"/>
    <w:rsid w:val="2F185F04"/>
    <w:rsid w:val="2F2132DE"/>
    <w:rsid w:val="2F42523B"/>
    <w:rsid w:val="2F6C6389"/>
    <w:rsid w:val="2F8C4E82"/>
    <w:rsid w:val="2F8E5E3B"/>
    <w:rsid w:val="2F9612B9"/>
    <w:rsid w:val="2FA21FC3"/>
    <w:rsid w:val="2FB12304"/>
    <w:rsid w:val="2FB241D4"/>
    <w:rsid w:val="2FCE6000"/>
    <w:rsid w:val="2FE11ED5"/>
    <w:rsid w:val="2FF5103E"/>
    <w:rsid w:val="2FF645AE"/>
    <w:rsid w:val="2FF7090C"/>
    <w:rsid w:val="2FFF5171"/>
    <w:rsid w:val="30085A94"/>
    <w:rsid w:val="300D5980"/>
    <w:rsid w:val="303E7D41"/>
    <w:rsid w:val="303F1263"/>
    <w:rsid w:val="30671F43"/>
    <w:rsid w:val="30704F89"/>
    <w:rsid w:val="30706AE1"/>
    <w:rsid w:val="307A4ADE"/>
    <w:rsid w:val="307C7B32"/>
    <w:rsid w:val="309058AA"/>
    <w:rsid w:val="309802CE"/>
    <w:rsid w:val="30A07FDF"/>
    <w:rsid w:val="30A1371E"/>
    <w:rsid w:val="30A61D23"/>
    <w:rsid w:val="30EB52DB"/>
    <w:rsid w:val="3105323F"/>
    <w:rsid w:val="311A7296"/>
    <w:rsid w:val="314739B4"/>
    <w:rsid w:val="31534CB9"/>
    <w:rsid w:val="31732A7E"/>
    <w:rsid w:val="31A81786"/>
    <w:rsid w:val="31C65286"/>
    <w:rsid w:val="31E148D3"/>
    <w:rsid w:val="31FA2DE9"/>
    <w:rsid w:val="31FD0843"/>
    <w:rsid w:val="32034509"/>
    <w:rsid w:val="320D51B9"/>
    <w:rsid w:val="323B607D"/>
    <w:rsid w:val="3278160C"/>
    <w:rsid w:val="32784063"/>
    <w:rsid w:val="328267D4"/>
    <w:rsid w:val="32B221E6"/>
    <w:rsid w:val="32B56407"/>
    <w:rsid w:val="32E50818"/>
    <w:rsid w:val="32FB1BB6"/>
    <w:rsid w:val="3311273C"/>
    <w:rsid w:val="33245F34"/>
    <w:rsid w:val="334A139F"/>
    <w:rsid w:val="33552BBF"/>
    <w:rsid w:val="33805F7F"/>
    <w:rsid w:val="33A94CD9"/>
    <w:rsid w:val="340E073A"/>
    <w:rsid w:val="342853A8"/>
    <w:rsid w:val="344421E6"/>
    <w:rsid w:val="34573AAF"/>
    <w:rsid w:val="345B0E94"/>
    <w:rsid w:val="34633A06"/>
    <w:rsid w:val="34652355"/>
    <w:rsid w:val="34905728"/>
    <w:rsid w:val="34995EF5"/>
    <w:rsid w:val="34A26ACB"/>
    <w:rsid w:val="34BE367D"/>
    <w:rsid w:val="34F16D5A"/>
    <w:rsid w:val="35053FA9"/>
    <w:rsid w:val="3506461E"/>
    <w:rsid w:val="350E6C99"/>
    <w:rsid w:val="353712A3"/>
    <w:rsid w:val="3547353D"/>
    <w:rsid w:val="35917D82"/>
    <w:rsid w:val="35950BEC"/>
    <w:rsid w:val="35B20566"/>
    <w:rsid w:val="35C93999"/>
    <w:rsid w:val="361E160A"/>
    <w:rsid w:val="36440281"/>
    <w:rsid w:val="366139F3"/>
    <w:rsid w:val="36750D3B"/>
    <w:rsid w:val="367B1AF6"/>
    <w:rsid w:val="3685232F"/>
    <w:rsid w:val="36907E91"/>
    <w:rsid w:val="36C86F1B"/>
    <w:rsid w:val="36D523C0"/>
    <w:rsid w:val="36DC59A3"/>
    <w:rsid w:val="371E4261"/>
    <w:rsid w:val="3739119D"/>
    <w:rsid w:val="374C345F"/>
    <w:rsid w:val="3759278A"/>
    <w:rsid w:val="375942CA"/>
    <w:rsid w:val="376046D2"/>
    <w:rsid w:val="37747D61"/>
    <w:rsid w:val="377B0A60"/>
    <w:rsid w:val="378F0191"/>
    <w:rsid w:val="379D42C0"/>
    <w:rsid w:val="37A00F3A"/>
    <w:rsid w:val="37AD1774"/>
    <w:rsid w:val="37E22C47"/>
    <w:rsid w:val="37FA2E3A"/>
    <w:rsid w:val="38132A91"/>
    <w:rsid w:val="384314EE"/>
    <w:rsid w:val="38880F15"/>
    <w:rsid w:val="3897729A"/>
    <w:rsid w:val="38CE31C0"/>
    <w:rsid w:val="38F71097"/>
    <w:rsid w:val="390B70AB"/>
    <w:rsid w:val="3927241F"/>
    <w:rsid w:val="395A67FF"/>
    <w:rsid w:val="395C7D4F"/>
    <w:rsid w:val="396D3381"/>
    <w:rsid w:val="3982210B"/>
    <w:rsid w:val="39913876"/>
    <w:rsid w:val="399F0928"/>
    <w:rsid w:val="39AC1342"/>
    <w:rsid w:val="39C13E4C"/>
    <w:rsid w:val="39C61FE4"/>
    <w:rsid w:val="39EC13D3"/>
    <w:rsid w:val="3A0F02E0"/>
    <w:rsid w:val="3A607713"/>
    <w:rsid w:val="3A635381"/>
    <w:rsid w:val="3A6B3DE0"/>
    <w:rsid w:val="3A8863B8"/>
    <w:rsid w:val="3AB7321A"/>
    <w:rsid w:val="3ACC03B1"/>
    <w:rsid w:val="3ACE6398"/>
    <w:rsid w:val="3B491E38"/>
    <w:rsid w:val="3B9A3257"/>
    <w:rsid w:val="3B9E4B44"/>
    <w:rsid w:val="3BA1296C"/>
    <w:rsid w:val="3BD53073"/>
    <w:rsid w:val="3C1F0DD9"/>
    <w:rsid w:val="3C3F5861"/>
    <w:rsid w:val="3C4556C3"/>
    <w:rsid w:val="3C4959FC"/>
    <w:rsid w:val="3C5E14EA"/>
    <w:rsid w:val="3C7604E2"/>
    <w:rsid w:val="3C8628ED"/>
    <w:rsid w:val="3C892F27"/>
    <w:rsid w:val="3CAC2311"/>
    <w:rsid w:val="3CB743DA"/>
    <w:rsid w:val="3CC14B5A"/>
    <w:rsid w:val="3CC94155"/>
    <w:rsid w:val="3CF30CE1"/>
    <w:rsid w:val="3D2711EC"/>
    <w:rsid w:val="3D437146"/>
    <w:rsid w:val="3D6B266D"/>
    <w:rsid w:val="3D8461F8"/>
    <w:rsid w:val="3DA657EC"/>
    <w:rsid w:val="3DD87200"/>
    <w:rsid w:val="3DFE3F1E"/>
    <w:rsid w:val="3E3A53E0"/>
    <w:rsid w:val="3E595E78"/>
    <w:rsid w:val="3E5D0A49"/>
    <w:rsid w:val="3E8534F0"/>
    <w:rsid w:val="3E9077BD"/>
    <w:rsid w:val="3E972973"/>
    <w:rsid w:val="3ED403F9"/>
    <w:rsid w:val="3EDB2AA7"/>
    <w:rsid w:val="3EDB7262"/>
    <w:rsid w:val="3EF7658B"/>
    <w:rsid w:val="3F095876"/>
    <w:rsid w:val="3F1824D3"/>
    <w:rsid w:val="3F20048D"/>
    <w:rsid w:val="3F206D2F"/>
    <w:rsid w:val="3F3216C8"/>
    <w:rsid w:val="3F446FBA"/>
    <w:rsid w:val="3F5263CA"/>
    <w:rsid w:val="3F591F99"/>
    <w:rsid w:val="3FAA029C"/>
    <w:rsid w:val="3FB71301"/>
    <w:rsid w:val="3FCB3A33"/>
    <w:rsid w:val="40140458"/>
    <w:rsid w:val="40186AFA"/>
    <w:rsid w:val="401F03CE"/>
    <w:rsid w:val="402E4ADC"/>
    <w:rsid w:val="409A2FFC"/>
    <w:rsid w:val="40C6760C"/>
    <w:rsid w:val="40EC5B77"/>
    <w:rsid w:val="40F43C18"/>
    <w:rsid w:val="41010016"/>
    <w:rsid w:val="412D3C52"/>
    <w:rsid w:val="414B1E5C"/>
    <w:rsid w:val="4172645F"/>
    <w:rsid w:val="4177671D"/>
    <w:rsid w:val="41803304"/>
    <w:rsid w:val="41976176"/>
    <w:rsid w:val="41C56563"/>
    <w:rsid w:val="42013080"/>
    <w:rsid w:val="42125900"/>
    <w:rsid w:val="4213599F"/>
    <w:rsid w:val="421623D1"/>
    <w:rsid w:val="421C6736"/>
    <w:rsid w:val="42323639"/>
    <w:rsid w:val="4247015F"/>
    <w:rsid w:val="429456C1"/>
    <w:rsid w:val="42993AF9"/>
    <w:rsid w:val="42C271E6"/>
    <w:rsid w:val="43041845"/>
    <w:rsid w:val="431B0D88"/>
    <w:rsid w:val="432C1F67"/>
    <w:rsid w:val="4346768F"/>
    <w:rsid w:val="43542B14"/>
    <w:rsid w:val="43736F25"/>
    <w:rsid w:val="43976DAD"/>
    <w:rsid w:val="43FA1BDC"/>
    <w:rsid w:val="43FA6652"/>
    <w:rsid w:val="442A7164"/>
    <w:rsid w:val="445C5208"/>
    <w:rsid w:val="44877054"/>
    <w:rsid w:val="449249EB"/>
    <w:rsid w:val="449B215C"/>
    <w:rsid w:val="449E48E8"/>
    <w:rsid w:val="44A2039B"/>
    <w:rsid w:val="44B422FB"/>
    <w:rsid w:val="44BC7B03"/>
    <w:rsid w:val="44C6445D"/>
    <w:rsid w:val="44E012F4"/>
    <w:rsid w:val="44E75338"/>
    <w:rsid w:val="452C607D"/>
    <w:rsid w:val="45B9183F"/>
    <w:rsid w:val="45C157DF"/>
    <w:rsid w:val="45DB4FCE"/>
    <w:rsid w:val="45DC516D"/>
    <w:rsid w:val="45E03BBD"/>
    <w:rsid w:val="462346EA"/>
    <w:rsid w:val="4645786C"/>
    <w:rsid w:val="46587272"/>
    <w:rsid w:val="46837C42"/>
    <w:rsid w:val="46877E3E"/>
    <w:rsid w:val="46A60A68"/>
    <w:rsid w:val="46C52AC5"/>
    <w:rsid w:val="46F01B23"/>
    <w:rsid w:val="47103FFA"/>
    <w:rsid w:val="475E46B3"/>
    <w:rsid w:val="477C736E"/>
    <w:rsid w:val="477E4455"/>
    <w:rsid w:val="47891528"/>
    <w:rsid w:val="479E60E0"/>
    <w:rsid w:val="47CA410A"/>
    <w:rsid w:val="47E17568"/>
    <w:rsid w:val="48007629"/>
    <w:rsid w:val="480166C1"/>
    <w:rsid w:val="480414FF"/>
    <w:rsid w:val="48341FB9"/>
    <w:rsid w:val="48807930"/>
    <w:rsid w:val="48896234"/>
    <w:rsid w:val="488B5BC7"/>
    <w:rsid w:val="4893026E"/>
    <w:rsid w:val="48A27ECF"/>
    <w:rsid w:val="48AF2FD2"/>
    <w:rsid w:val="48D24A37"/>
    <w:rsid w:val="490634C8"/>
    <w:rsid w:val="490D6EE9"/>
    <w:rsid w:val="49852AA2"/>
    <w:rsid w:val="4997112F"/>
    <w:rsid w:val="49976098"/>
    <w:rsid w:val="49DD2A4B"/>
    <w:rsid w:val="49E125D4"/>
    <w:rsid w:val="4A1A4475"/>
    <w:rsid w:val="4A3353C4"/>
    <w:rsid w:val="4A426DE8"/>
    <w:rsid w:val="4A7644FA"/>
    <w:rsid w:val="4AAB4A0A"/>
    <w:rsid w:val="4AC9297E"/>
    <w:rsid w:val="4AC93A0A"/>
    <w:rsid w:val="4AFF481F"/>
    <w:rsid w:val="4B010D96"/>
    <w:rsid w:val="4B3D4CCB"/>
    <w:rsid w:val="4B49032D"/>
    <w:rsid w:val="4B4A4887"/>
    <w:rsid w:val="4B4D31EC"/>
    <w:rsid w:val="4B801C72"/>
    <w:rsid w:val="4B8149F9"/>
    <w:rsid w:val="4B9324E4"/>
    <w:rsid w:val="4BB3081D"/>
    <w:rsid w:val="4BC65D48"/>
    <w:rsid w:val="4BE15BAA"/>
    <w:rsid w:val="4BEE1705"/>
    <w:rsid w:val="4C2E3C2B"/>
    <w:rsid w:val="4C52128B"/>
    <w:rsid w:val="4C557099"/>
    <w:rsid w:val="4C8C1BB7"/>
    <w:rsid w:val="4CA01F23"/>
    <w:rsid w:val="4CBE35AE"/>
    <w:rsid w:val="4CC95D33"/>
    <w:rsid w:val="4CDC1A9E"/>
    <w:rsid w:val="4CE30ECA"/>
    <w:rsid w:val="4CEB0C60"/>
    <w:rsid w:val="4CEE16AA"/>
    <w:rsid w:val="4CF04B53"/>
    <w:rsid w:val="4D235EEF"/>
    <w:rsid w:val="4D5D76A5"/>
    <w:rsid w:val="4D8B65BA"/>
    <w:rsid w:val="4DA60F1E"/>
    <w:rsid w:val="4DB454C8"/>
    <w:rsid w:val="4DDB5A95"/>
    <w:rsid w:val="4E0610FA"/>
    <w:rsid w:val="4E0C5204"/>
    <w:rsid w:val="4E181AFD"/>
    <w:rsid w:val="4E600143"/>
    <w:rsid w:val="4ECA50DC"/>
    <w:rsid w:val="4ED90A92"/>
    <w:rsid w:val="4EED7CA2"/>
    <w:rsid w:val="4EF43214"/>
    <w:rsid w:val="4F071D55"/>
    <w:rsid w:val="4F6377E1"/>
    <w:rsid w:val="4F817CAD"/>
    <w:rsid w:val="4F885ABC"/>
    <w:rsid w:val="4FC41E00"/>
    <w:rsid w:val="4FD8487C"/>
    <w:rsid w:val="4FD91C18"/>
    <w:rsid w:val="5071283A"/>
    <w:rsid w:val="507935CE"/>
    <w:rsid w:val="50CD0F52"/>
    <w:rsid w:val="512E2DC0"/>
    <w:rsid w:val="5146734A"/>
    <w:rsid w:val="514D0265"/>
    <w:rsid w:val="516E1B2F"/>
    <w:rsid w:val="51715D18"/>
    <w:rsid w:val="51742A35"/>
    <w:rsid w:val="51B018CE"/>
    <w:rsid w:val="51DC03D3"/>
    <w:rsid w:val="51FC0C14"/>
    <w:rsid w:val="5203065D"/>
    <w:rsid w:val="523A01B7"/>
    <w:rsid w:val="523E2920"/>
    <w:rsid w:val="52450E70"/>
    <w:rsid w:val="52704B3B"/>
    <w:rsid w:val="527D2897"/>
    <w:rsid w:val="52901AEF"/>
    <w:rsid w:val="52935125"/>
    <w:rsid w:val="529D23C1"/>
    <w:rsid w:val="52BF6DC4"/>
    <w:rsid w:val="52D655C6"/>
    <w:rsid w:val="52E179A8"/>
    <w:rsid w:val="52E36382"/>
    <w:rsid w:val="5328792B"/>
    <w:rsid w:val="53415F23"/>
    <w:rsid w:val="53450FF3"/>
    <w:rsid w:val="535B5020"/>
    <w:rsid w:val="53843CC2"/>
    <w:rsid w:val="53961D5A"/>
    <w:rsid w:val="53AF6DE3"/>
    <w:rsid w:val="53B95C2C"/>
    <w:rsid w:val="53BE513A"/>
    <w:rsid w:val="53D74AE4"/>
    <w:rsid w:val="54172139"/>
    <w:rsid w:val="543E1B97"/>
    <w:rsid w:val="546E676B"/>
    <w:rsid w:val="547C51E1"/>
    <w:rsid w:val="54965153"/>
    <w:rsid w:val="549714F4"/>
    <w:rsid w:val="549B1B16"/>
    <w:rsid w:val="54CE610B"/>
    <w:rsid w:val="54ED1939"/>
    <w:rsid w:val="54F620C9"/>
    <w:rsid w:val="55113BB9"/>
    <w:rsid w:val="557536B0"/>
    <w:rsid w:val="558E60A0"/>
    <w:rsid w:val="55957343"/>
    <w:rsid w:val="559A6263"/>
    <w:rsid w:val="55A65EA6"/>
    <w:rsid w:val="55A720C1"/>
    <w:rsid w:val="55AD6CAD"/>
    <w:rsid w:val="55B05E71"/>
    <w:rsid w:val="55BD6F0F"/>
    <w:rsid w:val="560D5C7B"/>
    <w:rsid w:val="561013A2"/>
    <w:rsid w:val="56164492"/>
    <w:rsid w:val="563621DD"/>
    <w:rsid w:val="56553DD1"/>
    <w:rsid w:val="56566418"/>
    <w:rsid w:val="565D525D"/>
    <w:rsid w:val="56B637AA"/>
    <w:rsid w:val="56F46B9C"/>
    <w:rsid w:val="57133538"/>
    <w:rsid w:val="571F2618"/>
    <w:rsid w:val="572D132E"/>
    <w:rsid w:val="573150DE"/>
    <w:rsid w:val="573B1528"/>
    <w:rsid w:val="57664DEC"/>
    <w:rsid w:val="577729FD"/>
    <w:rsid w:val="57A4128F"/>
    <w:rsid w:val="57BA3593"/>
    <w:rsid w:val="57BD6E57"/>
    <w:rsid w:val="57D50302"/>
    <w:rsid w:val="57FB0DB4"/>
    <w:rsid w:val="58095AD5"/>
    <w:rsid w:val="585D7EE1"/>
    <w:rsid w:val="585F41C5"/>
    <w:rsid w:val="587033C7"/>
    <w:rsid w:val="587F1F51"/>
    <w:rsid w:val="588A3543"/>
    <w:rsid w:val="58AC64B0"/>
    <w:rsid w:val="58B132B4"/>
    <w:rsid w:val="58C42558"/>
    <w:rsid w:val="58C81DB4"/>
    <w:rsid w:val="58D3497A"/>
    <w:rsid w:val="58F56E04"/>
    <w:rsid w:val="597765D1"/>
    <w:rsid w:val="59874C1D"/>
    <w:rsid w:val="59A23649"/>
    <w:rsid w:val="59B15DB9"/>
    <w:rsid w:val="59B415B6"/>
    <w:rsid w:val="59C86097"/>
    <w:rsid w:val="59DB5E71"/>
    <w:rsid w:val="59E0731A"/>
    <w:rsid w:val="5A1D729F"/>
    <w:rsid w:val="5A2923A4"/>
    <w:rsid w:val="5A3D6B1F"/>
    <w:rsid w:val="5A4941BD"/>
    <w:rsid w:val="5A630A63"/>
    <w:rsid w:val="5A7A0818"/>
    <w:rsid w:val="5A7C1583"/>
    <w:rsid w:val="5A7D04FA"/>
    <w:rsid w:val="5A873E71"/>
    <w:rsid w:val="5AD44EF0"/>
    <w:rsid w:val="5B0C023B"/>
    <w:rsid w:val="5B3868C4"/>
    <w:rsid w:val="5B5F1CA9"/>
    <w:rsid w:val="5B8A44F8"/>
    <w:rsid w:val="5BC96529"/>
    <w:rsid w:val="5BCE46B5"/>
    <w:rsid w:val="5BE544F3"/>
    <w:rsid w:val="5BE80E31"/>
    <w:rsid w:val="5BF737EB"/>
    <w:rsid w:val="5BFA2BE6"/>
    <w:rsid w:val="5C0C0309"/>
    <w:rsid w:val="5C482FAF"/>
    <w:rsid w:val="5C87478A"/>
    <w:rsid w:val="5CAD2C5D"/>
    <w:rsid w:val="5CF61BBB"/>
    <w:rsid w:val="5D042BC3"/>
    <w:rsid w:val="5D0822AE"/>
    <w:rsid w:val="5D1A7C2A"/>
    <w:rsid w:val="5D3E03A3"/>
    <w:rsid w:val="5D451DF9"/>
    <w:rsid w:val="5D454527"/>
    <w:rsid w:val="5D5959D5"/>
    <w:rsid w:val="5E010C6B"/>
    <w:rsid w:val="5E2459B2"/>
    <w:rsid w:val="5E2E19DF"/>
    <w:rsid w:val="5E320285"/>
    <w:rsid w:val="5E3971F5"/>
    <w:rsid w:val="5E406AA9"/>
    <w:rsid w:val="5E644C39"/>
    <w:rsid w:val="5EB83068"/>
    <w:rsid w:val="5EE34823"/>
    <w:rsid w:val="5EF2250F"/>
    <w:rsid w:val="5F0B7FB5"/>
    <w:rsid w:val="5F287888"/>
    <w:rsid w:val="5F394EA2"/>
    <w:rsid w:val="5FD83FD2"/>
    <w:rsid w:val="5FE013A3"/>
    <w:rsid w:val="5FEE6C22"/>
    <w:rsid w:val="5FF67C26"/>
    <w:rsid w:val="5FFB6C0F"/>
    <w:rsid w:val="60471AEC"/>
    <w:rsid w:val="60E117D5"/>
    <w:rsid w:val="60F31D4B"/>
    <w:rsid w:val="61155FC7"/>
    <w:rsid w:val="61181B9C"/>
    <w:rsid w:val="614B60C1"/>
    <w:rsid w:val="61962F3C"/>
    <w:rsid w:val="61C17335"/>
    <w:rsid w:val="61D32299"/>
    <w:rsid w:val="61DB2BB6"/>
    <w:rsid w:val="61DE5484"/>
    <w:rsid w:val="620534E1"/>
    <w:rsid w:val="62173279"/>
    <w:rsid w:val="62457F41"/>
    <w:rsid w:val="62810A26"/>
    <w:rsid w:val="62A70AA2"/>
    <w:rsid w:val="62B52A33"/>
    <w:rsid w:val="62CB5D30"/>
    <w:rsid w:val="62CE1DE7"/>
    <w:rsid w:val="63231FDA"/>
    <w:rsid w:val="633F2DA9"/>
    <w:rsid w:val="634631D6"/>
    <w:rsid w:val="637204DF"/>
    <w:rsid w:val="637E4961"/>
    <w:rsid w:val="63876C08"/>
    <w:rsid w:val="63BE4CA0"/>
    <w:rsid w:val="63CD1ECD"/>
    <w:rsid w:val="63EF4A97"/>
    <w:rsid w:val="64047703"/>
    <w:rsid w:val="644D197B"/>
    <w:rsid w:val="644F7237"/>
    <w:rsid w:val="64587903"/>
    <w:rsid w:val="647C05CA"/>
    <w:rsid w:val="64AF6120"/>
    <w:rsid w:val="64BD6371"/>
    <w:rsid w:val="64D37538"/>
    <w:rsid w:val="64ED68E9"/>
    <w:rsid w:val="656F7A95"/>
    <w:rsid w:val="65796168"/>
    <w:rsid w:val="657F69C4"/>
    <w:rsid w:val="65DA3EF7"/>
    <w:rsid w:val="65F10B9B"/>
    <w:rsid w:val="662F507A"/>
    <w:rsid w:val="6655049A"/>
    <w:rsid w:val="669E4422"/>
    <w:rsid w:val="66A5117F"/>
    <w:rsid w:val="66BF0C86"/>
    <w:rsid w:val="66BF771E"/>
    <w:rsid w:val="66CF6AAF"/>
    <w:rsid w:val="66D1014F"/>
    <w:rsid w:val="6708154F"/>
    <w:rsid w:val="671129A1"/>
    <w:rsid w:val="67183A32"/>
    <w:rsid w:val="671F3A14"/>
    <w:rsid w:val="672A2BEB"/>
    <w:rsid w:val="67383236"/>
    <w:rsid w:val="674A76FF"/>
    <w:rsid w:val="677E616A"/>
    <w:rsid w:val="67A317D4"/>
    <w:rsid w:val="67DD3998"/>
    <w:rsid w:val="67E3527C"/>
    <w:rsid w:val="680958E6"/>
    <w:rsid w:val="681C3E72"/>
    <w:rsid w:val="681E2A84"/>
    <w:rsid w:val="68203083"/>
    <w:rsid w:val="68430EA5"/>
    <w:rsid w:val="68547F0D"/>
    <w:rsid w:val="686937F8"/>
    <w:rsid w:val="6884145F"/>
    <w:rsid w:val="68961301"/>
    <w:rsid w:val="68A03F6D"/>
    <w:rsid w:val="68A2429B"/>
    <w:rsid w:val="68AE4C18"/>
    <w:rsid w:val="68C12589"/>
    <w:rsid w:val="68E56152"/>
    <w:rsid w:val="68FA0EB5"/>
    <w:rsid w:val="692A2720"/>
    <w:rsid w:val="692C1D15"/>
    <w:rsid w:val="695F62EB"/>
    <w:rsid w:val="699D01BA"/>
    <w:rsid w:val="69D21039"/>
    <w:rsid w:val="69DD0359"/>
    <w:rsid w:val="69FE3896"/>
    <w:rsid w:val="6A1D2B28"/>
    <w:rsid w:val="6A3718BD"/>
    <w:rsid w:val="6A8228A7"/>
    <w:rsid w:val="6AC00C05"/>
    <w:rsid w:val="6AE77282"/>
    <w:rsid w:val="6AF33DFD"/>
    <w:rsid w:val="6B14133D"/>
    <w:rsid w:val="6B275250"/>
    <w:rsid w:val="6B2D0911"/>
    <w:rsid w:val="6B3A6C93"/>
    <w:rsid w:val="6B4B0AC7"/>
    <w:rsid w:val="6B732185"/>
    <w:rsid w:val="6BA623D5"/>
    <w:rsid w:val="6BD97B17"/>
    <w:rsid w:val="6BEC507E"/>
    <w:rsid w:val="6C0464FF"/>
    <w:rsid w:val="6C4C358A"/>
    <w:rsid w:val="6C4D7691"/>
    <w:rsid w:val="6C5556B5"/>
    <w:rsid w:val="6C6B337E"/>
    <w:rsid w:val="6C8921B5"/>
    <w:rsid w:val="6CE274CA"/>
    <w:rsid w:val="6CF3239C"/>
    <w:rsid w:val="6D1E7131"/>
    <w:rsid w:val="6D4D649D"/>
    <w:rsid w:val="6D555A3B"/>
    <w:rsid w:val="6D8E7E95"/>
    <w:rsid w:val="6E1E7F1D"/>
    <w:rsid w:val="6E556B63"/>
    <w:rsid w:val="6E575FCF"/>
    <w:rsid w:val="6E6A30A2"/>
    <w:rsid w:val="6E770DA0"/>
    <w:rsid w:val="6E8C7390"/>
    <w:rsid w:val="6EA31A8A"/>
    <w:rsid w:val="6EB842BA"/>
    <w:rsid w:val="6EBD4212"/>
    <w:rsid w:val="6EC477AC"/>
    <w:rsid w:val="6EE56252"/>
    <w:rsid w:val="6EF2500D"/>
    <w:rsid w:val="6EFC0DA3"/>
    <w:rsid w:val="6F2D4E65"/>
    <w:rsid w:val="6F8470D8"/>
    <w:rsid w:val="6FA04FA1"/>
    <w:rsid w:val="6FAE6C13"/>
    <w:rsid w:val="6FEE7501"/>
    <w:rsid w:val="6FFB646D"/>
    <w:rsid w:val="6FFE075A"/>
    <w:rsid w:val="70041B30"/>
    <w:rsid w:val="701F7C2B"/>
    <w:rsid w:val="703B0716"/>
    <w:rsid w:val="70784787"/>
    <w:rsid w:val="70833060"/>
    <w:rsid w:val="70833745"/>
    <w:rsid w:val="70AD7BF2"/>
    <w:rsid w:val="70B04B75"/>
    <w:rsid w:val="70BA79C6"/>
    <w:rsid w:val="70D357A3"/>
    <w:rsid w:val="70E32681"/>
    <w:rsid w:val="70FE63B6"/>
    <w:rsid w:val="71482427"/>
    <w:rsid w:val="71496A80"/>
    <w:rsid w:val="7196755A"/>
    <w:rsid w:val="71AC0E91"/>
    <w:rsid w:val="71AC7BBB"/>
    <w:rsid w:val="71C51872"/>
    <w:rsid w:val="72267196"/>
    <w:rsid w:val="72282FA8"/>
    <w:rsid w:val="7230249E"/>
    <w:rsid w:val="723820C4"/>
    <w:rsid w:val="7247259A"/>
    <w:rsid w:val="726378EE"/>
    <w:rsid w:val="72671D27"/>
    <w:rsid w:val="727B6C4C"/>
    <w:rsid w:val="727F4FB1"/>
    <w:rsid w:val="72824E36"/>
    <w:rsid w:val="728B3A6F"/>
    <w:rsid w:val="72900DC7"/>
    <w:rsid w:val="72B731E8"/>
    <w:rsid w:val="72BE7341"/>
    <w:rsid w:val="72DF680E"/>
    <w:rsid w:val="72FA42B9"/>
    <w:rsid w:val="731E4248"/>
    <w:rsid w:val="73307800"/>
    <w:rsid w:val="734F189A"/>
    <w:rsid w:val="7363241C"/>
    <w:rsid w:val="73665942"/>
    <w:rsid w:val="738735B8"/>
    <w:rsid w:val="739532AA"/>
    <w:rsid w:val="73A16CCB"/>
    <w:rsid w:val="73CE2F2D"/>
    <w:rsid w:val="73E93E2F"/>
    <w:rsid w:val="741818F0"/>
    <w:rsid w:val="742B5E9A"/>
    <w:rsid w:val="742C4ED9"/>
    <w:rsid w:val="74316875"/>
    <w:rsid w:val="745C7050"/>
    <w:rsid w:val="74667C01"/>
    <w:rsid w:val="74B27B44"/>
    <w:rsid w:val="74BA1DF5"/>
    <w:rsid w:val="74D81F83"/>
    <w:rsid w:val="74DC6F0B"/>
    <w:rsid w:val="74F91C32"/>
    <w:rsid w:val="7545453E"/>
    <w:rsid w:val="754771C2"/>
    <w:rsid w:val="754B631B"/>
    <w:rsid w:val="758F3128"/>
    <w:rsid w:val="75E86946"/>
    <w:rsid w:val="760D2060"/>
    <w:rsid w:val="76783F09"/>
    <w:rsid w:val="76951CB3"/>
    <w:rsid w:val="76BF6F43"/>
    <w:rsid w:val="76CE72D9"/>
    <w:rsid w:val="76E35CC2"/>
    <w:rsid w:val="76EC5624"/>
    <w:rsid w:val="76F34B09"/>
    <w:rsid w:val="76FE59B5"/>
    <w:rsid w:val="77163310"/>
    <w:rsid w:val="7750311A"/>
    <w:rsid w:val="7754283B"/>
    <w:rsid w:val="77A2585C"/>
    <w:rsid w:val="77A66B01"/>
    <w:rsid w:val="77AE7DAE"/>
    <w:rsid w:val="77C21407"/>
    <w:rsid w:val="77D46299"/>
    <w:rsid w:val="77FD5E80"/>
    <w:rsid w:val="77FE24C4"/>
    <w:rsid w:val="78412B2B"/>
    <w:rsid w:val="78794633"/>
    <w:rsid w:val="78D42174"/>
    <w:rsid w:val="78F324E6"/>
    <w:rsid w:val="790F0060"/>
    <w:rsid w:val="793440EB"/>
    <w:rsid w:val="79393FED"/>
    <w:rsid w:val="798A0D22"/>
    <w:rsid w:val="799D762B"/>
    <w:rsid w:val="79C57357"/>
    <w:rsid w:val="79EB65CB"/>
    <w:rsid w:val="7A2E1D56"/>
    <w:rsid w:val="7A3C1A38"/>
    <w:rsid w:val="7A443D29"/>
    <w:rsid w:val="7A5360D0"/>
    <w:rsid w:val="7A650C0C"/>
    <w:rsid w:val="7A9F3034"/>
    <w:rsid w:val="7AB32A42"/>
    <w:rsid w:val="7AC6745D"/>
    <w:rsid w:val="7AC92BE2"/>
    <w:rsid w:val="7AE13370"/>
    <w:rsid w:val="7B3E0627"/>
    <w:rsid w:val="7B6245A5"/>
    <w:rsid w:val="7B771AFD"/>
    <w:rsid w:val="7B826971"/>
    <w:rsid w:val="7BA07E96"/>
    <w:rsid w:val="7BA6454E"/>
    <w:rsid w:val="7BAC2B01"/>
    <w:rsid w:val="7BBE28EF"/>
    <w:rsid w:val="7BF93BB8"/>
    <w:rsid w:val="7C4F0D52"/>
    <w:rsid w:val="7CCE254C"/>
    <w:rsid w:val="7CDA018D"/>
    <w:rsid w:val="7CE14D9A"/>
    <w:rsid w:val="7CEF5369"/>
    <w:rsid w:val="7D093591"/>
    <w:rsid w:val="7D8A0DDC"/>
    <w:rsid w:val="7D9205C5"/>
    <w:rsid w:val="7DA7329F"/>
    <w:rsid w:val="7DAE55DE"/>
    <w:rsid w:val="7DBA0C7A"/>
    <w:rsid w:val="7DD71915"/>
    <w:rsid w:val="7DF30334"/>
    <w:rsid w:val="7E1310D7"/>
    <w:rsid w:val="7E3512DB"/>
    <w:rsid w:val="7E39721E"/>
    <w:rsid w:val="7E8852ED"/>
    <w:rsid w:val="7EA45C28"/>
    <w:rsid w:val="7EE0428B"/>
    <w:rsid w:val="7F273DE6"/>
    <w:rsid w:val="7F7B5634"/>
    <w:rsid w:val="7F882C39"/>
    <w:rsid w:val="7F952273"/>
    <w:rsid w:val="7F9A4963"/>
    <w:rsid w:val="7F9F53E9"/>
    <w:rsid w:val="7FAF3A71"/>
    <w:rsid w:val="7FC1174A"/>
    <w:rsid w:val="7FEB78BB"/>
    <w:rsid w:val="EDFF6B7F"/>
    <w:rsid w:val="EFDFD386"/>
    <w:rsid w:val="F7F645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8"/>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qFormat/>
    <w:uiPriority w:val="0"/>
    <w:pPr>
      <w:adjustRightInd w:val="0"/>
      <w:snapToGrid w:val="0"/>
      <w:spacing w:beforeAutospacing="1" w:after="100" w:afterAutospacing="1" w:line="600" w:lineRule="exact"/>
      <w:ind w:firstLine="880" w:firstLineChars="200"/>
      <w:jc w:val="both"/>
    </w:pPr>
    <w:rPr>
      <w:rFonts w:hint="eastAsia" w:ascii="宋体" w:hAnsi="宋体" w:eastAsia="黑体" w:cs="Times New Roman"/>
      <w:b w:val="0"/>
      <w:kern w:val="44"/>
      <w:sz w:val="36"/>
      <w:szCs w:val="48"/>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b/>
      <w:sz w:val="32"/>
    </w:rPr>
  </w:style>
  <w:style w:type="paragraph" w:styleId="5">
    <w:name w:val="Body Text"/>
    <w:basedOn w:val="1"/>
    <w:qFormat/>
    <w:uiPriority w:val="0"/>
    <w:rPr>
      <w:sz w:val="18"/>
    </w:rPr>
  </w:style>
  <w:style w:type="paragraph" w:styleId="6">
    <w:name w:val="Body Text Indent"/>
    <w:basedOn w:val="1"/>
    <w:qFormat/>
    <w:uiPriority w:val="0"/>
    <w:pPr>
      <w:spacing w:after="120"/>
      <w:ind w:left="420" w:leftChars="200"/>
    </w:p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HTML Preformatted"/>
    <w:basedOn w:val="1"/>
    <w:link w:val="2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3">
    <w:name w:val="Body Text First Indent"/>
    <w:basedOn w:val="5"/>
    <w:qFormat/>
    <w:uiPriority w:val="0"/>
    <w:pPr>
      <w:spacing w:after="120"/>
      <w:ind w:firstLine="420" w:firstLineChars="100"/>
    </w:pPr>
    <w:rPr>
      <w:rFonts w:ascii="Calibri" w:hAnsi="Calibri" w:cs="Calibri"/>
      <w:sz w:val="21"/>
      <w:szCs w:val="21"/>
    </w:rPr>
  </w:style>
  <w:style w:type="paragraph" w:styleId="14">
    <w:name w:val="Body Text First Indent 2"/>
    <w:basedOn w:val="6"/>
    <w:qFormat/>
    <w:uiPriority w:val="0"/>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rPr>
  </w:style>
  <w:style w:type="character" w:styleId="19">
    <w:name w:val="page number"/>
    <w:qFormat/>
    <w:uiPriority w:val="0"/>
  </w:style>
  <w:style w:type="character" w:styleId="20">
    <w:name w:val="FollowedHyperlink"/>
    <w:qFormat/>
    <w:uiPriority w:val="0"/>
    <w:rPr>
      <w:color w:val="333333"/>
      <w:u w:val="none"/>
    </w:rPr>
  </w:style>
  <w:style w:type="character" w:styleId="21">
    <w:name w:val="Emphasis"/>
    <w:qFormat/>
    <w:uiPriority w:val="20"/>
    <w:rPr>
      <w:color w:val="CC0000"/>
    </w:rPr>
  </w:style>
  <w:style w:type="character" w:styleId="22">
    <w:name w:val="Hyperlink"/>
    <w:qFormat/>
    <w:uiPriority w:val="0"/>
    <w:rPr>
      <w:color w:val="333333"/>
      <w:u w:val="none"/>
    </w:rPr>
  </w:style>
  <w:style w:type="paragraph" w:customStyle="1" w:styleId="23">
    <w:name w:val="正文格式"/>
    <w:basedOn w:val="1"/>
    <w:qFormat/>
    <w:uiPriority w:val="0"/>
    <w:pPr>
      <w:widowControl/>
      <w:adjustRightInd w:val="0"/>
      <w:snapToGrid w:val="0"/>
      <w:spacing w:line="400" w:lineRule="atLeast"/>
      <w:ind w:firstLine="482"/>
      <w:textAlignment w:val="baseline"/>
    </w:pPr>
    <w:rPr>
      <w:rFonts w:ascii="Times New Roman" w:hAnsi="Times New Roman" w:cs="Times New Roman"/>
      <w:kern w:val="0"/>
      <w:sz w:val="24"/>
    </w:rPr>
  </w:style>
  <w:style w:type="character" w:customStyle="1" w:styleId="24">
    <w:name w:val="页脚 Char"/>
    <w:link w:val="9"/>
    <w:qFormat/>
    <w:uiPriority w:val="99"/>
    <w:rPr>
      <w:kern w:val="2"/>
      <w:sz w:val="18"/>
    </w:rPr>
  </w:style>
  <w:style w:type="character" w:customStyle="1" w:styleId="25">
    <w:name w:val="HTML 预设格式 Char"/>
    <w:link w:val="11"/>
    <w:qFormat/>
    <w:uiPriority w:val="99"/>
    <w:rPr>
      <w:rFonts w:ascii="宋体" w:hAnsi="宋体"/>
      <w:sz w:val="24"/>
      <w:szCs w:val="24"/>
    </w:rPr>
  </w:style>
  <w:style w:type="character" w:customStyle="1" w:styleId="26">
    <w:name w:val="font01"/>
    <w:qFormat/>
    <w:uiPriority w:val="0"/>
    <w:rPr>
      <w:rFonts w:hint="default" w:ascii="Times New Roman" w:hAnsi="Times New Roman" w:cs="Times New Roman"/>
      <w:color w:val="000000"/>
      <w:sz w:val="28"/>
      <w:szCs w:val="28"/>
      <w:u w:val="none"/>
    </w:rPr>
  </w:style>
  <w:style w:type="character" w:customStyle="1" w:styleId="27">
    <w:name w:val="15"/>
    <w:qFormat/>
    <w:uiPriority w:val="0"/>
    <w:rPr>
      <w:rFonts w:hint="default" w:ascii="Times New Roman" w:hAnsi="Times New Roman" w:cs="Times New Roman"/>
      <w:b/>
      <w:bCs/>
    </w:rPr>
  </w:style>
  <w:style w:type="character" w:customStyle="1" w:styleId="28">
    <w:name w:val="page-article"/>
    <w:qFormat/>
    <w:uiPriority w:val="0"/>
    <w:rPr>
      <w:color w:val="FFFFFF"/>
    </w:rPr>
  </w:style>
  <w:style w:type="character" w:customStyle="1" w:styleId="29">
    <w:name w:val="font11"/>
    <w:qFormat/>
    <w:uiPriority w:val="0"/>
    <w:rPr>
      <w:rFonts w:hint="eastAsia" w:ascii="宋体" w:hAnsi="宋体" w:eastAsia="宋体" w:cs="宋体"/>
      <w:color w:val="000000"/>
      <w:sz w:val="28"/>
      <w:szCs w:val="28"/>
      <w:u w:val="none"/>
    </w:rPr>
  </w:style>
  <w:style w:type="paragraph" w:customStyle="1" w:styleId="30">
    <w:name w:val="MSG_EN_FONT_STYLE_NAME_TEMPLATE_ROLE_NUMBER MSG_EN_FONT_STYLE_NAME_BY_ROLE_TEXT 4"/>
    <w:basedOn w:val="1"/>
    <w:qFormat/>
    <w:uiPriority w:val="0"/>
    <w:pPr>
      <w:shd w:val="clear" w:color="auto" w:fill="FFFFFF"/>
      <w:spacing w:line="614" w:lineRule="exact"/>
      <w:ind w:firstLine="720"/>
      <w:jc w:val="distribute"/>
    </w:pPr>
    <w:rPr>
      <w:rFonts w:ascii="PMingLiU" w:hAnsi="PMingLiU" w:eastAsia="PMingLiU" w:cs="PMingLiU"/>
    </w:rPr>
  </w:style>
  <w:style w:type="paragraph" w:customStyle="1" w:styleId="31">
    <w:name w:val="正文3"/>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2">
    <w:name w:val="首行缩进"/>
    <w:basedOn w:val="1"/>
    <w:qFormat/>
    <w:uiPriority w:val="99"/>
    <w:pPr>
      <w:spacing w:line="360" w:lineRule="auto"/>
      <w:ind w:firstLine="480" w:firstLineChars="200"/>
    </w:pPr>
    <w:rPr>
      <w:rFonts w:ascii="宋体" w:hAnsi="宋体" w:cs="宋体"/>
      <w:kern w:val="0"/>
    </w:rPr>
  </w:style>
  <w:style w:type="paragraph" w:customStyle="1" w:styleId="33">
    <w:name w:val="Body text|1"/>
    <w:basedOn w:val="1"/>
    <w:qFormat/>
    <w:uiPriority w:val="0"/>
    <w:pPr>
      <w:autoSpaceDE w:val="0"/>
      <w:autoSpaceDN w:val="0"/>
      <w:spacing w:line="394" w:lineRule="auto"/>
      <w:ind w:firstLine="400"/>
      <w:jc w:val="left"/>
    </w:pPr>
    <w:rPr>
      <w:rFonts w:ascii="宋体" w:hAnsi="宋体" w:cs="宋体"/>
      <w:color w:val="757577"/>
      <w:kern w:val="0"/>
      <w:sz w:val="30"/>
      <w:szCs w:val="30"/>
      <w:lang w:val="zh-TW" w:eastAsia="zh-TW" w:bidi="zh-TW"/>
    </w:rPr>
  </w:style>
  <w:style w:type="paragraph" w:customStyle="1" w:styleId="34">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35">
    <w:name w:val=" Char"/>
    <w:basedOn w:val="1"/>
    <w:qFormat/>
    <w:uiPriority w:val="0"/>
    <w:rPr>
      <w:rFonts w:ascii="Tahoma" w:hAnsi="Tahoma"/>
      <w:sz w:val="24"/>
    </w:rPr>
  </w:style>
  <w:style w:type="paragraph" w:customStyle="1" w:styleId="36">
    <w:name w:val="正文首行缩进 21"/>
    <w:qFormat/>
    <w:uiPriority w:val="0"/>
    <w:pPr>
      <w:ind w:left="420" w:firstLine="420"/>
    </w:pPr>
    <w:rPr>
      <w:rFonts w:ascii="Times New Roman" w:hAnsi="Times New Roman" w:eastAsia="宋体" w:cs="Calibri"/>
      <w:sz w:val="21"/>
      <w:szCs w:val="22"/>
      <w:lang w:val="en-US" w:eastAsia="zh-CN" w:bidi="ar-SA"/>
    </w:rPr>
  </w:style>
  <w:style w:type="paragraph" w:customStyle="1" w:styleId="37">
    <w:name w:val="MSG_EN_FONT_STYLE_NAME_TEMPLATE_ROLE_NUMBER MSG_EN_FONT_STYLE_NAME_BY_ROLE_TEXT 2"/>
    <w:basedOn w:val="1"/>
    <w:qFormat/>
    <w:uiPriority w:val="0"/>
    <w:pPr>
      <w:shd w:val="clear" w:color="auto" w:fill="FFFFFF"/>
      <w:spacing w:before="360" w:after="1640" w:line="260" w:lineRule="exact"/>
      <w:ind w:hanging="280"/>
      <w:jc w:val="center"/>
    </w:pPr>
    <w:rPr>
      <w:rFonts w:ascii="PMingLiU" w:hAnsi="PMingLiU" w:eastAsia="PMingLiU" w:cs="PMingLiU"/>
      <w:spacing w:val="20"/>
      <w:sz w:val="26"/>
      <w:szCs w:val="26"/>
    </w:rPr>
  </w:style>
  <w:style w:type="character" w:customStyle="1" w:styleId="38">
    <w:name w:val="NormalCharacter"/>
    <w:link w:val="1"/>
    <w:semiHidden/>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789</Words>
  <Characters>4500</Characters>
  <Lines>37</Lines>
  <Paragraphs>10</Paragraphs>
  <TotalTime>0</TotalTime>
  <ScaleCrop>false</ScaleCrop>
  <LinksUpToDate>false</LinksUpToDate>
  <CharactersWithSpaces>5279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2021-07-31T03:47:00Z</dcterms:created>
  <dc:creator>lenovo</dc:creator>
  <cp:lastModifiedBy>小菲宝</cp:lastModifiedBy>
  <cp:lastPrinted>2021-11-22T12:15:00Z</cp:lastPrinted>
  <dcterms:modified xsi:type="dcterms:W3CDTF">2022-01-03T03:38:49Z</dcterms:modified>
  <dc:title>关于《济南市城市建设档案管理办法》(草案)的说明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3458A5C15AC84B40A3D075C09266F4EA</vt:lpwstr>
  </property>
</Properties>
</file>