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rPr>
          <w:rFonts w:hint="default" w:ascii="Times New Roman" w:hAnsi="Times New Roman" w:eastAsia="仿宋_GB2312" w:cs="Times New Roman"/>
          <w:b w:val="0"/>
          <w:color w:val="auto"/>
          <w:kern w:val="2"/>
          <w:sz w:val="32"/>
          <w:szCs w:val="32"/>
          <w:lang w:val="en-US" w:eastAsia="zh-CN" w:bidi="ar-SA"/>
        </w:rPr>
      </w:pPr>
    </w:p>
    <w:p>
      <w:pPr>
        <w:keepNext w:val="0"/>
        <w:keepLines w:val="0"/>
        <w:pageBreakBefore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 w:val="0"/>
          <w:bCs w:val="0"/>
          <w:color w:val="000000"/>
          <w:sz w:val="44"/>
          <w:szCs w:val="44"/>
        </w:rPr>
      </w:pPr>
      <w:r>
        <w:rPr>
          <w:rFonts w:hint="default" w:ascii="Times New Roman" w:hAnsi="Times New Roman" w:eastAsia="方正小标宋简体" w:cs="Times New Roman"/>
          <w:color w:val="auto"/>
          <w:sz w:val="44"/>
          <w:szCs w:val="44"/>
        </w:rPr>
        <w:t>威海市文登区人民政府</w:t>
      </w:r>
      <w:r>
        <w:rPr>
          <w:rFonts w:hint="eastAsia" w:eastAsia="方正小标宋简体" w:cs="Times New Roman"/>
          <w:color w:val="auto"/>
          <w:sz w:val="44"/>
          <w:szCs w:val="44"/>
          <w:lang w:eastAsia="zh-CN"/>
        </w:rPr>
        <w:t>办公室</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 w:val="0"/>
          <w:bCs w:val="0"/>
          <w:color w:val="000000"/>
          <w:sz w:val="44"/>
          <w:szCs w:val="44"/>
        </w:rPr>
      </w:pPr>
      <w:r>
        <w:rPr>
          <w:rFonts w:hint="eastAsia" w:eastAsia="方正小标宋简体" w:cs="Times New Roman"/>
          <w:b w:val="0"/>
          <w:bCs w:val="0"/>
          <w:color w:val="000000"/>
          <w:sz w:val="44"/>
          <w:szCs w:val="44"/>
          <w:lang w:eastAsia="zh-CN"/>
        </w:rPr>
        <w:t>关于印发《</w:t>
      </w:r>
      <w:r>
        <w:rPr>
          <w:rFonts w:hint="default" w:ascii="Times New Roman" w:hAnsi="Times New Roman" w:eastAsia="方正小标宋简体" w:cs="Times New Roman"/>
          <w:b w:val="0"/>
          <w:bCs w:val="0"/>
          <w:color w:val="000000"/>
          <w:sz w:val="44"/>
          <w:szCs w:val="44"/>
        </w:rPr>
        <w:t>威海市文登区“十四五”养老服务</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eastAsia="方正小标宋简体" w:cs="Times New Roman"/>
          <w:b w:val="0"/>
          <w:bCs w:val="0"/>
          <w:color w:val="000000"/>
          <w:sz w:val="44"/>
          <w:szCs w:val="44"/>
          <w:lang w:eastAsia="zh-CN"/>
        </w:rPr>
      </w:pPr>
      <w:r>
        <w:rPr>
          <w:rFonts w:hint="default" w:ascii="Times New Roman" w:hAnsi="Times New Roman" w:eastAsia="方正小标宋简体" w:cs="Times New Roman"/>
          <w:b w:val="0"/>
          <w:bCs w:val="0"/>
          <w:color w:val="000000"/>
          <w:sz w:val="44"/>
          <w:szCs w:val="44"/>
        </w:rPr>
        <w:t>发展规划（2021</w:t>
      </w:r>
      <w:r>
        <w:rPr>
          <w:rFonts w:hint="default" w:ascii="Times New Roman" w:hAnsi="Times New Roman" w:eastAsia="方正小标宋简体" w:cs="Times New Roman"/>
          <w:b w:val="0"/>
          <w:bCs w:val="0"/>
          <w:color w:val="000000"/>
          <w:sz w:val="44"/>
          <w:szCs w:val="44"/>
          <w:lang w:eastAsia="zh-CN"/>
        </w:rPr>
        <w:t>—</w:t>
      </w:r>
      <w:r>
        <w:rPr>
          <w:rFonts w:hint="default" w:ascii="Times New Roman" w:hAnsi="Times New Roman" w:eastAsia="方正小标宋简体" w:cs="Times New Roman"/>
          <w:b w:val="0"/>
          <w:bCs w:val="0"/>
          <w:color w:val="000000"/>
          <w:sz w:val="44"/>
          <w:szCs w:val="44"/>
        </w:rPr>
        <w:t>2025）</w:t>
      </w:r>
      <w:r>
        <w:rPr>
          <w:rFonts w:hint="eastAsia" w:eastAsia="方正小标宋简体" w:cs="Times New Roman"/>
          <w:b w:val="0"/>
          <w:bCs w:val="0"/>
          <w:color w:val="000000"/>
          <w:sz w:val="44"/>
          <w:szCs w:val="44"/>
          <w:lang w:eastAsia="zh-CN"/>
        </w:rPr>
        <w:t>》的通知</w:t>
      </w:r>
    </w:p>
    <w:p>
      <w:pPr>
        <w:pStyle w:val="4"/>
        <w:jc w:val="center"/>
        <w:rPr>
          <w:rFonts w:hint="eastAsia" w:ascii="Times New Roman" w:hAnsi="Times New Roman" w:eastAsia="仿宋_GB2312" w:cs="Times New Roman"/>
          <w:b w:val="0"/>
          <w:bCs w:val="0"/>
          <w:color w:val="000000"/>
          <w:sz w:val="44"/>
          <w:szCs w:val="44"/>
          <w:lang w:eastAsia="zh-CN"/>
        </w:rPr>
      </w:pPr>
      <w:r>
        <w:rPr>
          <w:rFonts w:hint="default" w:ascii="Times New Roman" w:hAnsi="Times New Roman" w:eastAsia="仿宋_GB2312" w:cs="Times New Roman"/>
          <w:b w:val="0"/>
          <w:color w:val="auto"/>
          <w:kern w:val="2"/>
          <w:sz w:val="32"/>
          <w:szCs w:val="32"/>
          <w:lang w:val="en-US" w:eastAsia="zh-CN" w:bidi="ar-SA"/>
        </w:rPr>
        <w:t>威文政</w:t>
      </w:r>
      <w:r>
        <w:rPr>
          <w:rFonts w:hint="eastAsia" w:ascii="Times New Roman" w:hAnsi="Times New Roman" w:eastAsia="仿宋_GB2312" w:cs="Times New Roman"/>
          <w:b w:val="0"/>
          <w:color w:val="auto"/>
          <w:kern w:val="2"/>
          <w:sz w:val="32"/>
          <w:szCs w:val="32"/>
          <w:lang w:val="en-US" w:eastAsia="zh-CN" w:bidi="ar-SA"/>
        </w:rPr>
        <w:t>办发</w:t>
      </w:r>
      <w:r>
        <w:rPr>
          <w:rFonts w:hint="default" w:ascii="Times New Roman" w:hAnsi="Times New Roman" w:eastAsia="仿宋_GB2312" w:cs="Times New Roman"/>
          <w:b w:val="0"/>
          <w:color w:val="auto"/>
          <w:kern w:val="2"/>
          <w:sz w:val="32"/>
          <w:szCs w:val="32"/>
          <w:lang w:val="en-US" w:eastAsia="zh-CN" w:bidi="ar-SA"/>
        </w:rPr>
        <w:t>〔2021〕</w:t>
      </w:r>
      <w:r>
        <w:rPr>
          <w:rFonts w:hint="eastAsia" w:ascii="Times New Roman" w:hAnsi="Times New Roman" w:eastAsia="仿宋_GB2312" w:cs="Times New Roman"/>
          <w:b w:val="0"/>
          <w:color w:val="auto"/>
          <w:kern w:val="2"/>
          <w:sz w:val="32"/>
          <w:szCs w:val="32"/>
          <w:lang w:val="en-US" w:eastAsia="zh-CN" w:bidi="ar-SA"/>
        </w:rPr>
        <w:t>7</w:t>
      </w:r>
      <w:r>
        <w:rPr>
          <w:rFonts w:hint="default" w:ascii="Times New Roman" w:hAnsi="Times New Roman" w:eastAsia="仿宋_GB2312" w:cs="Times New Roman"/>
          <w:b w:val="0"/>
          <w:color w:val="auto"/>
          <w:kern w:val="2"/>
          <w:sz w:val="32"/>
          <w:szCs w:val="32"/>
          <w:lang w:val="en-US" w:eastAsia="zh-CN" w:bidi="ar-SA"/>
        </w:rPr>
        <w:t>号</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eastAsia="仿宋_GB2312" w:cs="Times New Roman"/>
          <w:b w:val="0"/>
          <w:bCs w:val="0"/>
          <w:color w:val="000000"/>
          <w:sz w:val="32"/>
          <w:szCs w:val="32"/>
          <w:lang w:eastAsia="zh-CN"/>
        </w:rPr>
      </w:pPr>
      <w:r>
        <w:rPr>
          <w:rFonts w:hint="eastAsia" w:eastAsia="仿宋_GB2312" w:cs="Times New Roman"/>
          <w:b w:val="0"/>
          <w:bCs w:val="0"/>
          <w:color w:val="000000"/>
          <w:sz w:val="32"/>
          <w:szCs w:val="32"/>
          <w:lang w:eastAsia="zh-CN"/>
        </w:rPr>
        <w:t>各镇人民政府，各街道办事处，金山综合服务中心，区直有关部门、单位，驻文有关单位：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《威海市文登区“十四五”养老服务发展规划（2021—2025）》已经区政府</w:t>
      </w:r>
      <w:r>
        <w:rPr>
          <w:rFonts w:hint="eastAsia" w:eastAsia="仿宋_GB2312" w:cs="Times New Roman"/>
          <w:b w:val="0"/>
          <w:bCs w:val="0"/>
          <w:color w:val="000000"/>
          <w:sz w:val="32"/>
          <w:szCs w:val="32"/>
          <w:lang w:eastAsia="zh-CN"/>
        </w:rPr>
        <w:t>常务会议</w:t>
      </w:r>
      <w:r>
        <w:rPr>
          <w:rFonts w:hint="default" w:ascii="Times New Roman" w:hAnsi="Times New Roman" w:eastAsia="仿宋_GB2312" w:cs="Times New Roman"/>
          <w:b w:val="0"/>
          <w:bCs w:val="0"/>
          <w:color w:val="000000"/>
          <w:sz w:val="32"/>
          <w:szCs w:val="32"/>
        </w:rPr>
        <w:t>同意</w:t>
      </w:r>
      <w:r>
        <w:rPr>
          <w:rFonts w:hint="eastAsia" w:eastAsia="仿宋_GB2312" w:cs="Times New Roman"/>
          <w:b w:val="0"/>
          <w:bCs w:val="0"/>
          <w:color w:val="000000"/>
          <w:sz w:val="32"/>
          <w:szCs w:val="32"/>
          <w:lang w:eastAsia="zh-CN"/>
        </w:rPr>
        <w:t>，</w:t>
      </w:r>
      <w:r>
        <w:rPr>
          <w:rFonts w:hint="default" w:ascii="Times New Roman" w:hAnsi="Times New Roman" w:eastAsia="仿宋_GB2312" w:cs="Times New Roman"/>
          <w:b w:val="0"/>
          <w:bCs w:val="0"/>
          <w:color w:val="000000"/>
          <w:sz w:val="32"/>
          <w:szCs w:val="32"/>
        </w:rPr>
        <w:t>现印发给你们</w:t>
      </w:r>
      <w:r>
        <w:rPr>
          <w:rFonts w:hint="eastAsia" w:eastAsia="仿宋_GB2312" w:cs="Times New Roman"/>
          <w:b w:val="0"/>
          <w:bCs w:val="0"/>
          <w:color w:val="000000"/>
          <w:sz w:val="32"/>
          <w:szCs w:val="32"/>
          <w:lang w:eastAsia="zh-CN"/>
        </w:rPr>
        <w:t>，</w:t>
      </w:r>
      <w:r>
        <w:rPr>
          <w:rFonts w:hint="default" w:ascii="Times New Roman" w:hAnsi="Times New Roman" w:eastAsia="仿宋_GB2312" w:cs="Times New Roman"/>
          <w:b w:val="0"/>
          <w:bCs w:val="0"/>
          <w:color w:val="000000"/>
          <w:sz w:val="32"/>
          <w:szCs w:val="32"/>
        </w:rPr>
        <w:t>请认真组织实施。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p>
    <w:p>
      <w:pPr>
        <w:keepNext w:val="0"/>
        <w:keepLines w:val="0"/>
        <w:pageBreakBefore w:val="0"/>
        <w:widowControl w:val="0"/>
        <w:kinsoku/>
        <w:wordWrap w:val="0"/>
        <w:overflowPunct/>
        <w:topLinePunct w:val="0"/>
        <w:autoSpaceDE/>
        <w:autoSpaceDN/>
        <w:bidi w:val="0"/>
        <w:adjustRightInd/>
        <w:snapToGrid/>
        <w:spacing w:line="560" w:lineRule="exact"/>
        <w:ind w:firstLine="3840" w:firstLineChars="1200"/>
        <w:jc w:val="right"/>
        <w:textAlignment w:val="auto"/>
        <w:rPr>
          <w:rFonts w:hint="default" w:ascii="Times New Roman" w:hAnsi="Times New Roman" w:eastAsia="仿宋_GB2312" w:cs="Times New Roman"/>
          <w:b w:val="0"/>
          <w:bCs w:val="0"/>
          <w:color w:val="000000"/>
          <w:sz w:val="32"/>
          <w:szCs w:val="32"/>
          <w:lang w:val="en-US" w:eastAsia="zh-CN"/>
        </w:rPr>
      </w:pPr>
      <w:r>
        <w:rPr>
          <w:rFonts w:hint="default" w:ascii="Times New Roman" w:hAnsi="Times New Roman" w:eastAsia="仿宋_GB2312" w:cs="Times New Roman"/>
          <w:b w:val="0"/>
          <w:bCs w:val="0"/>
          <w:color w:val="000000"/>
          <w:sz w:val="32"/>
          <w:szCs w:val="32"/>
        </w:rPr>
        <w:t>威海市文登区人民政府办公室</w:t>
      </w:r>
      <w:r>
        <w:rPr>
          <w:rFonts w:hint="eastAsia" w:eastAsia="仿宋_GB2312" w:cs="Times New Roman"/>
          <w:b w:val="0"/>
          <w:bCs w:val="0"/>
          <w:color w:val="000000"/>
          <w:sz w:val="32"/>
          <w:szCs w:val="32"/>
          <w:lang w:val="en-US" w:eastAsia="zh-CN"/>
        </w:rPr>
        <w:t xml:space="preserve">    </w:t>
      </w:r>
    </w:p>
    <w:p>
      <w:pPr>
        <w:keepNext w:val="0"/>
        <w:keepLines w:val="0"/>
        <w:pageBreakBefore w:val="0"/>
        <w:widowControl w:val="0"/>
        <w:kinsoku/>
        <w:wordWrap w:val="0"/>
        <w:overflowPunct/>
        <w:topLinePunct w:val="0"/>
        <w:autoSpaceDE/>
        <w:autoSpaceDN/>
        <w:bidi w:val="0"/>
        <w:adjustRightInd/>
        <w:snapToGrid/>
        <w:spacing w:line="560" w:lineRule="exact"/>
        <w:ind w:firstLine="640" w:firstLineChars="200"/>
        <w:jc w:val="center"/>
        <w:textAlignment w:val="auto"/>
        <w:rPr>
          <w:rFonts w:hint="default" w:ascii="Times New Roman" w:hAnsi="Times New Roman" w:eastAsia="仿宋_GB2312" w:cs="Times New Roman"/>
          <w:b w:val="0"/>
          <w:bCs w:val="0"/>
          <w:color w:val="000000"/>
          <w:sz w:val="32"/>
          <w:szCs w:val="32"/>
          <w:lang w:val="en-US" w:eastAsia="zh-CN"/>
        </w:rPr>
      </w:pPr>
      <w:r>
        <w:rPr>
          <w:rFonts w:hint="eastAsia" w:eastAsia="仿宋_GB2312" w:cs="Times New Roman"/>
          <w:b w:val="0"/>
          <w:bCs w:val="0"/>
          <w:color w:val="000000"/>
          <w:sz w:val="32"/>
          <w:szCs w:val="32"/>
          <w:lang w:val="en-US" w:eastAsia="zh-CN"/>
        </w:rPr>
        <w:t xml:space="preserve">                         </w:t>
      </w:r>
      <w:r>
        <w:rPr>
          <w:rFonts w:hint="default" w:ascii="Times New Roman" w:hAnsi="Times New Roman" w:eastAsia="仿宋_GB2312" w:cs="Times New Roman"/>
          <w:b w:val="0"/>
          <w:bCs w:val="0"/>
          <w:color w:val="000000"/>
          <w:sz w:val="32"/>
          <w:szCs w:val="32"/>
        </w:rPr>
        <w:t>2021年</w:t>
      </w:r>
      <w:r>
        <w:rPr>
          <w:rFonts w:hint="eastAsia" w:eastAsia="仿宋_GB2312" w:cs="Times New Roman"/>
          <w:b w:val="0"/>
          <w:bCs w:val="0"/>
          <w:color w:val="000000"/>
          <w:sz w:val="32"/>
          <w:szCs w:val="32"/>
          <w:lang w:val="en-US" w:eastAsia="zh-CN"/>
        </w:rPr>
        <w:t>11</w:t>
      </w:r>
      <w:r>
        <w:rPr>
          <w:rFonts w:hint="default" w:ascii="Times New Roman" w:hAnsi="Times New Roman" w:eastAsia="仿宋_GB2312" w:cs="Times New Roman"/>
          <w:b w:val="0"/>
          <w:bCs w:val="0"/>
          <w:color w:val="000000"/>
          <w:sz w:val="32"/>
          <w:szCs w:val="32"/>
        </w:rPr>
        <w:t>月</w:t>
      </w:r>
      <w:r>
        <w:rPr>
          <w:rFonts w:hint="eastAsia" w:eastAsia="仿宋_GB2312" w:cs="Times New Roman"/>
          <w:b w:val="0"/>
          <w:bCs w:val="0"/>
          <w:color w:val="000000"/>
          <w:sz w:val="32"/>
          <w:szCs w:val="32"/>
          <w:lang w:val="en-US" w:eastAsia="zh-CN"/>
        </w:rPr>
        <w:t>12</w:t>
      </w:r>
      <w:r>
        <w:rPr>
          <w:rFonts w:hint="eastAsia" w:eastAsia="仿宋_GB2312" w:cs="Times New Roman"/>
          <w:b w:val="0"/>
          <w:bCs w:val="0"/>
          <w:color w:val="000000"/>
          <w:sz w:val="32"/>
          <w:szCs w:val="32"/>
          <w:lang w:eastAsia="zh-CN"/>
        </w:rPr>
        <w:t>日</w:t>
      </w:r>
      <w:r>
        <w:rPr>
          <w:rFonts w:hint="eastAsia" w:eastAsia="仿宋_GB2312" w:cs="Times New Roman"/>
          <w:b w:val="0"/>
          <w:bCs w:val="0"/>
          <w:color w:val="000000"/>
          <w:sz w:val="32"/>
          <w:szCs w:val="32"/>
          <w:lang w:val="en-US" w:eastAsia="zh-CN"/>
        </w:rPr>
        <w:t xml:space="preserve">        </w:t>
      </w:r>
    </w:p>
    <w:p>
      <w:pPr>
        <w:pStyle w:val="2"/>
        <w:rPr>
          <w:rFonts w:hint="default"/>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 w:val="0"/>
          <w:bCs w:val="0"/>
          <w:color w:val="000000"/>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 w:val="0"/>
          <w:bCs w:val="0"/>
          <w:color w:val="000000"/>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 w:val="0"/>
          <w:bCs w:val="0"/>
          <w:color w:val="000000"/>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 w:val="0"/>
          <w:bCs w:val="0"/>
          <w:color w:val="000000"/>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 w:val="0"/>
          <w:bCs w:val="0"/>
          <w:color w:val="000000"/>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 w:val="0"/>
          <w:bCs w:val="0"/>
          <w:color w:val="000000"/>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 w:val="0"/>
          <w:bCs w:val="0"/>
          <w:color w:val="000000"/>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 w:cs="Times New Roman"/>
          <w:b w:val="0"/>
          <w:bCs w:val="0"/>
          <w:color w:val="000000"/>
          <w:sz w:val="44"/>
          <w:szCs w:val="44"/>
        </w:rPr>
      </w:pPr>
      <w:r>
        <w:rPr>
          <w:rFonts w:hint="default" w:ascii="Times New Roman" w:hAnsi="Times New Roman" w:eastAsia="方正小标宋简体" w:cs="Times New Roman"/>
          <w:b w:val="0"/>
          <w:bCs w:val="0"/>
          <w:color w:val="000000"/>
          <w:sz w:val="44"/>
          <w:szCs w:val="44"/>
        </w:rPr>
        <w:t>威海市文登区“十四五”养老服务发展规划（2021</w:t>
      </w:r>
      <w:r>
        <w:rPr>
          <w:rFonts w:hint="default" w:ascii="Times New Roman" w:hAnsi="Times New Roman" w:eastAsia="方正小标宋简体" w:cs="Times New Roman"/>
          <w:b w:val="0"/>
          <w:bCs w:val="0"/>
          <w:color w:val="000000"/>
          <w:sz w:val="44"/>
          <w:szCs w:val="44"/>
          <w:lang w:eastAsia="zh-CN"/>
        </w:rPr>
        <w:t>—</w:t>
      </w:r>
      <w:r>
        <w:rPr>
          <w:rFonts w:hint="default" w:ascii="Times New Roman" w:hAnsi="Times New Roman" w:eastAsia="方正小标宋简体" w:cs="Times New Roman"/>
          <w:b w:val="0"/>
          <w:bCs w:val="0"/>
          <w:color w:val="000000"/>
          <w:sz w:val="44"/>
          <w:szCs w:val="44"/>
        </w:rPr>
        <w:t>2025）</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b w:val="0"/>
          <w:bCs w:val="0"/>
          <w:color w:val="000000"/>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为积极应对人口老龄化，加快构建居家社区机构相协调、医养康养相结合的多层次养老服务体系，根据《国家积极应对人口老龄化中长期规划》《山东省国民经济和社会发展第十四个五年规划纲要》《山东省养老服务条例》《山东省“十四五”养老服务体系规划》《威海市文登区国民经济和社会发展第十四个五年规划和二〇三五年远景目标纲要》等，结合我区实际，制定本规划</w:t>
      </w:r>
      <w:r>
        <w:rPr>
          <w:rFonts w:hint="default" w:ascii="Times New Roman" w:hAnsi="Times New Roman" w:eastAsia="仿宋_GB2312" w:cs="Times New Roman"/>
          <w:b w:val="0"/>
          <w:bCs w:val="0"/>
          <w:color w:val="000000"/>
          <w:sz w:val="32"/>
          <w:szCs w:val="32"/>
          <w:lang w:eastAsia="zh-CN"/>
        </w:rPr>
        <w:t>，</w:t>
      </w:r>
      <w:r>
        <w:rPr>
          <w:rFonts w:hint="default" w:ascii="Times New Roman" w:hAnsi="Times New Roman" w:eastAsia="仿宋_GB2312" w:cs="Times New Roman"/>
          <w:b w:val="0"/>
          <w:bCs w:val="0"/>
          <w:color w:val="000000"/>
          <w:sz w:val="32"/>
          <w:szCs w:val="32"/>
        </w:rPr>
        <w:t>规划期限为2021</w:t>
      </w:r>
      <w:r>
        <w:rPr>
          <w:rFonts w:hint="eastAsia" w:eastAsia="仿宋_GB2312" w:cs="Times New Roman"/>
          <w:b w:val="0"/>
          <w:bCs w:val="0"/>
          <w:color w:val="000000"/>
          <w:sz w:val="32"/>
          <w:szCs w:val="32"/>
          <w:lang w:eastAsia="zh-CN"/>
        </w:rPr>
        <w:t>—</w:t>
      </w:r>
      <w:r>
        <w:rPr>
          <w:rFonts w:hint="default" w:ascii="Times New Roman" w:hAnsi="Times New Roman" w:eastAsia="仿宋_GB2312" w:cs="Times New Roman"/>
          <w:b w:val="0"/>
          <w:bCs w:val="0"/>
          <w:color w:val="000000"/>
          <w:sz w:val="32"/>
          <w:szCs w:val="32"/>
        </w:rPr>
        <w:t>2025年。</w:t>
      </w:r>
    </w:p>
    <w:p>
      <w:pPr>
        <w:keepNext w:val="0"/>
        <w:keepLines w:val="0"/>
        <w:pageBreakBefore w:val="0"/>
        <w:widowControl w:val="0"/>
        <w:kinsoku/>
        <w:wordWrap/>
        <w:overflowPunct/>
        <w:topLinePunct w:val="0"/>
        <w:autoSpaceDE/>
        <w:autoSpaceDN/>
        <w:bidi w:val="0"/>
        <w:adjustRightInd/>
        <w:snapToGrid/>
        <w:spacing w:line="560" w:lineRule="exact"/>
        <w:ind w:firstLine="480"/>
        <w:jc w:val="both"/>
        <w:textAlignment w:val="auto"/>
        <w:rPr>
          <w:rFonts w:hint="default" w:ascii="Times New Roman" w:hAnsi="Times New Roman" w:eastAsia="黑体" w:cs="Times New Roman"/>
          <w:b w:val="0"/>
          <w:bCs w:val="0"/>
          <w:color w:val="000000"/>
          <w:sz w:val="32"/>
          <w:szCs w:val="32"/>
        </w:rPr>
      </w:pPr>
      <w:r>
        <w:rPr>
          <w:rFonts w:hint="default" w:ascii="Times New Roman" w:hAnsi="Times New Roman" w:eastAsia="黑体" w:cs="Times New Roman"/>
          <w:b w:val="0"/>
          <w:bCs w:val="0"/>
          <w:color w:val="000000"/>
          <w:sz w:val="32"/>
          <w:szCs w:val="32"/>
        </w:rPr>
        <w:t>一、发展基础与背景</w:t>
      </w:r>
    </w:p>
    <w:p>
      <w:pPr>
        <w:keepNext w:val="0"/>
        <w:keepLines w:val="0"/>
        <w:pageBreakBefore w:val="0"/>
        <w:widowControl w:val="0"/>
        <w:kinsoku/>
        <w:wordWrap/>
        <w:overflowPunct/>
        <w:topLinePunct w:val="0"/>
        <w:autoSpaceDE/>
        <w:autoSpaceDN/>
        <w:bidi w:val="0"/>
        <w:adjustRightInd/>
        <w:snapToGrid/>
        <w:spacing w:line="560" w:lineRule="exact"/>
        <w:ind w:firstLine="480"/>
        <w:jc w:val="both"/>
        <w:textAlignment w:val="auto"/>
        <w:rPr>
          <w:rFonts w:hint="default" w:ascii="Times New Roman" w:hAnsi="Times New Roman" w:eastAsia="楷体_GB2312" w:cs="Times New Roman"/>
          <w:b w:val="0"/>
          <w:bCs w:val="0"/>
          <w:color w:val="000000"/>
          <w:sz w:val="32"/>
          <w:szCs w:val="32"/>
        </w:rPr>
      </w:pPr>
      <w:r>
        <w:rPr>
          <w:rFonts w:hint="default" w:ascii="Times New Roman" w:hAnsi="Times New Roman" w:eastAsia="楷体_GB2312" w:cs="Times New Roman"/>
          <w:b w:val="0"/>
          <w:bCs w:val="0"/>
          <w:color w:val="000000"/>
          <w:sz w:val="32"/>
          <w:szCs w:val="32"/>
        </w:rPr>
        <w:t>（一）发展基础</w:t>
      </w:r>
    </w:p>
    <w:p>
      <w:pPr>
        <w:keepNext w:val="0"/>
        <w:keepLines w:val="0"/>
        <w:pageBreakBefore w:val="0"/>
        <w:widowControl w:val="0"/>
        <w:kinsoku/>
        <w:wordWrap/>
        <w:overflowPunct/>
        <w:topLinePunct w:val="0"/>
        <w:autoSpaceDE/>
        <w:autoSpaceDN/>
        <w:bidi w:val="0"/>
        <w:adjustRightInd/>
        <w:snapToGrid/>
        <w:spacing w:line="560" w:lineRule="exact"/>
        <w:ind w:firstLine="48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十三五”期间，全区深入贯彻落实党中央、国务院建设健康中国、积极应对人口老龄化战略部署，养老服务设施布局基本完成，养老服务政策初步构建，养老服务发展理念明显转变，以“居家为基础、社区为依托、机构为补充、医养相结合”的养老服务体系基本建成。截至2020年年底，全区共有养老服务设施165处，其中养老机构49处、城市社区日间照料中心43处、农村幸福院73处；共有床位10888张，其中护理型床位占57.5%。在城区搭建四级养老服务网络、在农村创新睦邻互助积分养老模式、通过“6012349”智慧养老服务平台为全区65周岁以上的老年人免费办理6012349普惠套餐。5处社区食堂、49处幸福餐桌让老年人每天吃上了一餐热饭。分散特困供养服务站和特困供养人员监护试点建设，进一步提升了分散特困供养的服务质量。2020年文登区在全省136个县区城乡居民满意度调查中排名第三，取得历史最好成绩。</w:t>
      </w:r>
    </w:p>
    <w:p>
      <w:pPr>
        <w:keepNext w:val="0"/>
        <w:keepLines w:val="0"/>
        <w:pageBreakBefore w:val="0"/>
        <w:widowControl w:val="0"/>
        <w:kinsoku/>
        <w:wordWrap/>
        <w:overflowPunct/>
        <w:topLinePunct w:val="0"/>
        <w:autoSpaceDE/>
        <w:autoSpaceDN/>
        <w:bidi w:val="0"/>
        <w:adjustRightInd/>
        <w:snapToGrid/>
        <w:spacing w:line="560" w:lineRule="exact"/>
        <w:ind w:firstLine="480"/>
        <w:jc w:val="both"/>
        <w:textAlignment w:val="auto"/>
        <w:rPr>
          <w:rFonts w:hint="default" w:ascii="Times New Roman" w:hAnsi="Times New Roman" w:eastAsia="楷体_GB2312" w:cs="Times New Roman"/>
          <w:b w:val="0"/>
          <w:bCs w:val="0"/>
          <w:color w:val="000000"/>
          <w:sz w:val="32"/>
          <w:szCs w:val="32"/>
        </w:rPr>
      </w:pPr>
      <w:r>
        <w:rPr>
          <w:rFonts w:hint="default" w:ascii="Times New Roman" w:hAnsi="Times New Roman" w:eastAsia="楷体_GB2312" w:cs="Times New Roman"/>
          <w:b w:val="0"/>
          <w:bCs w:val="0"/>
          <w:color w:val="000000"/>
          <w:sz w:val="32"/>
          <w:szCs w:val="32"/>
        </w:rPr>
        <w:t>（二）发展背景</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十四五”时期，我区养老服务面临新形势。一是深度老龄化加速发展。截至2020年，文登区总人口51.9万，其中60周岁及以上老年人口17.1万，占33%。未来5年文登区老年人口规模将持续增长，老龄化进程加快。二是失能失智照护刚需增加。随着老龄化的加速发展，高龄老年人相应增加，失能失智比例增长。同时，受少子化、家庭规模小型化、新型城镇化等的多重影响，独居、空巢老人人数剧增，家庭照护能力相对不足，迫切需要更多数量更高质量的社会化养老服务。三是信息技术推动养老服务发展深刻转型。随着人工智能、大数据等信息技术的快速发展，特别是互联网+医疗、智慧养老等发展提速，养老服务的供给结构和发展质量在快速变化，需要我们主动顺应养老服务智慧化发展趋势，实现养老服务的转型升级。</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对照老年人对美好生活的向往与全面建成“精致城市·幸福威海”的现代化强区的目标，全区养老服务还存在一些问题与不足。一是城乡发展不平衡。全区农村老龄化程度比城区更高，绝大部分村庄60%以上为老年人，个别村庄实际居住人口老龄化率甚至达到90%以上，成为名副其实的“老人村”。但与之相匹配的养老服务设施不足、养老服务质量不高。二是养老服务供给不够丰富。养老服务设施不够健全，“居家</w:t>
      </w:r>
      <w:r>
        <w:rPr>
          <w:rFonts w:hint="default" w:ascii="Times New Roman" w:hAnsi="Times New Roman" w:eastAsia="仿宋_GB2312" w:cs="Times New Roman"/>
          <w:b w:val="0"/>
          <w:bCs w:val="0"/>
          <w:color w:val="000000"/>
          <w:sz w:val="32"/>
          <w:szCs w:val="32"/>
          <w:lang w:eastAsia="zh-CN"/>
        </w:rPr>
        <w:t>—</w:t>
      </w:r>
      <w:r>
        <w:rPr>
          <w:rFonts w:hint="default" w:ascii="Times New Roman" w:hAnsi="Times New Roman" w:eastAsia="仿宋_GB2312" w:cs="Times New Roman"/>
          <w:b w:val="0"/>
          <w:bCs w:val="0"/>
          <w:color w:val="000000"/>
          <w:sz w:val="32"/>
          <w:szCs w:val="32"/>
        </w:rPr>
        <w:t>社区</w:t>
      </w:r>
      <w:r>
        <w:rPr>
          <w:rFonts w:hint="default" w:ascii="Times New Roman" w:hAnsi="Times New Roman" w:eastAsia="仿宋_GB2312" w:cs="Times New Roman"/>
          <w:b w:val="0"/>
          <w:bCs w:val="0"/>
          <w:color w:val="000000"/>
          <w:sz w:val="32"/>
          <w:szCs w:val="32"/>
          <w:lang w:eastAsia="zh-CN"/>
        </w:rPr>
        <w:t>—</w:t>
      </w:r>
      <w:r>
        <w:rPr>
          <w:rFonts w:hint="default" w:ascii="Times New Roman" w:hAnsi="Times New Roman" w:eastAsia="仿宋_GB2312" w:cs="Times New Roman"/>
          <w:b w:val="0"/>
          <w:bCs w:val="0"/>
          <w:color w:val="000000"/>
          <w:sz w:val="32"/>
          <w:szCs w:val="32"/>
        </w:rPr>
        <w:t>机构”一体化融合发展趋势不显著，普惠性养老服务供给不足。部分民办养老机构基础设施较差、功能较弱，仅能提供基本生活照料服务，无法收住失能老年人。三是养老服务专业人才短缺。养老机构护理员普遍存在年龄大、收入低、学历低、地位低、职业缺乏吸引力、专业性不足等问题。养老机构普遍存在找不到、招不来、留不住的人才困境，限制了养老服务的发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 w:cs="Times New Roman"/>
          <w:b w:val="0"/>
          <w:bCs w:val="0"/>
          <w:color w:val="000000"/>
          <w:sz w:val="32"/>
          <w:szCs w:val="32"/>
        </w:rPr>
      </w:pPr>
      <w:r>
        <w:rPr>
          <w:rFonts w:hint="default" w:ascii="Times New Roman" w:hAnsi="Times New Roman" w:eastAsia="黑体" w:cs="Times New Roman"/>
          <w:b w:val="0"/>
          <w:bCs w:val="0"/>
          <w:color w:val="000000"/>
          <w:sz w:val="32"/>
          <w:szCs w:val="32"/>
        </w:rPr>
        <w:t>二、总体要求</w:t>
      </w:r>
    </w:p>
    <w:p>
      <w:pPr>
        <w:keepNext w:val="0"/>
        <w:keepLines w:val="0"/>
        <w:pageBreakBefore w:val="0"/>
        <w:widowControl w:val="0"/>
        <w:kinsoku/>
        <w:wordWrap/>
        <w:overflowPunct/>
        <w:topLinePunct w:val="0"/>
        <w:autoSpaceDE/>
        <w:autoSpaceDN/>
        <w:bidi w:val="0"/>
        <w:adjustRightInd/>
        <w:snapToGrid/>
        <w:spacing w:line="560" w:lineRule="exact"/>
        <w:ind w:firstLine="480"/>
        <w:jc w:val="both"/>
        <w:textAlignment w:val="auto"/>
        <w:rPr>
          <w:rFonts w:hint="default" w:ascii="Times New Roman" w:hAnsi="Times New Roman" w:eastAsia="楷体_GB2312" w:cs="Times New Roman"/>
          <w:b w:val="0"/>
          <w:bCs w:val="0"/>
          <w:color w:val="000000"/>
          <w:sz w:val="32"/>
          <w:szCs w:val="32"/>
        </w:rPr>
      </w:pPr>
      <w:r>
        <w:rPr>
          <w:rFonts w:hint="default" w:ascii="Times New Roman" w:hAnsi="Times New Roman" w:eastAsia="楷体_GB2312" w:cs="Times New Roman"/>
          <w:b w:val="0"/>
          <w:bCs w:val="0"/>
          <w:color w:val="000000"/>
          <w:sz w:val="32"/>
          <w:szCs w:val="32"/>
        </w:rPr>
        <w:t>（一）指导思想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坚持以习近平新时代中国特色社会主义思想为指导，全面贯彻党的十九大和十九届二中、三中、四中、五中全会精神，深入贯彻落实党中央、国务院决策部署和山东省委、省政府工作要求，立足新发展阶段，贯彻新发展理念，构建养老服务新发展格局，积极实施人口老龄化国家战略，以满足文登区老年人多样化、多层次服务需求为导向，以推动高质量发展为主题，以供给侧结构性改革为主线，以失能老年人长期照护和农村留守老人日常生活照料为重点，完善基本养老服务，发展普惠养老服务，推进互助养老服务，培育人才队伍，支持家庭承担养老功能，培育养老服务新业态，充分激发养老市场活力，引导规范社会化养老，促进养老事业和养老产业协同发展，着力打造居家社区机构相协调、医养康养相结合、城乡统筹兼顾的养老服务体系，真正实现“康养圣地，品质养老”的美好愿景。</w:t>
      </w:r>
    </w:p>
    <w:p>
      <w:pPr>
        <w:keepNext w:val="0"/>
        <w:keepLines w:val="0"/>
        <w:pageBreakBefore w:val="0"/>
        <w:widowControl w:val="0"/>
        <w:kinsoku/>
        <w:wordWrap/>
        <w:overflowPunct/>
        <w:topLinePunct w:val="0"/>
        <w:autoSpaceDE/>
        <w:autoSpaceDN/>
        <w:bidi w:val="0"/>
        <w:adjustRightInd/>
        <w:snapToGrid/>
        <w:spacing w:line="560" w:lineRule="exact"/>
        <w:ind w:firstLine="480"/>
        <w:jc w:val="both"/>
        <w:textAlignment w:val="auto"/>
        <w:rPr>
          <w:rFonts w:hint="default" w:ascii="Times New Roman" w:hAnsi="Times New Roman" w:eastAsia="楷体_GB2312" w:cs="Times New Roman"/>
          <w:b w:val="0"/>
          <w:bCs w:val="0"/>
          <w:color w:val="000000"/>
          <w:sz w:val="32"/>
          <w:szCs w:val="32"/>
        </w:rPr>
      </w:pPr>
      <w:r>
        <w:rPr>
          <w:rFonts w:hint="default" w:ascii="Times New Roman" w:hAnsi="Times New Roman" w:eastAsia="楷体_GB2312" w:cs="Times New Roman"/>
          <w:b w:val="0"/>
          <w:bCs w:val="0"/>
          <w:color w:val="000000"/>
          <w:sz w:val="32"/>
          <w:szCs w:val="32"/>
        </w:rPr>
        <w:t>（二）基本原则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政府主导，多元参与。坚持政府主导文登养老服务发展，为老年居民提供基本生活保障，确保基础养老服务的公益性。以养老服务的市场化、产业化为起点，构建文登全域融合的养老产业体系，广泛吸纳社会资本参与文登养老服务发展，培育市场服务主体，规范市场主体经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保障基本，统筹发展。加大对养老服务的财政投入和社会资本吸纳力度，增加基本养老服务供给，建立健全基本养老服务监督考评体系，提高基本养老服务水平。建设多层次、普惠型基本养老服务体系，健全困难群体兜底养老服务、留守老人日常照料服务、失能老人长期照护服务，建设全区范围基本养老服务体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立足社区，改革创新。将养老服务有效融入社区公共服务体系，明确社区在养老服务中的功能定位，发挥社区的养老平台作用。以社区为基础，了解养老服务需求，擘画养老服务制度，建设养老服务设施，培养社区养老服务人才队伍，规划养老服务内容，完善居家养老服务体系。提高社区的养老服务自治能力，促进社区内互助养老。将养老产业作为农村一二三</w:t>
      </w:r>
      <w:r>
        <w:rPr>
          <w:rFonts w:hint="default" w:ascii="Times New Roman" w:hAnsi="Times New Roman" w:eastAsia="仿宋_GB2312" w:cs="Times New Roman"/>
          <w:b w:val="0"/>
          <w:bCs w:val="0"/>
          <w:color w:val="000000"/>
          <w:sz w:val="32"/>
          <w:szCs w:val="32"/>
          <w:lang w:eastAsia="zh-CN"/>
        </w:rPr>
        <w:t>产业</w:t>
      </w:r>
      <w:r>
        <w:rPr>
          <w:rFonts w:hint="default" w:ascii="Times New Roman" w:hAnsi="Times New Roman" w:eastAsia="仿宋_GB2312" w:cs="Times New Roman"/>
          <w:b w:val="0"/>
          <w:bCs w:val="0"/>
          <w:color w:val="000000"/>
          <w:sz w:val="32"/>
          <w:szCs w:val="32"/>
        </w:rPr>
        <w:t>融合发展的导向性目标和组成部分之一，统筹文登文旅项目融入养老产业，投资养老服务，构建养老产业品牌。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数字支撑，高质发展。搭建文登区智慧养老综合指挥平台，建设全区养老服务统一指挥调度体系。全流程支持、监督家庭养老床位项目，促进居家老年人生活环境的适老化改造，引进数字化、智能化老年人能力评估系统和养老服务设施等级评估系统，为养老机构、日间照料中心、农村幸福院开展等级评定。服务城市社区日间照料中心、农村幸福院、农村睦邻点的建设和运营，统筹补助资金的审批和监管。</w:t>
      </w:r>
    </w:p>
    <w:p>
      <w:pPr>
        <w:keepNext w:val="0"/>
        <w:keepLines w:val="0"/>
        <w:pageBreakBefore w:val="0"/>
        <w:widowControl w:val="0"/>
        <w:kinsoku/>
        <w:wordWrap/>
        <w:overflowPunct/>
        <w:topLinePunct w:val="0"/>
        <w:autoSpaceDE/>
        <w:autoSpaceDN/>
        <w:bidi w:val="0"/>
        <w:adjustRightInd/>
        <w:snapToGrid/>
        <w:spacing w:line="560" w:lineRule="exact"/>
        <w:ind w:left="210" w:firstLine="320" w:firstLineChars="100"/>
        <w:jc w:val="both"/>
        <w:textAlignment w:val="auto"/>
        <w:rPr>
          <w:rFonts w:hint="default" w:ascii="Times New Roman" w:hAnsi="Times New Roman" w:eastAsia="楷体_GB2312" w:cs="Times New Roman"/>
          <w:b w:val="0"/>
          <w:bCs w:val="0"/>
          <w:color w:val="000000"/>
          <w:sz w:val="32"/>
          <w:szCs w:val="32"/>
        </w:rPr>
      </w:pPr>
      <w:r>
        <w:rPr>
          <w:rFonts w:hint="default" w:ascii="Times New Roman" w:hAnsi="Times New Roman" w:eastAsia="楷体_GB2312" w:cs="Times New Roman"/>
          <w:b w:val="0"/>
          <w:bCs w:val="0"/>
          <w:color w:val="000000"/>
          <w:sz w:val="32"/>
          <w:szCs w:val="32"/>
        </w:rPr>
        <w:t>（三）主要目标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以国家积极应对人口老龄化战略为统领，以“党委领导、政府主导、社会参与、全民行动”为方针，持续推进老年友好型社会建设。到2025年，建立与文登区经济社会发展水平相适应、与人口老龄化进程相匹配的老龄事业发展体系。不断健全养老服务制度，挖掘健康养老文化，优化养老服务环境，培育养老服务人才，提质养老服务产业，丰富养老服务技术，逐步形成兜底供养有保障、普惠养老能满足、中高端市场可选择的多层次、城乡统筹的“县域整合式”养老服务供给机制，优化居家、社区及机构养老布局，高水平建设“环境精致、机构精简、服务精细、技术精准”的“县域养老创新示范区”，打造具有文登本土特色的组合式养老品牌，全面提升广大老年人的获得感、幸福感和安全感。</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养老服务主体不断扩展。坚持党对养老服务工作的全面领导，营造“党建+养老”服务品牌，发挥政府主导作用，构建家庭、社会、个人共同参与、各尽其责的基本格局。引导社会力量广泛参与，打造“社区（村集体）+企业+社会工作者+志愿者”四方联动养老服务品牌，充分激发市场和全社会的养老活力。</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老年福利水平明显提升。探索老年人福利政策逐步惠及常住老年人口。兜底保障、基本养老服务、多层次长期护理保险三项制度落实到位，失能失智老年人得到长期照护保障。建立健全特殊老年人巡访关爱制度，高龄津贴、百岁老人长寿保健金逐步提高，老年优待对象不断扩大、更加精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医养结合能力显著加强。居家社区机构养老服务更加紧密，家庭适老化改造更加普及，家庭照护支持政策进一步健全。医养健康服务深入推进，健康教育、预防保健、疾病诊治、康复护理、长期照护、安宁疗护等老年健康服务与供给不断丰富完善，进一步加强老年人健康管理，满足老年人身体、心理、社会参与等不同层面的健康需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城乡养老服务更加均衡。通过“骨干培育一批，高端引进一批，服务质量淘汰一批”，推动城区机构养老资源布局优化。补齐农村养老服务短板，实施特困人员供养服务设施（敬老院）改造提升工程，升级农村幸福院等互助养老设施，优化农村养老睦邻互助点建设，建立健全农村区域性综合养老服务中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康复护理质量不断提高。聚焦失能老年人的长期照护需求，支持将普通型床位改造升级为护理型床位，护理型床位占比60%以上。护理服务队伍日趋壮大，大力开展养老护理员培训，增加护理人员数量，完善人才激励政策，促进社会工作更好地运用于养老服务领域。争取到2025年，每万名老年人拥有持证养老护理员达到25人，持证养老护理员持救护员证比例达60%以上，每60张养老机构床位配备1名社会工作者。</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智慧养老服务深化拓展。坚持把科技创新作为积极应对人口老龄化的第一动力和战略支撑，加快养老服务业的技术创新、模式创新、业态创新和产品创新，着力推进养老领域数字化赋能及服务与管理流程再造，提升养老服务的信息化、科学化水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养老服务市场健康发展。促进养老服务产业高质量发展，不断增强养老机构运营管理与市场竞争能力，打造一批骨干型养老服务企业。促进养老服务产业与文化、教育、家政、医疗、商业、金融、保险、旅游等行业融合发展，形成一批产业链条长、覆盖领域广、经济社会效益好的服务名牌和产业集群。</w:t>
      </w:r>
    </w:p>
    <w:p>
      <w:pPr>
        <w:keepNext w:val="0"/>
        <w:keepLines w:val="0"/>
        <w:pageBreakBefore w:val="0"/>
        <w:kinsoku/>
        <w:wordWrap/>
        <w:overflowPunct/>
        <w:topLinePunct w:val="0"/>
        <w:autoSpaceDE/>
        <w:autoSpaceDN/>
        <w:bidi w:val="0"/>
        <w:spacing w:line="560" w:lineRule="exact"/>
        <w:ind w:left="0" w:leftChars="0" w:firstLine="0" w:firstLineChars="0"/>
        <w:jc w:val="center"/>
        <w:textAlignment w:val="auto"/>
        <w:rPr>
          <w:rFonts w:hint="default" w:ascii="Times New Roman" w:hAnsi="Times New Roman" w:eastAsia="黑体" w:cs="Times New Roman"/>
          <w:b w:val="0"/>
          <w:bCs w:val="0"/>
          <w:color w:val="000000"/>
          <w:sz w:val="32"/>
          <w:szCs w:val="32"/>
        </w:rPr>
      </w:pPr>
      <w:r>
        <w:rPr>
          <w:rFonts w:hint="default" w:ascii="Times New Roman" w:hAnsi="Times New Roman" w:eastAsia="黑体" w:cs="Times New Roman"/>
          <w:b w:val="0"/>
          <w:bCs w:val="0"/>
          <w:color w:val="000000"/>
          <w:sz w:val="32"/>
          <w:szCs w:val="32"/>
        </w:rPr>
        <w:t>“十四五”期间文登区养老服务发展规划指标</w:t>
      </w:r>
    </w:p>
    <w:tbl>
      <w:tblPr>
        <w:tblStyle w:val="15"/>
        <w:tblpPr w:leftFromText="180" w:rightFromText="180" w:vertAnchor="text" w:horzAnchor="page" w:tblpXSpec="center" w:tblpY="154"/>
        <w:tblOverlap w:val="never"/>
        <w:tblW w:w="0" w:type="auto"/>
        <w:jc w:val="center"/>
        <w:tblLayout w:type="fixed"/>
        <w:tblCellMar>
          <w:top w:w="15" w:type="dxa"/>
          <w:left w:w="15" w:type="dxa"/>
          <w:bottom w:w="15" w:type="dxa"/>
          <w:right w:w="15" w:type="dxa"/>
        </w:tblCellMar>
      </w:tblPr>
      <w:tblGrid>
        <w:gridCol w:w="6031"/>
        <w:gridCol w:w="1120"/>
        <w:gridCol w:w="1469"/>
      </w:tblGrid>
      <w:tr>
        <w:tblPrEx>
          <w:tblCellMar>
            <w:top w:w="15" w:type="dxa"/>
            <w:left w:w="15" w:type="dxa"/>
            <w:bottom w:w="15" w:type="dxa"/>
            <w:right w:w="15" w:type="dxa"/>
          </w:tblCellMar>
        </w:tblPrEx>
        <w:trPr>
          <w:trHeight w:val="570" w:hRule="atLeast"/>
          <w:jc w:val="center"/>
        </w:trPr>
        <w:tc>
          <w:tcPr>
            <w:tcW w:w="603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default" w:ascii="Times New Roman" w:hAnsi="Times New Roman" w:eastAsia="黑体" w:cs="Times New Roman"/>
                <w:b w:val="0"/>
                <w:bCs w:val="0"/>
                <w:color w:val="000000"/>
                <w:szCs w:val="21"/>
              </w:rPr>
            </w:pPr>
            <w:r>
              <w:rPr>
                <w:rFonts w:hint="default" w:ascii="Times New Roman" w:hAnsi="Times New Roman" w:eastAsia="黑体" w:cs="Times New Roman"/>
                <w:b w:val="0"/>
                <w:bCs w:val="0"/>
                <w:color w:val="000000"/>
                <w:szCs w:val="21"/>
              </w:rPr>
              <w:t>指      标</w:t>
            </w:r>
          </w:p>
        </w:tc>
        <w:tc>
          <w:tcPr>
            <w:tcW w:w="11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default" w:ascii="Times New Roman" w:hAnsi="Times New Roman" w:eastAsia="黑体" w:cs="Times New Roman"/>
                <w:b w:val="0"/>
                <w:bCs w:val="0"/>
                <w:color w:val="000000"/>
                <w:szCs w:val="21"/>
              </w:rPr>
            </w:pPr>
            <w:r>
              <w:rPr>
                <w:rFonts w:hint="default" w:ascii="Times New Roman" w:hAnsi="Times New Roman" w:eastAsia="黑体" w:cs="Times New Roman"/>
                <w:b w:val="0"/>
                <w:bCs w:val="0"/>
                <w:color w:val="000000"/>
                <w:szCs w:val="21"/>
              </w:rPr>
              <w:t>类型</w:t>
            </w:r>
          </w:p>
        </w:tc>
        <w:tc>
          <w:tcPr>
            <w:tcW w:w="146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default" w:ascii="Times New Roman" w:hAnsi="Times New Roman" w:eastAsia="黑体" w:cs="Times New Roman"/>
                <w:b w:val="0"/>
                <w:bCs w:val="0"/>
                <w:color w:val="000000"/>
                <w:szCs w:val="21"/>
              </w:rPr>
            </w:pPr>
            <w:r>
              <w:rPr>
                <w:rFonts w:hint="default" w:ascii="Times New Roman" w:hAnsi="Times New Roman" w:eastAsia="黑体" w:cs="Times New Roman"/>
                <w:b w:val="0"/>
                <w:bCs w:val="0"/>
                <w:color w:val="000000"/>
                <w:szCs w:val="21"/>
              </w:rPr>
              <w:t>2025年目标值</w:t>
            </w:r>
          </w:p>
        </w:tc>
      </w:tr>
      <w:tr>
        <w:tblPrEx>
          <w:tblCellMar>
            <w:top w:w="15" w:type="dxa"/>
            <w:left w:w="15" w:type="dxa"/>
            <w:bottom w:w="15" w:type="dxa"/>
            <w:right w:w="15" w:type="dxa"/>
          </w:tblCellMar>
        </w:tblPrEx>
        <w:trPr>
          <w:trHeight w:val="570" w:hRule="atLeast"/>
          <w:jc w:val="center"/>
        </w:trPr>
        <w:tc>
          <w:tcPr>
            <w:tcW w:w="603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hint="default" w:ascii="Times New Roman" w:hAnsi="Times New Roman" w:eastAsia="仿宋" w:cs="Times New Roman"/>
                <w:b w:val="0"/>
                <w:bCs w:val="0"/>
                <w:color w:val="000000"/>
                <w:kern w:val="44"/>
                <w:szCs w:val="21"/>
              </w:rPr>
            </w:pPr>
            <w:r>
              <w:rPr>
                <w:rFonts w:hint="default" w:ascii="Times New Roman" w:hAnsi="Times New Roman" w:eastAsia="仿宋" w:cs="Times New Roman"/>
                <w:b w:val="0"/>
                <w:bCs w:val="0"/>
                <w:color w:val="000000"/>
                <w:kern w:val="44"/>
                <w:szCs w:val="21"/>
              </w:rPr>
              <w:t>失能特困人员集中供养率</w:t>
            </w:r>
          </w:p>
        </w:tc>
        <w:tc>
          <w:tcPr>
            <w:tcW w:w="11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default" w:ascii="Times New Roman" w:hAnsi="Times New Roman" w:eastAsia="仿宋" w:cs="Times New Roman"/>
                <w:b w:val="0"/>
                <w:bCs w:val="0"/>
                <w:color w:val="000000"/>
                <w:szCs w:val="21"/>
              </w:rPr>
            </w:pPr>
            <w:r>
              <w:rPr>
                <w:rFonts w:hint="default" w:ascii="Times New Roman" w:hAnsi="Times New Roman" w:eastAsia="仿宋" w:cs="Times New Roman"/>
                <w:b w:val="0"/>
                <w:bCs w:val="0"/>
                <w:color w:val="000000"/>
                <w:szCs w:val="21"/>
              </w:rPr>
              <w:t>约束性</w:t>
            </w:r>
          </w:p>
        </w:tc>
        <w:tc>
          <w:tcPr>
            <w:tcW w:w="146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default" w:ascii="Times New Roman" w:hAnsi="Times New Roman" w:eastAsia="仿宋" w:cs="Times New Roman"/>
                <w:b w:val="0"/>
                <w:bCs w:val="0"/>
                <w:color w:val="000000"/>
                <w:szCs w:val="21"/>
              </w:rPr>
            </w:pPr>
            <w:r>
              <w:rPr>
                <w:rFonts w:hint="default" w:ascii="Times New Roman" w:hAnsi="Times New Roman" w:eastAsia="仿宋" w:cs="Times New Roman"/>
                <w:b w:val="0"/>
                <w:bCs w:val="0"/>
                <w:color w:val="000000"/>
                <w:szCs w:val="21"/>
              </w:rPr>
              <w:t>≥60%</w:t>
            </w:r>
          </w:p>
        </w:tc>
      </w:tr>
      <w:tr>
        <w:tblPrEx>
          <w:tblCellMar>
            <w:top w:w="15" w:type="dxa"/>
            <w:left w:w="15" w:type="dxa"/>
            <w:bottom w:w="15" w:type="dxa"/>
            <w:right w:w="15" w:type="dxa"/>
          </w:tblCellMar>
        </w:tblPrEx>
        <w:trPr>
          <w:trHeight w:val="570" w:hRule="atLeast"/>
          <w:jc w:val="center"/>
        </w:trPr>
        <w:tc>
          <w:tcPr>
            <w:tcW w:w="603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hint="default" w:ascii="Times New Roman" w:hAnsi="Times New Roman" w:eastAsia="仿宋" w:cs="Times New Roman"/>
                <w:b w:val="0"/>
                <w:bCs w:val="0"/>
                <w:color w:val="000000"/>
                <w:kern w:val="44"/>
                <w:szCs w:val="21"/>
              </w:rPr>
            </w:pPr>
            <w:r>
              <w:rPr>
                <w:rFonts w:hint="default" w:ascii="Times New Roman" w:hAnsi="Times New Roman" w:eastAsia="仿宋" w:cs="Times New Roman"/>
                <w:b w:val="0"/>
                <w:bCs w:val="0"/>
                <w:color w:val="000000"/>
                <w:kern w:val="44"/>
                <w:szCs w:val="21"/>
              </w:rPr>
              <w:t>有集中供养意愿的特困人员集中供养率</w:t>
            </w:r>
          </w:p>
        </w:tc>
        <w:tc>
          <w:tcPr>
            <w:tcW w:w="11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default" w:ascii="Times New Roman" w:hAnsi="Times New Roman" w:eastAsia="仿宋" w:cs="Times New Roman"/>
                <w:b w:val="0"/>
                <w:bCs w:val="0"/>
                <w:color w:val="000000"/>
                <w:szCs w:val="21"/>
              </w:rPr>
            </w:pPr>
            <w:r>
              <w:rPr>
                <w:rFonts w:hint="default" w:ascii="Times New Roman" w:hAnsi="Times New Roman" w:eastAsia="仿宋" w:cs="Times New Roman"/>
                <w:b w:val="0"/>
                <w:bCs w:val="0"/>
                <w:color w:val="000000"/>
                <w:szCs w:val="21"/>
              </w:rPr>
              <w:t>约束性</w:t>
            </w:r>
          </w:p>
        </w:tc>
        <w:tc>
          <w:tcPr>
            <w:tcW w:w="146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default" w:ascii="Times New Roman" w:hAnsi="Times New Roman" w:eastAsia="仿宋" w:cs="Times New Roman"/>
                <w:b w:val="0"/>
                <w:bCs w:val="0"/>
                <w:color w:val="000000"/>
                <w:szCs w:val="21"/>
              </w:rPr>
            </w:pPr>
            <w:r>
              <w:rPr>
                <w:rFonts w:hint="default" w:ascii="Times New Roman" w:hAnsi="Times New Roman" w:eastAsia="仿宋" w:cs="Times New Roman"/>
                <w:b w:val="0"/>
                <w:bCs w:val="0"/>
                <w:color w:val="000000"/>
                <w:szCs w:val="21"/>
              </w:rPr>
              <w:t>100%</w:t>
            </w:r>
          </w:p>
        </w:tc>
      </w:tr>
      <w:tr>
        <w:tblPrEx>
          <w:tblCellMar>
            <w:top w:w="15" w:type="dxa"/>
            <w:left w:w="15" w:type="dxa"/>
            <w:bottom w:w="15" w:type="dxa"/>
            <w:right w:w="15" w:type="dxa"/>
          </w:tblCellMar>
        </w:tblPrEx>
        <w:trPr>
          <w:trHeight w:val="570" w:hRule="atLeast"/>
          <w:jc w:val="center"/>
        </w:trPr>
        <w:tc>
          <w:tcPr>
            <w:tcW w:w="603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hint="default" w:ascii="Times New Roman" w:hAnsi="Times New Roman" w:eastAsia="仿宋" w:cs="Times New Roman"/>
                <w:b w:val="0"/>
                <w:bCs w:val="0"/>
                <w:color w:val="000000"/>
                <w:kern w:val="44"/>
                <w:szCs w:val="21"/>
              </w:rPr>
            </w:pPr>
            <w:r>
              <w:rPr>
                <w:rFonts w:hint="default" w:ascii="Times New Roman" w:hAnsi="Times New Roman" w:eastAsia="仿宋" w:cs="Times New Roman"/>
                <w:b w:val="0"/>
                <w:bCs w:val="0"/>
                <w:color w:val="000000"/>
                <w:kern w:val="44"/>
                <w:szCs w:val="21"/>
              </w:rPr>
              <w:t>特殊困难老年人月探访率</w:t>
            </w:r>
          </w:p>
        </w:tc>
        <w:tc>
          <w:tcPr>
            <w:tcW w:w="11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default" w:ascii="Times New Roman" w:hAnsi="Times New Roman" w:eastAsia="仿宋" w:cs="Times New Roman"/>
                <w:b w:val="0"/>
                <w:bCs w:val="0"/>
                <w:color w:val="000000"/>
                <w:szCs w:val="21"/>
              </w:rPr>
            </w:pPr>
            <w:r>
              <w:rPr>
                <w:rFonts w:hint="default" w:ascii="Times New Roman" w:hAnsi="Times New Roman" w:eastAsia="仿宋" w:cs="Times New Roman"/>
                <w:b w:val="0"/>
                <w:bCs w:val="0"/>
                <w:color w:val="000000"/>
                <w:szCs w:val="21"/>
              </w:rPr>
              <w:t>约束性</w:t>
            </w:r>
          </w:p>
        </w:tc>
        <w:tc>
          <w:tcPr>
            <w:tcW w:w="146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default" w:ascii="Times New Roman" w:hAnsi="Times New Roman" w:eastAsia="仿宋" w:cs="Times New Roman"/>
                <w:b w:val="0"/>
                <w:bCs w:val="0"/>
                <w:color w:val="000000"/>
                <w:szCs w:val="21"/>
              </w:rPr>
            </w:pPr>
            <w:r>
              <w:rPr>
                <w:rFonts w:hint="default" w:ascii="Times New Roman" w:hAnsi="Times New Roman" w:eastAsia="仿宋" w:cs="Times New Roman"/>
                <w:b w:val="0"/>
                <w:bCs w:val="0"/>
                <w:color w:val="000000"/>
                <w:szCs w:val="21"/>
              </w:rPr>
              <w:t>100%</w:t>
            </w:r>
          </w:p>
        </w:tc>
      </w:tr>
      <w:tr>
        <w:tblPrEx>
          <w:tblCellMar>
            <w:top w:w="15" w:type="dxa"/>
            <w:left w:w="15" w:type="dxa"/>
            <w:bottom w:w="15" w:type="dxa"/>
            <w:right w:w="15" w:type="dxa"/>
          </w:tblCellMar>
        </w:tblPrEx>
        <w:trPr>
          <w:trHeight w:val="570" w:hRule="atLeast"/>
          <w:jc w:val="center"/>
        </w:trPr>
        <w:tc>
          <w:tcPr>
            <w:tcW w:w="603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hint="default" w:ascii="Times New Roman" w:hAnsi="Times New Roman" w:eastAsia="仿宋" w:cs="Times New Roman"/>
                <w:b w:val="0"/>
                <w:bCs w:val="0"/>
                <w:color w:val="000000"/>
                <w:kern w:val="44"/>
                <w:szCs w:val="21"/>
              </w:rPr>
            </w:pPr>
            <w:r>
              <w:rPr>
                <w:rFonts w:hint="default" w:ascii="Times New Roman" w:hAnsi="Times New Roman" w:eastAsia="仿宋" w:cs="Times New Roman"/>
                <w:b w:val="0"/>
                <w:bCs w:val="0"/>
                <w:color w:val="000000"/>
                <w:kern w:val="44"/>
                <w:szCs w:val="21"/>
              </w:rPr>
              <w:t>新建城区、新建居住（小）区配套建设养老服务设施达标率</w:t>
            </w:r>
          </w:p>
        </w:tc>
        <w:tc>
          <w:tcPr>
            <w:tcW w:w="11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default" w:ascii="Times New Roman" w:hAnsi="Times New Roman" w:eastAsia="仿宋" w:cs="Times New Roman"/>
                <w:b w:val="0"/>
                <w:bCs w:val="0"/>
                <w:color w:val="000000"/>
                <w:szCs w:val="21"/>
              </w:rPr>
            </w:pPr>
            <w:r>
              <w:rPr>
                <w:rFonts w:hint="default" w:ascii="Times New Roman" w:hAnsi="Times New Roman" w:eastAsia="仿宋" w:cs="Times New Roman"/>
                <w:b w:val="0"/>
                <w:bCs w:val="0"/>
                <w:color w:val="000000"/>
                <w:szCs w:val="21"/>
              </w:rPr>
              <w:t>约束性</w:t>
            </w:r>
          </w:p>
        </w:tc>
        <w:tc>
          <w:tcPr>
            <w:tcW w:w="146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default" w:ascii="Times New Roman" w:hAnsi="Times New Roman" w:eastAsia="仿宋" w:cs="Times New Roman"/>
                <w:b w:val="0"/>
                <w:bCs w:val="0"/>
                <w:color w:val="000000"/>
                <w:szCs w:val="21"/>
              </w:rPr>
            </w:pPr>
            <w:r>
              <w:rPr>
                <w:rFonts w:hint="default" w:ascii="Times New Roman" w:hAnsi="Times New Roman" w:eastAsia="仿宋" w:cs="Times New Roman"/>
                <w:b w:val="0"/>
                <w:bCs w:val="0"/>
                <w:color w:val="000000"/>
                <w:szCs w:val="21"/>
              </w:rPr>
              <w:t>100%</w:t>
            </w:r>
          </w:p>
        </w:tc>
      </w:tr>
      <w:tr>
        <w:tblPrEx>
          <w:tblCellMar>
            <w:top w:w="15" w:type="dxa"/>
            <w:left w:w="15" w:type="dxa"/>
            <w:bottom w:w="15" w:type="dxa"/>
            <w:right w:w="15" w:type="dxa"/>
          </w:tblCellMar>
        </w:tblPrEx>
        <w:trPr>
          <w:trHeight w:val="570" w:hRule="atLeast"/>
          <w:jc w:val="center"/>
        </w:trPr>
        <w:tc>
          <w:tcPr>
            <w:tcW w:w="603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hint="default" w:ascii="Times New Roman" w:hAnsi="Times New Roman" w:eastAsia="仿宋" w:cs="Times New Roman"/>
                <w:b w:val="0"/>
                <w:bCs w:val="0"/>
                <w:color w:val="000000"/>
                <w:kern w:val="44"/>
                <w:szCs w:val="21"/>
              </w:rPr>
            </w:pPr>
            <w:r>
              <w:rPr>
                <w:rFonts w:hint="default" w:ascii="Times New Roman" w:hAnsi="Times New Roman" w:eastAsia="仿宋" w:cs="Times New Roman"/>
                <w:b w:val="0"/>
                <w:bCs w:val="0"/>
                <w:color w:val="000000"/>
                <w:kern w:val="44"/>
                <w:szCs w:val="21"/>
              </w:rPr>
              <w:t>全区养老床位总数（万张）</w:t>
            </w:r>
          </w:p>
        </w:tc>
        <w:tc>
          <w:tcPr>
            <w:tcW w:w="11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default" w:ascii="Times New Roman" w:hAnsi="Times New Roman" w:eastAsia="仿宋" w:cs="Times New Roman"/>
                <w:b w:val="0"/>
                <w:bCs w:val="0"/>
                <w:color w:val="000000"/>
                <w:szCs w:val="21"/>
              </w:rPr>
            </w:pPr>
            <w:r>
              <w:rPr>
                <w:rFonts w:hint="default" w:ascii="Times New Roman" w:hAnsi="Times New Roman" w:eastAsia="仿宋" w:cs="Times New Roman"/>
                <w:b w:val="0"/>
                <w:bCs w:val="0"/>
                <w:color w:val="000000"/>
                <w:szCs w:val="21"/>
              </w:rPr>
              <w:t>约束性</w:t>
            </w:r>
          </w:p>
        </w:tc>
        <w:tc>
          <w:tcPr>
            <w:tcW w:w="146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default" w:ascii="Times New Roman" w:hAnsi="Times New Roman" w:eastAsia="仿宋" w:cs="Times New Roman"/>
                <w:b w:val="0"/>
                <w:bCs w:val="0"/>
                <w:color w:val="000000"/>
                <w:szCs w:val="21"/>
              </w:rPr>
            </w:pPr>
            <w:r>
              <w:rPr>
                <w:rFonts w:hint="default" w:ascii="Times New Roman" w:hAnsi="Times New Roman" w:eastAsia="仿宋" w:cs="Times New Roman"/>
                <w:b w:val="0"/>
                <w:bCs w:val="0"/>
                <w:color w:val="000000"/>
                <w:szCs w:val="21"/>
              </w:rPr>
              <w:t>2</w:t>
            </w:r>
          </w:p>
        </w:tc>
      </w:tr>
      <w:tr>
        <w:tblPrEx>
          <w:tblCellMar>
            <w:top w:w="15" w:type="dxa"/>
            <w:left w:w="15" w:type="dxa"/>
            <w:bottom w:w="15" w:type="dxa"/>
            <w:right w:w="15" w:type="dxa"/>
          </w:tblCellMar>
        </w:tblPrEx>
        <w:trPr>
          <w:trHeight w:val="570" w:hRule="atLeast"/>
          <w:jc w:val="center"/>
        </w:trPr>
        <w:tc>
          <w:tcPr>
            <w:tcW w:w="603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hint="default" w:ascii="Times New Roman" w:hAnsi="Times New Roman" w:eastAsia="仿宋" w:cs="Times New Roman"/>
                <w:b w:val="0"/>
                <w:bCs w:val="0"/>
                <w:color w:val="000000"/>
                <w:kern w:val="44"/>
                <w:szCs w:val="21"/>
              </w:rPr>
            </w:pPr>
            <w:r>
              <w:rPr>
                <w:rFonts w:hint="default" w:ascii="Times New Roman" w:hAnsi="Times New Roman" w:eastAsia="仿宋" w:cs="Times New Roman"/>
                <w:b w:val="0"/>
                <w:bCs w:val="0"/>
                <w:color w:val="000000"/>
                <w:kern w:val="44"/>
                <w:szCs w:val="21"/>
              </w:rPr>
              <w:t>养老机构护理型床位占比</w:t>
            </w:r>
          </w:p>
        </w:tc>
        <w:tc>
          <w:tcPr>
            <w:tcW w:w="11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default" w:ascii="Times New Roman" w:hAnsi="Times New Roman" w:eastAsia="仿宋" w:cs="Times New Roman"/>
                <w:b w:val="0"/>
                <w:bCs w:val="0"/>
                <w:color w:val="000000"/>
                <w:szCs w:val="21"/>
              </w:rPr>
            </w:pPr>
            <w:r>
              <w:rPr>
                <w:rFonts w:hint="default" w:ascii="Times New Roman" w:hAnsi="Times New Roman" w:eastAsia="仿宋" w:cs="Times New Roman"/>
                <w:b w:val="0"/>
                <w:bCs w:val="0"/>
                <w:color w:val="000000"/>
                <w:szCs w:val="21"/>
              </w:rPr>
              <w:t>约束性</w:t>
            </w:r>
          </w:p>
        </w:tc>
        <w:tc>
          <w:tcPr>
            <w:tcW w:w="146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default" w:ascii="Times New Roman" w:hAnsi="Times New Roman" w:eastAsia="仿宋" w:cs="Times New Roman"/>
                <w:b w:val="0"/>
                <w:bCs w:val="0"/>
                <w:color w:val="000000"/>
                <w:szCs w:val="21"/>
              </w:rPr>
            </w:pPr>
            <w:r>
              <w:rPr>
                <w:rFonts w:hint="default" w:ascii="Times New Roman" w:hAnsi="Times New Roman" w:eastAsia="仿宋" w:cs="Times New Roman"/>
                <w:b w:val="0"/>
                <w:bCs w:val="0"/>
                <w:color w:val="000000"/>
                <w:szCs w:val="21"/>
              </w:rPr>
              <w:t>≥60%</w:t>
            </w:r>
          </w:p>
        </w:tc>
      </w:tr>
      <w:tr>
        <w:tblPrEx>
          <w:tblCellMar>
            <w:top w:w="15" w:type="dxa"/>
            <w:left w:w="15" w:type="dxa"/>
            <w:bottom w:w="15" w:type="dxa"/>
            <w:right w:w="15" w:type="dxa"/>
          </w:tblCellMar>
        </w:tblPrEx>
        <w:trPr>
          <w:trHeight w:val="570" w:hRule="atLeast"/>
          <w:jc w:val="center"/>
        </w:trPr>
        <w:tc>
          <w:tcPr>
            <w:tcW w:w="603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hint="default" w:ascii="Times New Roman" w:hAnsi="Times New Roman" w:eastAsia="仿宋" w:cs="Times New Roman"/>
                <w:b w:val="0"/>
                <w:bCs w:val="0"/>
                <w:color w:val="000000"/>
                <w:kern w:val="44"/>
                <w:szCs w:val="21"/>
              </w:rPr>
            </w:pPr>
            <w:r>
              <w:rPr>
                <w:rFonts w:hint="default" w:ascii="Times New Roman" w:hAnsi="Times New Roman" w:eastAsia="仿宋" w:cs="Times New Roman"/>
                <w:b w:val="0"/>
                <w:bCs w:val="0"/>
                <w:color w:val="000000"/>
                <w:kern w:val="44"/>
                <w:szCs w:val="21"/>
              </w:rPr>
              <w:t>老年认知障碍照护床位（万张）</w:t>
            </w:r>
          </w:p>
        </w:tc>
        <w:tc>
          <w:tcPr>
            <w:tcW w:w="11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default" w:ascii="Times New Roman" w:hAnsi="Times New Roman" w:eastAsia="仿宋" w:cs="Times New Roman"/>
                <w:b w:val="0"/>
                <w:bCs w:val="0"/>
                <w:color w:val="000000"/>
                <w:szCs w:val="21"/>
              </w:rPr>
            </w:pPr>
            <w:r>
              <w:rPr>
                <w:rFonts w:hint="default" w:ascii="Times New Roman" w:hAnsi="Times New Roman" w:eastAsia="仿宋" w:cs="Times New Roman"/>
                <w:b w:val="0"/>
                <w:bCs w:val="0"/>
                <w:color w:val="000000"/>
                <w:szCs w:val="21"/>
              </w:rPr>
              <w:t>预期性</w:t>
            </w:r>
          </w:p>
        </w:tc>
        <w:tc>
          <w:tcPr>
            <w:tcW w:w="146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default" w:ascii="Times New Roman" w:hAnsi="Times New Roman" w:eastAsia="仿宋" w:cs="Times New Roman"/>
                <w:b w:val="0"/>
                <w:bCs w:val="0"/>
                <w:color w:val="000000"/>
                <w:szCs w:val="21"/>
              </w:rPr>
            </w:pPr>
            <w:r>
              <w:rPr>
                <w:rFonts w:hint="default" w:ascii="Times New Roman" w:hAnsi="Times New Roman" w:eastAsia="仿宋" w:cs="Times New Roman"/>
                <w:b w:val="0"/>
                <w:bCs w:val="0"/>
                <w:color w:val="000000"/>
                <w:szCs w:val="21"/>
              </w:rPr>
              <w:t>0.2</w:t>
            </w:r>
          </w:p>
        </w:tc>
      </w:tr>
      <w:tr>
        <w:tblPrEx>
          <w:tblCellMar>
            <w:top w:w="15" w:type="dxa"/>
            <w:left w:w="15" w:type="dxa"/>
            <w:bottom w:w="15" w:type="dxa"/>
            <w:right w:w="15" w:type="dxa"/>
          </w:tblCellMar>
        </w:tblPrEx>
        <w:trPr>
          <w:trHeight w:val="570" w:hRule="atLeast"/>
          <w:jc w:val="center"/>
        </w:trPr>
        <w:tc>
          <w:tcPr>
            <w:tcW w:w="603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hint="default" w:ascii="Times New Roman" w:hAnsi="Times New Roman" w:eastAsia="仿宋" w:cs="Times New Roman"/>
                <w:b w:val="0"/>
                <w:bCs w:val="0"/>
                <w:color w:val="000000"/>
                <w:kern w:val="44"/>
                <w:szCs w:val="21"/>
              </w:rPr>
            </w:pPr>
            <w:r>
              <w:rPr>
                <w:rFonts w:hint="default" w:ascii="Times New Roman" w:hAnsi="Times New Roman" w:eastAsia="仿宋" w:cs="Times New Roman"/>
                <w:b w:val="0"/>
                <w:bCs w:val="0"/>
                <w:color w:val="000000"/>
                <w:kern w:val="44"/>
                <w:szCs w:val="21"/>
              </w:rPr>
              <w:t>家庭病床总建床数占常住人口比例</w:t>
            </w:r>
          </w:p>
        </w:tc>
        <w:tc>
          <w:tcPr>
            <w:tcW w:w="11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default" w:ascii="Times New Roman" w:hAnsi="Times New Roman" w:eastAsia="仿宋" w:cs="Times New Roman"/>
                <w:b w:val="0"/>
                <w:bCs w:val="0"/>
                <w:color w:val="000000"/>
                <w:szCs w:val="21"/>
              </w:rPr>
            </w:pPr>
            <w:r>
              <w:rPr>
                <w:rFonts w:hint="default" w:ascii="Times New Roman" w:hAnsi="Times New Roman" w:eastAsia="仿宋" w:cs="Times New Roman"/>
                <w:b w:val="0"/>
                <w:bCs w:val="0"/>
                <w:color w:val="000000"/>
                <w:szCs w:val="21"/>
              </w:rPr>
              <w:t>预期性</w:t>
            </w:r>
          </w:p>
        </w:tc>
        <w:tc>
          <w:tcPr>
            <w:tcW w:w="146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default" w:ascii="Times New Roman" w:hAnsi="Times New Roman" w:eastAsia="仿宋" w:cs="Times New Roman"/>
                <w:b w:val="0"/>
                <w:bCs w:val="0"/>
                <w:color w:val="000000"/>
                <w:szCs w:val="21"/>
              </w:rPr>
            </w:pPr>
            <w:r>
              <w:rPr>
                <w:rFonts w:hint="default" w:ascii="Times New Roman" w:hAnsi="Times New Roman" w:eastAsia="仿宋" w:cs="Times New Roman"/>
                <w:b w:val="0"/>
                <w:bCs w:val="0"/>
                <w:color w:val="000000"/>
                <w:szCs w:val="21"/>
              </w:rPr>
              <w:t>3‰</w:t>
            </w:r>
          </w:p>
        </w:tc>
      </w:tr>
      <w:tr>
        <w:tblPrEx>
          <w:tblCellMar>
            <w:top w:w="15" w:type="dxa"/>
            <w:left w:w="15" w:type="dxa"/>
            <w:bottom w:w="15" w:type="dxa"/>
            <w:right w:w="15" w:type="dxa"/>
          </w:tblCellMar>
        </w:tblPrEx>
        <w:trPr>
          <w:trHeight w:val="570" w:hRule="atLeast"/>
          <w:jc w:val="center"/>
        </w:trPr>
        <w:tc>
          <w:tcPr>
            <w:tcW w:w="603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hint="default" w:ascii="Times New Roman" w:hAnsi="Times New Roman" w:eastAsia="仿宋" w:cs="Times New Roman"/>
                <w:b w:val="0"/>
                <w:bCs w:val="0"/>
                <w:color w:val="000000"/>
                <w:kern w:val="44"/>
                <w:szCs w:val="21"/>
              </w:rPr>
            </w:pPr>
            <w:r>
              <w:rPr>
                <w:rFonts w:hint="default" w:ascii="Times New Roman" w:hAnsi="Times New Roman" w:eastAsia="仿宋" w:cs="Times New Roman"/>
                <w:b w:val="0"/>
                <w:bCs w:val="0"/>
                <w:color w:val="000000"/>
                <w:kern w:val="44"/>
                <w:szCs w:val="21"/>
              </w:rPr>
              <w:t>每百张养老机构床位配备社工数量</w:t>
            </w:r>
          </w:p>
        </w:tc>
        <w:tc>
          <w:tcPr>
            <w:tcW w:w="11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default" w:ascii="Times New Roman" w:hAnsi="Times New Roman" w:eastAsia="仿宋" w:cs="Times New Roman"/>
                <w:b w:val="0"/>
                <w:bCs w:val="0"/>
                <w:color w:val="000000"/>
                <w:szCs w:val="21"/>
              </w:rPr>
            </w:pPr>
            <w:r>
              <w:rPr>
                <w:rFonts w:hint="default" w:ascii="Times New Roman" w:hAnsi="Times New Roman" w:eastAsia="仿宋" w:cs="Times New Roman"/>
                <w:b w:val="0"/>
                <w:bCs w:val="0"/>
                <w:color w:val="000000"/>
                <w:szCs w:val="21"/>
              </w:rPr>
              <w:t>约束性</w:t>
            </w:r>
          </w:p>
        </w:tc>
        <w:tc>
          <w:tcPr>
            <w:tcW w:w="146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default" w:ascii="Times New Roman" w:hAnsi="Times New Roman" w:eastAsia="仿宋" w:cs="Times New Roman"/>
                <w:b w:val="0"/>
                <w:bCs w:val="0"/>
                <w:color w:val="000000"/>
                <w:szCs w:val="21"/>
              </w:rPr>
            </w:pPr>
            <w:r>
              <w:rPr>
                <w:rFonts w:hint="default" w:ascii="Times New Roman" w:hAnsi="Times New Roman" w:eastAsia="仿宋" w:cs="Times New Roman"/>
                <w:b w:val="0"/>
                <w:bCs w:val="0"/>
                <w:color w:val="000000"/>
                <w:szCs w:val="21"/>
              </w:rPr>
              <w:t>&gt;1</w:t>
            </w:r>
          </w:p>
        </w:tc>
      </w:tr>
      <w:tr>
        <w:tblPrEx>
          <w:tblCellMar>
            <w:top w:w="15" w:type="dxa"/>
            <w:left w:w="15" w:type="dxa"/>
            <w:bottom w:w="15" w:type="dxa"/>
            <w:right w:w="15" w:type="dxa"/>
          </w:tblCellMar>
        </w:tblPrEx>
        <w:trPr>
          <w:trHeight w:val="570" w:hRule="atLeast"/>
          <w:jc w:val="center"/>
        </w:trPr>
        <w:tc>
          <w:tcPr>
            <w:tcW w:w="603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hint="default" w:ascii="Times New Roman" w:hAnsi="Times New Roman" w:eastAsia="仿宋" w:cs="Times New Roman"/>
                <w:b w:val="0"/>
                <w:bCs w:val="0"/>
                <w:color w:val="000000"/>
                <w:kern w:val="44"/>
                <w:szCs w:val="21"/>
              </w:rPr>
            </w:pPr>
            <w:r>
              <w:rPr>
                <w:rFonts w:hint="default" w:ascii="Times New Roman" w:hAnsi="Times New Roman" w:eastAsia="仿宋" w:cs="Times New Roman"/>
                <w:b w:val="0"/>
                <w:bCs w:val="0"/>
                <w:color w:val="000000"/>
                <w:kern w:val="44"/>
                <w:szCs w:val="21"/>
              </w:rPr>
              <w:t>街道（乡镇）综合养老服务中心覆盖率</w:t>
            </w:r>
          </w:p>
        </w:tc>
        <w:tc>
          <w:tcPr>
            <w:tcW w:w="11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default" w:ascii="Times New Roman" w:hAnsi="Times New Roman" w:eastAsia="仿宋" w:cs="Times New Roman"/>
                <w:b w:val="0"/>
                <w:bCs w:val="0"/>
                <w:color w:val="000000"/>
                <w:szCs w:val="21"/>
              </w:rPr>
            </w:pPr>
            <w:r>
              <w:rPr>
                <w:rFonts w:hint="default" w:ascii="Times New Roman" w:hAnsi="Times New Roman" w:eastAsia="仿宋" w:cs="Times New Roman"/>
                <w:b w:val="0"/>
                <w:bCs w:val="0"/>
                <w:color w:val="000000"/>
                <w:szCs w:val="21"/>
              </w:rPr>
              <w:t>约束性</w:t>
            </w:r>
          </w:p>
        </w:tc>
        <w:tc>
          <w:tcPr>
            <w:tcW w:w="146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default" w:ascii="Times New Roman" w:hAnsi="Times New Roman" w:eastAsia="仿宋" w:cs="Times New Roman"/>
                <w:b w:val="0"/>
                <w:bCs w:val="0"/>
                <w:color w:val="000000"/>
                <w:szCs w:val="21"/>
              </w:rPr>
            </w:pPr>
            <w:r>
              <w:rPr>
                <w:rFonts w:hint="default" w:ascii="Times New Roman" w:hAnsi="Times New Roman" w:eastAsia="仿宋" w:cs="Times New Roman"/>
                <w:b w:val="0"/>
                <w:bCs w:val="0"/>
                <w:color w:val="000000"/>
                <w:szCs w:val="21"/>
              </w:rPr>
              <w:t>100%</w:t>
            </w:r>
          </w:p>
        </w:tc>
      </w:tr>
      <w:tr>
        <w:tblPrEx>
          <w:tblCellMar>
            <w:top w:w="15" w:type="dxa"/>
            <w:left w:w="15" w:type="dxa"/>
            <w:bottom w:w="15" w:type="dxa"/>
            <w:right w:w="15" w:type="dxa"/>
          </w:tblCellMar>
        </w:tblPrEx>
        <w:trPr>
          <w:trHeight w:val="570" w:hRule="atLeast"/>
          <w:jc w:val="center"/>
        </w:trPr>
        <w:tc>
          <w:tcPr>
            <w:tcW w:w="603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hint="default" w:ascii="Times New Roman" w:hAnsi="Times New Roman" w:eastAsia="仿宋" w:cs="Times New Roman"/>
                <w:b w:val="0"/>
                <w:bCs w:val="0"/>
                <w:color w:val="000000"/>
                <w:kern w:val="44"/>
                <w:szCs w:val="21"/>
              </w:rPr>
            </w:pPr>
            <w:r>
              <w:rPr>
                <w:rFonts w:hint="default" w:ascii="Times New Roman" w:hAnsi="Times New Roman" w:eastAsia="仿宋" w:cs="Times New Roman"/>
                <w:b w:val="0"/>
                <w:bCs w:val="0"/>
                <w:color w:val="000000"/>
                <w:kern w:val="44"/>
                <w:szCs w:val="21"/>
              </w:rPr>
              <w:t>养老机构医养结合服务覆盖率</w:t>
            </w:r>
          </w:p>
        </w:tc>
        <w:tc>
          <w:tcPr>
            <w:tcW w:w="1120" w:type="dxa"/>
            <w:tcBorders>
              <w:top w:val="single" w:color="000000" w:sz="4" w:space="0"/>
              <w:left w:val="single" w:color="auto"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default" w:ascii="Times New Roman" w:hAnsi="Times New Roman" w:eastAsia="仿宋" w:cs="Times New Roman"/>
                <w:b w:val="0"/>
                <w:bCs w:val="0"/>
                <w:color w:val="000000"/>
                <w:szCs w:val="21"/>
              </w:rPr>
            </w:pPr>
            <w:r>
              <w:rPr>
                <w:rFonts w:hint="default" w:ascii="Times New Roman" w:hAnsi="Times New Roman" w:eastAsia="仿宋" w:cs="Times New Roman"/>
                <w:b w:val="0"/>
                <w:bCs w:val="0"/>
                <w:color w:val="000000"/>
                <w:szCs w:val="21"/>
              </w:rPr>
              <w:t>约束性</w:t>
            </w:r>
          </w:p>
        </w:tc>
        <w:tc>
          <w:tcPr>
            <w:tcW w:w="1469" w:type="dxa"/>
            <w:tcBorders>
              <w:top w:val="single" w:color="000000" w:sz="4" w:space="0"/>
              <w:left w:val="single" w:color="auto"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default" w:ascii="Times New Roman" w:hAnsi="Times New Roman" w:eastAsia="仿宋" w:cs="Times New Roman"/>
                <w:b w:val="0"/>
                <w:bCs w:val="0"/>
                <w:color w:val="000000"/>
                <w:szCs w:val="21"/>
              </w:rPr>
            </w:pPr>
            <w:r>
              <w:rPr>
                <w:rFonts w:hint="default" w:ascii="Times New Roman" w:hAnsi="Times New Roman" w:eastAsia="仿宋" w:cs="Times New Roman"/>
                <w:b w:val="0"/>
                <w:bCs w:val="0"/>
                <w:color w:val="000000"/>
                <w:szCs w:val="21"/>
              </w:rPr>
              <w:t>100%</w:t>
            </w:r>
          </w:p>
        </w:tc>
      </w:tr>
      <w:tr>
        <w:tblPrEx>
          <w:tblCellMar>
            <w:top w:w="15" w:type="dxa"/>
            <w:left w:w="15" w:type="dxa"/>
            <w:bottom w:w="15" w:type="dxa"/>
            <w:right w:w="15" w:type="dxa"/>
          </w:tblCellMar>
        </w:tblPrEx>
        <w:trPr>
          <w:trHeight w:val="581" w:hRule="atLeast"/>
          <w:jc w:val="center"/>
        </w:trPr>
        <w:tc>
          <w:tcPr>
            <w:tcW w:w="603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hint="default" w:ascii="Times New Roman" w:hAnsi="Times New Roman" w:eastAsia="仿宋" w:cs="Times New Roman"/>
                <w:b w:val="0"/>
                <w:bCs w:val="0"/>
                <w:color w:val="000000"/>
                <w:kern w:val="44"/>
                <w:szCs w:val="21"/>
              </w:rPr>
            </w:pPr>
            <w:r>
              <w:rPr>
                <w:rFonts w:hint="default" w:ascii="Times New Roman" w:hAnsi="Times New Roman" w:eastAsia="仿宋" w:cs="Times New Roman"/>
                <w:b w:val="0"/>
                <w:bCs w:val="0"/>
                <w:color w:val="000000"/>
                <w:szCs w:val="21"/>
              </w:rPr>
              <w:t>每万老年人拥有持证养老护理员数（人）</w:t>
            </w:r>
          </w:p>
        </w:tc>
        <w:tc>
          <w:tcPr>
            <w:tcW w:w="1120" w:type="dxa"/>
            <w:tcBorders>
              <w:top w:val="single" w:color="000000" w:sz="4" w:space="0"/>
              <w:left w:val="single" w:color="auto"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default" w:ascii="Times New Roman" w:hAnsi="Times New Roman" w:eastAsia="仿宋" w:cs="Times New Roman"/>
                <w:b w:val="0"/>
                <w:bCs w:val="0"/>
                <w:color w:val="000000"/>
                <w:szCs w:val="21"/>
              </w:rPr>
            </w:pPr>
            <w:r>
              <w:rPr>
                <w:rFonts w:hint="default" w:ascii="Times New Roman" w:hAnsi="Times New Roman" w:eastAsia="仿宋" w:cs="Times New Roman"/>
                <w:b w:val="0"/>
                <w:bCs w:val="0"/>
                <w:color w:val="000000"/>
                <w:szCs w:val="21"/>
              </w:rPr>
              <w:t>预期性</w:t>
            </w:r>
          </w:p>
        </w:tc>
        <w:tc>
          <w:tcPr>
            <w:tcW w:w="1469" w:type="dxa"/>
            <w:tcBorders>
              <w:top w:val="single" w:color="000000" w:sz="4" w:space="0"/>
              <w:left w:val="single" w:color="auto"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default" w:ascii="Times New Roman" w:hAnsi="Times New Roman" w:eastAsia="仿宋" w:cs="Times New Roman"/>
                <w:b w:val="0"/>
                <w:bCs w:val="0"/>
                <w:color w:val="000000"/>
                <w:szCs w:val="21"/>
              </w:rPr>
            </w:pPr>
            <w:r>
              <w:rPr>
                <w:rFonts w:hint="default" w:ascii="Times New Roman" w:hAnsi="Times New Roman" w:eastAsia="仿宋" w:cs="Times New Roman"/>
                <w:b w:val="0"/>
                <w:bCs w:val="0"/>
                <w:color w:val="000000"/>
                <w:szCs w:val="21"/>
              </w:rPr>
              <w:t>25</w:t>
            </w:r>
          </w:p>
        </w:tc>
      </w:tr>
      <w:tr>
        <w:tblPrEx>
          <w:tblCellMar>
            <w:top w:w="15" w:type="dxa"/>
            <w:left w:w="15" w:type="dxa"/>
            <w:bottom w:w="15" w:type="dxa"/>
            <w:right w:w="15" w:type="dxa"/>
          </w:tblCellMar>
        </w:tblPrEx>
        <w:trPr>
          <w:trHeight w:val="581" w:hRule="atLeast"/>
          <w:jc w:val="center"/>
        </w:trPr>
        <w:tc>
          <w:tcPr>
            <w:tcW w:w="603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hint="default" w:ascii="Times New Roman" w:hAnsi="Times New Roman" w:eastAsia="仿宋" w:cs="Times New Roman"/>
                <w:b w:val="0"/>
                <w:bCs w:val="0"/>
                <w:color w:val="000000"/>
                <w:szCs w:val="21"/>
              </w:rPr>
            </w:pPr>
            <w:r>
              <w:rPr>
                <w:rFonts w:hint="default" w:ascii="Times New Roman" w:hAnsi="Times New Roman" w:eastAsia="仿宋" w:cs="Times New Roman"/>
                <w:b w:val="0"/>
                <w:bCs w:val="0"/>
                <w:color w:val="000000"/>
                <w:kern w:val="0"/>
                <w:szCs w:val="21"/>
              </w:rPr>
              <w:t>新建城市道路、公共建筑和养老机构场所无障碍设施率</w:t>
            </w:r>
          </w:p>
        </w:tc>
        <w:tc>
          <w:tcPr>
            <w:tcW w:w="1120" w:type="dxa"/>
            <w:tcBorders>
              <w:top w:val="single" w:color="000000" w:sz="4" w:space="0"/>
              <w:left w:val="single" w:color="auto"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default" w:ascii="Times New Roman" w:hAnsi="Times New Roman" w:eastAsia="仿宋" w:cs="Times New Roman"/>
                <w:b w:val="0"/>
                <w:bCs w:val="0"/>
                <w:color w:val="000000"/>
                <w:szCs w:val="21"/>
              </w:rPr>
            </w:pPr>
            <w:r>
              <w:rPr>
                <w:rFonts w:hint="default" w:ascii="Times New Roman" w:hAnsi="Times New Roman" w:eastAsia="仿宋" w:cs="Times New Roman"/>
                <w:b w:val="0"/>
                <w:bCs w:val="0"/>
                <w:color w:val="000000"/>
                <w:szCs w:val="21"/>
              </w:rPr>
              <w:t>预期性</w:t>
            </w:r>
          </w:p>
        </w:tc>
        <w:tc>
          <w:tcPr>
            <w:tcW w:w="1469" w:type="dxa"/>
            <w:tcBorders>
              <w:top w:val="single" w:color="000000" w:sz="4" w:space="0"/>
              <w:left w:val="single" w:color="auto"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default" w:ascii="Times New Roman" w:hAnsi="Times New Roman" w:eastAsia="仿宋" w:cs="Times New Roman"/>
                <w:b w:val="0"/>
                <w:bCs w:val="0"/>
                <w:color w:val="000000"/>
                <w:szCs w:val="21"/>
              </w:rPr>
            </w:pPr>
            <w:r>
              <w:rPr>
                <w:rFonts w:hint="default" w:ascii="Times New Roman" w:hAnsi="Times New Roman" w:eastAsia="仿宋" w:cs="Times New Roman"/>
                <w:b w:val="0"/>
                <w:bCs w:val="0"/>
                <w:color w:val="000000"/>
                <w:szCs w:val="21"/>
              </w:rPr>
              <w:t>100%</w:t>
            </w:r>
          </w:p>
        </w:tc>
      </w:tr>
      <w:tr>
        <w:tblPrEx>
          <w:tblCellMar>
            <w:top w:w="15" w:type="dxa"/>
            <w:left w:w="15" w:type="dxa"/>
            <w:bottom w:w="15" w:type="dxa"/>
            <w:right w:w="15" w:type="dxa"/>
          </w:tblCellMar>
        </w:tblPrEx>
        <w:trPr>
          <w:trHeight w:val="581" w:hRule="atLeast"/>
          <w:jc w:val="center"/>
        </w:trPr>
        <w:tc>
          <w:tcPr>
            <w:tcW w:w="603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hint="default" w:ascii="Times New Roman" w:hAnsi="Times New Roman" w:eastAsia="仿宋" w:cs="Times New Roman"/>
                <w:b w:val="0"/>
                <w:bCs w:val="0"/>
                <w:color w:val="000000"/>
                <w:szCs w:val="21"/>
              </w:rPr>
            </w:pPr>
            <w:r>
              <w:rPr>
                <w:rFonts w:hint="default" w:ascii="Times New Roman" w:hAnsi="Times New Roman" w:eastAsia="仿宋" w:cs="Times New Roman"/>
                <w:b w:val="0"/>
                <w:bCs w:val="0"/>
                <w:color w:val="000000"/>
                <w:szCs w:val="21"/>
              </w:rPr>
              <w:t>二级以上医院设置老年医学科比例</w:t>
            </w:r>
          </w:p>
        </w:tc>
        <w:tc>
          <w:tcPr>
            <w:tcW w:w="1120" w:type="dxa"/>
            <w:tcBorders>
              <w:top w:val="single" w:color="000000" w:sz="4" w:space="0"/>
              <w:left w:val="single" w:color="auto"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default" w:ascii="Times New Roman" w:hAnsi="Times New Roman" w:eastAsia="仿宋" w:cs="Times New Roman"/>
                <w:b w:val="0"/>
                <w:bCs w:val="0"/>
                <w:color w:val="000000"/>
                <w:szCs w:val="21"/>
              </w:rPr>
            </w:pPr>
            <w:r>
              <w:rPr>
                <w:rFonts w:hint="default" w:ascii="Times New Roman" w:hAnsi="Times New Roman" w:eastAsia="仿宋" w:cs="Times New Roman"/>
                <w:b w:val="0"/>
                <w:bCs w:val="0"/>
                <w:color w:val="000000"/>
                <w:szCs w:val="21"/>
              </w:rPr>
              <w:t>预期性</w:t>
            </w:r>
          </w:p>
        </w:tc>
        <w:tc>
          <w:tcPr>
            <w:tcW w:w="1469" w:type="dxa"/>
            <w:tcBorders>
              <w:top w:val="single" w:color="000000" w:sz="4" w:space="0"/>
              <w:left w:val="single" w:color="auto"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default" w:ascii="Times New Roman" w:hAnsi="Times New Roman" w:eastAsia="仿宋" w:cs="Times New Roman"/>
                <w:b w:val="0"/>
                <w:bCs w:val="0"/>
                <w:color w:val="000000"/>
                <w:szCs w:val="21"/>
              </w:rPr>
            </w:pPr>
            <w:r>
              <w:rPr>
                <w:rFonts w:hint="default" w:ascii="Times New Roman" w:hAnsi="Times New Roman" w:eastAsia="仿宋" w:cs="Times New Roman"/>
                <w:b w:val="0"/>
                <w:bCs w:val="0"/>
                <w:color w:val="000000"/>
                <w:szCs w:val="21"/>
              </w:rPr>
              <w:t>90%</w:t>
            </w:r>
          </w:p>
        </w:tc>
      </w:tr>
      <w:tr>
        <w:tblPrEx>
          <w:tblCellMar>
            <w:top w:w="15" w:type="dxa"/>
            <w:left w:w="15" w:type="dxa"/>
            <w:bottom w:w="15" w:type="dxa"/>
            <w:right w:w="15" w:type="dxa"/>
          </w:tblCellMar>
        </w:tblPrEx>
        <w:trPr>
          <w:trHeight w:val="591" w:hRule="atLeast"/>
          <w:jc w:val="center"/>
        </w:trPr>
        <w:tc>
          <w:tcPr>
            <w:tcW w:w="603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hint="default" w:ascii="Times New Roman" w:hAnsi="Times New Roman" w:eastAsia="仿宋" w:cs="Times New Roman"/>
                <w:b w:val="0"/>
                <w:bCs w:val="0"/>
                <w:color w:val="000000"/>
                <w:szCs w:val="21"/>
              </w:rPr>
            </w:pPr>
            <w:r>
              <w:rPr>
                <w:rFonts w:hint="default" w:ascii="Times New Roman" w:hAnsi="Times New Roman" w:eastAsia="仿宋" w:cs="Times New Roman"/>
                <w:b w:val="0"/>
                <w:bCs w:val="0"/>
                <w:color w:val="000000"/>
                <w:szCs w:val="21"/>
              </w:rPr>
              <w:t>居室环境适老化改造户数（万户）</w:t>
            </w:r>
          </w:p>
        </w:tc>
        <w:tc>
          <w:tcPr>
            <w:tcW w:w="1120" w:type="dxa"/>
            <w:tcBorders>
              <w:top w:val="single" w:color="000000" w:sz="4" w:space="0"/>
              <w:left w:val="single" w:color="auto"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default" w:ascii="Times New Roman" w:hAnsi="Times New Roman" w:eastAsia="仿宋" w:cs="Times New Roman"/>
                <w:b w:val="0"/>
                <w:bCs w:val="0"/>
                <w:color w:val="000000"/>
                <w:szCs w:val="21"/>
              </w:rPr>
            </w:pPr>
            <w:r>
              <w:rPr>
                <w:rFonts w:hint="default" w:ascii="Times New Roman" w:hAnsi="Times New Roman" w:eastAsia="仿宋" w:cs="Times New Roman"/>
                <w:b w:val="0"/>
                <w:bCs w:val="0"/>
                <w:color w:val="000000"/>
                <w:szCs w:val="21"/>
              </w:rPr>
              <w:t>预期性</w:t>
            </w:r>
          </w:p>
        </w:tc>
        <w:tc>
          <w:tcPr>
            <w:tcW w:w="1469" w:type="dxa"/>
            <w:tcBorders>
              <w:top w:val="single" w:color="000000" w:sz="4" w:space="0"/>
              <w:left w:val="single" w:color="auto"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default" w:ascii="Times New Roman" w:hAnsi="Times New Roman" w:eastAsia="仿宋" w:cs="Times New Roman"/>
                <w:b w:val="0"/>
                <w:bCs w:val="0"/>
                <w:color w:val="000000"/>
                <w:szCs w:val="21"/>
              </w:rPr>
            </w:pPr>
            <w:r>
              <w:rPr>
                <w:rFonts w:hint="default" w:ascii="Times New Roman" w:hAnsi="Times New Roman" w:eastAsia="仿宋" w:cs="Times New Roman"/>
                <w:b w:val="0"/>
                <w:bCs w:val="0"/>
                <w:color w:val="000000"/>
                <w:szCs w:val="21"/>
              </w:rPr>
              <w:t>1</w:t>
            </w:r>
          </w:p>
        </w:tc>
      </w:tr>
    </w:tbl>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 w:cs="Times New Roman"/>
          <w:b w:val="0"/>
          <w:bCs w:val="0"/>
          <w:color w:val="000000"/>
          <w:sz w:val="32"/>
          <w:szCs w:val="32"/>
        </w:rPr>
      </w:pPr>
      <w:r>
        <w:rPr>
          <w:rFonts w:hint="default" w:ascii="Times New Roman" w:hAnsi="Times New Roman" w:eastAsia="黑体" w:cs="Times New Roman"/>
          <w:b w:val="0"/>
          <w:bCs w:val="0"/>
          <w:color w:val="000000"/>
          <w:sz w:val="32"/>
          <w:szCs w:val="32"/>
        </w:rPr>
        <w:t>三、主要任务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b w:val="0"/>
          <w:bCs w:val="0"/>
          <w:color w:val="000000"/>
          <w:sz w:val="32"/>
          <w:szCs w:val="32"/>
        </w:rPr>
      </w:pPr>
      <w:r>
        <w:rPr>
          <w:rFonts w:hint="default" w:ascii="Times New Roman" w:hAnsi="Times New Roman" w:eastAsia="楷体_GB2312" w:cs="Times New Roman"/>
          <w:b w:val="0"/>
          <w:bCs w:val="0"/>
          <w:color w:val="000000"/>
          <w:sz w:val="32"/>
          <w:szCs w:val="32"/>
        </w:rPr>
        <w:t>（一）完善文登区养老服务保障制度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1.健全基本养老服务制度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健全基本养老公共服务清单发布及定期更新制度，以高龄、失能老年人为重点，明确服务对象、服务内容、服务标准和支出责任，并根据经济社会发展水平，逐步丰富服务项目、提高服务标准。建立完善老年人能力与需求综合评估制度，为具备相关资格条件的老年人开展能力评估，评估结果作为领取老年人补贴、接受基本养老服务的依据。建立健全特殊老年人巡访关爱制度，定期对独居、空巢、农村留守、计划生育特殊家庭老年人开展探视与帮扶服务，特殊老年人月探访率达到100%。</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2.强化兜底保障制度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cs="Times New Roman"/>
          <w:b w:val="0"/>
          <w:bCs w:val="0"/>
          <w:color w:val="000000"/>
        </w:rPr>
      </w:pPr>
      <w:r>
        <w:rPr>
          <w:rFonts w:hint="default" w:ascii="Times New Roman" w:hAnsi="Times New Roman" w:eastAsia="仿宋_GB2312" w:cs="Times New Roman"/>
          <w:b w:val="0"/>
          <w:bCs w:val="0"/>
          <w:color w:val="000000"/>
          <w:sz w:val="32"/>
          <w:szCs w:val="32"/>
        </w:rPr>
        <w:t>加强对失能特困老年人的兜底保障。改造提升11个乡镇敬老院，提高公办养老机构兜底保障能力，2021年底前失能特困老年人集中供养率达到55%以上。在满足特困人员集中供养需求的前提下，重点为经济困难高龄、失能老年人、计划生育特殊家庭老年人提供无偿或低收费托养服务。发挥14处分散特困供养服务站作用，通过政府购买服务方式，为生活困难的低保、特困和有特殊贡献的老党员、老模范、优抚对象提供助餐、助洁、助医、生活照料等服务。抓好全省特困供养人员监护试点工作，完善分散特困人员供养监护制度，维护好他们的合法权益。</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27" w:type="dxa"/>
            <w:noWrap w:val="0"/>
            <w:vAlign w:val="top"/>
          </w:tcPr>
          <w:p>
            <w:pPr>
              <w:keepNext w:val="0"/>
              <w:keepLines w:val="0"/>
              <w:pageBreakBefore w:val="0"/>
              <w:kinsoku/>
              <w:wordWrap/>
              <w:overflowPunct/>
              <w:topLinePunct w:val="0"/>
              <w:autoSpaceDE/>
              <w:autoSpaceDN/>
              <w:bidi w:val="0"/>
              <w:spacing w:line="560" w:lineRule="exact"/>
              <w:ind w:firstLine="2310" w:firstLineChars="1100"/>
              <w:jc w:val="both"/>
              <w:textAlignment w:val="auto"/>
              <w:rPr>
                <w:rFonts w:hint="default" w:ascii="Times New Roman" w:hAnsi="Times New Roman" w:eastAsia="仿宋" w:cs="Times New Roman"/>
                <w:b w:val="0"/>
                <w:bCs w:val="0"/>
                <w:color w:val="000000"/>
                <w:szCs w:val="21"/>
              </w:rPr>
            </w:pPr>
            <w:r>
              <w:rPr>
                <w:rFonts w:hint="default" w:ascii="Times New Roman" w:hAnsi="Times New Roman" w:eastAsia="仿宋_GB2312" w:cs="Times New Roman"/>
                <w:b w:val="0"/>
                <w:bCs w:val="0"/>
                <w:color w:val="000000"/>
                <w:szCs w:val="21"/>
              </w:rPr>
              <w:t>专栏1 文登区养老服务兜底保障项目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27" w:type="dxa"/>
            <w:noWrap w:val="0"/>
            <w:vAlign w:val="top"/>
          </w:tcPr>
          <w:p>
            <w:pPr>
              <w:keepNext w:val="0"/>
              <w:keepLines w:val="0"/>
              <w:pageBreakBefore w:val="0"/>
              <w:kinsoku/>
              <w:wordWrap/>
              <w:overflowPunct/>
              <w:topLinePunct w:val="0"/>
              <w:autoSpaceDE/>
              <w:autoSpaceDN/>
              <w:bidi w:val="0"/>
              <w:spacing w:line="560" w:lineRule="exact"/>
              <w:jc w:val="left"/>
              <w:textAlignment w:val="auto"/>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01扩大兜底保障范围</w:t>
            </w:r>
          </w:p>
          <w:p>
            <w:pPr>
              <w:keepNext w:val="0"/>
              <w:keepLines w:val="0"/>
              <w:pageBreakBefore w:val="0"/>
              <w:kinsoku/>
              <w:wordWrap/>
              <w:overflowPunct/>
              <w:topLinePunct w:val="0"/>
              <w:autoSpaceDE/>
              <w:autoSpaceDN/>
              <w:bidi w:val="0"/>
              <w:spacing w:line="560" w:lineRule="exact"/>
              <w:ind w:firstLine="420" w:firstLineChars="200"/>
              <w:jc w:val="both"/>
              <w:textAlignment w:val="auto"/>
              <w:rPr>
                <w:rFonts w:hint="default" w:ascii="Times New Roman" w:hAnsi="Times New Roman" w:eastAsia="仿宋" w:cs="Times New Roman"/>
                <w:b w:val="0"/>
                <w:bCs w:val="0"/>
                <w:color w:val="000000"/>
                <w:szCs w:val="21"/>
              </w:rPr>
            </w:pPr>
            <w:r>
              <w:rPr>
                <w:rFonts w:hint="default" w:ascii="Times New Roman" w:hAnsi="Times New Roman" w:eastAsia="仿宋_GB2312" w:cs="Times New Roman"/>
                <w:b w:val="0"/>
                <w:bCs w:val="0"/>
                <w:color w:val="000000"/>
                <w:szCs w:val="21"/>
              </w:rPr>
              <w:t>在现有特困人员基础上，按照上级政策，将兜底保障逐步扩大到低保家庭中的失能、失智老年人或高龄老年人，低收入家庭中的失能、失智或高龄老年人。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27" w:type="dxa"/>
            <w:noWrap w:val="0"/>
            <w:vAlign w:val="top"/>
          </w:tcPr>
          <w:p>
            <w:pPr>
              <w:keepNext w:val="0"/>
              <w:keepLines w:val="0"/>
              <w:pageBreakBefore w:val="0"/>
              <w:kinsoku/>
              <w:wordWrap/>
              <w:overflowPunct/>
              <w:topLinePunct w:val="0"/>
              <w:autoSpaceDE/>
              <w:autoSpaceDN/>
              <w:bidi w:val="0"/>
              <w:spacing w:line="560" w:lineRule="exact"/>
              <w:jc w:val="left"/>
              <w:textAlignment w:val="auto"/>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02 扩大集中供养规模</w:t>
            </w:r>
          </w:p>
          <w:p>
            <w:pPr>
              <w:keepNext w:val="0"/>
              <w:keepLines w:val="0"/>
              <w:pageBreakBefore w:val="0"/>
              <w:kinsoku/>
              <w:wordWrap/>
              <w:overflowPunct/>
              <w:topLinePunct w:val="0"/>
              <w:autoSpaceDE/>
              <w:autoSpaceDN/>
              <w:bidi w:val="0"/>
              <w:spacing w:line="560" w:lineRule="exact"/>
              <w:ind w:firstLine="420" w:firstLineChars="200"/>
              <w:jc w:val="both"/>
              <w:textAlignment w:val="auto"/>
              <w:rPr>
                <w:rFonts w:hint="default" w:ascii="Times New Roman" w:hAnsi="Times New Roman" w:eastAsia="仿宋" w:cs="Times New Roman"/>
                <w:b w:val="0"/>
                <w:bCs w:val="0"/>
                <w:color w:val="000000"/>
                <w:szCs w:val="21"/>
              </w:rPr>
            </w:pPr>
            <w:r>
              <w:rPr>
                <w:rFonts w:hint="default" w:ascii="Times New Roman" w:hAnsi="Times New Roman" w:eastAsia="仿宋_GB2312" w:cs="Times New Roman"/>
                <w:b w:val="0"/>
                <w:bCs w:val="0"/>
                <w:color w:val="000000"/>
                <w:szCs w:val="21"/>
              </w:rPr>
              <w:t>2021年底前失能特困老年人集中供养率达到55%以上。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27" w:type="dxa"/>
            <w:noWrap w:val="0"/>
            <w:vAlign w:val="top"/>
          </w:tcPr>
          <w:p>
            <w:pPr>
              <w:keepNext w:val="0"/>
              <w:keepLines w:val="0"/>
              <w:pageBreakBefore w:val="0"/>
              <w:kinsoku/>
              <w:wordWrap/>
              <w:overflowPunct/>
              <w:topLinePunct w:val="0"/>
              <w:autoSpaceDE/>
              <w:autoSpaceDN/>
              <w:bidi w:val="0"/>
              <w:spacing w:line="560" w:lineRule="exact"/>
              <w:jc w:val="left"/>
              <w:textAlignment w:val="auto"/>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03抓实分散供养</w:t>
            </w:r>
          </w:p>
          <w:p>
            <w:pPr>
              <w:keepNext w:val="0"/>
              <w:keepLines w:val="0"/>
              <w:pageBreakBefore w:val="0"/>
              <w:kinsoku/>
              <w:wordWrap/>
              <w:overflowPunct/>
              <w:topLinePunct w:val="0"/>
              <w:autoSpaceDE/>
              <w:autoSpaceDN/>
              <w:bidi w:val="0"/>
              <w:spacing w:line="560" w:lineRule="exact"/>
              <w:ind w:firstLine="420" w:firstLineChars="200"/>
              <w:jc w:val="both"/>
              <w:textAlignment w:val="auto"/>
              <w:rPr>
                <w:rFonts w:hint="default" w:ascii="Times New Roman" w:hAnsi="Times New Roman" w:eastAsia="仿宋" w:cs="Times New Roman"/>
                <w:b w:val="0"/>
                <w:bCs w:val="0"/>
                <w:color w:val="000000"/>
                <w:szCs w:val="21"/>
              </w:rPr>
            </w:pPr>
            <w:r>
              <w:rPr>
                <w:rFonts w:hint="default" w:ascii="Times New Roman" w:hAnsi="Times New Roman" w:eastAsia="仿宋_GB2312" w:cs="Times New Roman"/>
                <w:b w:val="0"/>
                <w:bCs w:val="0"/>
                <w:color w:val="000000"/>
                <w:szCs w:val="21"/>
              </w:rPr>
              <w:t>在现有14处分散特困供养服务站基础上，扩大分散供养服务站规模，实现城乡区域全覆盖。</w:t>
            </w:r>
          </w:p>
        </w:tc>
      </w:tr>
    </w:tbl>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3.健全满足多元需求的长期护理保险制度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在现有长期护理保险制度试点基础上，优先推动高龄经济困难、失能老年人进入制度保障范围，2025年实现城乡居民长期护理保险全覆盖。根据国家要求和本区发展实际，研究建立体现个人、社会、政府多方责任的多渠道筹资机制，建立服务内容清单，优化长期护理保险支付机制。支持推进商业保险公司参与长期护理保险经办服务。构建以长期护理保险为基础，社会救助、社会福利、慈善事业、商业保险为补充的多层次照护保障体系，力争在“十四五”期间，基本形成更适应本区经济发展水平和人口老龄化发展趋势的长期护理保险制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b w:val="0"/>
          <w:bCs w:val="0"/>
          <w:color w:val="000000"/>
          <w:sz w:val="32"/>
          <w:szCs w:val="32"/>
        </w:rPr>
      </w:pPr>
      <w:r>
        <w:rPr>
          <w:rFonts w:hint="default" w:ascii="Times New Roman" w:hAnsi="Times New Roman" w:eastAsia="楷体_GB2312" w:cs="Times New Roman"/>
          <w:b w:val="0"/>
          <w:bCs w:val="0"/>
          <w:color w:val="000000"/>
          <w:sz w:val="32"/>
          <w:szCs w:val="32"/>
        </w:rPr>
        <w:t>（二）优化文登区养老服务有效供给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4.健全养老服务设施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依托现有设施资源，引导各方增加供给，健全覆盖城乡、分布均衡、功能完善、惠及</w:t>
      </w:r>
      <w:r>
        <w:rPr>
          <w:rFonts w:hint="default" w:ascii="Times New Roman" w:hAnsi="Times New Roman" w:eastAsia="仿宋_GB2312" w:cs="Times New Roman"/>
          <w:b w:val="0"/>
          <w:bCs w:val="0"/>
          <w:color w:val="000000"/>
          <w:sz w:val="32"/>
          <w:szCs w:val="32"/>
          <w:lang w:eastAsia="zh-CN"/>
        </w:rPr>
        <w:t>全民的区</w:t>
      </w:r>
      <w:r>
        <w:rPr>
          <w:rFonts w:hint="default" w:ascii="Times New Roman" w:hAnsi="Times New Roman" w:eastAsia="仿宋_GB2312" w:cs="Times New Roman"/>
          <w:b w:val="0"/>
          <w:bCs w:val="0"/>
          <w:color w:val="000000"/>
          <w:sz w:val="32"/>
          <w:szCs w:val="32"/>
        </w:rPr>
        <w:t>、街道（乡镇）、社区（村）、小区四级养老服务设施网络。在区级层面，扩建人民医院康养中心，打造成以失能失智老年人专业照护为主的县域养老服务中心。加强医养康养机构建设，2021</w:t>
      </w:r>
      <w:r>
        <w:rPr>
          <w:rFonts w:hint="default" w:ascii="Times New Roman" w:hAnsi="Times New Roman" w:eastAsia="仿宋_GB2312" w:cs="Times New Roman"/>
          <w:b w:val="0"/>
          <w:bCs w:val="0"/>
          <w:color w:val="000000"/>
          <w:sz w:val="32"/>
          <w:szCs w:val="32"/>
          <w:lang w:eastAsia="zh-CN"/>
        </w:rPr>
        <w:t>—</w:t>
      </w:r>
      <w:r>
        <w:rPr>
          <w:rFonts w:hint="default" w:ascii="Times New Roman" w:hAnsi="Times New Roman" w:eastAsia="仿宋_GB2312" w:cs="Times New Roman"/>
          <w:b w:val="0"/>
          <w:bCs w:val="0"/>
          <w:color w:val="000000"/>
          <w:sz w:val="32"/>
          <w:szCs w:val="32"/>
        </w:rPr>
        <w:t>2023年建成7所医养、康养中心。在街道层面，加快建设4个具备全托、日托、上门服务、对下指导等功能的街道综合养老服务中心，2022年底前实现街道全覆盖。在乡镇层面，改造提升11个乡镇敬老院发展区域性综合养老服务中心，到2025年底前实现乡镇全覆盖。在社区（村）层面，新建或依托现有社区服务中心，增加养老服务项目，成立社区养老服务站，盘活城市社区日间照料中心、农村幸福院等设施，到2025年实现社区（村）日间照料服务全覆盖。在小区层面，盘活现有公共服务设施，赋予现有设施养老服务内涵，发挥现有设施的养老服务功能。</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0" w:type="dxa"/>
            <w:noWrap w:val="0"/>
            <w:vAlign w:val="top"/>
          </w:tcPr>
          <w:p>
            <w:pPr>
              <w:keepNext w:val="0"/>
              <w:keepLines w:val="0"/>
              <w:pageBreakBefore w:val="0"/>
              <w:kinsoku/>
              <w:wordWrap/>
              <w:overflowPunct/>
              <w:topLinePunct w:val="0"/>
              <w:autoSpaceDE/>
              <w:autoSpaceDN/>
              <w:bidi w:val="0"/>
              <w:spacing w:line="560" w:lineRule="exact"/>
              <w:ind w:firstLine="2310" w:firstLineChars="1100"/>
              <w:jc w:val="both"/>
              <w:textAlignment w:val="auto"/>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专栏2 文登区健全养老服务设施项目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0" w:type="dxa"/>
            <w:noWrap w:val="0"/>
            <w:vAlign w:val="top"/>
          </w:tcPr>
          <w:p>
            <w:pPr>
              <w:keepNext w:val="0"/>
              <w:keepLines w:val="0"/>
              <w:pageBreakBefore w:val="0"/>
              <w:kinsoku/>
              <w:wordWrap/>
              <w:overflowPunct/>
              <w:topLinePunct w:val="0"/>
              <w:autoSpaceDE/>
              <w:autoSpaceDN/>
              <w:bidi w:val="0"/>
              <w:spacing w:line="560" w:lineRule="exact"/>
              <w:jc w:val="both"/>
              <w:textAlignment w:val="auto"/>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01文登区人民医院精神卫生康养中心二期</w:t>
            </w:r>
          </w:p>
          <w:p>
            <w:pPr>
              <w:keepNext w:val="0"/>
              <w:keepLines w:val="0"/>
              <w:pageBreakBefore w:val="0"/>
              <w:kinsoku/>
              <w:wordWrap/>
              <w:overflowPunct/>
              <w:topLinePunct w:val="0"/>
              <w:autoSpaceDE/>
              <w:autoSpaceDN/>
              <w:bidi w:val="0"/>
              <w:spacing w:line="560" w:lineRule="exact"/>
              <w:ind w:firstLine="420" w:firstLineChars="200"/>
              <w:jc w:val="both"/>
              <w:textAlignment w:val="auto"/>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计划投资400万元，建筑面积4426平方米，设置康养床位200张，预计2022年建成。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0" w:type="dxa"/>
            <w:noWrap w:val="0"/>
            <w:vAlign w:val="top"/>
          </w:tcPr>
          <w:p>
            <w:pPr>
              <w:keepNext w:val="0"/>
              <w:keepLines w:val="0"/>
              <w:pageBreakBefore w:val="0"/>
              <w:kinsoku/>
              <w:wordWrap/>
              <w:overflowPunct/>
              <w:topLinePunct w:val="0"/>
              <w:autoSpaceDE/>
              <w:autoSpaceDN/>
              <w:bidi w:val="0"/>
              <w:spacing w:line="560" w:lineRule="exact"/>
              <w:jc w:val="both"/>
              <w:textAlignment w:val="auto"/>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02 文登区瑞云祥医疗养护照护中心</w:t>
            </w:r>
          </w:p>
          <w:p>
            <w:pPr>
              <w:keepNext w:val="0"/>
              <w:keepLines w:val="0"/>
              <w:pageBreakBefore w:val="0"/>
              <w:kinsoku/>
              <w:wordWrap/>
              <w:overflowPunct/>
              <w:topLinePunct w:val="0"/>
              <w:autoSpaceDE/>
              <w:autoSpaceDN/>
              <w:bidi w:val="0"/>
              <w:spacing w:line="560" w:lineRule="exact"/>
              <w:ind w:firstLine="420" w:firstLineChars="200"/>
              <w:jc w:val="both"/>
              <w:textAlignment w:val="auto"/>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计划投资2950万元，建筑面积1.6万平方米，建设护理型床位800张，预计2021年投入使用。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0" w:type="dxa"/>
            <w:noWrap w:val="0"/>
            <w:vAlign w:val="top"/>
          </w:tcPr>
          <w:p>
            <w:pPr>
              <w:keepNext w:val="0"/>
              <w:keepLines w:val="0"/>
              <w:pageBreakBefore w:val="0"/>
              <w:kinsoku/>
              <w:wordWrap/>
              <w:overflowPunct/>
              <w:topLinePunct w:val="0"/>
              <w:autoSpaceDE/>
              <w:autoSpaceDN/>
              <w:bidi w:val="0"/>
              <w:spacing w:line="560" w:lineRule="exact"/>
              <w:jc w:val="both"/>
              <w:textAlignment w:val="auto"/>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03 文登区整骨健康服务中心</w:t>
            </w:r>
          </w:p>
          <w:p>
            <w:pPr>
              <w:keepNext w:val="0"/>
              <w:keepLines w:val="0"/>
              <w:pageBreakBefore w:val="0"/>
              <w:kinsoku/>
              <w:wordWrap/>
              <w:overflowPunct/>
              <w:topLinePunct w:val="0"/>
              <w:autoSpaceDE/>
              <w:autoSpaceDN/>
              <w:bidi w:val="0"/>
              <w:spacing w:line="560" w:lineRule="exact"/>
              <w:ind w:firstLine="420" w:firstLineChars="200"/>
              <w:jc w:val="both"/>
              <w:textAlignment w:val="auto"/>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计划投资4.8亿元，建筑面积5.1万平方米，设置康养床位510张，预计2022年整体建成。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0" w:type="dxa"/>
            <w:noWrap w:val="0"/>
            <w:vAlign w:val="top"/>
          </w:tcPr>
          <w:p>
            <w:pPr>
              <w:keepNext w:val="0"/>
              <w:keepLines w:val="0"/>
              <w:pageBreakBefore w:val="0"/>
              <w:kinsoku/>
              <w:wordWrap/>
              <w:overflowPunct/>
              <w:topLinePunct w:val="0"/>
              <w:autoSpaceDE/>
              <w:autoSpaceDN/>
              <w:bidi w:val="0"/>
              <w:spacing w:line="560" w:lineRule="exact"/>
              <w:jc w:val="both"/>
              <w:textAlignment w:val="auto"/>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04 文登区天佑安康于家口医养照护中心</w:t>
            </w:r>
          </w:p>
          <w:p>
            <w:pPr>
              <w:keepNext w:val="0"/>
              <w:keepLines w:val="0"/>
              <w:pageBreakBefore w:val="0"/>
              <w:kinsoku/>
              <w:wordWrap/>
              <w:overflowPunct/>
              <w:topLinePunct w:val="0"/>
              <w:autoSpaceDE/>
              <w:autoSpaceDN/>
              <w:bidi w:val="0"/>
              <w:spacing w:line="560" w:lineRule="exact"/>
              <w:ind w:firstLine="420" w:firstLineChars="200"/>
              <w:jc w:val="both"/>
              <w:textAlignment w:val="auto"/>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计划总投资1870万元，总建筑面积5796平方米，设置医疗床位76张，养老床位200张，预计2022年建成。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0" w:type="dxa"/>
            <w:noWrap w:val="0"/>
            <w:vAlign w:val="top"/>
          </w:tcPr>
          <w:p>
            <w:pPr>
              <w:keepNext w:val="0"/>
              <w:keepLines w:val="0"/>
              <w:pageBreakBefore w:val="0"/>
              <w:kinsoku/>
              <w:wordWrap/>
              <w:overflowPunct/>
              <w:topLinePunct w:val="0"/>
              <w:autoSpaceDE/>
              <w:autoSpaceDN/>
              <w:bidi w:val="0"/>
              <w:spacing w:line="560" w:lineRule="exact"/>
              <w:jc w:val="both"/>
              <w:textAlignment w:val="auto"/>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05文登区晒字医养综合体</w:t>
            </w:r>
          </w:p>
          <w:p>
            <w:pPr>
              <w:keepNext w:val="0"/>
              <w:keepLines w:val="0"/>
              <w:pageBreakBefore w:val="0"/>
              <w:kinsoku/>
              <w:wordWrap/>
              <w:overflowPunct/>
              <w:topLinePunct w:val="0"/>
              <w:autoSpaceDE/>
              <w:autoSpaceDN/>
              <w:bidi w:val="0"/>
              <w:spacing w:line="560" w:lineRule="exact"/>
              <w:ind w:firstLine="420" w:firstLineChars="200"/>
              <w:jc w:val="both"/>
              <w:textAlignment w:val="auto"/>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计划总投资696万元，总建筑面积3571平方米，设置医养结合床位68张，预计2022年建成。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0" w:type="dxa"/>
            <w:noWrap w:val="0"/>
            <w:vAlign w:val="top"/>
          </w:tcPr>
          <w:p>
            <w:pPr>
              <w:keepNext w:val="0"/>
              <w:keepLines w:val="0"/>
              <w:pageBreakBefore w:val="0"/>
              <w:kinsoku/>
              <w:wordWrap/>
              <w:overflowPunct/>
              <w:topLinePunct w:val="0"/>
              <w:autoSpaceDE/>
              <w:autoSpaceDN/>
              <w:bidi w:val="0"/>
              <w:spacing w:line="560" w:lineRule="exact"/>
              <w:jc w:val="both"/>
              <w:textAlignment w:val="auto"/>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06宋村镇敬老院颐养康疗扩建工程</w:t>
            </w:r>
          </w:p>
          <w:p>
            <w:pPr>
              <w:keepNext w:val="0"/>
              <w:keepLines w:val="0"/>
              <w:pageBreakBefore w:val="0"/>
              <w:kinsoku/>
              <w:wordWrap/>
              <w:overflowPunct/>
              <w:topLinePunct w:val="0"/>
              <w:autoSpaceDE/>
              <w:autoSpaceDN/>
              <w:bidi w:val="0"/>
              <w:spacing w:line="560" w:lineRule="exact"/>
              <w:ind w:firstLine="420" w:firstLineChars="200"/>
              <w:jc w:val="both"/>
              <w:textAlignment w:val="auto"/>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计划总投资5000万元，总建筑面积1.5万平方米，设计康养床位500张。</w:t>
            </w:r>
          </w:p>
        </w:tc>
      </w:tr>
    </w:tbl>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5.推动“居家</w:t>
      </w:r>
      <w:r>
        <w:rPr>
          <w:rFonts w:hint="default" w:ascii="Times New Roman" w:hAnsi="Times New Roman" w:eastAsia="仿宋_GB2312" w:cs="Times New Roman"/>
          <w:b w:val="0"/>
          <w:bCs w:val="0"/>
          <w:color w:val="000000"/>
          <w:sz w:val="32"/>
          <w:szCs w:val="32"/>
          <w:lang w:eastAsia="zh-CN"/>
        </w:rPr>
        <w:t>—</w:t>
      </w:r>
      <w:r>
        <w:rPr>
          <w:rFonts w:hint="default" w:ascii="Times New Roman" w:hAnsi="Times New Roman" w:eastAsia="仿宋_GB2312" w:cs="Times New Roman"/>
          <w:b w:val="0"/>
          <w:bCs w:val="0"/>
          <w:color w:val="000000"/>
          <w:sz w:val="32"/>
          <w:szCs w:val="32"/>
        </w:rPr>
        <w:t>社区</w:t>
      </w:r>
      <w:r>
        <w:rPr>
          <w:rFonts w:hint="default" w:ascii="Times New Roman" w:hAnsi="Times New Roman" w:eastAsia="仿宋_GB2312" w:cs="Times New Roman"/>
          <w:b w:val="0"/>
          <w:bCs w:val="0"/>
          <w:color w:val="000000"/>
          <w:sz w:val="32"/>
          <w:szCs w:val="32"/>
          <w:lang w:eastAsia="zh-CN"/>
        </w:rPr>
        <w:t>—</w:t>
      </w:r>
      <w:r>
        <w:rPr>
          <w:rFonts w:hint="default" w:ascii="Times New Roman" w:hAnsi="Times New Roman" w:eastAsia="仿宋_GB2312" w:cs="Times New Roman"/>
          <w:b w:val="0"/>
          <w:bCs w:val="0"/>
          <w:color w:val="000000"/>
          <w:sz w:val="32"/>
          <w:szCs w:val="32"/>
        </w:rPr>
        <w:t>机构”一体化融合发展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实施“居家</w:t>
      </w:r>
      <w:r>
        <w:rPr>
          <w:rFonts w:hint="default" w:ascii="Times New Roman" w:hAnsi="Times New Roman" w:eastAsia="仿宋_GB2312" w:cs="Times New Roman"/>
          <w:b w:val="0"/>
          <w:bCs w:val="0"/>
          <w:color w:val="000000"/>
          <w:sz w:val="32"/>
          <w:szCs w:val="32"/>
          <w:lang w:eastAsia="zh-CN"/>
        </w:rPr>
        <w:t>—</w:t>
      </w:r>
      <w:r>
        <w:rPr>
          <w:rFonts w:hint="default" w:ascii="Times New Roman" w:hAnsi="Times New Roman" w:eastAsia="仿宋_GB2312" w:cs="Times New Roman"/>
          <w:b w:val="0"/>
          <w:bCs w:val="0"/>
          <w:color w:val="000000"/>
          <w:sz w:val="32"/>
          <w:szCs w:val="32"/>
        </w:rPr>
        <w:t>社区</w:t>
      </w:r>
      <w:r>
        <w:rPr>
          <w:rFonts w:hint="default" w:ascii="Times New Roman" w:hAnsi="Times New Roman" w:eastAsia="仿宋_GB2312" w:cs="Times New Roman"/>
          <w:b w:val="0"/>
          <w:bCs w:val="0"/>
          <w:color w:val="000000"/>
          <w:sz w:val="32"/>
          <w:szCs w:val="32"/>
          <w:lang w:eastAsia="zh-CN"/>
        </w:rPr>
        <w:t>—</w:t>
      </w:r>
      <w:r>
        <w:rPr>
          <w:rFonts w:hint="default" w:ascii="Times New Roman" w:hAnsi="Times New Roman" w:eastAsia="仿宋_GB2312" w:cs="Times New Roman"/>
          <w:b w:val="0"/>
          <w:bCs w:val="0"/>
          <w:color w:val="000000"/>
          <w:sz w:val="32"/>
          <w:szCs w:val="32"/>
        </w:rPr>
        <w:t>机构”一体化工程。紧密结合老年人不断变化的养老服务需求，合理配置服务内容，健全“符合全区实际，居家为基础，社区为依托，机构充分发展，居家</w:t>
      </w:r>
      <w:r>
        <w:rPr>
          <w:rFonts w:hint="default" w:ascii="Times New Roman" w:hAnsi="Times New Roman" w:eastAsia="仿宋_GB2312" w:cs="Times New Roman"/>
          <w:b w:val="0"/>
          <w:bCs w:val="0"/>
          <w:color w:val="000000"/>
          <w:sz w:val="32"/>
          <w:szCs w:val="32"/>
          <w:lang w:eastAsia="zh-CN"/>
        </w:rPr>
        <w:t>—</w:t>
      </w:r>
      <w:r>
        <w:rPr>
          <w:rFonts w:hint="default" w:ascii="Times New Roman" w:hAnsi="Times New Roman" w:eastAsia="仿宋_GB2312" w:cs="Times New Roman"/>
          <w:b w:val="0"/>
          <w:bCs w:val="0"/>
          <w:color w:val="000000"/>
          <w:sz w:val="32"/>
          <w:szCs w:val="32"/>
        </w:rPr>
        <w:t>社区</w:t>
      </w:r>
      <w:r>
        <w:rPr>
          <w:rFonts w:hint="default" w:ascii="Times New Roman" w:hAnsi="Times New Roman" w:eastAsia="仿宋_GB2312" w:cs="Times New Roman"/>
          <w:b w:val="0"/>
          <w:bCs w:val="0"/>
          <w:color w:val="000000"/>
          <w:sz w:val="32"/>
          <w:szCs w:val="32"/>
          <w:lang w:eastAsia="zh-CN"/>
        </w:rPr>
        <w:t>—</w:t>
      </w:r>
      <w:r>
        <w:rPr>
          <w:rFonts w:hint="default" w:ascii="Times New Roman" w:hAnsi="Times New Roman" w:eastAsia="仿宋_GB2312" w:cs="Times New Roman"/>
          <w:b w:val="0"/>
          <w:bCs w:val="0"/>
          <w:color w:val="000000"/>
          <w:sz w:val="32"/>
          <w:szCs w:val="32"/>
        </w:rPr>
        <w:t>机构相协调，医养康养相结合”的养老服务体系，推动养老服务转型升级。加快补齐农村养老服务短板，推动城市优质养老服务资源向农村覆盖延伸，实现城乡养老资源共建共享，构建城乡养老服务一体化发展新格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推进机构养老服务提档升级。在机构养老领域，强化专业细分、精细化管理，提高专业化运营效能。聚焦高龄及失能失智老年人长期照护服务的刚性需求，重点扶持发展满足基本养老服务需求、服务高龄及失能失智老年人的养老机构，不断提高养老机构对高龄及失能失智老年人的照护能力。持续开展养老机构质量建设专项行动，集中解决养老机构消防安全问题。推进养老服务标准化建设，培育打造一批具有影响力和竞争力的养老服务品牌。到2022年，养老机构护理型床位占比不低于60%。</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推动社区养老服务高质量发展。出台《文登区居家社区养老服务建设行动计划2021</w:t>
      </w:r>
      <w:r>
        <w:rPr>
          <w:rFonts w:hint="default" w:ascii="Times New Roman" w:hAnsi="Times New Roman" w:eastAsia="仿宋_GB2312" w:cs="Times New Roman"/>
          <w:b w:val="0"/>
          <w:bCs w:val="0"/>
          <w:color w:val="000000"/>
          <w:sz w:val="32"/>
          <w:szCs w:val="32"/>
          <w:lang w:eastAsia="zh-CN"/>
        </w:rPr>
        <w:t>—</w:t>
      </w:r>
      <w:r>
        <w:rPr>
          <w:rFonts w:hint="default" w:ascii="Times New Roman" w:hAnsi="Times New Roman" w:eastAsia="仿宋_GB2312" w:cs="Times New Roman"/>
          <w:b w:val="0"/>
          <w:bCs w:val="0"/>
          <w:color w:val="000000"/>
          <w:sz w:val="32"/>
          <w:szCs w:val="32"/>
        </w:rPr>
        <w:t>2023》、《文登区街道（镇）级居家社区养老服务中心等级评定暂行办法》，大力实施社区养老服务设施配建，2022年底前，社区养老服务设施配建达标率达到100%。鼓励以医养结合养老机构为主体，托管街道（乡镇）综合养老服务中心，连锁运营社区日间照料设施和农村幸福院，承接政府购买服务项目，推动专业养老服务向社区延伸，打造“15分钟养老圈”。积极推进城乡社区幸福餐桌建设，为老年人就餐提供优惠和便利。探索“物业服务+养老服务”模式。推进农村睦邻互助点建设，为老年人实现“原居养老”提供有效支撑。</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促进居家养老服务提质增效。鼓励养老机构、社区养老服务机构积极主动参与居家养老服务，规范居家养老服务标准、服务制度及后续监督。加大政府购买服务力度，支持和引导养老机构、社会组织等重点面向独居、空巢、留守、失能、计划生育特殊家庭等特殊困难老年人开展服务。出台《文登区家庭养老床位服务规范》，先行试点瑞云祥镇街养老服务中心辐射带动环山办事处11处社区养老服务站和家庭护理床位建设和运营。开展“家庭照护床位”试点，推动专业养老服务向家庭延伸。实施经济困难老年人家庭适老化改造，改善老年人居家环境。提高家庭照护能力，探索建立家庭喘息服务机制。</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0" w:type="dxa"/>
            <w:noWrap w:val="0"/>
            <w:vAlign w:val="top"/>
          </w:tcPr>
          <w:p>
            <w:pPr>
              <w:keepNext w:val="0"/>
              <w:keepLines w:val="0"/>
              <w:pageBreakBefore w:val="0"/>
              <w:kinsoku/>
              <w:wordWrap/>
              <w:overflowPunct/>
              <w:topLinePunct w:val="0"/>
              <w:autoSpaceDE/>
              <w:autoSpaceDN/>
              <w:bidi w:val="0"/>
              <w:spacing w:line="560" w:lineRule="exact"/>
              <w:ind w:firstLine="2310" w:firstLineChars="1100"/>
              <w:jc w:val="both"/>
              <w:textAlignment w:val="auto"/>
              <w:rPr>
                <w:rFonts w:hint="default" w:ascii="Times New Roman" w:hAnsi="Times New Roman" w:eastAsia="仿宋_GB2312" w:cs="Times New Roman"/>
                <w:b w:val="0"/>
                <w:bCs w:val="0"/>
                <w:color w:val="000000"/>
                <w:szCs w:val="21"/>
              </w:rPr>
            </w:pPr>
            <w:bookmarkStart w:id="0" w:name="_Hlk80094798"/>
            <w:r>
              <w:rPr>
                <w:rFonts w:hint="default" w:ascii="Times New Roman" w:hAnsi="Times New Roman" w:eastAsia="仿宋_GB2312" w:cs="Times New Roman"/>
                <w:b w:val="0"/>
                <w:bCs w:val="0"/>
                <w:color w:val="000000"/>
                <w:szCs w:val="21"/>
              </w:rPr>
              <w:t>专栏3 文登区“居家</w:t>
            </w:r>
            <w:r>
              <w:rPr>
                <w:rFonts w:hint="default" w:ascii="Times New Roman" w:hAnsi="Times New Roman" w:eastAsia="仿宋_GB2312" w:cs="Times New Roman"/>
                <w:b w:val="0"/>
                <w:bCs w:val="0"/>
                <w:color w:val="000000"/>
                <w:szCs w:val="21"/>
                <w:lang w:eastAsia="zh-CN"/>
              </w:rPr>
              <w:t>－</w:t>
            </w:r>
            <w:r>
              <w:rPr>
                <w:rFonts w:hint="default" w:ascii="Times New Roman" w:hAnsi="Times New Roman" w:eastAsia="仿宋_GB2312" w:cs="Times New Roman"/>
                <w:b w:val="0"/>
                <w:bCs w:val="0"/>
                <w:color w:val="000000"/>
                <w:szCs w:val="21"/>
              </w:rPr>
              <w:t>社区</w:t>
            </w:r>
            <w:r>
              <w:rPr>
                <w:rFonts w:hint="default" w:ascii="Times New Roman" w:hAnsi="Times New Roman" w:eastAsia="仿宋_GB2312" w:cs="Times New Roman"/>
                <w:b w:val="0"/>
                <w:bCs w:val="0"/>
                <w:color w:val="000000"/>
                <w:szCs w:val="21"/>
                <w:lang w:eastAsia="zh-CN"/>
              </w:rPr>
              <w:t>－</w:t>
            </w:r>
            <w:r>
              <w:rPr>
                <w:rFonts w:hint="default" w:ascii="Times New Roman" w:hAnsi="Times New Roman" w:eastAsia="仿宋_GB2312" w:cs="Times New Roman"/>
                <w:b w:val="0"/>
                <w:bCs w:val="0"/>
                <w:color w:val="000000"/>
                <w:szCs w:val="21"/>
              </w:rPr>
              <w:t>机构”一体化项目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0"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01推进机构养老服务提档升级</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20" w:firstLineChars="200"/>
              <w:jc w:val="both"/>
              <w:textAlignment w:val="auto"/>
              <w:outlineLvl w:val="9"/>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2022年底前，养老机构护理型床位占比不低于60%。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0"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02推动社区养老服务高质量发展</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20" w:firstLineChars="200"/>
              <w:jc w:val="both"/>
              <w:textAlignment w:val="auto"/>
              <w:outlineLvl w:val="9"/>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2022年底前，社区养老服务设施配建达标率达到100%。积极推进城乡社区幸福餐桌建设，为老年人就餐提供优惠和便利。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0"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03 推进农村睦邻互助点建设</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20" w:firstLineChars="200"/>
              <w:jc w:val="both"/>
              <w:textAlignment w:val="auto"/>
              <w:outlineLvl w:val="9"/>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出台《威海市文登区农村睦邻互助积分养老实施方案》，先从泽库、泽头两镇试点，然后在全区范围开展村级睦邻互助工作，为老年人实现“原居养老”提供有效支撑。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0"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04 促进居家养老服务提质增效</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20" w:firstLineChars="200"/>
              <w:jc w:val="both"/>
              <w:textAlignment w:val="auto"/>
              <w:outlineLvl w:val="9"/>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开展“家庭照护床位”试点。实施经济困难老年人家庭适老化改造。提高家庭照护能力，探索建立家庭喘息服务机制</w:t>
            </w:r>
          </w:p>
        </w:tc>
      </w:tr>
      <w:bookmarkEnd w:id="0"/>
    </w:tbl>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6.扩大普惠性养老服务供给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坚持公办养老机构（含公建民营）的公益属性，鼓励公办养老机构为广大老年人提供价格适中、方便可及、质量可靠的养老服务。政府给予支持性政策，持续提升营商环境，培育发展以普惠性养老为主责主业的民办养老机构。鼓励社会力量参与普惠性养老服务供给。培育发展为老社会组织，通过政府购买服务，促进社会组织、志愿者参与养老服务。引导开展银龄互助活动，通过村级睦邻互助试点建设、12349积分养老项目等，鼓励多方服务资源参与养老服务供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b w:val="0"/>
          <w:bCs w:val="0"/>
          <w:color w:val="000000"/>
          <w:sz w:val="32"/>
          <w:szCs w:val="32"/>
        </w:rPr>
      </w:pPr>
      <w:r>
        <w:rPr>
          <w:rFonts w:hint="default" w:ascii="Times New Roman" w:hAnsi="Times New Roman" w:eastAsia="楷体_GB2312" w:cs="Times New Roman"/>
          <w:b w:val="0"/>
          <w:bCs w:val="0"/>
          <w:color w:val="000000"/>
          <w:sz w:val="32"/>
          <w:szCs w:val="32"/>
        </w:rPr>
        <w:t>（三）积极推进文登区医养结合服务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7.建立医养结合领导机制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健全政府主导、部门配合的有效运行机制，各有关部门各司其职，进一步加强协调配合，形成合力，推进医养结合协同发展。民政、卫健部门把医养结合纳入养老服务体系、医疗服务体系发展规划，制定完善医养结合机构建设和服务标准，完善政策体系，督导扶持政策落实。医保部门将符合条件的医养结合机构纳入基本医疗保险、长期护理保险定点机构，加强监督管理。自然资源和规划部门切实保障医养结合机构的土地供应，做好社区配建养老服务设施和医疗服务设施规划工作。住建部门做好社区配建养老服务设施和医疗服务设施建设工作。发展改革部门将推动医养结合纳入国民经济和社会发展规划。财政部门落实相关投入政策，积极支持医养结合机构发展。文旅部门将健康旅游特色产品纳入旅游项目推广计划。市场监管部门强化医养结合机构食品安全，推进医养结合标准化建设。行政审批部门简化医养结合机构审批登记，将医养结合医疗机构审批纳入“一窗办理”，实现一窗受理、一表填报，全程网办。</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0" w:type="dxa"/>
            <w:noWrap w:val="0"/>
            <w:vAlign w:val="top"/>
          </w:tcPr>
          <w:p>
            <w:pPr>
              <w:keepNext w:val="0"/>
              <w:keepLines w:val="0"/>
              <w:pageBreakBefore w:val="0"/>
              <w:kinsoku/>
              <w:wordWrap/>
              <w:overflowPunct/>
              <w:topLinePunct w:val="0"/>
              <w:autoSpaceDE/>
              <w:autoSpaceDN/>
              <w:bidi w:val="0"/>
              <w:spacing w:line="560" w:lineRule="exact"/>
              <w:ind w:firstLine="2310" w:firstLineChars="1100"/>
              <w:jc w:val="both"/>
              <w:textAlignment w:val="auto"/>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专栏4 文登区“医养结合议事小组”建设项目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19" w:hRule="atLeast"/>
          <w:jc w:val="center"/>
        </w:trPr>
        <w:tc>
          <w:tcPr>
            <w:tcW w:w="8440" w:type="dxa"/>
            <w:noWrap w:val="0"/>
            <w:vAlign w:val="top"/>
          </w:tcPr>
          <w:p>
            <w:pPr>
              <w:keepNext w:val="0"/>
              <w:keepLines w:val="0"/>
              <w:pageBreakBefore w:val="0"/>
              <w:kinsoku/>
              <w:wordWrap/>
              <w:overflowPunct/>
              <w:topLinePunct w:val="0"/>
              <w:autoSpaceDE/>
              <w:autoSpaceDN/>
              <w:bidi w:val="0"/>
              <w:spacing w:line="560" w:lineRule="exact"/>
              <w:jc w:val="both"/>
              <w:textAlignment w:val="auto"/>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01成立区级“医养结合议事小组”</w:t>
            </w:r>
          </w:p>
          <w:p>
            <w:pPr>
              <w:keepNext w:val="0"/>
              <w:keepLines w:val="0"/>
              <w:pageBreakBefore w:val="0"/>
              <w:kinsoku/>
              <w:wordWrap/>
              <w:overflowPunct/>
              <w:topLinePunct w:val="0"/>
              <w:autoSpaceDE/>
              <w:autoSpaceDN/>
              <w:bidi w:val="0"/>
              <w:spacing w:line="560" w:lineRule="exact"/>
              <w:ind w:firstLine="420" w:firstLineChars="200"/>
              <w:jc w:val="both"/>
              <w:textAlignment w:val="auto"/>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2022年底前，由各级民政牵头，组织卫健、医保、规划、住建、发改、财政、文旅、市场监管、行政审批等部门，成立区级医养结合议事小组，对重大医养结合项目进行“一事一议”，帮助项目解决推进过程中土地、资金、税费、投融资等难点问题。</w:t>
            </w:r>
          </w:p>
        </w:tc>
      </w:tr>
    </w:tbl>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lang w:val="en-US" w:eastAsia="zh-CN"/>
        </w:rPr>
        <w:t>8.</w:t>
      </w:r>
      <w:r>
        <w:rPr>
          <w:rFonts w:hint="default" w:ascii="Times New Roman" w:hAnsi="Times New Roman" w:eastAsia="仿宋_GB2312" w:cs="Times New Roman"/>
          <w:b w:val="0"/>
          <w:bCs w:val="0"/>
          <w:color w:val="000000"/>
          <w:sz w:val="32"/>
          <w:szCs w:val="32"/>
        </w:rPr>
        <w:t>普及健康生活方式</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以人民健康为中心，坚持预防为主，推行健康生活方式，减少疾病发生，提高老年人健康水平。建立健全部门分工协作、全社会共同参与的健康促进与教育体系。</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jc w:val="center"/>
        </w:trPr>
        <w:tc>
          <w:tcPr>
            <w:tcW w:w="8296" w:type="dxa"/>
            <w:noWrap w:val="0"/>
            <w:vAlign w:val="top"/>
          </w:tcPr>
          <w:p>
            <w:pPr>
              <w:keepNext w:val="0"/>
              <w:keepLines w:val="0"/>
              <w:pageBreakBefore w:val="0"/>
              <w:kinsoku/>
              <w:wordWrap/>
              <w:overflowPunct/>
              <w:topLinePunct w:val="0"/>
              <w:autoSpaceDE/>
              <w:autoSpaceDN/>
              <w:bidi w:val="0"/>
              <w:spacing w:line="560" w:lineRule="exact"/>
              <w:ind w:firstLine="2100" w:firstLineChars="1000"/>
              <w:jc w:val="both"/>
              <w:textAlignment w:val="auto"/>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专栏5 文登区普及健康生活方式项目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70" w:hRule="atLeast"/>
          <w:jc w:val="center"/>
        </w:trPr>
        <w:tc>
          <w:tcPr>
            <w:tcW w:w="8296" w:type="dxa"/>
            <w:noWrap w:val="0"/>
            <w:vAlign w:val="top"/>
          </w:tcPr>
          <w:p>
            <w:pPr>
              <w:keepNext w:val="0"/>
              <w:keepLines w:val="0"/>
              <w:pageBreakBefore w:val="0"/>
              <w:kinsoku/>
              <w:wordWrap/>
              <w:overflowPunct/>
              <w:topLinePunct w:val="0"/>
              <w:autoSpaceDE/>
              <w:autoSpaceDN/>
              <w:bidi w:val="0"/>
              <w:spacing w:line="560" w:lineRule="exact"/>
              <w:jc w:val="both"/>
              <w:textAlignment w:val="auto"/>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01开设和规范各类广播电视等健康栏目</w:t>
            </w:r>
          </w:p>
          <w:p>
            <w:pPr>
              <w:keepNext w:val="0"/>
              <w:keepLines w:val="0"/>
              <w:pageBreakBefore w:val="0"/>
              <w:kinsoku/>
              <w:wordWrap/>
              <w:overflowPunct/>
              <w:topLinePunct w:val="0"/>
              <w:autoSpaceDE/>
              <w:autoSpaceDN/>
              <w:bidi w:val="0"/>
              <w:spacing w:line="560" w:lineRule="exact"/>
              <w:ind w:firstLine="420" w:firstLineChars="200"/>
              <w:jc w:val="both"/>
              <w:textAlignment w:val="auto"/>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发挥新媒体传播优势，规范健康资讯传播。开展普及健康生活方式行动，强化健康生活方式指导，普及健康文化、健康养老等理念。 倡导科学健身，推广中医传统运动项目，制定实施老年人体质健康干预计划。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70" w:hRule="atLeast"/>
          <w:jc w:val="center"/>
        </w:trPr>
        <w:tc>
          <w:tcPr>
            <w:tcW w:w="8296" w:type="dxa"/>
            <w:noWrap w:val="0"/>
            <w:vAlign w:val="top"/>
          </w:tcPr>
          <w:p>
            <w:pPr>
              <w:keepNext w:val="0"/>
              <w:keepLines w:val="0"/>
              <w:pageBreakBefore w:val="0"/>
              <w:kinsoku/>
              <w:wordWrap/>
              <w:overflowPunct/>
              <w:topLinePunct w:val="0"/>
              <w:autoSpaceDE/>
              <w:autoSpaceDN/>
              <w:bidi w:val="0"/>
              <w:spacing w:line="560" w:lineRule="exact"/>
              <w:jc w:val="both"/>
              <w:textAlignment w:val="auto"/>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02推进社区“老年健康自我管理小组”建设</w:t>
            </w:r>
          </w:p>
          <w:p>
            <w:pPr>
              <w:keepNext w:val="0"/>
              <w:keepLines w:val="0"/>
              <w:pageBreakBefore w:val="0"/>
              <w:kinsoku/>
              <w:wordWrap/>
              <w:overflowPunct/>
              <w:topLinePunct w:val="0"/>
              <w:autoSpaceDE/>
              <w:autoSpaceDN/>
              <w:bidi w:val="0"/>
              <w:spacing w:line="560" w:lineRule="exact"/>
              <w:ind w:firstLine="420" w:firstLineChars="200"/>
              <w:jc w:val="both"/>
              <w:textAlignment w:val="auto"/>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加强老年人健康素养和生活方式监测，提升老年人身体、心理、社会参与等不同层面需求，进一步加强老年人健康管理，为老年人提供公平、适宜、优质的健康服务。</w:t>
            </w:r>
          </w:p>
        </w:tc>
      </w:tr>
    </w:tbl>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lang w:val="en-US" w:eastAsia="zh-CN"/>
        </w:rPr>
        <w:t>9.</w:t>
      </w:r>
      <w:r>
        <w:rPr>
          <w:rFonts w:hint="default" w:ascii="Times New Roman" w:hAnsi="Times New Roman" w:eastAsia="仿宋_GB2312" w:cs="Times New Roman"/>
          <w:b w:val="0"/>
          <w:bCs w:val="0"/>
          <w:color w:val="000000"/>
          <w:sz w:val="32"/>
          <w:szCs w:val="32"/>
        </w:rPr>
        <w:t>优化医疗服务供给</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cs="Times New Roman"/>
          <w:b w:val="0"/>
          <w:bCs w:val="0"/>
        </w:rPr>
      </w:pPr>
      <w:r>
        <w:rPr>
          <w:rFonts w:hint="default" w:ascii="Times New Roman" w:hAnsi="Times New Roman" w:eastAsia="仿宋_GB2312" w:cs="Times New Roman"/>
          <w:b w:val="0"/>
          <w:bCs w:val="0"/>
          <w:color w:val="000000"/>
          <w:sz w:val="32"/>
          <w:szCs w:val="32"/>
        </w:rPr>
        <w:t>建立整合型老年医疗卫生服务体系，健全“预防</w:t>
      </w:r>
      <w:r>
        <w:rPr>
          <w:rFonts w:hint="default" w:ascii="Times New Roman" w:hAnsi="Times New Roman" w:eastAsia="仿宋_GB2312" w:cs="Times New Roman"/>
          <w:b w:val="0"/>
          <w:bCs w:val="0"/>
          <w:color w:val="000000"/>
          <w:sz w:val="32"/>
          <w:szCs w:val="32"/>
          <w:lang w:eastAsia="zh-CN"/>
        </w:rPr>
        <w:t>—</w:t>
      </w:r>
      <w:r>
        <w:rPr>
          <w:rFonts w:hint="default" w:ascii="Times New Roman" w:hAnsi="Times New Roman" w:eastAsia="仿宋_GB2312" w:cs="Times New Roman"/>
          <w:b w:val="0"/>
          <w:bCs w:val="0"/>
          <w:color w:val="000000"/>
          <w:sz w:val="32"/>
          <w:szCs w:val="32"/>
        </w:rPr>
        <w:t>治疗</w:t>
      </w:r>
      <w:r>
        <w:rPr>
          <w:rFonts w:hint="default" w:ascii="Times New Roman" w:hAnsi="Times New Roman" w:eastAsia="仿宋_GB2312" w:cs="Times New Roman"/>
          <w:b w:val="0"/>
          <w:bCs w:val="0"/>
          <w:color w:val="000000"/>
          <w:sz w:val="32"/>
          <w:szCs w:val="32"/>
          <w:lang w:eastAsia="zh-CN"/>
        </w:rPr>
        <w:t>—</w:t>
      </w:r>
      <w:r>
        <w:rPr>
          <w:rFonts w:hint="default" w:ascii="Times New Roman" w:hAnsi="Times New Roman" w:eastAsia="仿宋_GB2312" w:cs="Times New Roman"/>
          <w:b w:val="0"/>
          <w:bCs w:val="0"/>
          <w:color w:val="000000"/>
          <w:sz w:val="32"/>
          <w:szCs w:val="32"/>
        </w:rPr>
        <w:t>康复</w:t>
      </w:r>
      <w:r>
        <w:rPr>
          <w:rFonts w:hint="default" w:ascii="Times New Roman" w:hAnsi="Times New Roman" w:eastAsia="仿宋_GB2312" w:cs="Times New Roman"/>
          <w:b w:val="0"/>
          <w:bCs w:val="0"/>
          <w:color w:val="000000"/>
          <w:sz w:val="32"/>
          <w:szCs w:val="32"/>
          <w:lang w:eastAsia="zh-CN"/>
        </w:rPr>
        <w:t>—</w:t>
      </w:r>
      <w:r>
        <w:rPr>
          <w:rFonts w:hint="default" w:ascii="Times New Roman" w:hAnsi="Times New Roman" w:eastAsia="仿宋_GB2312" w:cs="Times New Roman"/>
          <w:b w:val="0"/>
          <w:bCs w:val="0"/>
          <w:color w:val="000000"/>
          <w:sz w:val="32"/>
          <w:szCs w:val="32"/>
        </w:rPr>
        <w:t>护理</w:t>
      </w:r>
      <w:r>
        <w:rPr>
          <w:rFonts w:hint="default" w:ascii="Times New Roman" w:hAnsi="Times New Roman" w:eastAsia="仿宋_GB2312" w:cs="Times New Roman"/>
          <w:b w:val="0"/>
          <w:bCs w:val="0"/>
          <w:color w:val="000000"/>
          <w:sz w:val="32"/>
          <w:szCs w:val="32"/>
          <w:lang w:eastAsia="zh-CN"/>
        </w:rPr>
        <w:t>—</w:t>
      </w:r>
      <w:r>
        <w:rPr>
          <w:rFonts w:hint="default" w:ascii="Times New Roman" w:hAnsi="Times New Roman" w:eastAsia="仿宋_GB2312" w:cs="Times New Roman"/>
          <w:b w:val="0"/>
          <w:bCs w:val="0"/>
          <w:color w:val="000000"/>
          <w:sz w:val="32"/>
          <w:szCs w:val="32"/>
        </w:rPr>
        <w:t>长期照护</w:t>
      </w:r>
      <w:r>
        <w:rPr>
          <w:rFonts w:hint="default" w:ascii="Times New Roman" w:hAnsi="Times New Roman" w:eastAsia="仿宋_GB2312" w:cs="Times New Roman"/>
          <w:b w:val="0"/>
          <w:bCs w:val="0"/>
          <w:color w:val="000000"/>
          <w:sz w:val="32"/>
          <w:szCs w:val="32"/>
          <w:lang w:eastAsia="zh-CN"/>
        </w:rPr>
        <w:t>—</w:t>
      </w:r>
      <w:r>
        <w:rPr>
          <w:rFonts w:hint="default" w:ascii="Times New Roman" w:hAnsi="Times New Roman" w:eastAsia="仿宋_GB2312" w:cs="Times New Roman"/>
          <w:b w:val="0"/>
          <w:bCs w:val="0"/>
          <w:color w:val="000000"/>
          <w:sz w:val="32"/>
          <w:szCs w:val="32"/>
        </w:rPr>
        <w:t>安宁疗护”服务链。支持医务人员从事医养结合服务，实施医师执业地点区域注册制度，按规定支持医务人员到医养结合机构多点执业、多机构备案。建立健全保障机制，适当提高上门服务人员的待遇水平。</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8296" w:type="dxa"/>
            <w:noWrap w:val="0"/>
            <w:vAlign w:val="top"/>
          </w:tcPr>
          <w:p>
            <w:pPr>
              <w:keepNext w:val="0"/>
              <w:keepLines w:val="0"/>
              <w:pageBreakBefore w:val="0"/>
              <w:kinsoku/>
              <w:wordWrap/>
              <w:overflowPunct/>
              <w:topLinePunct w:val="0"/>
              <w:autoSpaceDE/>
              <w:autoSpaceDN/>
              <w:bidi w:val="0"/>
              <w:spacing w:line="560" w:lineRule="exact"/>
              <w:ind w:firstLine="2310" w:firstLineChars="1100"/>
              <w:jc w:val="both"/>
              <w:textAlignment w:val="auto"/>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专栏6文登区医疗服务供给优化项目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7" w:hRule="atLeast"/>
          <w:jc w:val="center"/>
        </w:trPr>
        <w:tc>
          <w:tcPr>
            <w:tcW w:w="8296" w:type="dxa"/>
            <w:noWrap w:val="0"/>
            <w:vAlign w:val="top"/>
          </w:tcPr>
          <w:p>
            <w:pPr>
              <w:keepNext w:val="0"/>
              <w:keepLines w:val="0"/>
              <w:pageBreakBefore w:val="0"/>
              <w:kinsoku/>
              <w:wordWrap/>
              <w:overflowPunct/>
              <w:topLinePunct w:val="0"/>
              <w:autoSpaceDE/>
              <w:autoSpaceDN/>
              <w:bidi w:val="0"/>
              <w:spacing w:line="560" w:lineRule="exact"/>
              <w:jc w:val="both"/>
              <w:textAlignment w:val="auto"/>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01 做实做优家庭医生签约服务</w:t>
            </w:r>
          </w:p>
          <w:p>
            <w:pPr>
              <w:keepNext w:val="0"/>
              <w:keepLines w:val="0"/>
              <w:pageBreakBefore w:val="0"/>
              <w:kinsoku/>
              <w:wordWrap/>
              <w:overflowPunct/>
              <w:topLinePunct w:val="0"/>
              <w:autoSpaceDE/>
              <w:autoSpaceDN/>
              <w:bidi w:val="0"/>
              <w:spacing w:line="560" w:lineRule="exact"/>
              <w:ind w:firstLine="420" w:firstLineChars="200"/>
              <w:jc w:val="both"/>
              <w:textAlignment w:val="auto"/>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完善老年人健康档案，加强动态管理，推进“互联网+护理”“互联网+医疗”“互联网+家庭医生”等服务模式应用于老年健康服务。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7" w:hRule="atLeast"/>
          <w:jc w:val="center"/>
        </w:trPr>
        <w:tc>
          <w:tcPr>
            <w:tcW w:w="8296" w:type="dxa"/>
            <w:noWrap w:val="0"/>
            <w:vAlign w:val="top"/>
          </w:tcPr>
          <w:p>
            <w:pPr>
              <w:keepNext w:val="0"/>
              <w:keepLines w:val="0"/>
              <w:pageBreakBefore w:val="0"/>
              <w:kinsoku/>
              <w:wordWrap/>
              <w:overflowPunct/>
              <w:topLinePunct w:val="0"/>
              <w:autoSpaceDE/>
              <w:autoSpaceDN/>
              <w:bidi w:val="0"/>
              <w:spacing w:line="560" w:lineRule="exact"/>
              <w:jc w:val="both"/>
              <w:textAlignment w:val="auto"/>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02 实施慢性病综合防控</w:t>
            </w:r>
          </w:p>
          <w:p>
            <w:pPr>
              <w:keepNext w:val="0"/>
              <w:keepLines w:val="0"/>
              <w:pageBreakBefore w:val="0"/>
              <w:kinsoku/>
              <w:wordWrap/>
              <w:overflowPunct/>
              <w:topLinePunct w:val="0"/>
              <w:autoSpaceDE/>
              <w:autoSpaceDN/>
              <w:bidi w:val="0"/>
              <w:spacing w:line="560" w:lineRule="exact"/>
              <w:ind w:firstLine="420" w:firstLineChars="200"/>
              <w:jc w:val="both"/>
              <w:textAlignment w:val="auto"/>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开展对老年人常见疾病的早发现、早干预、早治疗。推进老年人心理健康服务体系建设和规范化管理，开展认知障碍、抑郁等老年人常见精神障碍的预防、识别与干预。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7" w:hRule="atLeast"/>
          <w:jc w:val="center"/>
        </w:trPr>
        <w:tc>
          <w:tcPr>
            <w:tcW w:w="8296" w:type="dxa"/>
            <w:noWrap w:val="0"/>
            <w:vAlign w:val="top"/>
          </w:tcPr>
          <w:p>
            <w:pPr>
              <w:keepNext w:val="0"/>
              <w:keepLines w:val="0"/>
              <w:pageBreakBefore w:val="0"/>
              <w:kinsoku/>
              <w:wordWrap/>
              <w:overflowPunct/>
              <w:topLinePunct w:val="0"/>
              <w:autoSpaceDE/>
              <w:autoSpaceDN/>
              <w:bidi w:val="0"/>
              <w:spacing w:line="560" w:lineRule="exact"/>
              <w:jc w:val="both"/>
              <w:textAlignment w:val="auto"/>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03 优化疾病诊治模式</w:t>
            </w:r>
          </w:p>
          <w:p>
            <w:pPr>
              <w:keepNext w:val="0"/>
              <w:keepLines w:val="0"/>
              <w:pageBreakBefore w:val="0"/>
              <w:kinsoku/>
              <w:wordWrap/>
              <w:overflowPunct/>
              <w:topLinePunct w:val="0"/>
              <w:autoSpaceDE/>
              <w:autoSpaceDN/>
              <w:bidi w:val="0"/>
              <w:spacing w:line="560" w:lineRule="exact"/>
              <w:ind w:firstLine="420" w:firstLineChars="200"/>
              <w:jc w:val="both"/>
              <w:textAlignment w:val="auto"/>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推动文登区各类医院开设老年医学科，形成以区老年医学中心为引领、综合医院老年医学科为骨干、基层医疗卫生机构为基础、相关教学科研机构为支撑的医疗服务网络。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7" w:hRule="atLeast"/>
          <w:jc w:val="center"/>
        </w:trPr>
        <w:tc>
          <w:tcPr>
            <w:tcW w:w="8296" w:type="dxa"/>
            <w:noWrap w:val="0"/>
            <w:vAlign w:val="top"/>
          </w:tcPr>
          <w:p>
            <w:pPr>
              <w:keepNext w:val="0"/>
              <w:keepLines w:val="0"/>
              <w:pageBreakBefore w:val="0"/>
              <w:kinsoku/>
              <w:wordWrap/>
              <w:overflowPunct/>
              <w:topLinePunct w:val="0"/>
              <w:autoSpaceDE/>
              <w:autoSpaceDN/>
              <w:bidi w:val="0"/>
              <w:spacing w:line="560" w:lineRule="exact"/>
              <w:jc w:val="both"/>
              <w:textAlignment w:val="auto"/>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04 建立健全安宁疗护服务体系</w:t>
            </w:r>
          </w:p>
          <w:p>
            <w:pPr>
              <w:keepNext w:val="0"/>
              <w:keepLines w:val="0"/>
              <w:pageBreakBefore w:val="0"/>
              <w:kinsoku/>
              <w:wordWrap/>
              <w:overflowPunct/>
              <w:topLinePunct w:val="0"/>
              <w:autoSpaceDE/>
              <w:autoSpaceDN/>
              <w:bidi w:val="0"/>
              <w:spacing w:line="560" w:lineRule="exact"/>
              <w:ind w:firstLine="420" w:firstLineChars="200"/>
              <w:jc w:val="both"/>
              <w:textAlignment w:val="auto"/>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普及安宁疗护文化理念，提升安宁疗护服务能力，改善临终患者生存质量，形成以社区卫生服务中心为重点、机构和居家服务相结合的安宁疗护服务网络。</w:t>
            </w:r>
          </w:p>
        </w:tc>
      </w:tr>
    </w:tbl>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lang w:val="en-US" w:eastAsia="zh-CN"/>
        </w:rPr>
        <w:t>10.</w:t>
      </w:r>
      <w:r>
        <w:rPr>
          <w:rFonts w:hint="default" w:ascii="Times New Roman" w:hAnsi="Times New Roman" w:eastAsia="仿宋_GB2312" w:cs="Times New Roman"/>
          <w:b w:val="0"/>
          <w:bCs w:val="0"/>
          <w:color w:val="000000"/>
          <w:sz w:val="32"/>
          <w:szCs w:val="32"/>
        </w:rPr>
        <w:t>深化医养结合模式</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推动养老机构和医疗卫生机构建设的项目衔接和审批合作，鼓励养老机构设置护理院、护理中心、康复医疗中心等医疗机构，支持社会力量通过市场化运作方式举办医养结合机构，加快建设瑞云祥医疗养护照护中心、文登整骨健康服务中心、界石晒字康养综合体等6个项目，推动全区养老产业多元化布局、高端化发展。聚焦医养结合发展的难点、重点问题，强化改革思维，破解发展难题，持续推进国家级、省级医养结合示范先行区建设，积极争创国家社区居家改革试点、国家积极应对人口老龄化重点联系城市试点，总结推广一批医养结合服务模式，公布一批医养结合示范单位，树立一批具有示范带动效应的服务典型。大力实施县域养老服务体系建设，以整体解决县域医养结合问题为目标，统筹要素资源，强化改革集成，开展创新示范活动，全面开展服务体系创新、业态模式创新、要素支持创新、适老环境创新、体制机制创新。</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 w:hRule="atLeast"/>
          <w:jc w:val="center"/>
        </w:trPr>
        <w:tc>
          <w:tcPr>
            <w:tcW w:w="8296" w:type="dxa"/>
            <w:noWrap w:val="0"/>
            <w:vAlign w:val="top"/>
          </w:tcPr>
          <w:p>
            <w:pPr>
              <w:keepNext w:val="0"/>
              <w:keepLines w:val="0"/>
              <w:pageBreakBefore w:val="0"/>
              <w:kinsoku/>
              <w:wordWrap/>
              <w:overflowPunct/>
              <w:topLinePunct w:val="0"/>
              <w:autoSpaceDE/>
              <w:autoSpaceDN/>
              <w:bidi w:val="0"/>
              <w:spacing w:line="560" w:lineRule="exact"/>
              <w:jc w:val="center"/>
              <w:textAlignment w:val="auto"/>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专栏7 文登区医养结合模式营造项目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3" w:hRule="atLeast"/>
          <w:jc w:val="center"/>
        </w:trPr>
        <w:tc>
          <w:tcPr>
            <w:tcW w:w="8296" w:type="dxa"/>
            <w:noWrap w:val="0"/>
            <w:vAlign w:val="top"/>
          </w:tcPr>
          <w:p>
            <w:pPr>
              <w:keepNext w:val="0"/>
              <w:keepLines w:val="0"/>
              <w:pageBreakBefore w:val="0"/>
              <w:kinsoku/>
              <w:wordWrap/>
              <w:overflowPunct/>
              <w:topLinePunct w:val="0"/>
              <w:autoSpaceDE/>
              <w:autoSpaceDN/>
              <w:bidi w:val="0"/>
              <w:spacing w:line="560" w:lineRule="exact"/>
              <w:jc w:val="both"/>
              <w:textAlignment w:val="auto"/>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01 护理康复机构软硬件建设提升</w:t>
            </w:r>
          </w:p>
          <w:p>
            <w:pPr>
              <w:keepNext w:val="0"/>
              <w:keepLines w:val="0"/>
              <w:pageBreakBefore w:val="0"/>
              <w:kinsoku/>
              <w:wordWrap/>
              <w:overflowPunct/>
              <w:topLinePunct w:val="0"/>
              <w:autoSpaceDE/>
              <w:autoSpaceDN/>
              <w:bidi w:val="0"/>
              <w:spacing w:line="560" w:lineRule="exact"/>
              <w:ind w:firstLine="420" w:firstLineChars="200"/>
              <w:jc w:val="both"/>
              <w:textAlignment w:val="auto"/>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推进文登区人民医院精神卫生康养中心二期、文登区瑞云祥医疗养护照护中心、文登区整骨健康服务中心、文登区天佑安康于家口医养照护中心、文登区晒字医养综合体等医养结合机构建设，满足失智失能老年人刚性需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5" w:hRule="atLeast"/>
          <w:jc w:val="center"/>
        </w:trPr>
        <w:tc>
          <w:tcPr>
            <w:tcW w:w="8296" w:type="dxa"/>
            <w:noWrap w:val="0"/>
            <w:vAlign w:val="top"/>
          </w:tcPr>
          <w:p>
            <w:pPr>
              <w:keepNext w:val="0"/>
              <w:keepLines w:val="0"/>
              <w:pageBreakBefore w:val="0"/>
              <w:kinsoku/>
              <w:wordWrap/>
              <w:overflowPunct/>
              <w:topLinePunct w:val="0"/>
              <w:autoSpaceDE/>
              <w:autoSpaceDN/>
              <w:bidi w:val="0"/>
              <w:spacing w:line="560" w:lineRule="exact"/>
              <w:jc w:val="both"/>
              <w:textAlignment w:val="auto"/>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02 社区卫生服务中心提质增效</w:t>
            </w:r>
          </w:p>
          <w:p>
            <w:pPr>
              <w:keepNext w:val="0"/>
              <w:keepLines w:val="0"/>
              <w:pageBreakBefore w:val="0"/>
              <w:kinsoku/>
              <w:wordWrap/>
              <w:overflowPunct/>
              <w:topLinePunct w:val="0"/>
              <w:autoSpaceDE/>
              <w:autoSpaceDN/>
              <w:bidi w:val="0"/>
              <w:spacing w:line="560" w:lineRule="exact"/>
              <w:ind w:firstLine="420" w:firstLineChars="200"/>
              <w:jc w:val="both"/>
              <w:textAlignment w:val="auto"/>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将社区卫生服务中心打造成医养结合重要平台，推进社区综合养老服务中心医养结合功能建设，提高基层医疗卫生机构在健康教育、预防保健、疾病诊治、康复护理、长期照护、安宁疗护等方面为居家老年人提供上门医疗服务的能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296" w:type="dxa"/>
            <w:noWrap w:val="0"/>
            <w:vAlign w:val="top"/>
          </w:tcPr>
          <w:p>
            <w:pPr>
              <w:keepNext w:val="0"/>
              <w:keepLines w:val="0"/>
              <w:pageBreakBefore w:val="0"/>
              <w:kinsoku/>
              <w:wordWrap/>
              <w:overflowPunct/>
              <w:topLinePunct w:val="0"/>
              <w:autoSpaceDE/>
              <w:autoSpaceDN/>
              <w:bidi w:val="0"/>
              <w:spacing w:line="560" w:lineRule="exact"/>
              <w:jc w:val="both"/>
              <w:textAlignment w:val="auto"/>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03 营河福邸悠然康养小镇建设</w:t>
            </w:r>
          </w:p>
          <w:p>
            <w:pPr>
              <w:keepNext w:val="0"/>
              <w:keepLines w:val="0"/>
              <w:pageBreakBefore w:val="0"/>
              <w:kinsoku/>
              <w:wordWrap/>
              <w:overflowPunct/>
              <w:topLinePunct w:val="0"/>
              <w:autoSpaceDE/>
              <w:autoSpaceDN/>
              <w:bidi w:val="0"/>
              <w:spacing w:line="560" w:lineRule="exact"/>
              <w:ind w:firstLine="420" w:firstLineChars="200"/>
              <w:jc w:val="both"/>
              <w:textAlignment w:val="auto"/>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支持建邦集团与威海宇程建设集团联手打造营河福邸悠然康养小镇，总投资3.8亿元，占地87亩。</w:t>
            </w:r>
          </w:p>
        </w:tc>
      </w:tr>
    </w:tbl>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b w:val="0"/>
          <w:bCs w:val="0"/>
          <w:color w:val="000000"/>
          <w:sz w:val="32"/>
          <w:szCs w:val="32"/>
        </w:rPr>
      </w:pPr>
      <w:r>
        <w:rPr>
          <w:rFonts w:hint="default" w:ascii="Times New Roman" w:hAnsi="Times New Roman" w:eastAsia="楷体_GB2312" w:cs="Times New Roman"/>
          <w:b w:val="0"/>
          <w:bCs w:val="0"/>
          <w:color w:val="000000"/>
          <w:sz w:val="32"/>
          <w:szCs w:val="32"/>
        </w:rPr>
        <w:t>（四）促进文登区老年产业创新发展</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b w:val="0"/>
          <w:bCs w:val="0"/>
          <w:color w:val="000000"/>
          <w:sz w:val="32"/>
          <w:szCs w:val="32"/>
          <w:lang w:val="en-US" w:eastAsia="zh-CN"/>
        </w:rPr>
      </w:pPr>
      <w:r>
        <w:rPr>
          <w:rFonts w:hint="default" w:ascii="Times New Roman" w:hAnsi="Times New Roman" w:eastAsia="仿宋" w:cs="Times New Roman"/>
          <w:b w:val="0"/>
          <w:bCs w:val="0"/>
          <w:color w:val="000000"/>
          <w:sz w:val="24"/>
        </w:rPr>
        <w:t xml:space="preserve">    </w:t>
      </w:r>
      <w:r>
        <w:rPr>
          <w:rFonts w:hint="default" w:ascii="Times New Roman" w:hAnsi="Times New Roman" w:eastAsia="仿宋_GB2312" w:cs="Times New Roman"/>
          <w:b w:val="0"/>
          <w:bCs w:val="0"/>
          <w:color w:val="000000"/>
          <w:sz w:val="32"/>
          <w:szCs w:val="32"/>
          <w:lang w:val="en-US" w:eastAsia="zh-CN"/>
        </w:rPr>
        <w:t>11.推动老龄产业高质量发展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把老龄产业纳入经济社会发展总体规划，定期公布相关扶持政策措施清单和投资指南。优化老龄产业市场竞争环境，建立健全老龄产业相关产品和服务的标准规范。提升融资能力，加强财税支持，加大对养老服务、智慧养老、生物医药等企业和项目的支持。大力发展辅具用品产业，加快发展老年人服装服饰、日用辅助产品、生活护理产品、康复训练及健康促进辅具等老年用品产业。夯实老年用品产业发展基础，提高产业创新能力，发展一批养老产品和服务特色街区，鼓励服务机构专业化、连锁化、品牌化发展。</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b w:val="0"/>
          <w:bCs w:val="0"/>
          <w:color w:val="000000"/>
          <w:sz w:val="32"/>
          <w:szCs w:val="32"/>
          <w:lang w:val="en-US" w:eastAsia="zh-CN"/>
        </w:rPr>
      </w:pPr>
      <w:r>
        <w:rPr>
          <w:rFonts w:hint="default" w:ascii="Times New Roman" w:hAnsi="Times New Roman" w:eastAsia="仿宋_GB2312" w:cs="Times New Roman"/>
          <w:b w:val="0"/>
          <w:bCs w:val="0"/>
          <w:color w:val="000000"/>
          <w:sz w:val="32"/>
          <w:szCs w:val="32"/>
        </w:rPr>
        <w:t>  </w:t>
      </w:r>
      <w:r>
        <w:rPr>
          <w:rFonts w:hint="default" w:ascii="Times New Roman" w:hAnsi="Times New Roman" w:eastAsia="仿宋_GB2312" w:cs="Times New Roman"/>
          <w:b w:val="0"/>
          <w:bCs w:val="0"/>
          <w:color w:val="000000"/>
          <w:sz w:val="32"/>
          <w:szCs w:val="32"/>
          <w:lang w:val="en-US" w:eastAsia="zh-CN"/>
        </w:rPr>
        <w:t>12.激活老年产品市场需求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cs="Times New Roman"/>
          <w:b w:val="0"/>
          <w:bCs w:val="0"/>
          <w:color w:val="000000"/>
        </w:rPr>
      </w:pPr>
      <w:r>
        <w:rPr>
          <w:rFonts w:hint="default" w:ascii="Times New Roman" w:hAnsi="Times New Roman" w:eastAsia="仿宋_GB2312" w:cs="Times New Roman"/>
          <w:b w:val="0"/>
          <w:bCs w:val="0"/>
          <w:color w:val="000000"/>
          <w:sz w:val="32"/>
          <w:szCs w:val="32"/>
        </w:rPr>
        <w:t>倡导健康、科学的养老理念，通过适度补贴等方式，引导有条件的老年人购买或租赁适宜的专业服务和辅具用品。在符合公平竞争相关标准前提下，建立文登区老年用品目录，促进优质产品应用推广。加强对老年产品的宣传推介和消费引导，鼓励电商、零售企业线上线下联动，展示销售老年产品。搭建信息对接和应用平台，促进优质康复辅具等老年适用产品在社区、医疗机构和养老机构率先使用和推广。充分发挥家庭的支撑作用，倡导子女更多为老人消费，提升老年人生活品质。鼓励社会力量打造集康复辅具展示体验、老年用品消费、老年教育文娱等一体的银发消费综合体。</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8296" w:type="dxa"/>
            <w:noWrap w:val="0"/>
            <w:vAlign w:val="top"/>
          </w:tcPr>
          <w:p>
            <w:pPr>
              <w:keepNext w:val="0"/>
              <w:keepLines w:val="0"/>
              <w:pageBreakBefore w:val="0"/>
              <w:kinsoku/>
              <w:wordWrap/>
              <w:overflowPunct/>
              <w:topLinePunct w:val="0"/>
              <w:autoSpaceDE/>
              <w:autoSpaceDN/>
              <w:bidi w:val="0"/>
              <w:spacing w:line="560" w:lineRule="exact"/>
              <w:jc w:val="center"/>
              <w:textAlignment w:val="auto"/>
              <w:rPr>
                <w:rFonts w:hint="default" w:ascii="Times New Roman" w:hAnsi="Times New Roman" w:eastAsia="仿宋_GB2312" w:cs="Times New Roman"/>
                <w:b w:val="0"/>
                <w:bCs w:val="0"/>
                <w:color w:val="000000"/>
                <w:sz w:val="21"/>
                <w:szCs w:val="21"/>
              </w:rPr>
            </w:pPr>
            <w:r>
              <w:rPr>
                <w:rFonts w:hint="default" w:ascii="Times New Roman" w:hAnsi="Times New Roman" w:eastAsia="仿宋_GB2312" w:cs="Times New Roman"/>
                <w:b w:val="0"/>
                <w:bCs w:val="0"/>
                <w:color w:val="000000"/>
                <w:sz w:val="21"/>
                <w:szCs w:val="21"/>
              </w:rPr>
              <w:t>专栏8 文登区养老市场体系建设项目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296" w:type="dxa"/>
            <w:noWrap w:val="0"/>
            <w:vAlign w:val="top"/>
          </w:tcPr>
          <w:p>
            <w:pPr>
              <w:keepNext w:val="0"/>
              <w:keepLines w:val="0"/>
              <w:pageBreakBefore w:val="0"/>
              <w:kinsoku/>
              <w:wordWrap/>
              <w:overflowPunct/>
              <w:topLinePunct w:val="0"/>
              <w:autoSpaceDE/>
              <w:autoSpaceDN/>
              <w:bidi w:val="0"/>
              <w:spacing w:line="560" w:lineRule="exact"/>
              <w:ind w:firstLine="420" w:firstLineChars="200"/>
              <w:jc w:val="both"/>
              <w:textAlignment w:val="auto"/>
              <w:rPr>
                <w:rFonts w:hint="default" w:ascii="Times New Roman" w:hAnsi="Times New Roman" w:eastAsia="仿宋_GB2312" w:cs="Times New Roman"/>
                <w:b w:val="0"/>
                <w:bCs w:val="0"/>
                <w:color w:val="000000"/>
                <w:sz w:val="21"/>
                <w:szCs w:val="21"/>
              </w:rPr>
            </w:pPr>
            <w:r>
              <w:rPr>
                <w:rFonts w:hint="default" w:ascii="Times New Roman" w:hAnsi="Times New Roman" w:eastAsia="仿宋_GB2312" w:cs="Times New Roman"/>
                <w:b w:val="0"/>
                <w:bCs w:val="0"/>
                <w:color w:val="000000"/>
                <w:sz w:val="21"/>
                <w:szCs w:val="21"/>
              </w:rPr>
              <w:t>针对文登区不同老年群体需求，注重养老市场高、中、低层面合作发展。鼓励社会资本进入文登养老市场，拓宽资金来源。加强内部监管和调控，扶持优势市场主体发展，淘汰小乱散弱养老企业，培育合理有序的养老市场竞争环境。</w:t>
            </w:r>
          </w:p>
        </w:tc>
      </w:tr>
    </w:tbl>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lang w:val="en-US" w:eastAsia="zh-CN"/>
        </w:rPr>
      </w:pPr>
      <w:r>
        <w:rPr>
          <w:rFonts w:hint="default" w:ascii="Times New Roman" w:hAnsi="Times New Roman" w:eastAsia="仿宋_GB2312" w:cs="Times New Roman"/>
          <w:b w:val="0"/>
          <w:bCs w:val="0"/>
          <w:color w:val="000000"/>
          <w:sz w:val="32"/>
          <w:szCs w:val="32"/>
          <w:lang w:val="en-US" w:eastAsia="zh-CN"/>
        </w:rPr>
        <w:t>13.推动老龄产业融合发展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创新和丰富养老服务产业新模式与新业态，依托文登既有的自然资源和产业优势，拓展旅居养老、文化养老、健康养老、养生养老等新型消费领域，深入推进医养康养结合。把老龄产业的发展</w:t>
      </w:r>
      <w:r>
        <w:rPr>
          <w:rFonts w:hint="default" w:ascii="Times New Roman" w:hAnsi="Times New Roman" w:eastAsia="仿宋_GB2312" w:cs="Times New Roman"/>
          <w:b w:val="0"/>
          <w:bCs w:val="0"/>
          <w:color w:val="000000"/>
          <w:sz w:val="32"/>
          <w:szCs w:val="32"/>
          <w:lang w:eastAsia="zh-CN"/>
        </w:rPr>
        <w:t>融入</w:t>
      </w:r>
      <w:r>
        <w:rPr>
          <w:rFonts w:hint="default" w:ascii="Times New Roman" w:hAnsi="Times New Roman" w:eastAsia="仿宋_GB2312" w:cs="Times New Roman"/>
          <w:b w:val="0"/>
          <w:bCs w:val="0"/>
          <w:color w:val="000000"/>
          <w:sz w:val="32"/>
          <w:szCs w:val="32"/>
        </w:rPr>
        <w:t xml:space="preserve">城市治理和乡村振兴之中，支持社会资本设计开发更多适合老年人居住的商业住宅产品。加强公共文化数字化服务，鼓励发展老年数字教育新业态，推进“互联网+老年教育”的融合创新发展。促进老年旅游健康发展，鼓励旅游企业设计更多的一日游、半日游、短途游和康养游等适合老年人旅游产品，进一步提升老年旅游产品与服务品质。 </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7" w:hRule="atLeast"/>
          <w:jc w:val="center"/>
        </w:trPr>
        <w:tc>
          <w:tcPr>
            <w:tcW w:w="8296" w:type="dxa"/>
            <w:noWrap w:val="0"/>
            <w:vAlign w:val="top"/>
          </w:tcPr>
          <w:p>
            <w:pPr>
              <w:keepNext w:val="0"/>
              <w:keepLines w:val="0"/>
              <w:pageBreakBefore w:val="0"/>
              <w:kinsoku/>
              <w:wordWrap/>
              <w:overflowPunct/>
              <w:topLinePunct w:val="0"/>
              <w:autoSpaceDE/>
              <w:autoSpaceDN/>
              <w:bidi w:val="0"/>
              <w:spacing w:line="560" w:lineRule="exact"/>
              <w:jc w:val="center"/>
              <w:textAlignment w:val="auto"/>
              <w:rPr>
                <w:rFonts w:hint="default" w:ascii="Times New Roman" w:hAnsi="Times New Roman" w:eastAsia="仿宋_GB2312" w:cs="Times New Roman"/>
                <w:b w:val="0"/>
                <w:bCs w:val="0"/>
                <w:color w:val="000000"/>
                <w:sz w:val="21"/>
                <w:szCs w:val="21"/>
              </w:rPr>
            </w:pPr>
            <w:r>
              <w:rPr>
                <w:rFonts w:hint="default" w:ascii="Times New Roman" w:hAnsi="Times New Roman" w:eastAsia="仿宋_GB2312" w:cs="Times New Roman"/>
                <w:b w:val="0"/>
                <w:bCs w:val="0"/>
                <w:color w:val="000000"/>
                <w:sz w:val="21"/>
                <w:szCs w:val="21"/>
              </w:rPr>
              <w:t>专栏9 文登区区域养老市场融入项目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jc w:val="center"/>
        </w:trPr>
        <w:tc>
          <w:tcPr>
            <w:tcW w:w="8296" w:type="dxa"/>
            <w:noWrap w:val="0"/>
            <w:vAlign w:val="top"/>
          </w:tcPr>
          <w:p>
            <w:pPr>
              <w:keepNext w:val="0"/>
              <w:keepLines w:val="0"/>
              <w:pageBreakBefore w:val="0"/>
              <w:kinsoku/>
              <w:wordWrap/>
              <w:overflowPunct/>
              <w:topLinePunct w:val="0"/>
              <w:autoSpaceDE/>
              <w:autoSpaceDN/>
              <w:bidi w:val="0"/>
              <w:spacing w:line="560" w:lineRule="exact"/>
              <w:jc w:val="both"/>
              <w:textAlignment w:val="auto"/>
              <w:rPr>
                <w:rFonts w:hint="default" w:ascii="Times New Roman" w:hAnsi="Times New Roman" w:eastAsia="仿宋_GB2312" w:cs="Times New Roman"/>
                <w:b w:val="0"/>
                <w:bCs w:val="0"/>
                <w:color w:val="000000"/>
                <w:sz w:val="21"/>
                <w:szCs w:val="21"/>
              </w:rPr>
            </w:pPr>
            <w:r>
              <w:rPr>
                <w:rFonts w:hint="default" w:ascii="Times New Roman" w:hAnsi="Times New Roman" w:eastAsia="仿宋_GB2312" w:cs="Times New Roman"/>
                <w:b w:val="0"/>
                <w:bCs w:val="0"/>
                <w:color w:val="000000"/>
                <w:sz w:val="21"/>
                <w:szCs w:val="21"/>
              </w:rPr>
              <w:t>01 特色康养旅居机构建设</w:t>
            </w:r>
          </w:p>
          <w:p>
            <w:pPr>
              <w:keepNext w:val="0"/>
              <w:keepLines w:val="0"/>
              <w:pageBreakBefore w:val="0"/>
              <w:kinsoku/>
              <w:wordWrap/>
              <w:overflowPunct/>
              <w:topLinePunct w:val="0"/>
              <w:autoSpaceDE/>
              <w:autoSpaceDN/>
              <w:bidi w:val="0"/>
              <w:spacing w:line="560" w:lineRule="exact"/>
              <w:ind w:firstLine="420" w:firstLineChars="200"/>
              <w:jc w:val="both"/>
              <w:textAlignment w:val="auto"/>
              <w:rPr>
                <w:rFonts w:hint="default" w:ascii="Times New Roman" w:hAnsi="Times New Roman" w:eastAsia="仿宋_GB2312" w:cs="Times New Roman"/>
                <w:b w:val="0"/>
                <w:bCs w:val="0"/>
                <w:color w:val="000000"/>
                <w:sz w:val="21"/>
                <w:szCs w:val="21"/>
              </w:rPr>
            </w:pPr>
            <w:r>
              <w:rPr>
                <w:rFonts w:hint="default" w:ascii="Times New Roman" w:hAnsi="Times New Roman" w:eastAsia="仿宋_GB2312" w:cs="Times New Roman"/>
                <w:b w:val="0"/>
                <w:bCs w:val="0"/>
                <w:color w:val="000000"/>
                <w:sz w:val="21"/>
                <w:szCs w:val="21"/>
              </w:rPr>
              <w:t>充分利用5—10月份旅游旺季，鼓励引导养老机构利用空闲床位资源，创新开发“候鸟式、疗养式、田园式”等旅居康养产品，召开全国旅居养老论坛，深挖养生养老文化内涵，打造“全国康养旅居后花园”。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17" w:hRule="atLeast"/>
          <w:jc w:val="center"/>
        </w:trPr>
        <w:tc>
          <w:tcPr>
            <w:tcW w:w="8296" w:type="dxa"/>
            <w:noWrap w:val="0"/>
            <w:vAlign w:val="top"/>
          </w:tcPr>
          <w:p>
            <w:pPr>
              <w:keepNext w:val="0"/>
              <w:keepLines w:val="0"/>
              <w:pageBreakBefore w:val="0"/>
              <w:kinsoku/>
              <w:wordWrap/>
              <w:overflowPunct/>
              <w:topLinePunct w:val="0"/>
              <w:autoSpaceDE/>
              <w:autoSpaceDN/>
              <w:bidi w:val="0"/>
              <w:spacing w:line="560" w:lineRule="exact"/>
              <w:jc w:val="both"/>
              <w:textAlignment w:val="auto"/>
              <w:rPr>
                <w:rFonts w:hint="default" w:ascii="Times New Roman" w:hAnsi="Times New Roman" w:eastAsia="仿宋_GB2312" w:cs="Times New Roman"/>
                <w:b w:val="0"/>
                <w:bCs w:val="0"/>
                <w:color w:val="000000"/>
                <w:sz w:val="21"/>
                <w:szCs w:val="21"/>
              </w:rPr>
            </w:pPr>
            <w:r>
              <w:rPr>
                <w:rFonts w:hint="default" w:ascii="Times New Roman" w:hAnsi="Times New Roman" w:eastAsia="仿宋_GB2312" w:cs="Times New Roman"/>
                <w:b w:val="0"/>
                <w:bCs w:val="0"/>
                <w:color w:val="000000"/>
                <w:sz w:val="21"/>
                <w:szCs w:val="21"/>
              </w:rPr>
              <w:t>02 优化“东方康养圣地”城市品牌</w:t>
            </w:r>
          </w:p>
          <w:p>
            <w:pPr>
              <w:keepNext w:val="0"/>
              <w:keepLines w:val="0"/>
              <w:pageBreakBefore w:val="0"/>
              <w:kinsoku/>
              <w:wordWrap/>
              <w:overflowPunct/>
              <w:topLinePunct w:val="0"/>
              <w:autoSpaceDE/>
              <w:autoSpaceDN/>
              <w:bidi w:val="0"/>
              <w:spacing w:line="560" w:lineRule="exact"/>
              <w:ind w:firstLine="420" w:firstLineChars="200"/>
              <w:jc w:val="both"/>
              <w:textAlignment w:val="auto"/>
              <w:rPr>
                <w:rFonts w:hint="default" w:ascii="Times New Roman" w:hAnsi="Times New Roman" w:eastAsia="仿宋_GB2312" w:cs="Times New Roman"/>
                <w:b w:val="0"/>
                <w:bCs w:val="0"/>
                <w:color w:val="000000"/>
                <w:sz w:val="21"/>
                <w:szCs w:val="21"/>
              </w:rPr>
            </w:pPr>
            <w:r>
              <w:rPr>
                <w:rFonts w:hint="default" w:ascii="Times New Roman" w:hAnsi="Times New Roman" w:eastAsia="仿宋_GB2312" w:cs="Times New Roman"/>
                <w:b w:val="0"/>
                <w:bCs w:val="0"/>
                <w:color w:val="000000"/>
                <w:sz w:val="21"/>
                <w:szCs w:val="21"/>
              </w:rPr>
              <w:t>依托文登区山、海、温泉和整骨、中心医院两家三甲医院等优质康养资源，重点突破“养生旅游、医养康疗、养老服务”等产业，积极引进资源开发和产业合作项目，做实和优化“康养圣地”的城市品牌。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4" w:hRule="atLeast"/>
          <w:jc w:val="center"/>
        </w:trPr>
        <w:tc>
          <w:tcPr>
            <w:tcW w:w="8296" w:type="dxa"/>
            <w:noWrap w:val="0"/>
            <w:vAlign w:val="top"/>
          </w:tcPr>
          <w:p>
            <w:pPr>
              <w:keepNext w:val="0"/>
              <w:keepLines w:val="0"/>
              <w:pageBreakBefore w:val="0"/>
              <w:kinsoku/>
              <w:wordWrap/>
              <w:overflowPunct/>
              <w:topLinePunct w:val="0"/>
              <w:autoSpaceDE/>
              <w:autoSpaceDN/>
              <w:bidi w:val="0"/>
              <w:spacing w:line="560" w:lineRule="exact"/>
              <w:jc w:val="both"/>
              <w:textAlignment w:val="auto"/>
              <w:rPr>
                <w:rFonts w:hint="default" w:ascii="Times New Roman" w:hAnsi="Times New Roman" w:eastAsia="仿宋_GB2312" w:cs="Times New Roman"/>
                <w:b w:val="0"/>
                <w:bCs w:val="0"/>
                <w:color w:val="000000"/>
                <w:sz w:val="21"/>
                <w:szCs w:val="21"/>
              </w:rPr>
            </w:pPr>
            <w:r>
              <w:rPr>
                <w:rFonts w:hint="default" w:ascii="Times New Roman" w:hAnsi="Times New Roman" w:eastAsia="仿宋_GB2312" w:cs="Times New Roman"/>
                <w:b w:val="0"/>
                <w:bCs w:val="0"/>
                <w:color w:val="000000"/>
                <w:sz w:val="21"/>
                <w:szCs w:val="21"/>
              </w:rPr>
              <w:t>03 东亚“区域性养老服务集散中心”建设</w:t>
            </w:r>
          </w:p>
          <w:p>
            <w:pPr>
              <w:keepNext w:val="0"/>
              <w:keepLines w:val="0"/>
              <w:pageBreakBefore w:val="0"/>
              <w:kinsoku/>
              <w:wordWrap/>
              <w:overflowPunct/>
              <w:topLinePunct w:val="0"/>
              <w:autoSpaceDE/>
              <w:autoSpaceDN/>
              <w:bidi w:val="0"/>
              <w:spacing w:line="560" w:lineRule="exact"/>
              <w:ind w:firstLine="420" w:firstLineChars="200"/>
              <w:jc w:val="both"/>
              <w:textAlignment w:val="auto"/>
              <w:rPr>
                <w:rFonts w:hint="default" w:ascii="Times New Roman" w:hAnsi="Times New Roman" w:eastAsia="仿宋_GB2312" w:cs="Times New Roman"/>
                <w:b w:val="0"/>
                <w:bCs w:val="0"/>
                <w:color w:val="000000"/>
                <w:sz w:val="21"/>
                <w:szCs w:val="21"/>
              </w:rPr>
            </w:pPr>
            <w:r>
              <w:rPr>
                <w:rFonts w:hint="default" w:ascii="Times New Roman" w:hAnsi="Times New Roman" w:eastAsia="仿宋_GB2312" w:cs="Times New Roman"/>
                <w:b w:val="0"/>
                <w:bCs w:val="0"/>
                <w:color w:val="000000"/>
                <w:sz w:val="21"/>
                <w:szCs w:val="21"/>
              </w:rPr>
              <w:t>积极融入威海市养老服务规划，明确定位，打造威海养老产业高地。突出服务特色，对接山东全省和其他省市相关老年群体，融入全国养老服务市场。利用区位优势，依托国内市场，对接日韩，形成养老资源市场、养老服务市场的良性互动，打造东亚区域性养老“资源、人才、服务、技术”集散中心，提高国际养老市场竞争力。</w:t>
            </w:r>
          </w:p>
        </w:tc>
      </w:tr>
    </w:tbl>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b w:val="0"/>
          <w:bCs w:val="0"/>
          <w:color w:val="000000"/>
          <w:sz w:val="32"/>
          <w:szCs w:val="32"/>
        </w:rPr>
      </w:pPr>
      <w:r>
        <w:rPr>
          <w:rFonts w:hint="default" w:ascii="Times New Roman" w:hAnsi="Times New Roman" w:eastAsia="楷体_GB2312" w:cs="Times New Roman"/>
          <w:b w:val="0"/>
          <w:bCs w:val="0"/>
          <w:color w:val="000000"/>
          <w:sz w:val="32"/>
          <w:szCs w:val="32"/>
        </w:rPr>
        <w:t>（五）构筑文登区养老服务队伍新高地</w:t>
      </w:r>
    </w:p>
    <w:p>
      <w:pPr>
        <w:pStyle w:val="12"/>
        <w:keepNext w:val="0"/>
        <w:keepLines w:val="0"/>
        <w:pageBreakBefore w:val="0"/>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仿宋_GB2312" w:cs="Times New Roman"/>
          <w:b w:val="0"/>
          <w:bCs w:val="0"/>
          <w:color w:val="000000"/>
          <w:kern w:val="2"/>
          <w:sz w:val="32"/>
          <w:szCs w:val="32"/>
          <w:lang w:val="en-US" w:eastAsia="zh-CN" w:bidi="ar-SA"/>
        </w:rPr>
      </w:pPr>
      <w:r>
        <w:rPr>
          <w:rFonts w:hint="default" w:ascii="Times New Roman" w:hAnsi="Times New Roman" w:eastAsia="仿宋_GB2312" w:cs="Times New Roman"/>
          <w:b w:val="0"/>
          <w:bCs w:val="0"/>
          <w:color w:val="000000"/>
          <w:kern w:val="2"/>
          <w:sz w:val="32"/>
          <w:szCs w:val="32"/>
          <w:lang w:val="en-US" w:eastAsia="zh-CN" w:bidi="ar-SA"/>
        </w:rPr>
        <w:t>14.加强养老人才培养</w:t>
      </w:r>
    </w:p>
    <w:p>
      <w:pPr>
        <w:pStyle w:val="12"/>
        <w:keepNext w:val="0"/>
        <w:keepLines w:val="0"/>
        <w:pageBreakBefore w:val="0"/>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推动校企合作，将养老服务列为职业教育校企合作优先领域；实施本地高职院校设立养老服务相关专业奖补制度，鼓励高职院校设置养老服务相关专业。支持本地高职院校开展“学历证书+若干职业技能等级证书”1+X制度试点，加大对养老服务复合型人才的培养力度。加强与外地院校合作，积极采取</w:t>
      </w:r>
      <w:r>
        <w:rPr>
          <w:rStyle w:val="38"/>
          <w:rFonts w:hint="default" w:ascii="Times New Roman" w:hAnsi="Times New Roman" w:eastAsia="仿宋_GB2312" w:cs="Times New Roman"/>
          <w:b w:val="0"/>
          <w:bCs w:val="0"/>
          <w:color w:val="000000"/>
          <w:sz w:val="32"/>
          <w:szCs w:val="32"/>
        </w:rPr>
        <w:t>“订单式”、“定向式”等多种培养模式，</w:t>
      </w:r>
      <w:r>
        <w:rPr>
          <w:rFonts w:hint="default" w:ascii="Times New Roman" w:hAnsi="Times New Roman" w:eastAsia="仿宋_GB2312" w:cs="Times New Roman"/>
          <w:b w:val="0"/>
          <w:bCs w:val="0"/>
          <w:color w:val="000000"/>
          <w:sz w:val="32"/>
          <w:szCs w:val="32"/>
        </w:rPr>
        <w:t>培养“养老顾问”、养老职业经理、老年人能力评估师等各类涉老人才。</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8296" w:type="dxa"/>
            <w:noWrap w:val="0"/>
            <w:vAlign w:val="top"/>
          </w:tcPr>
          <w:p>
            <w:pPr>
              <w:keepNext w:val="0"/>
              <w:keepLines w:val="0"/>
              <w:pageBreakBefore w:val="0"/>
              <w:kinsoku/>
              <w:wordWrap/>
              <w:overflowPunct/>
              <w:topLinePunct w:val="0"/>
              <w:autoSpaceDE/>
              <w:autoSpaceDN/>
              <w:bidi w:val="0"/>
              <w:spacing w:line="560" w:lineRule="exact"/>
              <w:ind w:firstLine="2310" w:firstLineChars="1100"/>
              <w:jc w:val="both"/>
              <w:textAlignment w:val="auto"/>
              <w:rPr>
                <w:rFonts w:hint="default" w:ascii="Times New Roman" w:hAnsi="Times New Roman" w:eastAsia="仿宋_GB2312" w:cs="Times New Roman"/>
                <w:b w:val="0"/>
                <w:bCs w:val="0"/>
                <w:color w:val="000000"/>
                <w:sz w:val="24"/>
              </w:rPr>
            </w:pPr>
            <w:r>
              <w:rPr>
                <w:rFonts w:hint="default" w:ascii="Times New Roman" w:hAnsi="Times New Roman" w:eastAsia="仿宋_GB2312" w:cs="Times New Roman"/>
                <w:b w:val="0"/>
                <w:bCs w:val="0"/>
                <w:color w:val="000000"/>
                <w:szCs w:val="21"/>
              </w:rPr>
              <w:t xml:space="preserve">专栏10 </w:t>
            </w:r>
            <w:r>
              <w:rPr>
                <w:rFonts w:hint="default" w:ascii="Times New Roman" w:hAnsi="Times New Roman" w:eastAsia="仿宋_GB2312" w:cs="Times New Roman"/>
                <w:b w:val="0"/>
                <w:bCs w:val="0"/>
                <w:color w:val="000000"/>
                <w:kern w:val="0"/>
                <w:szCs w:val="21"/>
              </w:rPr>
              <w:t>文登区高端养老人才培训项目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jc w:val="center"/>
        </w:trPr>
        <w:tc>
          <w:tcPr>
            <w:tcW w:w="8296" w:type="dxa"/>
            <w:noWrap w:val="0"/>
            <w:vAlign w:val="top"/>
          </w:tcPr>
          <w:p>
            <w:pPr>
              <w:keepNext w:val="0"/>
              <w:keepLines w:val="0"/>
              <w:pageBreakBefore w:val="0"/>
              <w:kinsoku/>
              <w:wordWrap/>
              <w:overflowPunct/>
              <w:topLinePunct w:val="0"/>
              <w:autoSpaceDE/>
              <w:autoSpaceDN/>
              <w:bidi w:val="0"/>
              <w:spacing w:line="560" w:lineRule="exact"/>
              <w:jc w:val="both"/>
              <w:textAlignment w:val="auto"/>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01 养老服务人才“产教研用训”综合培育</w:t>
            </w:r>
          </w:p>
          <w:p>
            <w:pPr>
              <w:keepNext w:val="0"/>
              <w:keepLines w:val="0"/>
              <w:pageBreakBefore w:val="0"/>
              <w:kinsoku/>
              <w:wordWrap/>
              <w:overflowPunct/>
              <w:topLinePunct w:val="0"/>
              <w:autoSpaceDE/>
              <w:autoSpaceDN/>
              <w:bidi w:val="0"/>
              <w:spacing w:line="560" w:lineRule="exact"/>
              <w:ind w:firstLine="420" w:firstLineChars="200"/>
              <w:jc w:val="both"/>
              <w:textAlignment w:val="auto"/>
              <w:rPr>
                <w:rFonts w:hint="default" w:ascii="Times New Roman" w:hAnsi="Times New Roman" w:eastAsia="仿宋_GB2312" w:cs="Times New Roman"/>
                <w:b w:val="0"/>
                <w:bCs w:val="0"/>
                <w:color w:val="000000"/>
                <w:sz w:val="24"/>
              </w:rPr>
            </w:pPr>
            <w:r>
              <w:rPr>
                <w:rFonts w:hint="default" w:ascii="Times New Roman" w:hAnsi="Times New Roman" w:eastAsia="仿宋_GB2312" w:cs="Times New Roman"/>
                <w:b w:val="0"/>
                <w:bCs w:val="0"/>
                <w:color w:val="000000"/>
                <w:szCs w:val="21"/>
              </w:rPr>
              <w:t>探索建立养老服务人才“产教研用训”一条龙推进机制，鼓励文登卫校、文登职业技术学校设置养老服务相关专业，吸引山东女子学院设立产业学院建设点，加快培养老年医学、康复、护理、营养、社会工作等专业人才，把文登打造成鲁东养老人才培训基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4" w:hRule="atLeast"/>
          <w:jc w:val="center"/>
        </w:trPr>
        <w:tc>
          <w:tcPr>
            <w:tcW w:w="8296" w:type="dxa"/>
            <w:noWrap w:val="0"/>
            <w:vAlign w:val="top"/>
          </w:tcPr>
          <w:p>
            <w:pPr>
              <w:keepNext w:val="0"/>
              <w:keepLines w:val="0"/>
              <w:pageBreakBefore w:val="0"/>
              <w:kinsoku/>
              <w:wordWrap/>
              <w:overflowPunct/>
              <w:topLinePunct w:val="0"/>
              <w:autoSpaceDE/>
              <w:autoSpaceDN/>
              <w:bidi w:val="0"/>
              <w:spacing w:line="560" w:lineRule="exact"/>
              <w:jc w:val="both"/>
              <w:textAlignment w:val="auto"/>
              <w:rPr>
                <w:rFonts w:hint="default" w:ascii="Times New Roman" w:hAnsi="Times New Roman" w:eastAsia="仿宋_GB2312" w:cs="Times New Roman"/>
                <w:b w:val="0"/>
                <w:bCs w:val="0"/>
                <w:color w:val="000000"/>
                <w:szCs w:val="21"/>
              </w:rPr>
            </w:pPr>
            <w:r>
              <w:rPr>
                <w:rFonts w:hint="default" w:ascii="Times New Roman" w:hAnsi="Times New Roman" w:eastAsia="仿宋_GB2312" w:cs="Times New Roman"/>
                <w:b w:val="0"/>
                <w:bCs w:val="0"/>
                <w:color w:val="000000"/>
                <w:szCs w:val="21"/>
              </w:rPr>
              <w:t>02 养老护理人员系统培训</w:t>
            </w:r>
          </w:p>
          <w:p>
            <w:pPr>
              <w:keepNext w:val="0"/>
              <w:keepLines w:val="0"/>
              <w:pageBreakBefore w:val="0"/>
              <w:kinsoku/>
              <w:wordWrap/>
              <w:overflowPunct/>
              <w:topLinePunct w:val="0"/>
              <w:autoSpaceDE/>
              <w:autoSpaceDN/>
              <w:bidi w:val="0"/>
              <w:spacing w:line="560" w:lineRule="exact"/>
              <w:ind w:firstLine="420" w:firstLineChars="200"/>
              <w:jc w:val="both"/>
              <w:textAlignment w:val="auto"/>
              <w:rPr>
                <w:rFonts w:hint="default" w:ascii="Times New Roman" w:hAnsi="Times New Roman" w:eastAsia="仿宋_GB2312" w:cs="Times New Roman"/>
                <w:b w:val="0"/>
                <w:bCs w:val="0"/>
                <w:color w:val="000000"/>
                <w:sz w:val="24"/>
              </w:rPr>
            </w:pPr>
            <w:r>
              <w:rPr>
                <w:rFonts w:hint="default" w:ascii="Times New Roman" w:hAnsi="Times New Roman" w:eastAsia="仿宋_GB2312" w:cs="Times New Roman"/>
                <w:b w:val="0"/>
                <w:bCs w:val="0"/>
                <w:color w:val="000000"/>
                <w:szCs w:val="21"/>
              </w:rPr>
              <w:t>支持医务人员到养老机构从事医养结合服务；推动养老护理技能等级认定，推动养老护理技能等级认定机构的建设和规范管理；加强农村养老护理员队伍建设和培训，实现服务机构人员100%接受培训；开展失能、半失能老年人家庭照护者技能培训；引进日韩先进的养老服务模式，建设涉外实训、服务基地，输出高端养老服务人才。</w:t>
            </w:r>
          </w:p>
        </w:tc>
      </w:tr>
    </w:tbl>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kern w:val="2"/>
          <w:sz w:val="32"/>
          <w:szCs w:val="32"/>
          <w:lang w:val="en-US" w:eastAsia="zh-CN" w:bidi="ar-SA"/>
        </w:rPr>
      </w:pPr>
      <w:r>
        <w:rPr>
          <w:rFonts w:hint="default" w:ascii="Times New Roman" w:hAnsi="Times New Roman" w:eastAsia="仿宋_GB2312" w:cs="Times New Roman"/>
          <w:b w:val="0"/>
          <w:bCs w:val="0"/>
          <w:color w:val="000000"/>
          <w:kern w:val="2"/>
          <w:sz w:val="32"/>
          <w:szCs w:val="32"/>
          <w:lang w:val="en-US" w:eastAsia="zh-CN" w:bidi="ar-SA"/>
        </w:rPr>
        <w:t>15.扩充志愿服务队伍</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kern w:val="0"/>
          <w:sz w:val="32"/>
          <w:szCs w:val="32"/>
        </w:rPr>
      </w:pPr>
      <w:r>
        <w:rPr>
          <w:rFonts w:hint="default" w:ascii="Times New Roman" w:hAnsi="Times New Roman" w:eastAsia="仿宋_GB2312" w:cs="Times New Roman"/>
          <w:b w:val="0"/>
          <w:bCs w:val="0"/>
          <w:color w:val="000000"/>
          <w:kern w:val="0"/>
          <w:sz w:val="32"/>
          <w:szCs w:val="32"/>
        </w:rPr>
        <w:t>大力培养为老年人服务的社会工作者队伍，在养老服务机构中开发设置社会工作者岗位。深入推进养老领域志愿服务工作发展，采取政府购买志愿服务组织服务等方式，积极扶持培育各类为老志愿服务组织。鼓励退休医务人员到养老机构执业，动员吸纳退休护士从事老年人护理指导、培训和服务。探索互助养老模式，鼓励与支持互助养老服务组织，鼓励有条件的集体经济组织资助发展农村互助养老。</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8296" w:type="dxa"/>
            <w:noWrap w:val="0"/>
            <w:vAlign w:val="top"/>
          </w:tcPr>
          <w:p>
            <w:pPr>
              <w:keepNext w:val="0"/>
              <w:keepLines w:val="0"/>
              <w:pageBreakBefore w:val="0"/>
              <w:kinsoku/>
              <w:wordWrap/>
              <w:overflowPunct/>
              <w:topLinePunct w:val="0"/>
              <w:autoSpaceDE/>
              <w:autoSpaceDN/>
              <w:bidi w:val="0"/>
              <w:spacing w:line="560" w:lineRule="exact"/>
              <w:ind w:firstLine="1890" w:firstLineChars="900"/>
              <w:jc w:val="both"/>
              <w:textAlignment w:val="auto"/>
              <w:rPr>
                <w:rFonts w:hint="default" w:ascii="Times New Roman" w:hAnsi="Times New Roman" w:eastAsia="仿宋_GB2312" w:cs="Times New Roman"/>
                <w:b w:val="0"/>
                <w:bCs w:val="0"/>
                <w:color w:val="000000"/>
                <w:sz w:val="24"/>
              </w:rPr>
            </w:pPr>
            <w:r>
              <w:rPr>
                <w:rFonts w:hint="default" w:ascii="Times New Roman" w:hAnsi="Times New Roman" w:eastAsia="仿宋_GB2312" w:cs="Times New Roman"/>
                <w:b w:val="0"/>
                <w:bCs w:val="0"/>
                <w:color w:val="000000"/>
                <w:szCs w:val="21"/>
              </w:rPr>
              <w:t xml:space="preserve">专栏11 </w:t>
            </w:r>
            <w:r>
              <w:rPr>
                <w:rFonts w:hint="default" w:ascii="Times New Roman" w:hAnsi="Times New Roman" w:eastAsia="仿宋_GB2312" w:cs="Times New Roman"/>
                <w:b w:val="0"/>
                <w:bCs w:val="0"/>
                <w:color w:val="000000"/>
                <w:kern w:val="0"/>
                <w:szCs w:val="21"/>
              </w:rPr>
              <w:t>文登区“社工站+养老站”综合体建设项目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jc w:val="center"/>
        </w:trPr>
        <w:tc>
          <w:tcPr>
            <w:tcW w:w="8296" w:type="dxa"/>
            <w:noWrap w:val="0"/>
            <w:vAlign w:val="top"/>
          </w:tcPr>
          <w:p>
            <w:pPr>
              <w:keepNext w:val="0"/>
              <w:keepLines w:val="0"/>
              <w:pageBreakBefore w:val="0"/>
              <w:kinsoku/>
              <w:wordWrap/>
              <w:overflowPunct/>
              <w:topLinePunct w:val="0"/>
              <w:autoSpaceDE/>
              <w:autoSpaceDN/>
              <w:bidi w:val="0"/>
              <w:spacing w:line="560" w:lineRule="exact"/>
              <w:ind w:firstLine="420" w:firstLineChars="200"/>
              <w:jc w:val="both"/>
              <w:textAlignment w:val="auto"/>
              <w:rPr>
                <w:rFonts w:hint="default" w:ascii="Times New Roman" w:hAnsi="Times New Roman" w:eastAsia="仿宋_GB2312" w:cs="Times New Roman"/>
                <w:b w:val="0"/>
                <w:bCs w:val="0"/>
                <w:color w:val="000000"/>
                <w:sz w:val="24"/>
              </w:rPr>
            </w:pPr>
            <w:r>
              <w:rPr>
                <w:rFonts w:hint="default" w:ascii="Times New Roman" w:hAnsi="Times New Roman" w:eastAsia="仿宋_GB2312" w:cs="Times New Roman"/>
                <w:b w:val="0"/>
                <w:bCs w:val="0"/>
                <w:color w:val="000000"/>
                <w:szCs w:val="21"/>
              </w:rPr>
              <w:t>依托文登区镇街社工站建设机遇，将社区养老服务项目融进社工站建设，在党建引领下，打造“社工站+养老站”综合体，建设“社区（村集体）+企业+社会工作者+志愿者”四方联动的养老服务品牌。</w:t>
            </w:r>
          </w:p>
        </w:tc>
      </w:tr>
    </w:tbl>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kern w:val="2"/>
          <w:sz w:val="32"/>
          <w:szCs w:val="32"/>
          <w:lang w:val="en-US" w:eastAsia="zh-CN" w:bidi="ar-SA"/>
        </w:rPr>
      </w:pPr>
      <w:r>
        <w:rPr>
          <w:rFonts w:hint="default" w:ascii="Times New Roman" w:hAnsi="Times New Roman" w:eastAsia="仿宋_GB2312" w:cs="Times New Roman"/>
          <w:b w:val="0"/>
          <w:bCs w:val="0"/>
          <w:color w:val="000000"/>
          <w:kern w:val="2"/>
          <w:sz w:val="32"/>
          <w:szCs w:val="32"/>
          <w:lang w:val="en-US" w:eastAsia="zh-CN" w:bidi="ar-SA"/>
        </w:rPr>
        <w:t>16.完善激励保障机制</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kern w:val="0"/>
          <w:sz w:val="32"/>
          <w:szCs w:val="32"/>
        </w:rPr>
        <w:t>加强养老护理员队伍建设，建立健全养老护理员培养措施、评价标准、晋升通道、薪酬体系、激励机制和管理系统。通过政策、财政补贴等形式支持养老行业，鼓励大中专院校护理专业的毕业生到养老服务机构实习、就业，创业；建立养老服务专业人员持证奖励、特岗补贴、入职补贴和免费保险等激励制度，努力提高养老服务人才队伍待遇。实施养老志愿服务积分兑换、人员激励、队伍支持等政策，吸引志愿者参与养老服务事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b w:val="0"/>
          <w:bCs w:val="0"/>
          <w:color w:val="000000"/>
          <w:sz w:val="32"/>
          <w:szCs w:val="32"/>
        </w:rPr>
      </w:pPr>
      <w:r>
        <w:rPr>
          <w:rFonts w:hint="default" w:ascii="Times New Roman" w:hAnsi="Times New Roman" w:eastAsia="楷体_GB2312" w:cs="Times New Roman"/>
          <w:b w:val="0"/>
          <w:bCs w:val="0"/>
          <w:color w:val="000000"/>
          <w:kern w:val="0"/>
          <w:sz w:val="32"/>
          <w:szCs w:val="32"/>
        </w:rPr>
        <w:t>（六）构建文登区数字养老新图景</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kern w:val="2"/>
          <w:sz w:val="32"/>
          <w:szCs w:val="32"/>
          <w:lang w:val="en-US" w:eastAsia="zh-CN" w:bidi="ar-SA"/>
        </w:rPr>
      </w:pPr>
      <w:r>
        <w:rPr>
          <w:rFonts w:hint="default" w:ascii="Times New Roman" w:hAnsi="Times New Roman" w:eastAsia="仿宋_GB2312" w:cs="Times New Roman"/>
          <w:b w:val="0"/>
          <w:bCs w:val="0"/>
          <w:color w:val="000000"/>
          <w:kern w:val="2"/>
          <w:sz w:val="32"/>
          <w:szCs w:val="32"/>
          <w:lang w:val="en-US" w:eastAsia="zh-CN" w:bidi="ar-SA"/>
        </w:rPr>
        <w:t>17.打造数字养老服务圈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kern w:val="0"/>
          <w:sz w:val="32"/>
          <w:szCs w:val="32"/>
        </w:rPr>
      </w:pPr>
      <w:r>
        <w:rPr>
          <w:rFonts w:hint="default" w:ascii="Times New Roman" w:hAnsi="Times New Roman" w:eastAsia="仿宋_GB2312" w:cs="Times New Roman"/>
          <w:b w:val="0"/>
          <w:bCs w:val="0"/>
          <w:color w:val="000000"/>
          <w:kern w:val="0"/>
          <w:sz w:val="32"/>
          <w:szCs w:val="32"/>
        </w:rPr>
        <w:t>以镇、街区域性综合养老服务中心为核心，围绕养老需求与服务清单，充分利用区块链、云计算、大数据、物联网等新一代信息技术提供物联化、互联化、智能化的养老服务，布设互联感知的智慧养老设施与服务供给，建立文登县域养老服务数字化服务圈。</w:t>
      </w:r>
      <w:r>
        <w:rPr>
          <w:rFonts w:hint="default" w:ascii="Times New Roman" w:hAnsi="Times New Roman" w:eastAsia="仿宋_GB2312" w:cs="Times New Roman"/>
          <w:b w:val="0"/>
          <w:bCs w:val="0"/>
          <w:color w:val="000000"/>
          <w:kern w:val="0"/>
          <w:sz w:val="32"/>
          <w:szCs w:val="32"/>
          <w:lang w:eastAsia="zh-CN"/>
        </w:rPr>
        <w:t>制定</w:t>
      </w:r>
      <w:r>
        <w:rPr>
          <w:rFonts w:hint="default" w:ascii="Times New Roman" w:hAnsi="Times New Roman" w:eastAsia="仿宋_GB2312" w:cs="Times New Roman"/>
          <w:b w:val="0"/>
          <w:bCs w:val="0"/>
          <w:color w:val="000000"/>
          <w:kern w:val="0"/>
          <w:sz w:val="32"/>
          <w:szCs w:val="32"/>
        </w:rPr>
        <w:t>完善智慧养老相关产品和服务标准，开展家庭、社区服务中心、养老机构等多种应用场景的试点；培育一批智慧养老应用示范基地、示范社区和示范品牌。逐步建立各类养老机构信息管理系统，及时公布养老服务需求和资源供应信息。依托社区服务信息平台，建立完善居家社区服务热线、呼叫系统等便捷的求助和服务信息网络，努力打造“虚拟养老院”。</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kern w:val="2"/>
          <w:sz w:val="32"/>
          <w:szCs w:val="32"/>
          <w:lang w:val="en-US" w:eastAsia="zh-CN" w:bidi="ar-SA"/>
        </w:rPr>
      </w:pPr>
      <w:r>
        <w:rPr>
          <w:rFonts w:hint="default" w:ascii="Times New Roman" w:hAnsi="Times New Roman" w:eastAsia="仿宋_GB2312" w:cs="Times New Roman"/>
          <w:b w:val="0"/>
          <w:bCs w:val="0"/>
          <w:color w:val="000000"/>
          <w:kern w:val="2"/>
          <w:sz w:val="32"/>
          <w:szCs w:val="32"/>
          <w:lang w:val="en-US" w:eastAsia="zh-CN" w:bidi="ar-SA"/>
        </w:rPr>
        <w:t>18.实施数字养老拓展行动</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kern w:val="0"/>
          <w:sz w:val="32"/>
          <w:szCs w:val="32"/>
        </w:rPr>
      </w:pPr>
      <w:r>
        <w:rPr>
          <w:rFonts w:hint="default" w:ascii="Times New Roman" w:hAnsi="Times New Roman" w:eastAsia="仿宋_GB2312" w:cs="Times New Roman"/>
          <w:b w:val="0"/>
          <w:bCs w:val="0"/>
          <w:color w:val="000000"/>
          <w:kern w:val="0"/>
          <w:sz w:val="32"/>
          <w:szCs w:val="32"/>
        </w:rPr>
        <w:t>进一步推进养老服务数字化改革，提高数字服务决策、服务监管、服务供需对接的能力，推进养老服务信息与户籍、医疗、社会保险、社会救助等信息资源对接，完善养老服务支付系统，实现养老服务数字化新飞跃。通过养老服务数字化改革，重塑老年福利与养老服务的流程，保障政府决策更加精准、监管更加有效。落实新基建智慧康养设施建设，形成“养老云”数据，建设一批智慧养老机构和养老社区。支持家庭安装智能监控设备等智慧终端。加强智慧技术无障碍建设，降低老年人应用数字技术的难度，保留线下服务途径，便利老年人获取养老服务和老年福利。建立全区统一的养老服务数据标准，规范数据来源，提高数据自动获取和大数据分析能力。</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8296" w:type="dxa"/>
            <w:noWrap w:val="0"/>
            <w:vAlign w:val="top"/>
          </w:tcPr>
          <w:p>
            <w:pPr>
              <w:keepNext w:val="0"/>
              <w:keepLines w:val="0"/>
              <w:pageBreakBefore w:val="0"/>
              <w:kinsoku/>
              <w:wordWrap/>
              <w:overflowPunct/>
              <w:topLinePunct w:val="0"/>
              <w:autoSpaceDE/>
              <w:autoSpaceDN/>
              <w:bidi w:val="0"/>
              <w:spacing w:line="560" w:lineRule="exact"/>
              <w:ind w:firstLine="2520" w:firstLineChars="1200"/>
              <w:jc w:val="both"/>
              <w:textAlignment w:val="auto"/>
              <w:rPr>
                <w:rFonts w:hint="default" w:ascii="Times New Roman" w:hAnsi="Times New Roman" w:eastAsia="仿宋_GB2312" w:cs="Times New Roman"/>
                <w:b w:val="0"/>
                <w:bCs w:val="0"/>
                <w:color w:val="000000"/>
                <w:sz w:val="21"/>
                <w:szCs w:val="21"/>
              </w:rPr>
            </w:pPr>
            <w:r>
              <w:rPr>
                <w:rFonts w:hint="default" w:ascii="Times New Roman" w:hAnsi="Times New Roman" w:eastAsia="仿宋_GB2312" w:cs="Times New Roman"/>
                <w:b w:val="0"/>
                <w:bCs w:val="0"/>
                <w:color w:val="000000"/>
                <w:sz w:val="21"/>
                <w:szCs w:val="21"/>
              </w:rPr>
              <w:t xml:space="preserve">专栏12 </w:t>
            </w:r>
            <w:r>
              <w:rPr>
                <w:rFonts w:hint="default" w:ascii="Times New Roman" w:hAnsi="Times New Roman" w:eastAsia="仿宋_GB2312" w:cs="Times New Roman"/>
                <w:b w:val="0"/>
                <w:bCs w:val="0"/>
                <w:color w:val="000000"/>
                <w:kern w:val="0"/>
                <w:sz w:val="21"/>
                <w:szCs w:val="21"/>
              </w:rPr>
              <w:t>文登区数字养老拓展项目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jc w:val="center"/>
        </w:trPr>
        <w:tc>
          <w:tcPr>
            <w:tcW w:w="8296" w:type="dxa"/>
            <w:noWrap w:val="0"/>
            <w:vAlign w:val="top"/>
          </w:tcPr>
          <w:p>
            <w:pPr>
              <w:keepNext w:val="0"/>
              <w:keepLines w:val="0"/>
              <w:pageBreakBefore w:val="0"/>
              <w:kinsoku/>
              <w:wordWrap/>
              <w:overflowPunct/>
              <w:topLinePunct w:val="0"/>
              <w:autoSpaceDE/>
              <w:autoSpaceDN/>
              <w:bidi w:val="0"/>
              <w:spacing w:line="560" w:lineRule="exact"/>
              <w:ind w:firstLine="420" w:firstLineChars="200"/>
              <w:jc w:val="both"/>
              <w:textAlignment w:val="auto"/>
              <w:rPr>
                <w:rFonts w:hint="default" w:ascii="Times New Roman" w:hAnsi="Times New Roman" w:eastAsia="仿宋_GB2312" w:cs="Times New Roman"/>
                <w:b w:val="0"/>
                <w:bCs w:val="0"/>
                <w:color w:val="000000"/>
                <w:sz w:val="21"/>
                <w:szCs w:val="21"/>
              </w:rPr>
            </w:pPr>
            <w:r>
              <w:rPr>
                <w:rFonts w:hint="default" w:ascii="Times New Roman" w:hAnsi="Times New Roman" w:eastAsia="仿宋_GB2312" w:cs="Times New Roman"/>
                <w:b w:val="0"/>
                <w:bCs w:val="0"/>
                <w:color w:val="000000"/>
                <w:sz w:val="21"/>
                <w:szCs w:val="21"/>
              </w:rPr>
              <w:t>推进养老服务信息与户籍、医疗、社会保险、社会救助等信息资源对接，完善养老服务支付系统，实现养老服务数字化新飞跃。建立全区统一的养老服务数据标准，规范数据来源，提高数据自动获取和大数据分析能力。培育一批智慧养老应用示范基地、示范社区和示范品牌。</w:t>
            </w:r>
          </w:p>
        </w:tc>
      </w:tr>
    </w:tbl>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kern w:val="2"/>
          <w:sz w:val="32"/>
          <w:szCs w:val="32"/>
          <w:lang w:val="en-US" w:eastAsia="zh-CN" w:bidi="ar-SA"/>
        </w:rPr>
      </w:pPr>
      <w:r>
        <w:rPr>
          <w:rFonts w:hint="default" w:ascii="Times New Roman" w:hAnsi="Times New Roman" w:eastAsia="仿宋_GB2312" w:cs="Times New Roman"/>
          <w:b w:val="0"/>
          <w:bCs w:val="0"/>
          <w:color w:val="000000"/>
          <w:kern w:val="2"/>
          <w:sz w:val="32"/>
          <w:szCs w:val="32"/>
          <w:lang w:val="en-US" w:eastAsia="zh-CN" w:bidi="ar-SA"/>
        </w:rPr>
        <w:t>19.建设“老吾老”智慧养老服务平台</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 w:cs="Times New Roman"/>
          <w:b w:val="0"/>
          <w:bCs w:val="0"/>
          <w:color w:val="000000"/>
          <w:sz w:val="28"/>
          <w:szCs w:val="28"/>
        </w:rPr>
      </w:pPr>
      <w:r>
        <w:rPr>
          <w:rFonts w:hint="default" w:ascii="Times New Roman" w:hAnsi="Times New Roman" w:eastAsia="仿宋_GB2312" w:cs="Times New Roman"/>
          <w:b w:val="0"/>
          <w:bCs w:val="0"/>
          <w:color w:val="000000"/>
          <w:sz w:val="32"/>
          <w:szCs w:val="32"/>
        </w:rPr>
        <w:t>利用物联网、大数据和人工智能等技术，升级山东省、威海6012349等已有互联网养老平台，完善已有智慧养老体系，建成全区统一的“老吾老”智慧养老服务平台。打造县域养老服务数据库，推进养老机构开业“一件事”、“一床一人一码”、家庭养老床位、智慧养老社区、幸福养老指数发布等服务应用场景，实现信息共享、供需对接和综合监管。实现不同养老服务平台有效连接，为老年人及家属、养老服务机构、从业人员和各级涉老政府部门，提供养老政务服务、社会服务、公益服务并链接市场服务。</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8296" w:type="dxa"/>
            <w:noWrap w:val="0"/>
            <w:vAlign w:val="top"/>
          </w:tcPr>
          <w:p>
            <w:pPr>
              <w:keepNext w:val="0"/>
              <w:keepLines w:val="0"/>
              <w:pageBreakBefore w:val="0"/>
              <w:kinsoku/>
              <w:wordWrap/>
              <w:overflowPunct/>
              <w:topLinePunct w:val="0"/>
              <w:autoSpaceDE/>
              <w:autoSpaceDN/>
              <w:bidi w:val="0"/>
              <w:spacing w:line="560" w:lineRule="exact"/>
              <w:ind w:firstLine="1890" w:firstLineChars="900"/>
              <w:jc w:val="both"/>
              <w:textAlignment w:val="auto"/>
              <w:rPr>
                <w:rFonts w:hint="default" w:ascii="Times New Roman" w:hAnsi="Times New Roman" w:eastAsia="仿宋_GB2312" w:cs="Times New Roman"/>
                <w:b w:val="0"/>
                <w:bCs w:val="0"/>
                <w:color w:val="000000"/>
                <w:sz w:val="21"/>
                <w:szCs w:val="21"/>
              </w:rPr>
            </w:pPr>
            <w:r>
              <w:rPr>
                <w:rFonts w:hint="default" w:ascii="Times New Roman" w:hAnsi="Times New Roman" w:eastAsia="仿宋_GB2312" w:cs="Times New Roman"/>
                <w:b w:val="0"/>
                <w:bCs w:val="0"/>
                <w:color w:val="000000"/>
                <w:sz w:val="21"/>
                <w:szCs w:val="21"/>
              </w:rPr>
              <w:t xml:space="preserve">专栏13 </w:t>
            </w:r>
            <w:r>
              <w:rPr>
                <w:rFonts w:hint="default" w:ascii="Times New Roman" w:hAnsi="Times New Roman" w:eastAsia="仿宋_GB2312" w:cs="Times New Roman"/>
                <w:b w:val="0"/>
                <w:bCs w:val="0"/>
                <w:color w:val="000000"/>
                <w:kern w:val="0"/>
                <w:sz w:val="21"/>
                <w:szCs w:val="21"/>
              </w:rPr>
              <w:t>文登区老年人“信息呼叫及应急服务”项目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jc w:val="center"/>
        </w:trPr>
        <w:tc>
          <w:tcPr>
            <w:tcW w:w="8296" w:type="dxa"/>
            <w:noWrap w:val="0"/>
            <w:vAlign w:val="top"/>
          </w:tcPr>
          <w:p>
            <w:pPr>
              <w:keepNext w:val="0"/>
              <w:keepLines w:val="0"/>
              <w:pageBreakBefore w:val="0"/>
              <w:kinsoku/>
              <w:wordWrap/>
              <w:overflowPunct/>
              <w:topLinePunct w:val="0"/>
              <w:autoSpaceDE/>
              <w:autoSpaceDN/>
              <w:bidi w:val="0"/>
              <w:spacing w:line="560" w:lineRule="exact"/>
              <w:ind w:firstLine="420" w:firstLineChars="200"/>
              <w:jc w:val="both"/>
              <w:textAlignment w:val="auto"/>
              <w:rPr>
                <w:rFonts w:hint="default" w:ascii="Times New Roman" w:hAnsi="Times New Roman" w:eastAsia="仿宋_GB2312" w:cs="Times New Roman"/>
                <w:b w:val="0"/>
                <w:bCs w:val="0"/>
                <w:color w:val="000000"/>
                <w:sz w:val="21"/>
                <w:szCs w:val="21"/>
              </w:rPr>
            </w:pPr>
            <w:r>
              <w:rPr>
                <w:rFonts w:hint="default" w:ascii="Times New Roman" w:hAnsi="Times New Roman" w:eastAsia="仿宋_GB2312" w:cs="Times New Roman"/>
                <w:b w:val="0"/>
                <w:bCs w:val="0"/>
                <w:color w:val="000000"/>
                <w:kern w:val="0"/>
                <w:sz w:val="21"/>
                <w:szCs w:val="21"/>
              </w:rPr>
              <w:t>依托社区服务信息平台，建立完善居家社区服务热线、呼叫系统等便捷的求助和服务信息网络，努力打造“虚拟养老院”。支持家庭安装智能监控设备等智慧终端。加强智慧技术无障碍建设，降低老年人应用数字技术的难度。逐步建立各类养老机构信息管理系统，及时公布养老服务需求和资源供应信息，对接老年人信息流与需求信息，推进老年人信息呼叫及应急服务便捷化。</w:t>
            </w:r>
          </w:p>
        </w:tc>
      </w:tr>
    </w:tbl>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b w:val="0"/>
          <w:bCs w:val="0"/>
          <w:color w:val="000000"/>
          <w:sz w:val="32"/>
          <w:szCs w:val="32"/>
        </w:rPr>
      </w:pPr>
      <w:r>
        <w:rPr>
          <w:rFonts w:hint="default" w:ascii="Times New Roman" w:hAnsi="Times New Roman" w:eastAsia="楷体_GB2312" w:cs="Times New Roman"/>
          <w:b w:val="0"/>
          <w:bCs w:val="0"/>
          <w:color w:val="000000"/>
          <w:sz w:val="32"/>
          <w:szCs w:val="32"/>
        </w:rPr>
        <w:t>（七）推动文登区文化养老体系建设</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kern w:val="2"/>
          <w:sz w:val="32"/>
          <w:szCs w:val="32"/>
          <w:lang w:val="en-US" w:eastAsia="zh-CN" w:bidi="ar-SA"/>
        </w:rPr>
      </w:pPr>
      <w:r>
        <w:rPr>
          <w:rFonts w:hint="default" w:ascii="Times New Roman" w:hAnsi="Times New Roman" w:eastAsia="仿宋_GB2312" w:cs="Times New Roman"/>
          <w:b w:val="0"/>
          <w:bCs w:val="0"/>
          <w:color w:val="000000"/>
          <w:kern w:val="2"/>
          <w:sz w:val="32"/>
          <w:szCs w:val="32"/>
          <w:lang w:val="en-US" w:eastAsia="zh-CN" w:bidi="ar-SA"/>
        </w:rPr>
        <w:t>20.家庭文化支撑养老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对接新时代养老现状和养老文化，立足文登乡土文化，结合养老服务需要，传承文登优秀家庭文化，保障老年人在家庭内的合法权益，促进代际健康互动。</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8296" w:type="dxa"/>
            <w:noWrap w:val="0"/>
            <w:vAlign w:val="top"/>
          </w:tcPr>
          <w:p>
            <w:pPr>
              <w:keepNext w:val="0"/>
              <w:keepLines w:val="0"/>
              <w:pageBreakBefore w:val="0"/>
              <w:kinsoku/>
              <w:wordWrap/>
              <w:overflowPunct/>
              <w:topLinePunct w:val="0"/>
              <w:autoSpaceDE/>
              <w:autoSpaceDN/>
              <w:bidi w:val="0"/>
              <w:spacing w:line="560" w:lineRule="exact"/>
              <w:ind w:firstLine="2310" w:firstLineChars="1100"/>
              <w:jc w:val="both"/>
              <w:textAlignment w:val="auto"/>
              <w:rPr>
                <w:rFonts w:hint="default" w:ascii="Times New Roman" w:hAnsi="Times New Roman" w:eastAsia="仿宋_GB2312" w:cs="Times New Roman"/>
                <w:b w:val="0"/>
                <w:bCs w:val="0"/>
                <w:color w:val="000000"/>
                <w:sz w:val="21"/>
                <w:szCs w:val="21"/>
              </w:rPr>
            </w:pPr>
            <w:r>
              <w:rPr>
                <w:rFonts w:hint="default" w:ascii="Times New Roman" w:hAnsi="Times New Roman" w:eastAsia="仿宋_GB2312" w:cs="Times New Roman"/>
                <w:b w:val="0"/>
                <w:bCs w:val="0"/>
                <w:color w:val="000000"/>
                <w:sz w:val="21"/>
                <w:szCs w:val="21"/>
              </w:rPr>
              <w:t xml:space="preserve">专栏14 </w:t>
            </w:r>
            <w:r>
              <w:rPr>
                <w:rFonts w:hint="default" w:ascii="Times New Roman" w:hAnsi="Times New Roman" w:eastAsia="仿宋_GB2312" w:cs="Times New Roman"/>
                <w:b w:val="0"/>
                <w:bCs w:val="0"/>
                <w:color w:val="000000"/>
                <w:kern w:val="0"/>
                <w:sz w:val="21"/>
                <w:szCs w:val="21"/>
              </w:rPr>
              <w:t>文登区</w:t>
            </w:r>
            <w:r>
              <w:rPr>
                <w:rFonts w:hint="default" w:ascii="Times New Roman" w:hAnsi="Times New Roman" w:eastAsia="仿宋_GB2312" w:cs="Times New Roman"/>
                <w:b w:val="0"/>
                <w:bCs w:val="0"/>
                <w:color w:val="000000"/>
                <w:sz w:val="21"/>
                <w:szCs w:val="21"/>
              </w:rPr>
              <w:t>家庭养老文化营造项目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jc w:val="center"/>
        </w:trPr>
        <w:tc>
          <w:tcPr>
            <w:tcW w:w="8296"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20" w:firstLineChars="200"/>
              <w:jc w:val="both"/>
              <w:textAlignment w:val="auto"/>
              <w:outlineLvl w:val="9"/>
              <w:rPr>
                <w:rFonts w:hint="default" w:ascii="Times New Roman" w:hAnsi="Times New Roman" w:eastAsia="仿宋_GB2312" w:cs="Times New Roman"/>
                <w:b w:val="0"/>
                <w:bCs w:val="0"/>
                <w:color w:val="000000"/>
                <w:sz w:val="21"/>
                <w:szCs w:val="21"/>
              </w:rPr>
            </w:pPr>
            <w:r>
              <w:rPr>
                <w:rFonts w:hint="default" w:ascii="Times New Roman" w:hAnsi="Times New Roman" w:eastAsia="仿宋_GB2312" w:cs="Times New Roman"/>
                <w:b w:val="0"/>
                <w:bCs w:val="0"/>
                <w:color w:val="000000"/>
                <w:kern w:val="0"/>
                <w:sz w:val="21"/>
                <w:szCs w:val="21"/>
              </w:rPr>
              <w:t>推动健康养老教育进家庭，宣传树立健康生活习惯，健康饮食，合理运动，提高老人对自身健康的判断能力和自理自护能力。提高子代养老意识，构建家庭内多代健康生活文化环境，消除对老年人认知、行为、心理、精神等领域的歧视和忽视</w:t>
            </w:r>
            <w:r>
              <w:rPr>
                <w:rFonts w:hint="default" w:ascii="Times New Roman" w:hAnsi="Times New Roman" w:eastAsia="仿宋_GB2312" w:cs="Times New Roman"/>
                <w:b w:val="0"/>
                <w:bCs w:val="0"/>
                <w:color w:val="000000"/>
                <w:sz w:val="21"/>
                <w:szCs w:val="21"/>
              </w:rPr>
              <w:t>。</w:t>
            </w:r>
          </w:p>
        </w:tc>
      </w:tr>
    </w:tbl>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kern w:val="2"/>
          <w:sz w:val="32"/>
          <w:szCs w:val="32"/>
          <w:lang w:val="en-US" w:eastAsia="zh-CN" w:bidi="ar-SA"/>
        </w:rPr>
      </w:pPr>
      <w:r>
        <w:rPr>
          <w:rFonts w:hint="default" w:ascii="Times New Roman" w:hAnsi="Times New Roman" w:eastAsia="仿宋_GB2312" w:cs="Times New Roman"/>
          <w:b w:val="0"/>
          <w:bCs w:val="0"/>
          <w:color w:val="000000"/>
          <w:kern w:val="2"/>
          <w:sz w:val="32"/>
          <w:szCs w:val="32"/>
          <w:lang w:val="en-US" w:eastAsia="zh-CN" w:bidi="ar-SA"/>
        </w:rPr>
        <w:t>21.红色文化促进养老</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挖掘、保护、传承文登红色文化资源，保护文登革命遗址，系统整理文登人民红色记忆，讲好文登红色故事，以红色文化作为文登养老的精神基础和产业支柱之一。</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8296" w:type="dxa"/>
            <w:noWrap w:val="0"/>
            <w:vAlign w:val="top"/>
          </w:tcPr>
          <w:p>
            <w:pPr>
              <w:keepNext w:val="0"/>
              <w:keepLines w:val="0"/>
              <w:pageBreakBefore w:val="0"/>
              <w:kinsoku/>
              <w:wordWrap/>
              <w:overflowPunct/>
              <w:topLinePunct w:val="0"/>
              <w:autoSpaceDE/>
              <w:autoSpaceDN/>
              <w:bidi w:val="0"/>
              <w:spacing w:line="560" w:lineRule="exact"/>
              <w:ind w:firstLine="2310" w:firstLineChars="1100"/>
              <w:jc w:val="both"/>
              <w:textAlignment w:val="auto"/>
              <w:rPr>
                <w:rFonts w:hint="default" w:ascii="Times New Roman" w:hAnsi="Times New Roman" w:eastAsia="仿宋_GB2312" w:cs="Times New Roman"/>
                <w:b w:val="0"/>
                <w:bCs w:val="0"/>
                <w:color w:val="000000"/>
                <w:sz w:val="21"/>
                <w:szCs w:val="21"/>
              </w:rPr>
            </w:pPr>
            <w:r>
              <w:rPr>
                <w:rFonts w:hint="default" w:ascii="Times New Roman" w:hAnsi="Times New Roman" w:eastAsia="仿宋_GB2312" w:cs="Times New Roman"/>
                <w:b w:val="0"/>
                <w:bCs w:val="0"/>
                <w:color w:val="000000"/>
                <w:sz w:val="21"/>
                <w:szCs w:val="21"/>
              </w:rPr>
              <w:t>专栏15 文登区红色养老文化营造项目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jc w:val="center"/>
        </w:trPr>
        <w:tc>
          <w:tcPr>
            <w:tcW w:w="8296"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20" w:firstLineChars="200"/>
              <w:jc w:val="both"/>
              <w:textAlignment w:val="auto"/>
              <w:outlineLvl w:val="9"/>
              <w:rPr>
                <w:rFonts w:hint="default" w:ascii="Times New Roman" w:hAnsi="Times New Roman" w:eastAsia="仿宋_GB2312" w:cs="Times New Roman"/>
                <w:b w:val="0"/>
                <w:bCs w:val="0"/>
                <w:color w:val="000000"/>
                <w:sz w:val="21"/>
                <w:szCs w:val="21"/>
              </w:rPr>
            </w:pPr>
            <w:r>
              <w:rPr>
                <w:rFonts w:hint="default" w:ascii="Times New Roman" w:hAnsi="Times New Roman" w:eastAsia="仿宋_GB2312" w:cs="Times New Roman"/>
                <w:b w:val="0"/>
                <w:bCs w:val="0"/>
                <w:color w:val="000000"/>
                <w:kern w:val="0"/>
                <w:sz w:val="21"/>
                <w:szCs w:val="21"/>
              </w:rPr>
              <w:t>开展红色文化教育，发展红色文化旅游，将红色文旅作为养老产业的重要组成部分，促进老年人对文登红色文化发展和红色文旅产业的参与，增加经济收入，提高养老保障。延续军民共建传统，提高军民共建在文登老年服务中促进作用。</w:t>
            </w:r>
          </w:p>
        </w:tc>
      </w:tr>
    </w:tbl>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kern w:val="2"/>
          <w:sz w:val="32"/>
          <w:szCs w:val="32"/>
          <w:lang w:val="en-US" w:eastAsia="zh-CN" w:bidi="ar-SA"/>
        </w:rPr>
      </w:pPr>
      <w:r>
        <w:rPr>
          <w:rFonts w:hint="default" w:ascii="Times New Roman" w:hAnsi="Times New Roman" w:eastAsia="仿宋_GB2312" w:cs="Times New Roman"/>
          <w:b w:val="0"/>
          <w:bCs w:val="0"/>
          <w:color w:val="000000"/>
          <w:kern w:val="2"/>
          <w:sz w:val="32"/>
          <w:szCs w:val="32"/>
          <w:lang w:val="en-US" w:eastAsia="zh-CN" w:bidi="ar-SA"/>
        </w:rPr>
        <w:t>22.社会文化承载养老</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加强养老文化宣传，建设文登公共养老文化品牌，促进养老文化的公益性推广和建设，增强居民爱老敬老助老意识。进行养老政策知识普及，使居民正确认识养老现状和养老服务，提高养老服务的社会关注度和认可度。</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8296" w:type="dxa"/>
            <w:noWrap w:val="0"/>
            <w:vAlign w:val="top"/>
          </w:tcPr>
          <w:p>
            <w:pPr>
              <w:keepNext w:val="0"/>
              <w:keepLines w:val="0"/>
              <w:pageBreakBefore w:val="0"/>
              <w:kinsoku/>
              <w:wordWrap/>
              <w:overflowPunct/>
              <w:topLinePunct w:val="0"/>
              <w:autoSpaceDE/>
              <w:autoSpaceDN/>
              <w:bidi w:val="0"/>
              <w:spacing w:line="560" w:lineRule="exact"/>
              <w:ind w:firstLine="2310" w:firstLineChars="1100"/>
              <w:jc w:val="both"/>
              <w:textAlignment w:val="auto"/>
              <w:rPr>
                <w:rFonts w:hint="default" w:ascii="Times New Roman" w:hAnsi="Times New Roman" w:eastAsia="仿宋_GB2312" w:cs="Times New Roman"/>
                <w:b w:val="0"/>
                <w:bCs w:val="0"/>
                <w:color w:val="000000"/>
                <w:sz w:val="21"/>
                <w:szCs w:val="21"/>
              </w:rPr>
            </w:pPr>
            <w:r>
              <w:rPr>
                <w:rFonts w:hint="default" w:ascii="Times New Roman" w:hAnsi="Times New Roman" w:eastAsia="仿宋_GB2312" w:cs="Times New Roman"/>
                <w:b w:val="0"/>
                <w:bCs w:val="0"/>
                <w:color w:val="000000"/>
                <w:sz w:val="21"/>
                <w:szCs w:val="21"/>
              </w:rPr>
              <w:t>专栏16 文登区社会养老文化营造项目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jc w:val="center"/>
        </w:trPr>
        <w:tc>
          <w:tcPr>
            <w:tcW w:w="8296" w:type="dxa"/>
            <w:noWrap w:val="0"/>
            <w:vAlign w:val="top"/>
          </w:tcPr>
          <w:p>
            <w:pPr>
              <w:keepNext w:val="0"/>
              <w:keepLines w:val="0"/>
              <w:pageBreakBefore w:val="0"/>
              <w:kinsoku/>
              <w:wordWrap/>
              <w:overflowPunct/>
              <w:topLinePunct w:val="0"/>
              <w:autoSpaceDE/>
              <w:autoSpaceDN/>
              <w:bidi w:val="0"/>
              <w:spacing w:line="560" w:lineRule="exact"/>
              <w:ind w:firstLine="420" w:firstLineChars="200"/>
              <w:jc w:val="both"/>
              <w:textAlignment w:val="auto"/>
              <w:rPr>
                <w:rFonts w:hint="default" w:ascii="Times New Roman" w:hAnsi="Times New Roman" w:eastAsia="仿宋_GB2312" w:cs="Times New Roman"/>
                <w:b w:val="0"/>
                <w:bCs w:val="0"/>
                <w:color w:val="000000"/>
                <w:sz w:val="21"/>
                <w:szCs w:val="21"/>
              </w:rPr>
            </w:pPr>
            <w:r>
              <w:rPr>
                <w:rFonts w:hint="default" w:ascii="Times New Roman" w:hAnsi="Times New Roman" w:eastAsia="仿宋_GB2312" w:cs="Times New Roman"/>
                <w:b w:val="0"/>
                <w:bCs w:val="0"/>
                <w:color w:val="000000"/>
                <w:kern w:val="0"/>
                <w:sz w:val="21"/>
                <w:szCs w:val="21"/>
              </w:rPr>
              <w:t>促进公共设施的适老化建设和改造，建设无障碍公共环境，营造和谐友好老年生活环境。促进公共文化场馆与老年文化的对接，提供老年文化活动场所，提高对文化设施对老年人的服务水平。建设全龄社区、全龄设施、全龄产业，促进老年文化与其他群体文化的有机融合。</w:t>
            </w:r>
          </w:p>
        </w:tc>
      </w:tr>
    </w:tbl>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b w:val="0"/>
          <w:bCs w:val="0"/>
          <w:color w:val="000000"/>
        </w:rPr>
      </w:pPr>
      <w:r>
        <w:rPr>
          <w:rFonts w:hint="default" w:ascii="Times New Roman" w:hAnsi="Times New Roman" w:eastAsia="楷体_GB2312" w:cs="Times New Roman"/>
          <w:b w:val="0"/>
          <w:bCs w:val="0"/>
          <w:color w:val="000000"/>
          <w:sz w:val="32"/>
          <w:szCs w:val="32"/>
        </w:rPr>
        <w:t>（八）健全</w:t>
      </w:r>
      <w:r>
        <w:rPr>
          <w:rFonts w:hint="default" w:ascii="Times New Roman" w:hAnsi="Times New Roman" w:eastAsia="楷体_GB2312" w:cs="Times New Roman"/>
          <w:b w:val="0"/>
          <w:bCs w:val="0"/>
          <w:color w:val="000000"/>
          <w:kern w:val="0"/>
          <w:sz w:val="32"/>
          <w:szCs w:val="32"/>
        </w:rPr>
        <w:t>文登区</w:t>
      </w:r>
      <w:r>
        <w:rPr>
          <w:rFonts w:hint="default" w:ascii="Times New Roman" w:hAnsi="Times New Roman" w:eastAsia="楷体_GB2312" w:cs="Times New Roman"/>
          <w:b w:val="0"/>
          <w:bCs w:val="0"/>
          <w:color w:val="000000"/>
          <w:sz w:val="32"/>
          <w:szCs w:val="32"/>
        </w:rPr>
        <w:t>养老服务综合监管体系</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kern w:val="2"/>
          <w:sz w:val="32"/>
          <w:szCs w:val="32"/>
          <w:lang w:val="en-US" w:eastAsia="zh-CN" w:bidi="ar-SA"/>
        </w:rPr>
      </w:pPr>
      <w:r>
        <w:rPr>
          <w:rFonts w:hint="default" w:ascii="Times New Roman" w:hAnsi="Times New Roman" w:eastAsia="仿宋_GB2312" w:cs="Times New Roman"/>
          <w:b w:val="0"/>
          <w:bCs w:val="0"/>
          <w:color w:val="000000"/>
          <w:kern w:val="2"/>
          <w:sz w:val="32"/>
          <w:szCs w:val="32"/>
          <w:lang w:val="en-US" w:eastAsia="zh-CN" w:bidi="ar-SA"/>
        </w:rPr>
        <w:t>23.规范养老服务市场秩序</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依托《威海市文登区养老服务领域信用分级分类管理实施方案》，促进养老服务业持续健康发展。优化“一名养老机构质量监督员+一名安全管理员+一名社会监督员+一名第三方评估员”的养老服务质量评定管理机制，全方位提升养老机构服务质量。建立多部门联合监管为核心的养老服务新型监管模式。民政部门会同住房城乡建设、应急管理、市场监督管理、医疗保障等部门，加强对养老机构建筑安全、消防安全、食品安全、医疗安全的监督管理。加强对从业人员职业道德和职业技能的监管。加强对养老服务涉及资金以及运营秩序的监管。引导养老服务机构增强风险防范意识和应对处置能力，预防和减少突发事件的发生。</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kern w:val="2"/>
          <w:sz w:val="32"/>
          <w:szCs w:val="32"/>
          <w:lang w:val="en-US" w:eastAsia="zh-CN" w:bidi="ar-SA"/>
        </w:rPr>
      </w:pPr>
      <w:r>
        <w:rPr>
          <w:rFonts w:hint="default" w:ascii="Times New Roman" w:hAnsi="Times New Roman" w:eastAsia="仿宋_GB2312" w:cs="Times New Roman"/>
          <w:b w:val="0"/>
          <w:bCs w:val="0"/>
          <w:color w:val="000000"/>
          <w:kern w:val="2"/>
          <w:sz w:val="32"/>
          <w:szCs w:val="32"/>
          <w:lang w:val="en-US" w:eastAsia="zh-CN" w:bidi="ar-SA"/>
        </w:rPr>
        <w:t>24.推行“互联网+监管”服务平台</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000000"/>
          <w:sz w:val="32"/>
          <w:szCs w:val="32"/>
        </w:rPr>
      </w:pPr>
      <w:r>
        <w:rPr>
          <w:rFonts w:hint="default" w:ascii="Times New Roman" w:hAnsi="Times New Roman" w:eastAsia="仿宋_GB2312" w:cs="Times New Roman"/>
          <w:b w:val="0"/>
          <w:bCs w:val="0"/>
          <w:color w:val="000000"/>
          <w:sz w:val="32"/>
          <w:szCs w:val="32"/>
        </w:rPr>
        <w:t>充分运用大数据等新技术手段，统筹运用养老服务领域政务数据资源和社会数据资源，实现监管规范化、精准化、智能化。在6012349居家养老服务及监管平台之上，构建文登区“政府—机构—老人”的养老服务协同监管平台。</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8296" w:type="dxa"/>
            <w:noWrap w:val="0"/>
            <w:vAlign w:val="top"/>
          </w:tcPr>
          <w:p>
            <w:pPr>
              <w:keepNext w:val="0"/>
              <w:keepLines w:val="0"/>
              <w:pageBreakBefore w:val="0"/>
              <w:kinsoku/>
              <w:wordWrap/>
              <w:overflowPunct/>
              <w:topLinePunct w:val="0"/>
              <w:autoSpaceDE/>
              <w:autoSpaceDN/>
              <w:bidi w:val="0"/>
              <w:spacing w:line="560" w:lineRule="exact"/>
              <w:ind w:firstLine="2310" w:firstLineChars="1100"/>
              <w:jc w:val="both"/>
              <w:textAlignment w:val="auto"/>
              <w:rPr>
                <w:rFonts w:hint="default" w:ascii="Times New Roman" w:hAnsi="Times New Roman" w:eastAsia="仿宋_GB2312" w:cs="Times New Roman"/>
                <w:b w:val="0"/>
                <w:bCs w:val="0"/>
                <w:color w:val="000000"/>
                <w:sz w:val="21"/>
                <w:szCs w:val="21"/>
              </w:rPr>
            </w:pPr>
            <w:r>
              <w:rPr>
                <w:rFonts w:hint="default" w:ascii="Times New Roman" w:hAnsi="Times New Roman" w:eastAsia="仿宋_GB2312" w:cs="Times New Roman"/>
                <w:b w:val="0"/>
                <w:bCs w:val="0"/>
                <w:color w:val="000000"/>
                <w:sz w:val="21"/>
                <w:szCs w:val="21"/>
              </w:rPr>
              <w:t>专栏17 文登区养老服务协同监管项目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jc w:val="center"/>
        </w:trPr>
        <w:tc>
          <w:tcPr>
            <w:tcW w:w="8296"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20" w:firstLineChars="200"/>
              <w:jc w:val="both"/>
              <w:textAlignment w:val="auto"/>
              <w:outlineLvl w:val="9"/>
              <w:rPr>
                <w:rFonts w:hint="default" w:ascii="Times New Roman" w:hAnsi="Times New Roman" w:eastAsia="仿宋_GB2312" w:cs="Times New Roman"/>
                <w:b w:val="0"/>
                <w:bCs w:val="0"/>
                <w:color w:val="000000"/>
                <w:sz w:val="21"/>
                <w:szCs w:val="21"/>
              </w:rPr>
            </w:pPr>
            <w:r>
              <w:rPr>
                <w:rFonts w:hint="default" w:ascii="Times New Roman" w:hAnsi="Times New Roman" w:eastAsia="仿宋_GB2312" w:cs="Times New Roman"/>
                <w:b w:val="0"/>
                <w:bCs w:val="0"/>
                <w:color w:val="000000"/>
                <w:kern w:val="0"/>
                <w:sz w:val="21"/>
                <w:szCs w:val="21"/>
              </w:rPr>
              <w:t>建设文登区“政府—机构—老人”的养老服务协同监管平台，包括“业务监管平台、老人能力评估系统、移动互联网端、系统管理”等监管程序。对照影响养老院服务质量的“运营管理、生活服务、健康服务、社会工作服务、安全管理”等五个方面，对“农村睦邻点建设、家庭养老床位建设、居家老年人适老化改造、日间照料中心和农村幸福院运营”等项目，开展养老服务质量的综合监管。依托养老服务监管平台，实现部门间的信息共享和业务协同。</w:t>
            </w:r>
          </w:p>
        </w:tc>
      </w:tr>
    </w:tbl>
    <w:p>
      <w:pPr>
        <w:keepNext w:val="0"/>
        <w:keepLines w:val="0"/>
        <w:pageBreakBefore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楷体_GB2312" w:cs="Times New Roman"/>
          <w:b w:val="0"/>
          <w:bCs w:val="0"/>
          <w:color w:val="000000"/>
          <w:sz w:val="32"/>
          <w:szCs w:val="32"/>
        </w:rPr>
      </w:pPr>
      <w:r>
        <w:rPr>
          <w:rFonts w:hint="default" w:ascii="Times New Roman" w:hAnsi="Times New Roman" w:eastAsia="黑体" w:cs="Times New Roman"/>
          <w:b w:val="0"/>
          <w:bCs w:val="0"/>
          <w:color w:val="000000"/>
          <w:sz w:val="32"/>
          <w:szCs w:val="32"/>
        </w:rPr>
        <w:t>四、保障措施</w:t>
      </w:r>
    </w:p>
    <w:p>
      <w:pPr>
        <w:pStyle w:val="2"/>
        <w:keepNext w:val="0"/>
        <w:keepLines w:val="0"/>
        <w:pageBreakBefore w:val="0"/>
        <w:kinsoku/>
        <w:wordWrap/>
        <w:overflowPunct/>
        <w:topLinePunct w:val="0"/>
        <w:autoSpaceDE/>
        <w:autoSpaceDN/>
        <w:bidi w:val="0"/>
        <w:spacing w:before="0" w:beforeAutospacing="0" w:after="0" w:afterAutospacing="0" w:line="560" w:lineRule="exact"/>
        <w:ind w:firstLine="480"/>
        <w:jc w:val="both"/>
        <w:textAlignment w:val="auto"/>
        <w:rPr>
          <w:rFonts w:hint="default" w:ascii="Times New Roman" w:hAnsi="Times New Roman" w:eastAsia="仿宋_GB2312" w:cs="Times New Roman"/>
          <w:b w:val="0"/>
          <w:bCs w:val="0"/>
          <w:color w:val="000000"/>
          <w:kern w:val="2"/>
          <w:sz w:val="32"/>
          <w:szCs w:val="32"/>
        </w:rPr>
      </w:pPr>
      <w:r>
        <w:rPr>
          <w:rFonts w:hint="default" w:ascii="Times New Roman" w:hAnsi="Times New Roman" w:eastAsia="楷体_GB2312" w:cs="Times New Roman"/>
          <w:b w:val="0"/>
          <w:bCs w:val="0"/>
          <w:color w:val="000000"/>
          <w:sz w:val="32"/>
          <w:szCs w:val="32"/>
        </w:rPr>
        <w:t>（一）强化组织保障。</w:t>
      </w:r>
      <w:r>
        <w:rPr>
          <w:rFonts w:hint="default" w:ascii="Times New Roman" w:hAnsi="Times New Roman" w:eastAsia="仿宋_GB2312" w:cs="Times New Roman"/>
          <w:b w:val="0"/>
          <w:bCs w:val="0"/>
          <w:color w:val="000000"/>
          <w:kern w:val="2"/>
          <w:sz w:val="32"/>
          <w:szCs w:val="32"/>
        </w:rPr>
        <w:t>坚持党对养老服务工作的全面领导，进一步健全“党委领导、政府主导、社会参与、全民行动”的工作机制，将规划的主要任务指标纳入本地区经济社会发展规划目录清单与为民办实事项目，将养老服务纳入地方党政领导班子考核指标体系。充分发挥县级养老服务联席会议重要作用，区政府牵头定期研究解决规划实施中的重大问题，加强部门协调。积极引导党员干部参与养老服务，充分发挥离退休党员干部、工青妇等群团组织的作用，最大限度凝聚为老服务力量。做好各类养老机构党建工作，实现公建民营机构和所有民办养老机构全覆盖，加强党在养老服务领域的影响力、渗透力、控制力。</w:t>
      </w:r>
    </w:p>
    <w:p>
      <w:pPr>
        <w:pStyle w:val="2"/>
        <w:keepNext w:val="0"/>
        <w:keepLines w:val="0"/>
        <w:pageBreakBefore w:val="0"/>
        <w:kinsoku/>
        <w:wordWrap/>
        <w:overflowPunct/>
        <w:topLinePunct w:val="0"/>
        <w:autoSpaceDE/>
        <w:autoSpaceDN/>
        <w:bidi w:val="0"/>
        <w:spacing w:before="0" w:beforeAutospacing="0" w:after="0" w:afterAutospacing="0" w:line="560" w:lineRule="exact"/>
        <w:ind w:firstLine="480"/>
        <w:jc w:val="both"/>
        <w:textAlignment w:val="auto"/>
        <w:rPr>
          <w:rFonts w:hint="default" w:ascii="Times New Roman" w:hAnsi="Times New Roman" w:eastAsia="仿宋_GB2312" w:cs="Times New Roman"/>
          <w:b w:val="0"/>
          <w:bCs w:val="0"/>
          <w:color w:val="000000"/>
          <w:kern w:val="2"/>
          <w:sz w:val="32"/>
          <w:szCs w:val="32"/>
        </w:rPr>
      </w:pPr>
      <w:r>
        <w:rPr>
          <w:rFonts w:hint="default" w:ascii="Times New Roman" w:hAnsi="Times New Roman" w:eastAsia="楷体_GB2312" w:cs="Times New Roman"/>
          <w:b w:val="0"/>
          <w:bCs w:val="0"/>
          <w:color w:val="000000"/>
          <w:kern w:val="2"/>
          <w:sz w:val="32"/>
          <w:szCs w:val="32"/>
        </w:rPr>
        <w:t>（二）加大经费投入。</w:t>
      </w:r>
      <w:r>
        <w:rPr>
          <w:rFonts w:hint="default" w:ascii="Times New Roman" w:hAnsi="Times New Roman" w:eastAsia="仿宋_GB2312" w:cs="Times New Roman"/>
          <w:b w:val="0"/>
          <w:bCs w:val="0"/>
          <w:color w:val="000000"/>
          <w:kern w:val="2"/>
          <w:sz w:val="32"/>
          <w:szCs w:val="32"/>
        </w:rPr>
        <w:t>健全养老服务经费投入保障机制，根据本区养老服务发展的需要和财政基础，为养老服务提供必要的财力保障。建立多元投入机制，引导各类社会资本投入老龄事业，划转部分国有资本充实社保基金，确保老龄事业顺利推进。福利彩票公益金55%以上用于支持养老服务发展。健全政府购买服务机制，逐步形成政府投入带动全社会共同参与的经费多渠道筹集机制。加强养老服务各项经费的绩效管理，强化资金监管，提高资金使用效益。</w:t>
      </w:r>
    </w:p>
    <w:p>
      <w:pPr>
        <w:pStyle w:val="2"/>
        <w:keepNext w:val="0"/>
        <w:keepLines w:val="0"/>
        <w:pageBreakBefore w:val="0"/>
        <w:kinsoku/>
        <w:wordWrap/>
        <w:overflowPunct/>
        <w:topLinePunct w:val="0"/>
        <w:autoSpaceDE/>
        <w:autoSpaceDN/>
        <w:bidi w:val="0"/>
        <w:spacing w:before="0" w:beforeAutospacing="0" w:after="0" w:afterAutospacing="0" w:line="560" w:lineRule="exact"/>
        <w:ind w:firstLine="480"/>
        <w:jc w:val="both"/>
        <w:textAlignment w:val="auto"/>
        <w:rPr>
          <w:rFonts w:hint="default" w:ascii="Times New Roman" w:hAnsi="Times New Roman" w:eastAsia="仿宋_GB2312" w:cs="Times New Roman"/>
          <w:b w:val="0"/>
          <w:bCs w:val="0"/>
          <w:color w:val="000000"/>
          <w:kern w:val="2"/>
          <w:sz w:val="32"/>
          <w:szCs w:val="32"/>
        </w:rPr>
      </w:pPr>
      <w:r>
        <w:rPr>
          <w:rFonts w:hint="default" w:ascii="Times New Roman" w:hAnsi="Times New Roman" w:eastAsia="楷体_GB2312" w:cs="Times New Roman"/>
          <w:b w:val="0"/>
          <w:bCs w:val="0"/>
          <w:color w:val="000000"/>
          <w:kern w:val="2"/>
          <w:sz w:val="32"/>
          <w:szCs w:val="32"/>
        </w:rPr>
        <w:t>（三）完善制度保障。</w:t>
      </w:r>
      <w:r>
        <w:rPr>
          <w:rFonts w:hint="default" w:ascii="Times New Roman" w:hAnsi="Times New Roman" w:eastAsia="仿宋_GB2312" w:cs="Times New Roman"/>
          <w:b w:val="0"/>
          <w:bCs w:val="0"/>
          <w:color w:val="000000"/>
          <w:kern w:val="2"/>
          <w:sz w:val="32"/>
          <w:szCs w:val="32"/>
        </w:rPr>
        <w:t>政府、事业单位和企业腾退的用地、用房，适宜的要优先用于养老服务。鼓励银行等金融机构创新养老金融产品和服务，加大对养老服务机构、涉老产品生产建设的支持力度。加强老年人权益保障法律法规宣传教育，加快老年人社会服务和社会参与等制度建设。健全向老年人服务保障适当倾斜的财政投入、服务评价、监督检查、奖励表彰等政策。</w:t>
      </w:r>
    </w:p>
    <w:p>
      <w:pPr>
        <w:pStyle w:val="2"/>
        <w:keepNext w:val="0"/>
        <w:keepLines w:val="0"/>
        <w:pageBreakBefore w:val="0"/>
        <w:kinsoku/>
        <w:wordWrap/>
        <w:overflowPunct/>
        <w:topLinePunct w:val="0"/>
        <w:autoSpaceDE/>
        <w:autoSpaceDN/>
        <w:bidi w:val="0"/>
        <w:spacing w:before="0" w:beforeAutospacing="0" w:after="0" w:afterAutospacing="0" w:line="560" w:lineRule="exact"/>
        <w:ind w:firstLine="480"/>
        <w:jc w:val="both"/>
        <w:textAlignment w:val="auto"/>
        <w:rPr>
          <w:rFonts w:hint="default"/>
        </w:rPr>
      </w:pPr>
      <w:r>
        <w:rPr>
          <w:rFonts w:hint="default" w:ascii="Times New Roman" w:hAnsi="Times New Roman" w:eastAsia="楷体_GB2312" w:cs="Times New Roman"/>
          <w:b w:val="0"/>
          <w:bCs w:val="0"/>
          <w:color w:val="000000"/>
          <w:kern w:val="2"/>
          <w:sz w:val="32"/>
          <w:szCs w:val="32"/>
        </w:rPr>
        <w:t>（四）强化监测评估。</w:t>
      </w:r>
      <w:r>
        <w:rPr>
          <w:rFonts w:hint="default" w:ascii="Times New Roman" w:hAnsi="Times New Roman" w:eastAsia="仿宋_GB2312" w:cs="Times New Roman"/>
          <w:b w:val="0"/>
          <w:bCs w:val="0"/>
          <w:color w:val="000000"/>
          <w:kern w:val="2"/>
          <w:sz w:val="32"/>
          <w:szCs w:val="32"/>
        </w:rPr>
        <w:t>加强对区域内老年人口信息的管理、分析和预测，监测和评估人口老龄化变动情况及发展趋势，形成人口老龄化预测预报制度。依托</w:t>
      </w:r>
      <w:r>
        <w:rPr>
          <w:rFonts w:hint="default" w:ascii="Times New Roman" w:hAnsi="Times New Roman" w:eastAsia="仿宋_GB2312" w:cs="Times New Roman"/>
          <w:b w:val="0"/>
          <w:bCs w:val="0"/>
          <w:color w:val="000000"/>
          <w:kern w:val="2"/>
          <w:sz w:val="32"/>
          <w:szCs w:val="32"/>
          <w:lang w:eastAsia="zh-CN"/>
        </w:rPr>
        <w:t>文登</w:t>
      </w:r>
      <w:r>
        <w:rPr>
          <w:rFonts w:hint="default" w:ascii="Times New Roman" w:hAnsi="Times New Roman" w:eastAsia="仿宋_GB2312" w:cs="Times New Roman"/>
          <w:color w:val="000000"/>
          <w:sz w:val="32"/>
          <w:szCs w:val="32"/>
          <w:lang w:eastAsia="zh-CN"/>
        </w:rPr>
        <w:t>诚信养老服务体系</w:t>
      </w:r>
      <w:r>
        <w:rPr>
          <w:rFonts w:hint="default" w:ascii="Times New Roman" w:hAnsi="Times New Roman" w:eastAsia="仿宋_GB2312" w:cs="Times New Roman"/>
          <w:color w:val="000000"/>
          <w:sz w:val="32"/>
          <w:szCs w:val="32"/>
        </w:rPr>
        <w:t>+“四专员”养老服务质量管理评定体系+部门联动议事机制“1+1+1”养老服务监管模式</w:t>
      </w:r>
      <w:r>
        <w:rPr>
          <w:rFonts w:hint="default" w:ascii="Times New Roman" w:hAnsi="Times New Roman" w:eastAsia="仿宋_GB2312" w:cs="Times New Roman"/>
          <w:b w:val="0"/>
          <w:bCs w:val="0"/>
          <w:color w:val="000000"/>
          <w:kern w:val="2"/>
          <w:sz w:val="32"/>
          <w:szCs w:val="32"/>
        </w:rPr>
        <w:t>，出台《文登养老服务发展指标监测标准与指标体系》，加强对规划实施情况的动态监测。建立规划实施动态监测机制，进一步细化责任主体，严格跟踪考核机制，建立“年度考核、中期考核、结果评估”、综合评估和专项评估等相结合的闭环式评估体系。健全第三方评估机制，对本规划八大项目</w:t>
      </w:r>
      <w:r>
        <w:rPr>
          <w:rFonts w:hint="eastAsia" w:ascii="Times New Roman" w:hAnsi="Times New Roman" w:eastAsia="仿宋_GB2312" w:cs="Times New Roman"/>
          <w:b w:val="0"/>
          <w:bCs w:val="0"/>
          <w:color w:val="000000"/>
          <w:kern w:val="2"/>
          <w:sz w:val="32"/>
          <w:szCs w:val="32"/>
          <w:lang w:eastAsia="zh-CN"/>
        </w:rPr>
        <w:t>适时</w:t>
      </w:r>
      <w:r>
        <w:rPr>
          <w:rFonts w:hint="default" w:ascii="Times New Roman" w:hAnsi="Times New Roman" w:eastAsia="仿宋_GB2312" w:cs="Times New Roman"/>
          <w:b w:val="0"/>
          <w:bCs w:val="0"/>
          <w:color w:val="000000"/>
          <w:kern w:val="2"/>
          <w:sz w:val="32"/>
          <w:szCs w:val="32"/>
        </w:rPr>
        <w:t>进行评估。</w:t>
      </w:r>
      <w:bookmarkStart w:id="1" w:name="_GoBack"/>
      <w:bookmarkEnd w:id="1"/>
    </w:p>
    <w:sectPr>
      <w:footerReference r:id="rId5" w:type="first"/>
      <w:headerReference r:id="rId3" w:type="default"/>
      <w:footerReference r:id="rId4" w:type="default"/>
      <w:pgSz w:w="11906" w:h="16838"/>
      <w:pgMar w:top="2098" w:right="1531" w:bottom="2098" w:left="1531" w:header="851" w:footer="992" w:gutter="0"/>
      <w:cols w:space="720" w:num="1"/>
      <w:titlePg/>
      <w:docGrid w:linePitch="36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PMingLiU">
    <w:panose1 w:val="02020500000000000000"/>
    <w:charset w:val="88"/>
    <w:family w:val="roman"/>
    <w:pitch w:val="default"/>
    <w:sig w:usb0="A00002FF" w:usb1="28CFFCFA" w:usb2="00000016" w:usb3="00000000" w:csb0="00100001"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Tahoma">
    <w:panose1 w:val="020B0604030504040204"/>
    <w:charset w:val="00"/>
    <w:family w:val="swiss"/>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-123825</wp:posOffset>
              </wp:positionV>
              <wp:extent cx="812800" cy="230505"/>
              <wp:effectExtent l="0" t="0" r="0" b="0"/>
              <wp:wrapNone/>
              <wp:docPr id="2" name="文本框 1041"/>
              <wp:cNvGraphicFramePr/>
              <a:graphic xmlns:a="http://schemas.openxmlformats.org/drawingml/2006/main">
                <a:graphicData uri="http://schemas.microsoft.com/office/word/2010/wordprocessingShape">
                  <wps:wsp>
                    <wps:cNvSpPr txBox="1"/>
                    <wps:spPr>
                      <a:xfrm>
                        <a:off x="0" y="0"/>
                        <a:ext cx="812800" cy="230505"/>
                      </a:xfrm>
                      <a:prstGeom prst="rect">
                        <a:avLst/>
                      </a:prstGeom>
                      <a:noFill/>
                      <a:ln>
                        <a:noFill/>
                      </a:ln>
                    </wps:spPr>
                    <wps:txbx>
                      <w:txbxContent>
                        <w:p>
                          <w:pPr>
                            <w:snapToGrid w:val="0"/>
                            <w:rPr>
                              <w:rFonts w:hint="eastAsia" w:ascii="宋体" w:hAnsi="宋体" w:cs="宋体"/>
                              <w:sz w:val="28"/>
                              <w:szCs w:val="28"/>
                            </w:rPr>
                          </w:pPr>
                          <w:r>
                            <w:rPr>
                              <w:rFonts w:hint="eastAsia" w:ascii="宋体" w:hAnsi="宋体" w:cs="宋体"/>
                              <w:sz w:val="28"/>
                              <w:szCs w:val="28"/>
                            </w:rPr>
                            <w:t>　—</w:t>
                          </w:r>
                          <w:r>
                            <w:rPr>
                              <w:sz w:val="28"/>
                              <w:szCs w:val="28"/>
                            </w:rPr>
                            <w:fldChar w:fldCharType="begin"/>
                          </w:r>
                          <w:r>
                            <w:rPr>
                              <w:sz w:val="28"/>
                              <w:szCs w:val="28"/>
                            </w:rPr>
                            <w:instrText xml:space="preserve"> PAGE  \* MERGEFORMAT </w:instrText>
                          </w:r>
                          <w:r>
                            <w:rPr>
                              <w:sz w:val="28"/>
                              <w:szCs w:val="28"/>
                            </w:rPr>
                            <w:fldChar w:fldCharType="separate"/>
                          </w:r>
                          <w:r>
                            <w:rPr>
                              <w:sz w:val="28"/>
                              <w:szCs w:val="28"/>
                              <w:lang w:val="en-US" w:eastAsia="zh-CN"/>
                            </w:rPr>
                            <w:t>6</w:t>
                          </w:r>
                          <w:r>
                            <w:rPr>
                              <w:sz w:val="28"/>
                              <w:szCs w:val="28"/>
                            </w:rPr>
                            <w:fldChar w:fldCharType="end"/>
                          </w:r>
                          <w:r>
                            <w:rPr>
                              <w:rFonts w:hint="eastAsia" w:ascii="宋体" w:hAnsi="宋体" w:cs="宋体"/>
                              <w:sz w:val="28"/>
                              <w:szCs w:val="28"/>
                            </w:rPr>
                            <w:t>—　</w:t>
                          </w:r>
                        </w:p>
                      </w:txbxContent>
                    </wps:txbx>
                    <wps:bodyPr lIns="0" tIns="0" rIns="0" bIns="0" upright="1"/>
                  </wps:wsp>
                </a:graphicData>
              </a:graphic>
            </wp:anchor>
          </w:drawing>
        </mc:Choice>
        <mc:Fallback>
          <w:pict>
            <v:shape id="文本框 1041" o:spid="_x0000_s1026" o:spt="202" type="#_x0000_t202" style="position:absolute;left:0pt;margin-top:-9.75pt;height:18.15pt;width:64pt;mso-position-horizontal:outside;mso-position-horizontal-relative:margin;z-index:251659264;mso-width-relative:page;mso-height-relative:page;" filled="f" stroked="f" coordsize="21600,21600" o:gfxdata="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BvpakPWAAAABwEAAA8AAAAAAAAAAQAgAAAAIgAAAGRycy9kb3ducmV2LnhtbFBLAQIU&#10;ABQAAAAIAIdO4kDKR1B/vAEAAHQDAAAOAAAAAAAAAAEAIAAAACUBAABkcnMvZTJvRG9jLnhtbFBL&#10;BQYAAAAABgAGAFkBAABTBQAAAAA=&#10;">
              <v:fill on="f" focussize="0,0"/>
              <v:stroke on="f"/>
              <v:imagedata o:title=""/>
              <o:lock v:ext="edit" aspectratio="f"/>
              <v:textbox inset="0mm,0mm,0mm,0mm">
                <w:txbxContent>
                  <w:p>
                    <w:pPr>
                      <w:snapToGrid w:val="0"/>
                      <w:rPr>
                        <w:rFonts w:hint="eastAsia" w:ascii="宋体" w:hAnsi="宋体" w:cs="宋体"/>
                        <w:sz w:val="28"/>
                        <w:szCs w:val="28"/>
                      </w:rPr>
                    </w:pPr>
                    <w:r>
                      <w:rPr>
                        <w:rFonts w:hint="eastAsia" w:ascii="宋体" w:hAnsi="宋体" w:cs="宋体"/>
                        <w:sz w:val="28"/>
                        <w:szCs w:val="28"/>
                      </w:rPr>
                      <w:t>　—</w:t>
                    </w:r>
                    <w:r>
                      <w:rPr>
                        <w:sz w:val="28"/>
                        <w:szCs w:val="28"/>
                      </w:rPr>
                      <w:fldChar w:fldCharType="begin"/>
                    </w:r>
                    <w:r>
                      <w:rPr>
                        <w:sz w:val="28"/>
                        <w:szCs w:val="28"/>
                      </w:rPr>
                      <w:instrText xml:space="preserve"> PAGE  \* MERGEFORMAT </w:instrText>
                    </w:r>
                    <w:r>
                      <w:rPr>
                        <w:sz w:val="28"/>
                        <w:szCs w:val="28"/>
                      </w:rPr>
                      <w:fldChar w:fldCharType="separate"/>
                    </w:r>
                    <w:r>
                      <w:rPr>
                        <w:sz w:val="28"/>
                        <w:szCs w:val="28"/>
                        <w:lang w:val="en-US" w:eastAsia="zh-CN"/>
                      </w:rPr>
                      <w:t>6</w:t>
                    </w:r>
                    <w:r>
                      <w:rPr>
                        <w:sz w:val="28"/>
                        <w:szCs w:val="28"/>
                      </w:rPr>
                      <w:fldChar w:fldCharType="end"/>
                    </w:r>
                    <w:r>
                      <w:rPr>
                        <w:rFonts w:hint="eastAsia" w:ascii="宋体" w:hAnsi="宋体" w:cs="宋体"/>
                        <w:sz w:val="28"/>
                        <w:szCs w:val="28"/>
                      </w:rPr>
                      <w:t>—　</w:t>
                    </w:r>
                  </w:p>
                </w:txbxContent>
              </v:textbox>
            </v:shape>
          </w:pict>
        </mc:Fallback>
      </mc:AlternateContent>
    </w:r>
  </w:p>
  <w:p>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-352425</wp:posOffset>
              </wp:positionV>
              <wp:extent cx="793115" cy="1828800"/>
              <wp:effectExtent l="0" t="0" r="0" b="0"/>
              <wp:wrapNone/>
              <wp:docPr id="3" name="文本框 1042"/>
              <wp:cNvGraphicFramePr/>
              <a:graphic xmlns:a="http://schemas.openxmlformats.org/drawingml/2006/main">
                <a:graphicData uri="http://schemas.microsoft.com/office/word/2010/wordprocessingShape">
                  <wps:wsp>
                    <wps:cNvSpPr txBox="1"/>
                    <wps:spPr>
                      <a:xfrm>
                        <a:off x="0" y="0"/>
                        <a:ext cx="793115" cy="1828800"/>
                      </a:xfrm>
                      <a:prstGeom prst="rect">
                        <a:avLst/>
                      </a:prstGeom>
                      <a:noFill/>
                      <a:ln>
                        <a:noFill/>
                      </a:ln>
                    </wps:spPr>
                    <wps:txbx>
                      <w:txbxContent>
                        <w:p>
                          <w:pPr>
                            <w:snapToGrid w:val="0"/>
                            <w:rPr>
                              <w:rFonts w:hint="eastAsia" w:ascii="宋体" w:hAnsi="宋体" w:cs="宋体"/>
                              <w:sz w:val="28"/>
                              <w:szCs w:val="28"/>
                            </w:rPr>
                          </w:pPr>
                          <w:r>
                            <w:rPr>
                              <w:rFonts w:hint="eastAsia" w:ascii="宋体" w:hAnsi="宋体" w:cs="宋体"/>
                              <w:sz w:val="28"/>
                              <w:szCs w:val="28"/>
                            </w:rPr>
                            <w:t>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lang w:val="en-US" w:eastAsia="zh-CN"/>
                            </w:rPr>
                            <w:t>1</w:t>
                          </w:r>
                          <w:r>
                            <w:rPr>
                              <w:rFonts w:hint="eastAsia" w:ascii="宋体" w:hAnsi="宋体" w:cs="宋体"/>
                              <w:sz w:val="28"/>
                              <w:szCs w:val="28"/>
                            </w:rPr>
                            <w:fldChar w:fldCharType="end"/>
                          </w:r>
                          <w:r>
                            <w:rPr>
                              <w:rFonts w:hint="eastAsia" w:ascii="宋体" w:hAnsi="宋体" w:cs="宋体"/>
                              <w:sz w:val="28"/>
                              <w:szCs w:val="28"/>
                            </w:rPr>
                            <w:t>—　</w:t>
                          </w:r>
                        </w:p>
                      </w:txbxContent>
                    </wps:txbx>
                    <wps:bodyPr lIns="0" tIns="0" rIns="0" bIns="0" upright="1">
                      <a:spAutoFit/>
                    </wps:bodyPr>
                  </wps:wsp>
                </a:graphicData>
              </a:graphic>
            </wp:anchor>
          </w:drawing>
        </mc:Choice>
        <mc:Fallback>
          <w:pict>
            <v:shape id="文本框 1042" o:spid="_x0000_s1026" o:spt="202" type="#_x0000_t202" style="position:absolute;left:0pt;margin-top:-27.75pt;height:144pt;width:62.45pt;mso-position-horizontal:outside;mso-position-horizontal-relative:margin;z-index:251660288;mso-width-relative:page;mso-height-relative:page;" filled="f" stroked="f" coordsize="21600,21600" o:gfxdata="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B76bln1QAAAAgBAAAPAAAAAAAAAAEAIAAAACIAAABkcnMvZG93&#10;bnJldi54bWxQSwECFAAUAAAACACHTuJALZEHD8oBAACPAwAADgAAAAAAAAABACAAAAAkAQAAZHJz&#10;L2Uyb0RvYy54bWxQSwUGAAAAAAYABgBZAQAAYAUAAAAA&#10;">
              <v:fill on="f" focussize="0,0"/>
              <v:stroke on="f"/>
              <v:imagedata o:title=""/>
              <o:lock v:ext="edit" aspectratio="f"/>
              <v:textbox inset="0mm,0mm,0mm,0mm" style="mso-fit-shape-to-text:t;">
                <w:txbxContent>
                  <w:p>
                    <w:pPr>
                      <w:snapToGrid w:val="0"/>
                      <w:rPr>
                        <w:rFonts w:hint="eastAsia" w:ascii="宋体" w:hAnsi="宋体" w:cs="宋体"/>
                        <w:sz w:val="28"/>
                        <w:szCs w:val="28"/>
                      </w:rPr>
                    </w:pPr>
                    <w:r>
                      <w:rPr>
                        <w:rFonts w:hint="eastAsia" w:ascii="宋体" w:hAnsi="宋体" w:cs="宋体"/>
                        <w:sz w:val="28"/>
                        <w:szCs w:val="28"/>
                      </w:rPr>
                      <w:t>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lang w:val="en-US" w:eastAsia="zh-CN"/>
                      </w:rPr>
                      <w:t>1</w:t>
                    </w:r>
                    <w:r>
                      <w:rPr>
                        <w:rFonts w:hint="eastAsia" w:ascii="宋体" w:hAnsi="宋体" w:cs="宋体"/>
                        <w:sz w:val="28"/>
                        <w:szCs w:val="28"/>
                      </w:rPr>
                      <w:fldChar w:fldCharType="end"/>
                    </w:r>
                    <w:r>
                      <w:rPr>
                        <w:rFonts w:hint="eastAsia" w:ascii="宋体" w:hAnsi="宋体" w:cs="宋体"/>
                        <w:sz w:val="28"/>
                        <w:szCs w:val="28"/>
                      </w:rPr>
                      <w:t>—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210"/>
  <w:drawingGridVerticalSpacing w:val="184"/>
  <w:displayHorizontalDrawingGridEvery w:val="1"/>
  <w:displayVerticalDrawingGridEvery w:val="1"/>
  <w:doNotShadeFormData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1452"/>
    <w:rsid w:val="0001633E"/>
    <w:rsid w:val="0002473F"/>
    <w:rsid w:val="00025442"/>
    <w:rsid w:val="00034ED5"/>
    <w:rsid w:val="00047260"/>
    <w:rsid w:val="000565EA"/>
    <w:rsid w:val="000577FB"/>
    <w:rsid w:val="00076E12"/>
    <w:rsid w:val="000774E1"/>
    <w:rsid w:val="000779E3"/>
    <w:rsid w:val="0008034F"/>
    <w:rsid w:val="00080846"/>
    <w:rsid w:val="0008680A"/>
    <w:rsid w:val="000952BF"/>
    <w:rsid w:val="000B4763"/>
    <w:rsid w:val="000C2285"/>
    <w:rsid w:val="000C2B5C"/>
    <w:rsid w:val="000D5D53"/>
    <w:rsid w:val="000E45FE"/>
    <w:rsid w:val="000E4A71"/>
    <w:rsid w:val="000F3296"/>
    <w:rsid w:val="000F6256"/>
    <w:rsid w:val="000F67B2"/>
    <w:rsid w:val="00105813"/>
    <w:rsid w:val="001064E0"/>
    <w:rsid w:val="00106ABE"/>
    <w:rsid w:val="00112213"/>
    <w:rsid w:val="00113AE3"/>
    <w:rsid w:val="001261FC"/>
    <w:rsid w:val="00141DF9"/>
    <w:rsid w:val="001822F2"/>
    <w:rsid w:val="0019535B"/>
    <w:rsid w:val="001970C0"/>
    <w:rsid w:val="001A2FF6"/>
    <w:rsid w:val="001A6773"/>
    <w:rsid w:val="001A6C1A"/>
    <w:rsid w:val="001B178E"/>
    <w:rsid w:val="001B64CD"/>
    <w:rsid w:val="001B69F8"/>
    <w:rsid w:val="001C0E3F"/>
    <w:rsid w:val="001C750E"/>
    <w:rsid w:val="001F26B9"/>
    <w:rsid w:val="001F483D"/>
    <w:rsid w:val="001F48DB"/>
    <w:rsid w:val="001F566D"/>
    <w:rsid w:val="001F58AA"/>
    <w:rsid w:val="00211575"/>
    <w:rsid w:val="00217618"/>
    <w:rsid w:val="00222191"/>
    <w:rsid w:val="00236B44"/>
    <w:rsid w:val="002523AA"/>
    <w:rsid w:val="00255A5A"/>
    <w:rsid w:val="002565D4"/>
    <w:rsid w:val="00264178"/>
    <w:rsid w:val="002655E9"/>
    <w:rsid w:val="002674E7"/>
    <w:rsid w:val="00270FB7"/>
    <w:rsid w:val="002739F3"/>
    <w:rsid w:val="002807E9"/>
    <w:rsid w:val="00291C71"/>
    <w:rsid w:val="00295520"/>
    <w:rsid w:val="00295F41"/>
    <w:rsid w:val="002A5A30"/>
    <w:rsid w:val="002B0447"/>
    <w:rsid w:val="002C3531"/>
    <w:rsid w:val="002E008B"/>
    <w:rsid w:val="002E5673"/>
    <w:rsid w:val="002F4E66"/>
    <w:rsid w:val="002F52AC"/>
    <w:rsid w:val="002F53C6"/>
    <w:rsid w:val="002F7C47"/>
    <w:rsid w:val="003243AF"/>
    <w:rsid w:val="00325991"/>
    <w:rsid w:val="003307A2"/>
    <w:rsid w:val="003321D6"/>
    <w:rsid w:val="00337635"/>
    <w:rsid w:val="00340AA1"/>
    <w:rsid w:val="0034217F"/>
    <w:rsid w:val="003447DF"/>
    <w:rsid w:val="00347112"/>
    <w:rsid w:val="00352742"/>
    <w:rsid w:val="0035660C"/>
    <w:rsid w:val="00357925"/>
    <w:rsid w:val="0036430A"/>
    <w:rsid w:val="00384C41"/>
    <w:rsid w:val="0038523F"/>
    <w:rsid w:val="0039141C"/>
    <w:rsid w:val="003A6CFF"/>
    <w:rsid w:val="003B560A"/>
    <w:rsid w:val="003F4095"/>
    <w:rsid w:val="004046E0"/>
    <w:rsid w:val="00410B41"/>
    <w:rsid w:val="00415904"/>
    <w:rsid w:val="00417F55"/>
    <w:rsid w:val="004463A5"/>
    <w:rsid w:val="00455191"/>
    <w:rsid w:val="00484B0E"/>
    <w:rsid w:val="00484C2E"/>
    <w:rsid w:val="00486DFA"/>
    <w:rsid w:val="00490FE7"/>
    <w:rsid w:val="00497608"/>
    <w:rsid w:val="004B08B3"/>
    <w:rsid w:val="004B5714"/>
    <w:rsid w:val="004B5A0A"/>
    <w:rsid w:val="004C2181"/>
    <w:rsid w:val="004C3D33"/>
    <w:rsid w:val="004D3763"/>
    <w:rsid w:val="004E0D0E"/>
    <w:rsid w:val="004E16CB"/>
    <w:rsid w:val="004E2743"/>
    <w:rsid w:val="004E2875"/>
    <w:rsid w:val="004F41BF"/>
    <w:rsid w:val="00501592"/>
    <w:rsid w:val="00503BCA"/>
    <w:rsid w:val="0050418D"/>
    <w:rsid w:val="00510F71"/>
    <w:rsid w:val="00511A93"/>
    <w:rsid w:val="005151E2"/>
    <w:rsid w:val="005171F1"/>
    <w:rsid w:val="00523CC8"/>
    <w:rsid w:val="005313EE"/>
    <w:rsid w:val="0053369C"/>
    <w:rsid w:val="00541105"/>
    <w:rsid w:val="00555EA9"/>
    <w:rsid w:val="005566DC"/>
    <w:rsid w:val="00557799"/>
    <w:rsid w:val="005815D1"/>
    <w:rsid w:val="00596393"/>
    <w:rsid w:val="005B0D04"/>
    <w:rsid w:val="005B3A92"/>
    <w:rsid w:val="005B7C3B"/>
    <w:rsid w:val="005D0293"/>
    <w:rsid w:val="005D3224"/>
    <w:rsid w:val="005D4467"/>
    <w:rsid w:val="005F7227"/>
    <w:rsid w:val="00607B05"/>
    <w:rsid w:val="00611F8A"/>
    <w:rsid w:val="0061508A"/>
    <w:rsid w:val="0062089F"/>
    <w:rsid w:val="00627683"/>
    <w:rsid w:val="00630381"/>
    <w:rsid w:val="00630AFF"/>
    <w:rsid w:val="00633822"/>
    <w:rsid w:val="00633B4A"/>
    <w:rsid w:val="006430DB"/>
    <w:rsid w:val="00646E80"/>
    <w:rsid w:val="0066094C"/>
    <w:rsid w:val="00662079"/>
    <w:rsid w:val="00665FF7"/>
    <w:rsid w:val="006727E5"/>
    <w:rsid w:val="00682A07"/>
    <w:rsid w:val="00697B32"/>
    <w:rsid w:val="006C72CE"/>
    <w:rsid w:val="006D027B"/>
    <w:rsid w:val="006D22A5"/>
    <w:rsid w:val="006E2F70"/>
    <w:rsid w:val="006E4A40"/>
    <w:rsid w:val="006E59B2"/>
    <w:rsid w:val="006E7A55"/>
    <w:rsid w:val="00703C26"/>
    <w:rsid w:val="00707CBF"/>
    <w:rsid w:val="00712D31"/>
    <w:rsid w:val="00721894"/>
    <w:rsid w:val="007302A2"/>
    <w:rsid w:val="007306E5"/>
    <w:rsid w:val="007335F7"/>
    <w:rsid w:val="007350E6"/>
    <w:rsid w:val="00736182"/>
    <w:rsid w:val="00757946"/>
    <w:rsid w:val="00765978"/>
    <w:rsid w:val="00766CAE"/>
    <w:rsid w:val="007742B3"/>
    <w:rsid w:val="0077572D"/>
    <w:rsid w:val="0077692C"/>
    <w:rsid w:val="007937D2"/>
    <w:rsid w:val="00794C44"/>
    <w:rsid w:val="007953A1"/>
    <w:rsid w:val="007962EF"/>
    <w:rsid w:val="007A7209"/>
    <w:rsid w:val="007B7CEB"/>
    <w:rsid w:val="007C327D"/>
    <w:rsid w:val="007C5B13"/>
    <w:rsid w:val="007C69A8"/>
    <w:rsid w:val="007C6B55"/>
    <w:rsid w:val="007D089B"/>
    <w:rsid w:val="007E2E36"/>
    <w:rsid w:val="007E59E9"/>
    <w:rsid w:val="007F5404"/>
    <w:rsid w:val="007F782F"/>
    <w:rsid w:val="00801EB1"/>
    <w:rsid w:val="0082324A"/>
    <w:rsid w:val="00823575"/>
    <w:rsid w:val="008235C8"/>
    <w:rsid w:val="00826705"/>
    <w:rsid w:val="00827704"/>
    <w:rsid w:val="0084054E"/>
    <w:rsid w:val="00845EB0"/>
    <w:rsid w:val="0087668B"/>
    <w:rsid w:val="00880858"/>
    <w:rsid w:val="0088189C"/>
    <w:rsid w:val="008843EE"/>
    <w:rsid w:val="0089048C"/>
    <w:rsid w:val="008A1598"/>
    <w:rsid w:val="008C6377"/>
    <w:rsid w:val="008D1179"/>
    <w:rsid w:val="008D1E40"/>
    <w:rsid w:val="008F0175"/>
    <w:rsid w:val="008F4AAA"/>
    <w:rsid w:val="008F7245"/>
    <w:rsid w:val="00900D89"/>
    <w:rsid w:val="00900F66"/>
    <w:rsid w:val="00917D60"/>
    <w:rsid w:val="00921BEA"/>
    <w:rsid w:val="0093059F"/>
    <w:rsid w:val="00932EFD"/>
    <w:rsid w:val="00934F35"/>
    <w:rsid w:val="0094178C"/>
    <w:rsid w:val="00945EDA"/>
    <w:rsid w:val="00961B0B"/>
    <w:rsid w:val="00972FDA"/>
    <w:rsid w:val="009767B8"/>
    <w:rsid w:val="00977F2D"/>
    <w:rsid w:val="00987CCD"/>
    <w:rsid w:val="009A4388"/>
    <w:rsid w:val="009A7735"/>
    <w:rsid w:val="009B29DE"/>
    <w:rsid w:val="009B3973"/>
    <w:rsid w:val="009C1B3E"/>
    <w:rsid w:val="009C297C"/>
    <w:rsid w:val="009C4429"/>
    <w:rsid w:val="009C7F03"/>
    <w:rsid w:val="009D7742"/>
    <w:rsid w:val="009E13B5"/>
    <w:rsid w:val="00A00474"/>
    <w:rsid w:val="00A03BFC"/>
    <w:rsid w:val="00A171E7"/>
    <w:rsid w:val="00A23795"/>
    <w:rsid w:val="00A2755C"/>
    <w:rsid w:val="00A3009C"/>
    <w:rsid w:val="00A31653"/>
    <w:rsid w:val="00A320C0"/>
    <w:rsid w:val="00A44193"/>
    <w:rsid w:val="00A51009"/>
    <w:rsid w:val="00A55688"/>
    <w:rsid w:val="00A6256B"/>
    <w:rsid w:val="00A711DB"/>
    <w:rsid w:val="00A72AE1"/>
    <w:rsid w:val="00A73655"/>
    <w:rsid w:val="00A838CC"/>
    <w:rsid w:val="00A86438"/>
    <w:rsid w:val="00A873C8"/>
    <w:rsid w:val="00A91D28"/>
    <w:rsid w:val="00A92C46"/>
    <w:rsid w:val="00AA1471"/>
    <w:rsid w:val="00AB0E58"/>
    <w:rsid w:val="00AC1B33"/>
    <w:rsid w:val="00AD5449"/>
    <w:rsid w:val="00AD625D"/>
    <w:rsid w:val="00AE3C49"/>
    <w:rsid w:val="00AE4593"/>
    <w:rsid w:val="00B00120"/>
    <w:rsid w:val="00B00767"/>
    <w:rsid w:val="00B23C9F"/>
    <w:rsid w:val="00B23DE9"/>
    <w:rsid w:val="00B265FC"/>
    <w:rsid w:val="00B33753"/>
    <w:rsid w:val="00B43620"/>
    <w:rsid w:val="00B462C5"/>
    <w:rsid w:val="00B46FEC"/>
    <w:rsid w:val="00B504A5"/>
    <w:rsid w:val="00B51FAA"/>
    <w:rsid w:val="00B52D8A"/>
    <w:rsid w:val="00B53E1E"/>
    <w:rsid w:val="00B53FCD"/>
    <w:rsid w:val="00B54B3D"/>
    <w:rsid w:val="00B80D01"/>
    <w:rsid w:val="00B834FD"/>
    <w:rsid w:val="00B91DC3"/>
    <w:rsid w:val="00BB1FC2"/>
    <w:rsid w:val="00BB35E6"/>
    <w:rsid w:val="00BB59E4"/>
    <w:rsid w:val="00BC113E"/>
    <w:rsid w:val="00BC79D8"/>
    <w:rsid w:val="00BD425B"/>
    <w:rsid w:val="00BD57F5"/>
    <w:rsid w:val="00BE739E"/>
    <w:rsid w:val="00BF00E0"/>
    <w:rsid w:val="00BF06A7"/>
    <w:rsid w:val="00C00DDA"/>
    <w:rsid w:val="00C1052B"/>
    <w:rsid w:val="00C10EFA"/>
    <w:rsid w:val="00C12A01"/>
    <w:rsid w:val="00C21B03"/>
    <w:rsid w:val="00C23788"/>
    <w:rsid w:val="00C239E6"/>
    <w:rsid w:val="00C36FA9"/>
    <w:rsid w:val="00C44709"/>
    <w:rsid w:val="00C76550"/>
    <w:rsid w:val="00C7680F"/>
    <w:rsid w:val="00C8289B"/>
    <w:rsid w:val="00C82DDA"/>
    <w:rsid w:val="00C85216"/>
    <w:rsid w:val="00C8554E"/>
    <w:rsid w:val="00C9093B"/>
    <w:rsid w:val="00C92643"/>
    <w:rsid w:val="00C96AA2"/>
    <w:rsid w:val="00CA7AAE"/>
    <w:rsid w:val="00CB5AC5"/>
    <w:rsid w:val="00CC5E2E"/>
    <w:rsid w:val="00CD50FC"/>
    <w:rsid w:val="00CD65A7"/>
    <w:rsid w:val="00CE5EFC"/>
    <w:rsid w:val="00CE7DC0"/>
    <w:rsid w:val="00CF6B5C"/>
    <w:rsid w:val="00D02F3F"/>
    <w:rsid w:val="00D03376"/>
    <w:rsid w:val="00D051EF"/>
    <w:rsid w:val="00D37182"/>
    <w:rsid w:val="00D40EF6"/>
    <w:rsid w:val="00D44923"/>
    <w:rsid w:val="00D55A2C"/>
    <w:rsid w:val="00D55AAC"/>
    <w:rsid w:val="00D80410"/>
    <w:rsid w:val="00D82453"/>
    <w:rsid w:val="00D93B02"/>
    <w:rsid w:val="00D93E5F"/>
    <w:rsid w:val="00D94116"/>
    <w:rsid w:val="00DA0F0D"/>
    <w:rsid w:val="00DB683E"/>
    <w:rsid w:val="00DC0182"/>
    <w:rsid w:val="00DC1B82"/>
    <w:rsid w:val="00DC3CAF"/>
    <w:rsid w:val="00E0044B"/>
    <w:rsid w:val="00E01D13"/>
    <w:rsid w:val="00E055FE"/>
    <w:rsid w:val="00E129CA"/>
    <w:rsid w:val="00E20875"/>
    <w:rsid w:val="00E26B1D"/>
    <w:rsid w:val="00E316AB"/>
    <w:rsid w:val="00E33350"/>
    <w:rsid w:val="00E412D6"/>
    <w:rsid w:val="00E43E02"/>
    <w:rsid w:val="00E44250"/>
    <w:rsid w:val="00E51366"/>
    <w:rsid w:val="00E54A56"/>
    <w:rsid w:val="00E63A97"/>
    <w:rsid w:val="00E66DCE"/>
    <w:rsid w:val="00E72AF0"/>
    <w:rsid w:val="00E72C9A"/>
    <w:rsid w:val="00E82491"/>
    <w:rsid w:val="00E82F0B"/>
    <w:rsid w:val="00E93A50"/>
    <w:rsid w:val="00EA719D"/>
    <w:rsid w:val="00EA79A1"/>
    <w:rsid w:val="00EB5B2A"/>
    <w:rsid w:val="00EB62CF"/>
    <w:rsid w:val="00EC39C8"/>
    <w:rsid w:val="00EC3A3C"/>
    <w:rsid w:val="00EE7FA1"/>
    <w:rsid w:val="00EF33AD"/>
    <w:rsid w:val="00F20E08"/>
    <w:rsid w:val="00F22C38"/>
    <w:rsid w:val="00F30A79"/>
    <w:rsid w:val="00F36563"/>
    <w:rsid w:val="00F46D90"/>
    <w:rsid w:val="00F5658A"/>
    <w:rsid w:val="00F5769A"/>
    <w:rsid w:val="00F60B12"/>
    <w:rsid w:val="00F611ED"/>
    <w:rsid w:val="00F63176"/>
    <w:rsid w:val="00F7237C"/>
    <w:rsid w:val="00F763D6"/>
    <w:rsid w:val="00F86B0E"/>
    <w:rsid w:val="00F8702A"/>
    <w:rsid w:val="00FA2E97"/>
    <w:rsid w:val="00FA5A41"/>
    <w:rsid w:val="00FC3182"/>
    <w:rsid w:val="00FC7264"/>
    <w:rsid w:val="00FF2805"/>
    <w:rsid w:val="00FF3590"/>
    <w:rsid w:val="01495973"/>
    <w:rsid w:val="019217BF"/>
    <w:rsid w:val="01A80C26"/>
    <w:rsid w:val="01B4515D"/>
    <w:rsid w:val="021933EA"/>
    <w:rsid w:val="022675FA"/>
    <w:rsid w:val="022A6F23"/>
    <w:rsid w:val="0245726C"/>
    <w:rsid w:val="02593055"/>
    <w:rsid w:val="0271160B"/>
    <w:rsid w:val="0272198E"/>
    <w:rsid w:val="02A546D9"/>
    <w:rsid w:val="02B949AF"/>
    <w:rsid w:val="02BC3220"/>
    <w:rsid w:val="02CD6702"/>
    <w:rsid w:val="02E96BE5"/>
    <w:rsid w:val="03026C47"/>
    <w:rsid w:val="03056135"/>
    <w:rsid w:val="03344EC9"/>
    <w:rsid w:val="034F51A0"/>
    <w:rsid w:val="035709F5"/>
    <w:rsid w:val="036409C6"/>
    <w:rsid w:val="03983053"/>
    <w:rsid w:val="039F67B0"/>
    <w:rsid w:val="03C22FE6"/>
    <w:rsid w:val="03DE2736"/>
    <w:rsid w:val="03E96359"/>
    <w:rsid w:val="048C6109"/>
    <w:rsid w:val="04962DB2"/>
    <w:rsid w:val="049E12C7"/>
    <w:rsid w:val="04B95918"/>
    <w:rsid w:val="04BB73A5"/>
    <w:rsid w:val="04C065E1"/>
    <w:rsid w:val="04DA0149"/>
    <w:rsid w:val="04F247CD"/>
    <w:rsid w:val="05124474"/>
    <w:rsid w:val="05191197"/>
    <w:rsid w:val="05225A89"/>
    <w:rsid w:val="05252BF9"/>
    <w:rsid w:val="0567250D"/>
    <w:rsid w:val="05674584"/>
    <w:rsid w:val="05B7414F"/>
    <w:rsid w:val="05C60AB2"/>
    <w:rsid w:val="05F42166"/>
    <w:rsid w:val="060001A5"/>
    <w:rsid w:val="061F7FA6"/>
    <w:rsid w:val="062A0208"/>
    <w:rsid w:val="06533A42"/>
    <w:rsid w:val="065A14D0"/>
    <w:rsid w:val="0682273B"/>
    <w:rsid w:val="069807B7"/>
    <w:rsid w:val="06A11B72"/>
    <w:rsid w:val="06A83863"/>
    <w:rsid w:val="06BA48E9"/>
    <w:rsid w:val="06E80B75"/>
    <w:rsid w:val="06FB0F3D"/>
    <w:rsid w:val="0714669F"/>
    <w:rsid w:val="07350FA1"/>
    <w:rsid w:val="07427F3C"/>
    <w:rsid w:val="07531933"/>
    <w:rsid w:val="0768230C"/>
    <w:rsid w:val="07A372B6"/>
    <w:rsid w:val="07A75C38"/>
    <w:rsid w:val="07D611AE"/>
    <w:rsid w:val="07E01BEF"/>
    <w:rsid w:val="081A39AB"/>
    <w:rsid w:val="081D39C3"/>
    <w:rsid w:val="08240087"/>
    <w:rsid w:val="085E628B"/>
    <w:rsid w:val="089C28FA"/>
    <w:rsid w:val="08A473ED"/>
    <w:rsid w:val="08A9648A"/>
    <w:rsid w:val="08F25681"/>
    <w:rsid w:val="08FD016B"/>
    <w:rsid w:val="092F19FD"/>
    <w:rsid w:val="092F6659"/>
    <w:rsid w:val="09343592"/>
    <w:rsid w:val="097748FF"/>
    <w:rsid w:val="09943F87"/>
    <w:rsid w:val="099730EA"/>
    <w:rsid w:val="09AA7952"/>
    <w:rsid w:val="09D117F1"/>
    <w:rsid w:val="09E509E9"/>
    <w:rsid w:val="09E76AA3"/>
    <w:rsid w:val="0A040513"/>
    <w:rsid w:val="0A19583D"/>
    <w:rsid w:val="0A2E3E66"/>
    <w:rsid w:val="0A9127DD"/>
    <w:rsid w:val="0AA04133"/>
    <w:rsid w:val="0AE311D8"/>
    <w:rsid w:val="0AED7EE1"/>
    <w:rsid w:val="0B0A2BE4"/>
    <w:rsid w:val="0B163F42"/>
    <w:rsid w:val="0B316F11"/>
    <w:rsid w:val="0B3E0D16"/>
    <w:rsid w:val="0B57475B"/>
    <w:rsid w:val="0B666930"/>
    <w:rsid w:val="0B7557A2"/>
    <w:rsid w:val="0B79138B"/>
    <w:rsid w:val="0B881A84"/>
    <w:rsid w:val="0B9319CE"/>
    <w:rsid w:val="0BA705DB"/>
    <w:rsid w:val="0BB25C07"/>
    <w:rsid w:val="0C1C7B49"/>
    <w:rsid w:val="0C3514E3"/>
    <w:rsid w:val="0C6225CF"/>
    <w:rsid w:val="0C677EF6"/>
    <w:rsid w:val="0C795DFF"/>
    <w:rsid w:val="0C7F4268"/>
    <w:rsid w:val="0CAE32FB"/>
    <w:rsid w:val="0CC425C4"/>
    <w:rsid w:val="0CD476DE"/>
    <w:rsid w:val="0CE70CB1"/>
    <w:rsid w:val="0CF52948"/>
    <w:rsid w:val="0D0825A4"/>
    <w:rsid w:val="0D2B4AE8"/>
    <w:rsid w:val="0D2E0232"/>
    <w:rsid w:val="0D3A261F"/>
    <w:rsid w:val="0D422131"/>
    <w:rsid w:val="0D4B749C"/>
    <w:rsid w:val="0D564192"/>
    <w:rsid w:val="0D637176"/>
    <w:rsid w:val="0D685702"/>
    <w:rsid w:val="0D77398A"/>
    <w:rsid w:val="0D8630C0"/>
    <w:rsid w:val="0D891460"/>
    <w:rsid w:val="0D8B09BC"/>
    <w:rsid w:val="0D9F2255"/>
    <w:rsid w:val="0DDC5CAA"/>
    <w:rsid w:val="0E13270B"/>
    <w:rsid w:val="0E2818D8"/>
    <w:rsid w:val="0E325097"/>
    <w:rsid w:val="0E4E562B"/>
    <w:rsid w:val="0E5A2B09"/>
    <w:rsid w:val="0E666774"/>
    <w:rsid w:val="0E7C22FD"/>
    <w:rsid w:val="0EA03B6B"/>
    <w:rsid w:val="0EBA1DAC"/>
    <w:rsid w:val="0EBB3DC3"/>
    <w:rsid w:val="0EE63ED3"/>
    <w:rsid w:val="0F155789"/>
    <w:rsid w:val="0F2F3ECC"/>
    <w:rsid w:val="0F2F5477"/>
    <w:rsid w:val="0F532CC1"/>
    <w:rsid w:val="0F593C1F"/>
    <w:rsid w:val="0F7A57B1"/>
    <w:rsid w:val="0FA74126"/>
    <w:rsid w:val="0FB07258"/>
    <w:rsid w:val="0FB97CEE"/>
    <w:rsid w:val="0FBB4BF5"/>
    <w:rsid w:val="0FDE5019"/>
    <w:rsid w:val="0FE969C4"/>
    <w:rsid w:val="0FF15332"/>
    <w:rsid w:val="0FF812B6"/>
    <w:rsid w:val="0FF84F2B"/>
    <w:rsid w:val="0FFC74F2"/>
    <w:rsid w:val="100E61C6"/>
    <w:rsid w:val="10757E38"/>
    <w:rsid w:val="10D306BB"/>
    <w:rsid w:val="10E10F7E"/>
    <w:rsid w:val="10FA7AA8"/>
    <w:rsid w:val="11733776"/>
    <w:rsid w:val="118A184A"/>
    <w:rsid w:val="118C2B6A"/>
    <w:rsid w:val="11924AF1"/>
    <w:rsid w:val="11B80AD8"/>
    <w:rsid w:val="11D37170"/>
    <w:rsid w:val="11DF4E39"/>
    <w:rsid w:val="11ED6B57"/>
    <w:rsid w:val="11F32DD7"/>
    <w:rsid w:val="121220AA"/>
    <w:rsid w:val="12283FFA"/>
    <w:rsid w:val="12940762"/>
    <w:rsid w:val="12BE5A5C"/>
    <w:rsid w:val="12D42287"/>
    <w:rsid w:val="12DA1478"/>
    <w:rsid w:val="131545C2"/>
    <w:rsid w:val="13156625"/>
    <w:rsid w:val="131C657A"/>
    <w:rsid w:val="13696B87"/>
    <w:rsid w:val="13722ADC"/>
    <w:rsid w:val="13A20905"/>
    <w:rsid w:val="13BE1207"/>
    <w:rsid w:val="13E432EC"/>
    <w:rsid w:val="13FD6805"/>
    <w:rsid w:val="141A39BB"/>
    <w:rsid w:val="143D1B4A"/>
    <w:rsid w:val="14524311"/>
    <w:rsid w:val="145938FD"/>
    <w:rsid w:val="147226CE"/>
    <w:rsid w:val="147B6A8B"/>
    <w:rsid w:val="148B34F4"/>
    <w:rsid w:val="14EF2235"/>
    <w:rsid w:val="15056A44"/>
    <w:rsid w:val="151A7601"/>
    <w:rsid w:val="1578483A"/>
    <w:rsid w:val="158565E5"/>
    <w:rsid w:val="158C0C74"/>
    <w:rsid w:val="15901898"/>
    <w:rsid w:val="15A36F53"/>
    <w:rsid w:val="15A86AA0"/>
    <w:rsid w:val="15AE4C67"/>
    <w:rsid w:val="15C26E86"/>
    <w:rsid w:val="15CC677D"/>
    <w:rsid w:val="15E14103"/>
    <w:rsid w:val="15F147BD"/>
    <w:rsid w:val="15F77F3A"/>
    <w:rsid w:val="16015112"/>
    <w:rsid w:val="16235279"/>
    <w:rsid w:val="163C6525"/>
    <w:rsid w:val="16534EF2"/>
    <w:rsid w:val="165B0535"/>
    <w:rsid w:val="16605626"/>
    <w:rsid w:val="167A417E"/>
    <w:rsid w:val="168E1699"/>
    <w:rsid w:val="16C4275C"/>
    <w:rsid w:val="16CF0864"/>
    <w:rsid w:val="16D00FB4"/>
    <w:rsid w:val="16DD0FE4"/>
    <w:rsid w:val="16F0285F"/>
    <w:rsid w:val="16FB17AA"/>
    <w:rsid w:val="17036E59"/>
    <w:rsid w:val="170A0EBA"/>
    <w:rsid w:val="17374E8B"/>
    <w:rsid w:val="173A3575"/>
    <w:rsid w:val="174407EB"/>
    <w:rsid w:val="175E3462"/>
    <w:rsid w:val="17910A9F"/>
    <w:rsid w:val="17B67729"/>
    <w:rsid w:val="17E2693A"/>
    <w:rsid w:val="17E70F11"/>
    <w:rsid w:val="18243EF1"/>
    <w:rsid w:val="18264CA3"/>
    <w:rsid w:val="185579A8"/>
    <w:rsid w:val="18614085"/>
    <w:rsid w:val="18EA07B4"/>
    <w:rsid w:val="18F900CF"/>
    <w:rsid w:val="191D40B2"/>
    <w:rsid w:val="192E3B01"/>
    <w:rsid w:val="19317307"/>
    <w:rsid w:val="19883E06"/>
    <w:rsid w:val="19C4559E"/>
    <w:rsid w:val="19DC575F"/>
    <w:rsid w:val="19FF047B"/>
    <w:rsid w:val="1A1B7DDC"/>
    <w:rsid w:val="1A2916BC"/>
    <w:rsid w:val="1A360FD4"/>
    <w:rsid w:val="1A5B5292"/>
    <w:rsid w:val="1A755F5A"/>
    <w:rsid w:val="1AC264B4"/>
    <w:rsid w:val="1B0B38D7"/>
    <w:rsid w:val="1B245E94"/>
    <w:rsid w:val="1B2A7955"/>
    <w:rsid w:val="1B320B7D"/>
    <w:rsid w:val="1B694C40"/>
    <w:rsid w:val="1B6A5800"/>
    <w:rsid w:val="1B7706B1"/>
    <w:rsid w:val="1B840BB2"/>
    <w:rsid w:val="1B872A58"/>
    <w:rsid w:val="1BAF4A78"/>
    <w:rsid w:val="1BB70715"/>
    <w:rsid w:val="1BC03B94"/>
    <w:rsid w:val="1BE22983"/>
    <w:rsid w:val="1C0407D0"/>
    <w:rsid w:val="1C0C4BB1"/>
    <w:rsid w:val="1C3E7753"/>
    <w:rsid w:val="1C4311C8"/>
    <w:rsid w:val="1C5B021B"/>
    <w:rsid w:val="1C607CEA"/>
    <w:rsid w:val="1C6A49D1"/>
    <w:rsid w:val="1C9412D9"/>
    <w:rsid w:val="1C967EF4"/>
    <w:rsid w:val="1CE32AD0"/>
    <w:rsid w:val="1CF16851"/>
    <w:rsid w:val="1D0A1980"/>
    <w:rsid w:val="1D3D554F"/>
    <w:rsid w:val="1D672833"/>
    <w:rsid w:val="1D87192D"/>
    <w:rsid w:val="1D9575EC"/>
    <w:rsid w:val="1DB97781"/>
    <w:rsid w:val="1DD15520"/>
    <w:rsid w:val="1DD44028"/>
    <w:rsid w:val="1DE65208"/>
    <w:rsid w:val="1DE77EF3"/>
    <w:rsid w:val="1E1D2A42"/>
    <w:rsid w:val="1E3D1A73"/>
    <w:rsid w:val="1E3F3D01"/>
    <w:rsid w:val="1E7509C4"/>
    <w:rsid w:val="1E881DEC"/>
    <w:rsid w:val="1EB56089"/>
    <w:rsid w:val="1EBD4B7B"/>
    <w:rsid w:val="1EC212A5"/>
    <w:rsid w:val="1EE21F8C"/>
    <w:rsid w:val="1EF62A8D"/>
    <w:rsid w:val="1F244E8C"/>
    <w:rsid w:val="1F3148C7"/>
    <w:rsid w:val="1F443B13"/>
    <w:rsid w:val="1F4616B3"/>
    <w:rsid w:val="1F5D0D12"/>
    <w:rsid w:val="1F60699F"/>
    <w:rsid w:val="1FC96DFD"/>
    <w:rsid w:val="1FD6567C"/>
    <w:rsid w:val="1FE81E17"/>
    <w:rsid w:val="1FED4550"/>
    <w:rsid w:val="1FF6682A"/>
    <w:rsid w:val="1FFC7527"/>
    <w:rsid w:val="201D1287"/>
    <w:rsid w:val="202D2643"/>
    <w:rsid w:val="20976B6C"/>
    <w:rsid w:val="20A427DA"/>
    <w:rsid w:val="20E87A32"/>
    <w:rsid w:val="20EE055B"/>
    <w:rsid w:val="20FF6D7A"/>
    <w:rsid w:val="210D591F"/>
    <w:rsid w:val="21116B91"/>
    <w:rsid w:val="211B7A11"/>
    <w:rsid w:val="21306A03"/>
    <w:rsid w:val="215112A2"/>
    <w:rsid w:val="21572A1E"/>
    <w:rsid w:val="216D248F"/>
    <w:rsid w:val="21881161"/>
    <w:rsid w:val="21924CCA"/>
    <w:rsid w:val="21966CC1"/>
    <w:rsid w:val="219E2290"/>
    <w:rsid w:val="21CA105A"/>
    <w:rsid w:val="21CE1889"/>
    <w:rsid w:val="21DF3FC7"/>
    <w:rsid w:val="21F3384F"/>
    <w:rsid w:val="22433E2A"/>
    <w:rsid w:val="22666C60"/>
    <w:rsid w:val="22842BDB"/>
    <w:rsid w:val="22871ABE"/>
    <w:rsid w:val="228C6368"/>
    <w:rsid w:val="229713E5"/>
    <w:rsid w:val="22B874E9"/>
    <w:rsid w:val="22F52743"/>
    <w:rsid w:val="230907C1"/>
    <w:rsid w:val="233C3819"/>
    <w:rsid w:val="2355006D"/>
    <w:rsid w:val="23767454"/>
    <w:rsid w:val="238E496D"/>
    <w:rsid w:val="23973197"/>
    <w:rsid w:val="23F70E23"/>
    <w:rsid w:val="23FB42DA"/>
    <w:rsid w:val="2410439D"/>
    <w:rsid w:val="24234F55"/>
    <w:rsid w:val="24265D1D"/>
    <w:rsid w:val="245A1C7C"/>
    <w:rsid w:val="248467D1"/>
    <w:rsid w:val="24AD1823"/>
    <w:rsid w:val="24D01EC5"/>
    <w:rsid w:val="24D76623"/>
    <w:rsid w:val="24DB24BE"/>
    <w:rsid w:val="25026A5E"/>
    <w:rsid w:val="253429FF"/>
    <w:rsid w:val="255F0418"/>
    <w:rsid w:val="2592058D"/>
    <w:rsid w:val="259B61E7"/>
    <w:rsid w:val="26020139"/>
    <w:rsid w:val="26280775"/>
    <w:rsid w:val="264721DE"/>
    <w:rsid w:val="264B5B46"/>
    <w:rsid w:val="26AD7F98"/>
    <w:rsid w:val="26D878B9"/>
    <w:rsid w:val="26DA6CD5"/>
    <w:rsid w:val="26E31C7D"/>
    <w:rsid w:val="27076036"/>
    <w:rsid w:val="27377711"/>
    <w:rsid w:val="27794105"/>
    <w:rsid w:val="27ED44E2"/>
    <w:rsid w:val="27FE7AF2"/>
    <w:rsid w:val="280C73D5"/>
    <w:rsid w:val="28270B2D"/>
    <w:rsid w:val="2837384F"/>
    <w:rsid w:val="28374989"/>
    <w:rsid w:val="28506EE3"/>
    <w:rsid w:val="2869573D"/>
    <w:rsid w:val="288550E2"/>
    <w:rsid w:val="28A075BC"/>
    <w:rsid w:val="28CC2A7C"/>
    <w:rsid w:val="28E76824"/>
    <w:rsid w:val="29026E18"/>
    <w:rsid w:val="290D0895"/>
    <w:rsid w:val="292348EE"/>
    <w:rsid w:val="293958AE"/>
    <w:rsid w:val="296B256B"/>
    <w:rsid w:val="29836CAE"/>
    <w:rsid w:val="298F767B"/>
    <w:rsid w:val="29A015DF"/>
    <w:rsid w:val="29A51AD2"/>
    <w:rsid w:val="29BE6933"/>
    <w:rsid w:val="29D32975"/>
    <w:rsid w:val="29D54704"/>
    <w:rsid w:val="29D84910"/>
    <w:rsid w:val="29F3495E"/>
    <w:rsid w:val="29F55EDA"/>
    <w:rsid w:val="2A2033FE"/>
    <w:rsid w:val="2A3E568B"/>
    <w:rsid w:val="2A5D3DAF"/>
    <w:rsid w:val="2A8134B0"/>
    <w:rsid w:val="2A9B6F23"/>
    <w:rsid w:val="2AB2083E"/>
    <w:rsid w:val="2B0450D8"/>
    <w:rsid w:val="2B1850C1"/>
    <w:rsid w:val="2B3F74E0"/>
    <w:rsid w:val="2B4E2FE3"/>
    <w:rsid w:val="2B5511C2"/>
    <w:rsid w:val="2B68636E"/>
    <w:rsid w:val="2B751C1A"/>
    <w:rsid w:val="2B7836E7"/>
    <w:rsid w:val="2BE85482"/>
    <w:rsid w:val="2BF65B9A"/>
    <w:rsid w:val="2BFD0A94"/>
    <w:rsid w:val="2C076E7F"/>
    <w:rsid w:val="2C10569F"/>
    <w:rsid w:val="2C297280"/>
    <w:rsid w:val="2C3F5A7B"/>
    <w:rsid w:val="2C734C43"/>
    <w:rsid w:val="2C7D3C57"/>
    <w:rsid w:val="2CC655F6"/>
    <w:rsid w:val="2CD44545"/>
    <w:rsid w:val="2CE24D16"/>
    <w:rsid w:val="2D2A4F7A"/>
    <w:rsid w:val="2D473016"/>
    <w:rsid w:val="2DB041A7"/>
    <w:rsid w:val="2DBC4F66"/>
    <w:rsid w:val="2DDD1037"/>
    <w:rsid w:val="2E087A7E"/>
    <w:rsid w:val="2E287B04"/>
    <w:rsid w:val="2E37700D"/>
    <w:rsid w:val="2E4C182A"/>
    <w:rsid w:val="2E7059BB"/>
    <w:rsid w:val="2E844E0D"/>
    <w:rsid w:val="2F185F04"/>
    <w:rsid w:val="2F2132DE"/>
    <w:rsid w:val="2F42523B"/>
    <w:rsid w:val="2F6C6389"/>
    <w:rsid w:val="2F8C4E82"/>
    <w:rsid w:val="2F8E5E3B"/>
    <w:rsid w:val="2F9612B9"/>
    <w:rsid w:val="2FA21FC3"/>
    <w:rsid w:val="2FB12304"/>
    <w:rsid w:val="2FB241D4"/>
    <w:rsid w:val="2FCE6000"/>
    <w:rsid w:val="2FE11ED5"/>
    <w:rsid w:val="2FF5103E"/>
    <w:rsid w:val="2FF645AE"/>
    <w:rsid w:val="2FF7090C"/>
    <w:rsid w:val="2FFF5171"/>
    <w:rsid w:val="30085A94"/>
    <w:rsid w:val="300D5980"/>
    <w:rsid w:val="303E7D41"/>
    <w:rsid w:val="303F1263"/>
    <w:rsid w:val="30671F43"/>
    <w:rsid w:val="30704F89"/>
    <w:rsid w:val="30706AE1"/>
    <w:rsid w:val="307A4ADE"/>
    <w:rsid w:val="307C7B32"/>
    <w:rsid w:val="309058AA"/>
    <w:rsid w:val="309802CE"/>
    <w:rsid w:val="30A07FDF"/>
    <w:rsid w:val="30A1371E"/>
    <w:rsid w:val="30A61D23"/>
    <w:rsid w:val="30EB52DB"/>
    <w:rsid w:val="3105323F"/>
    <w:rsid w:val="311A7296"/>
    <w:rsid w:val="314739B4"/>
    <w:rsid w:val="31534CB9"/>
    <w:rsid w:val="31732A7E"/>
    <w:rsid w:val="31A81786"/>
    <w:rsid w:val="31C65286"/>
    <w:rsid w:val="31E148D3"/>
    <w:rsid w:val="31FA2DE9"/>
    <w:rsid w:val="31FD0843"/>
    <w:rsid w:val="32034509"/>
    <w:rsid w:val="320D51B9"/>
    <w:rsid w:val="323B607D"/>
    <w:rsid w:val="3278160C"/>
    <w:rsid w:val="32784063"/>
    <w:rsid w:val="328267D4"/>
    <w:rsid w:val="32B221E6"/>
    <w:rsid w:val="32B56407"/>
    <w:rsid w:val="32E50818"/>
    <w:rsid w:val="32FB1BB6"/>
    <w:rsid w:val="3311273C"/>
    <w:rsid w:val="33245F34"/>
    <w:rsid w:val="334A139F"/>
    <w:rsid w:val="33552BBF"/>
    <w:rsid w:val="33805F7F"/>
    <w:rsid w:val="33A94CD9"/>
    <w:rsid w:val="340E073A"/>
    <w:rsid w:val="342853A8"/>
    <w:rsid w:val="344421E6"/>
    <w:rsid w:val="34573AAF"/>
    <w:rsid w:val="345B0E94"/>
    <w:rsid w:val="34633A06"/>
    <w:rsid w:val="34652355"/>
    <w:rsid w:val="34905728"/>
    <w:rsid w:val="34995EF5"/>
    <w:rsid w:val="34A26ACB"/>
    <w:rsid w:val="34BE367D"/>
    <w:rsid w:val="34F16D5A"/>
    <w:rsid w:val="35053FA9"/>
    <w:rsid w:val="3506461E"/>
    <w:rsid w:val="350E6C99"/>
    <w:rsid w:val="353712A3"/>
    <w:rsid w:val="3547353D"/>
    <w:rsid w:val="35917D82"/>
    <w:rsid w:val="35950BEC"/>
    <w:rsid w:val="35B20566"/>
    <w:rsid w:val="35C93999"/>
    <w:rsid w:val="361E160A"/>
    <w:rsid w:val="36440281"/>
    <w:rsid w:val="366139F3"/>
    <w:rsid w:val="36750D3B"/>
    <w:rsid w:val="367B1AF6"/>
    <w:rsid w:val="3685232F"/>
    <w:rsid w:val="36907E91"/>
    <w:rsid w:val="36C86F1B"/>
    <w:rsid w:val="36D523C0"/>
    <w:rsid w:val="36DC59A3"/>
    <w:rsid w:val="371E4261"/>
    <w:rsid w:val="3739119D"/>
    <w:rsid w:val="374C345F"/>
    <w:rsid w:val="3759278A"/>
    <w:rsid w:val="375942CA"/>
    <w:rsid w:val="376046D2"/>
    <w:rsid w:val="37747D61"/>
    <w:rsid w:val="377B0A60"/>
    <w:rsid w:val="378F0191"/>
    <w:rsid w:val="379D42C0"/>
    <w:rsid w:val="37A00F3A"/>
    <w:rsid w:val="37AD1774"/>
    <w:rsid w:val="37E22C47"/>
    <w:rsid w:val="37FA2E3A"/>
    <w:rsid w:val="38132A91"/>
    <w:rsid w:val="384314EE"/>
    <w:rsid w:val="38880F15"/>
    <w:rsid w:val="3897729A"/>
    <w:rsid w:val="38CE31C0"/>
    <w:rsid w:val="38F71097"/>
    <w:rsid w:val="390B70AB"/>
    <w:rsid w:val="3927241F"/>
    <w:rsid w:val="395A67FF"/>
    <w:rsid w:val="395C7D4F"/>
    <w:rsid w:val="396D3381"/>
    <w:rsid w:val="3982210B"/>
    <w:rsid w:val="39913876"/>
    <w:rsid w:val="399F0928"/>
    <w:rsid w:val="39AC1342"/>
    <w:rsid w:val="39C13E4C"/>
    <w:rsid w:val="39C61FE4"/>
    <w:rsid w:val="39EC13D3"/>
    <w:rsid w:val="3A0F02E0"/>
    <w:rsid w:val="3A607713"/>
    <w:rsid w:val="3A635381"/>
    <w:rsid w:val="3A6B3DE0"/>
    <w:rsid w:val="3A8863B8"/>
    <w:rsid w:val="3AB7321A"/>
    <w:rsid w:val="3ACC03B1"/>
    <w:rsid w:val="3ACE6398"/>
    <w:rsid w:val="3B491E38"/>
    <w:rsid w:val="3B9A3257"/>
    <w:rsid w:val="3B9E4B44"/>
    <w:rsid w:val="3BA1296C"/>
    <w:rsid w:val="3BD53073"/>
    <w:rsid w:val="3C1F0DD9"/>
    <w:rsid w:val="3C3F5861"/>
    <w:rsid w:val="3C4556C3"/>
    <w:rsid w:val="3C4959FC"/>
    <w:rsid w:val="3C5E14EA"/>
    <w:rsid w:val="3C7604E2"/>
    <w:rsid w:val="3C8628ED"/>
    <w:rsid w:val="3C892F27"/>
    <w:rsid w:val="3CAC2311"/>
    <w:rsid w:val="3CB743DA"/>
    <w:rsid w:val="3CC14B5A"/>
    <w:rsid w:val="3CC94155"/>
    <w:rsid w:val="3CF30CE1"/>
    <w:rsid w:val="3D2711EC"/>
    <w:rsid w:val="3D437146"/>
    <w:rsid w:val="3D6B266D"/>
    <w:rsid w:val="3D8461F8"/>
    <w:rsid w:val="3DA657EC"/>
    <w:rsid w:val="3DD87200"/>
    <w:rsid w:val="3DFE3F1E"/>
    <w:rsid w:val="3E3A53E0"/>
    <w:rsid w:val="3E595E78"/>
    <w:rsid w:val="3E5D0A49"/>
    <w:rsid w:val="3E8534F0"/>
    <w:rsid w:val="3E9077BD"/>
    <w:rsid w:val="3E972973"/>
    <w:rsid w:val="3ED403F9"/>
    <w:rsid w:val="3EDB2AA7"/>
    <w:rsid w:val="3EDB7262"/>
    <w:rsid w:val="3EF7658B"/>
    <w:rsid w:val="3F095876"/>
    <w:rsid w:val="3F1824D3"/>
    <w:rsid w:val="3F20048D"/>
    <w:rsid w:val="3F206D2F"/>
    <w:rsid w:val="3F3216C8"/>
    <w:rsid w:val="3F446FBA"/>
    <w:rsid w:val="3F5263CA"/>
    <w:rsid w:val="3F591F99"/>
    <w:rsid w:val="3FAA029C"/>
    <w:rsid w:val="3FB71301"/>
    <w:rsid w:val="3FCB3A33"/>
    <w:rsid w:val="40140458"/>
    <w:rsid w:val="40186AFA"/>
    <w:rsid w:val="401F03CE"/>
    <w:rsid w:val="402E4ADC"/>
    <w:rsid w:val="409A2FFC"/>
    <w:rsid w:val="40C6760C"/>
    <w:rsid w:val="40EC5B77"/>
    <w:rsid w:val="40F43C18"/>
    <w:rsid w:val="41010016"/>
    <w:rsid w:val="412D3C52"/>
    <w:rsid w:val="414B1E5C"/>
    <w:rsid w:val="4172645F"/>
    <w:rsid w:val="4177671D"/>
    <w:rsid w:val="41803304"/>
    <w:rsid w:val="41976176"/>
    <w:rsid w:val="41C56563"/>
    <w:rsid w:val="42013080"/>
    <w:rsid w:val="42125900"/>
    <w:rsid w:val="4213599F"/>
    <w:rsid w:val="421623D1"/>
    <w:rsid w:val="421C6736"/>
    <w:rsid w:val="42323639"/>
    <w:rsid w:val="4247015F"/>
    <w:rsid w:val="429456C1"/>
    <w:rsid w:val="42993AF9"/>
    <w:rsid w:val="42C271E6"/>
    <w:rsid w:val="43041845"/>
    <w:rsid w:val="431B0D88"/>
    <w:rsid w:val="432C1F67"/>
    <w:rsid w:val="4346768F"/>
    <w:rsid w:val="43542B14"/>
    <w:rsid w:val="43736F25"/>
    <w:rsid w:val="43976DAD"/>
    <w:rsid w:val="43FA1BDC"/>
    <w:rsid w:val="43FA6652"/>
    <w:rsid w:val="442A7164"/>
    <w:rsid w:val="445C5208"/>
    <w:rsid w:val="44877054"/>
    <w:rsid w:val="449249EB"/>
    <w:rsid w:val="449B215C"/>
    <w:rsid w:val="449E48E8"/>
    <w:rsid w:val="44A2039B"/>
    <w:rsid w:val="44B422FB"/>
    <w:rsid w:val="44BC7B03"/>
    <w:rsid w:val="44C6445D"/>
    <w:rsid w:val="44E012F4"/>
    <w:rsid w:val="44E75338"/>
    <w:rsid w:val="452C607D"/>
    <w:rsid w:val="45B9183F"/>
    <w:rsid w:val="45C157DF"/>
    <w:rsid w:val="45DB4FCE"/>
    <w:rsid w:val="45DC516D"/>
    <w:rsid w:val="45E03BBD"/>
    <w:rsid w:val="462346EA"/>
    <w:rsid w:val="4645786C"/>
    <w:rsid w:val="46587272"/>
    <w:rsid w:val="46837C42"/>
    <w:rsid w:val="46877E3E"/>
    <w:rsid w:val="46A60A68"/>
    <w:rsid w:val="46C52AC5"/>
    <w:rsid w:val="46F01B23"/>
    <w:rsid w:val="47103FFA"/>
    <w:rsid w:val="475E46B3"/>
    <w:rsid w:val="477C736E"/>
    <w:rsid w:val="477E4455"/>
    <w:rsid w:val="47891528"/>
    <w:rsid w:val="479E60E0"/>
    <w:rsid w:val="47CA410A"/>
    <w:rsid w:val="47E17568"/>
    <w:rsid w:val="48007629"/>
    <w:rsid w:val="480166C1"/>
    <w:rsid w:val="480414FF"/>
    <w:rsid w:val="48341FB9"/>
    <w:rsid w:val="48807930"/>
    <w:rsid w:val="48896234"/>
    <w:rsid w:val="488B5BC7"/>
    <w:rsid w:val="4893026E"/>
    <w:rsid w:val="48A27ECF"/>
    <w:rsid w:val="48AF2FD2"/>
    <w:rsid w:val="48D24A37"/>
    <w:rsid w:val="490634C8"/>
    <w:rsid w:val="490D6EE9"/>
    <w:rsid w:val="49852AA2"/>
    <w:rsid w:val="4997112F"/>
    <w:rsid w:val="49976098"/>
    <w:rsid w:val="49DD2A4B"/>
    <w:rsid w:val="49E125D4"/>
    <w:rsid w:val="4A1A4475"/>
    <w:rsid w:val="4A3353C4"/>
    <w:rsid w:val="4A426DE8"/>
    <w:rsid w:val="4A7644FA"/>
    <w:rsid w:val="4AAB4A0A"/>
    <w:rsid w:val="4AC9297E"/>
    <w:rsid w:val="4AC93A0A"/>
    <w:rsid w:val="4AFF481F"/>
    <w:rsid w:val="4B010D96"/>
    <w:rsid w:val="4B3D4CCB"/>
    <w:rsid w:val="4B49032D"/>
    <w:rsid w:val="4B4A4887"/>
    <w:rsid w:val="4B4D31EC"/>
    <w:rsid w:val="4B801C72"/>
    <w:rsid w:val="4B8149F9"/>
    <w:rsid w:val="4B9324E4"/>
    <w:rsid w:val="4BB3081D"/>
    <w:rsid w:val="4BC65D48"/>
    <w:rsid w:val="4BE15BAA"/>
    <w:rsid w:val="4BEE1705"/>
    <w:rsid w:val="4C2E3C2B"/>
    <w:rsid w:val="4C52128B"/>
    <w:rsid w:val="4C557099"/>
    <w:rsid w:val="4C8C1BB7"/>
    <w:rsid w:val="4CA01F23"/>
    <w:rsid w:val="4CBE35AE"/>
    <w:rsid w:val="4CC95D33"/>
    <w:rsid w:val="4CDC1A9E"/>
    <w:rsid w:val="4CE30ECA"/>
    <w:rsid w:val="4CEB0C60"/>
    <w:rsid w:val="4CEE16AA"/>
    <w:rsid w:val="4CF04B53"/>
    <w:rsid w:val="4D235EEF"/>
    <w:rsid w:val="4D5D76A5"/>
    <w:rsid w:val="4D8B65BA"/>
    <w:rsid w:val="4DA60F1E"/>
    <w:rsid w:val="4DB454C8"/>
    <w:rsid w:val="4DDB5A95"/>
    <w:rsid w:val="4E0610FA"/>
    <w:rsid w:val="4E0C5204"/>
    <w:rsid w:val="4E181AFD"/>
    <w:rsid w:val="4E600143"/>
    <w:rsid w:val="4ECA50DC"/>
    <w:rsid w:val="4ED90A92"/>
    <w:rsid w:val="4EED7CA2"/>
    <w:rsid w:val="4EF43214"/>
    <w:rsid w:val="4F071D55"/>
    <w:rsid w:val="4F6377E1"/>
    <w:rsid w:val="4F817CAD"/>
    <w:rsid w:val="4F885ABC"/>
    <w:rsid w:val="4FC41E00"/>
    <w:rsid w:val="4FD8487C"/>
    <w:rsid w:val="4FD91C18"/>
    <w:rsid w:val="5071283A"/>
    <w:rsid w:val="507935CE"/>
    <w:rsid w:val="50CD0F52"/>
    <w:rsid w:val="512E2DC0"/>
    <w:rsid w:val="5146734A"/>
    <w:rsid w:val="514D0265"/>
    <w:rsid w:val="516E1B2F"/>
    <w:rsid w:val="51715D18"/>
    <w:rsid w:val="51742A35"/>
    <w:rsid w:val="51B018CE"/>
    <w:rsid w:val="51DC03D3"/>
    <w:rsid w:val="51FC0C14"/>
    <w:rsid w:val="5203065D"/>
    <w:rsid w:val="523A01B7"/>
    <w:rsid w:val="523E2920"/>
    <w:rsid w:val="52450E70"/>
    <w:rsid w:val="52704B3B"/>
    <w:rsid w:val="527D2897"/>
    <w:rsid w:val="52901AEF"/>
    <w:rsid w:val="52935125"/>
    <w:rsid w:val="529D23C1"/>
    <w:rsid w:val="52BF6DC4"/>
    <w:rsid w:val="52D655C6"/>
    <w:rsid w:val="52E179A8"/>
    <w:rsid w:val="52E36382"/>
    <w:rsid w:val="5328792B"/>
    <w:rsid w:val="53415F23"/>
    <w:rsid w:val="53450FF3"/>
    <w:rsid w:val="535B5020"/>
    <w:rsid w:val="53843CC2"/>
    <w:rsid w:val="53961D5A"/>
    <w:rsid w:val="53AF6DE3"/>
    <w:rsid w:val="53B95C2C"/>
    <w:rsid w:val="53BE513A"/>
    <w:rsid w:val="53D74AE4"/>
    <w:rsid w:val="54172139"/>
    <w:rsid w:val="543E1B97"/>
    <w:rsid w:val="546E676B"/>
    <w:rsid w:val="547C51E1"/>
    <w:rsid w:val="54965153"/>
    <w:rsid w:val="549714F4"/>
    <w:rsid w:val="549B1B16"/>
    <w:rsid w:val="54CE610B"/>
    <w:rsid w:val="54ED1939"/>
    <w:rsid w:val="54F620C9"/>
    <w:rsid w:val="55113BB9"/>
    <w:rsid w:val="557536B0"/>
    <w:rsid w:val="558E60A0"/>
    <w:rsid w:val="55957343"/>
    <w:rsid w:val="559A6263"/>
    <w:rsid w:val="55A65EA6"/>
    <w:rsid w:val="55A720C1"/>
    <w:rsid w:val="55AD6CAD"/>
    <w:rsid w:val="55B05E71"/>
    <w:rsid w:val="55BD6F0F"/>
    <w:rsid w:val="560D5C7B"/>
    <w:rsid w:val="561013A2"/>
    <w:rsid w:val="56164492"/>
    <w:rsid w:val="563621DD"/>
    <w:rsid w:val="56553DD1"/>
    <w:rsid w:val="56566418"/>
    <w:rsid w:val="565D525D"/>
    <w:rsid w:val="56B637AA"/>
    <w:rsid w:val="56F46B9C"/>
    <w:rsid w:val="57133538"/>
    <w:rsid w:val="571F2618"/>
    <w:rsid w:val="572D132E"/>
    <w:rsid w:val="573150DE"/>
    <w:rsid w:val="573B1528"/>
    <w:rsid w:val="57664DEC"/>
    <w:rsid w:val="577729FD"/>
    <w:rsid w:val="57A4128F"/>
    <w:rsid w:val="57BA3593"/>
    <w:rsid w:val="57BD6E57"/>
    <w:rsid w:val="57D50302"/>
    <w:rsid w:val="57FB0DB4"/>
    <w:rsid w:val="58095AD5"/>
    <w:rsid w:val="585D7EE1"/>
    <w:rsid w:val="585F41C5"/>
    <w:rsid w:val="587033C7"/>
    <w:rsid w:val="587F1F51"/>
    <w:rsid w:val="588A3543"/>
    <w:rsid w:val="58AC64B0"/>
    <w:rsid w:val="58B132B4"/>
    <w:rsid w:val="58C42558"/>
    <w:rsid w:val="58C81DB4"/>
    <w:rsid w:val="58D3497A"/>
    <w:rsid w:val="58F56E04"/>
    <w:rsid w:val="597765D1"/>
    <w:rsid w:val="59874C1D"/>
    <w:rsid w:val="59A23649"/>
    <w:rsid w:val="59B15DB9"/>
    <w:rsid w:val="59B415B6"/>
    <w:rsid w:val="59C86097"/>
    <w:rsid w:val="59DB5E71"/>
    <w:rsid w:val="59E0731A"/>
    <w:rsid w:val="5A1D729F"/>
    <w:rsid w:val="5A2923A4"/>
    <w:rsid w:val="5A3D6B1F"/>
    <w:rsid w:val="5A4941BD"/>
    <w:rsid w:val="5A630A63"/>
    <w:rsid w:val="5A7A0818"/>
    <w:rsid w:val="5A7C1583"/>
    <w:rsid w:val="5A7D04FA"/>
    <w:rsid w:val="5A873E71"/>
    <w:rsid w:val="5AD44EF0"/>
    <w:rsid w:val="5B0C023B"/>
    <w:rsid w:val="5B3868C4"/>
    <w:rsid w:val="5B5F1CA9"/>
    <w:rsid w:val="5B8A44F8"/>
    <w:rsid w:val="5BC96529"/>
    <w:rsid w:val="5BCE46B5"/>
    <w:rsid w:val="5BE544F3"/>
    <w:rsid w:val="5BE80E31"/>
    <w:rsid w:val="5BF737EB"/>
    <w:rsid w:val="5BFA2BE6"/>
    <w:rsid w:val="5C0C0309"/>
    <w:rsid w:val="5C482FAF"/>
    <w:rsid w:val="5C87478A"/>
    <w:rsid w:val="5CAD2C5D"/>
    <w:rsid w:val="5CF61BBB"/>
    <w:rsid w:val="5D042BC3"/>
    <w:rsid w:val="5D0822AE"/>
    <w:rsid w:val="5D1A7C2A"/>
    <w:rsid w:val="5D3E03A3"/>
    <w:rsid w:val="5D451DF9"/>
    <w:rsid w:val="5D454527"/>
    <w:rsid w:val="5D5959D5"/>
    <w:rsid w:val="5E010C6B"/>
    <w:rsid w:val="5E2459B2"/>
    <w:rsid w:val="5E2E19DF"/>
    <w:rsid w:val="5E320285"/>
    <w:rsid w:val="5E3971F5"/>
    <w:rsid w:val="5E406AA9"/>
    <w:rsid w:val="5E644C39"/>
    <w:rsid w:val="5EB83068"/>
    <w:rsid w:val="5EE34823"/>
    <w:rsid w:val="5EF2250F"/>
    <w:rsid w:val="5F0B7FB5"/>
    <w:rsid w:val="5F287888"/>
    <w:rsid w:val="5F394EA2"/>
    <w:rsid w:val="5FD83FD2"/>
    <w:rsid w:val="5FE013A3"/>
    <w:rsid w:val="5FEE6C22"/>
    <w:rsid w:val="5FF67C26"/>
    <w:rsid w:val="5FFB6C0F"/>
    <w:rsid w:val="60471AEC"/>
    <w:rsid w:val="60E117D5"/>
    <w:rsid w:val="60F31D4B"/>
    <w:rsid w:val="61155FC7"/>
    <w:rsid w:val="61181B9C"/>
    <w:rsid w:val="614B60C1"/>
    <w:rsid w:val="61962F3C"/>
    <w:rsid w:val="61C17335"/>
    <w:rsid w:val="61D32299"/>
    <w:rsid w:val="61DB2BB6"/>
    <w:rsid w:val="61DE5484"/>
    <w:rsid w:val="620534E1"/>
    <w:rsid w:val="62173279"/>
    <w:rsid w:val="62457F41"/>
    <w:rsid w:val="62810A26"/>
    <w:rsid w:val="62A70AA2"/>
    <w:rsid w:val="62B52A33"/>
    <w:rsid w:val="62CB5D30"/>
    <w:rsid w:val="62CE1DE7"/>
    <w:rsid w:val="63231FDA"/>
    <w:rsid w:val="633F2DA9"/>
    <w:rsid w:val="634631D6"/>
    <w:rsid w:val="637204DF"/>
    <w:rsid w:val="637E4961"/>
    <w:rsid w:val="63876C08"/>
    <w:rsid w:val="63BE4CA0"/>
    <w:rsid w:val="63CD1ECD"/>
    <w:rsid w:val="63EF4A97"/>
    <w:rsid w:val="64047703"/>
    <w:rsid w:val="644D197B"/>
    <w:rsid w:val="644F7237"/>
    <w:rsid w:val="64587903"/>
    <w:rsid w:val="647C05CA"/>
    <w:rsid w:val="64AF6120"/>
    <w:rsid w:val="64BD6371"/>
    <w:rsid w:val="64D37538"/>
    <w:rsid w:val="64ED68E9"/>
    <w:rsid w:val="656F7A95"/>
    <w:rsid w:val="65796168"/>
    <w:rsid w:val="657F69C4"/>
    <w:rsid w:val="65DA3EF7"/>
    <w:rsid w:val="65F10B9B"/>
    <w:rsid w:val="662F507A"/>
    <w:rsid w:val="6655049A"/>
    <w:rsid w:val="669E4422"/>
    <w:rsid w:val="66A5117F"/>
    <w:rsid w:val="66BF0C86"/>
    <w:rsid w:val="66BF771E"/>
    <w:rsid w:val="66CF6AAF"/>
    <w:rsid w:val="66D1014F"/>
    <w:rsid w:val="6708154F"/>
    <w:rsid w:val="671129A1"/>
    <w:rsid w:val="67183A32"/>
    <w:rsid w:val="671F3A14"/>
    <w:rsid w:val="672A2BEB"/>
    <w:rsid w:val="67383236"/>
    <w:rsid w:val="674A76FF"/>
    <w:rsid w:val="677E616A"/>
    <w:rsid w:val="67A317D4"/>
    <w:rsid w:val="67DD3998"/>
    <w:rsid w:val="67E3527C"/>
    <w:rsid w:val="680958E6"/>
    <w:rsid w:val="681C3E72"/>
    <w:rsid w:val="681E2A84"/>
    <w:rsid w:val="68203083"/>
    <w:rsid w:val="68430EA5"/>
    <w:rsid w:val="68547F0D"/>
    <w:rsid w:val="686937F8"/>
    <w:rsid w:val="6884145F"/>
    <w:rsid w:val="68961301"/>
    <w:rsid w:val="68A03F6D"/>
    <w:rsid w:val="68A2429B"/>
    <w:rsid w:val="68AE4C18"/>
    <w:rsid w:val="68C12589"/>
    <w:rsid w:val="68E56152"/>
    <w:rsid w:val="68FA0EB5"/>
    <w:rsid w:val="692A2720"/>
    <w:rsid w:val="692C1D15"/>
    <w:rsid w:val="695F62EB"/>
    <w:rsid w:val="699D01BA"/>
    <w:rsid w:val="69D21039"/>
    <w:rsid w:val="69DD0359"/>
    <w:rsid w:val="69FE3896"/>
    <w:rsid w:val="6A1D2B28"/>
    <w:rsid w:val="6A3718BD"/>
    <w:rsid w:val="6A8228A7"/>
    <w:rsid w:val="6AC00C05"/>
    <w:rsid w:val="6AE77282"/>
    <w:rsid w:val="6AF33DFD"/>
    <w:rsid w:val="6B14133D"/>
    <w:rsid w:val="6B275250"/>
    <w:rsid w:val="6B2D0911"/>
    <w:rsid w:val="6B3A6C93"/>
    <w:rsid w:val="6B4B0AC7"/>
    <w:rsid w:val="6B732185"/>
    <w:rsid w:val="6BA623D5"/>
    <w:rsid w:val="6BD97B17"/>
    <w:rsid w:val="6BEC507E"/>
    <w:rsid w:val="6C0464FF"/>
    <w:rsid w:val="6C4C358A"/>
    <w:rsid w:val="6C4D7691"/>
    <w:rsid w:val="6C5556B5"/>
    <w:rsid w:val="6C6B337E"/>
    <w:rsid w:val="6C8921B5"/>
    <w:rsid w:val="6CE274CA"/>
    <w:rsid w:val="6CF3239C"/>
    <w:rsid w:val="6D1E7131"/>
    <w:rsid w:val="6D4D649D"/>
    <w:rsid w:val="6D555A3B"/>
    <w:rsid w:val="6D8E7E95"/>
    <w:rsid w:val="6E1E7F1D"/>
    <w:rsid w:val="6E556B63"/>
    <w:rsid w:val="6E575FCF"/>
    <w:rsid w:val="6E6A30A2"/>
    <w:rsid w:val="6E770DA0"/>
    <w:rsid w:val="6E8C7390"/>
    <w:rsid w:val="6EA31A8A"/>
    <w:rsid w:val="6EB842BA"/>
    <w:rsid w:val="6EBD4212"/>
    <w:rsid w:val="6EC477AC"/>
    <w:rsid w:val="6EE56252"/>
    <w:rsid w:val="6EF2500D"/>
    <w:rsid w:val="6EFC0DA3"/>
    <w:rsid w:val="6F2D4E65"/>
    <w:rsid w:val="6F8470D8"/>
    <w:rsid w:val="6FA04FA1"/>
    <w:rsid w:val="6FAE6C13"/>
    <w:rsid w:val="6FEE7501"/>
    <w:rsid w:val="6FFB646D"/>
    <w:rsid w:val="6FFE075A"/>
    <w:rsid w:val="70041B30"/>
    <w:rsid w:val="701F7C2B"/>
    <w:rsid w:val="703B0716"/>
    <w:rsid w:val="70784787"/>
    <w:rsid w:val="70833060"/>
    <w:rsid w:val="70833745"/>
    <w:rsid w:val="70AD7BF2"/>
    <w:rsid w:val="70B04B75"/>
    <w:rsid w:val="70BA79C6"/>
    <w:rsid w:val="70D357A3"/>
    <w:rsid w:val="70E32681"/>
    <w:rsid w:val="70FE63B6"/>
    <w:rsid w:val="71482427"/>
    <w:rsid w:val="71496A80"/>
    <w:rsid w:val="7196755A"/>
    <w:rsid w:val="71AC0E91"/>
    <w:rsid w:val="71AC7BBB"/>
    <w:rsid w:val="71C51872"/>
    <w:rsid w:val="72267196"/>
    <w:rsid w:val="72282FA8"/>
    <w:rsid w:val="7230249E"/>
    <w:rsid w:val="723820C4"/>
    <w:rsid w:val="7247259A"/>
    <w:rsid w:val="726378EE"/>
    <w:rsid w:val="72671D27"/>
    <w:rsid w:val="727B6C4C"/>
    <w:rsid w:val="727F4FB1"/>
    <w:rsid w:val="72824E36"/>
    <w:rsid w:val="728B3A6F"/>
    <w:rsid w:val="72900DC7"/>
    <w:rsid w:val="72B731E8"/>
    <w:rsid w:val="72BE7341"/>
    <w:rsid w:val="72DF680E"/>
    <w:rsid w:val="72FA42B9"/>
    <w:rsid w:val="731E4248"/>
    <w:rsid w:val="73307800"/>
    <w:rsid w:val="734F189A"/>
    <w:rsid w:val="7363241C"/>
    <w:rsid w:val="73665942"/>
    <w:rsid w:val="738735B8"/>
    <w:rsid w:val="739532AA"/>
    <w:rsid w:val="73A16CCB"/>
    <w:rsid w:val="73CE2F2D"/>
    <w:rsid w:val="73E93E2F"/>
    <w:rsid w:val="741818F0"/>
    <w:rsid w:val="742B5E9A"/>
    <w:rsid w:val="742C4ED9"/>
    <w:rsid w:val="74316875"/>
    <w:rsid w:val="745C7050"/>
    <w:rsid w:val="74667C01"/>
    <w:rsid w:val="74B27B44"/>
    <w:rsid w:val="74BA1DF5"/>
    <w:rsid w:val="74D81F83"/>
    <w:rsid w:val="74DC6F0B"/>
    <w:rsid w:val="74F91C32"/>
    <w:rsid w:val="7545453E"/>
    <w:rsid w:val="754771C2"/>
    <w:rsid w:val="754B631B"/>
    <w:rsid w:val="758F3128"/>
    <w:rsid w:val="75E86946"/>
    <w:rsid w:val="760D2060"/>
    <w:rsid w:val="76783F09"/>
    <w:rsid w:val="76951CB3"/>
    <w:rsid w:val="76BF6F43"/>
    <w:rsid w:val="76CE72D9"/>
    <w:rsid w:val="76E35CC2"/>
    <w:rsid w:val="76EC5624"/>
    <w:rsid w:val="76F34B09"/>
    <w:rsid w:val="76FE59B5"/>
    <w:rsid w:val="77163310"/>
    <w:rsid w:val="7750311A"/>
    <w:rsid w:val="7754283B"/>
    <w:rsid w:val="77A2585C"/>
    <w:rsid w:val="77A66B01"/>
    <w:rsid w:val="77AE7DAE"/>
    <w:rsid w:val="77C21407"/>
    <w:rsid w:val="77D46299"/>
    <w:rsid w:val="77FD5E80"/>
    <w:rsid w:val="77FE24C4"/>
    <w:rsid w:val="78412B2B"/>
    <w:rsid w:val="78794633"/>
    <w:rsid w:val="78D42174"/>
    <w:rsid w:val="78F324E6"/>
    <w:rsid w:val="790F0060"/>
    <w:rsid w:val="793440EB"/>
    <w:rsid w:val="79393FED"/>
    <w:rsid w:val="798A0D22"/>
    <w:rsid w:val="799D762B"/>
    <w:rsid w:val="79C57357"/>
    <w:rsid w:val="79EB65CB"/>
    <w:rsid w:val="7A2E1D56"/>
    <w:rsid w:val="7A3C1A38"/>
    <w:rsid w:val="7A443D29"/>
    <w:rsid w:val="7A5360D0"/>
    <w:rsid w:val="7A650C0C"/>
    <w:rsid w:val="7A9F3034"/>
    <w:rsid w:val="7AB32A42"/>
    <w:rsid w:val="7AC6745D"/>
    <w:rsid w:val="7AC92BE2"/>
    <w:rsid w:val="7AE13370"/>
    <w:rsid w:val="7B3E0627"/>
    <w:rsid w:val="7B6245A5"/>
    <w:rsid w:val="7B771AFD"/>
    <w:rsid w:val="7B826971"/>
    <w:rsid w:val="7BA07E96"/>
    <w:rsid w:val="7BA6454E"/>
    <w:rsid w:val="7BAC2B01"/>
    <w:rsid w:val="7BBE28EF"/>
    <w:rsid w:val="7BF93BB8"/>
    <w:rsid w:val="7C4F0D52"/>
    <w:rsid w:val="7CCE254C"/>
    <w:rsid w:val="7CDA018D"/>
    <w:rsid w:val="7CE14D9A"/>
    <w:rsid w:val="7CEF5369"/>
    <w:rsid w:val="7D093591"/>
    <w:rsid w:val="7D8A0DDC"/>
    <w:rsid w:val="7D9205C5"/>
    <w:rsid w:val="7DA7329F"/>
    <w:rsid w:val="7DAE55DE"/>
    <w:rsid w:val="7DBA0C7A"/>
    <w:rsid w:val="7DD71915"/>
    <w:rsid w:val="7DF30334"/>
    <w:rsid w:val="7E1310D7"/>
    <w:rsid w:val="7E3512DB"/>
    <w:rsid w:val="7E39721E"/>
    <w:rsid w:val="7E8852ED"/>
    <w:rsid w:val="7EA45C28"/>
    <w:rsid w:val="7EE0428B"/>
    <w:rsid w:val="7F273DE6"/>
    <w:rsid w:val="7F7B5634"/>
    <w:rsid w:val="7F882C39"/>
    <w:rsid w:val="7F952273"/>
    <w:rsid w:val="7F9A4963"/>
    <w:rsid w:val="7F9F53E9"/>
    <w:rsid w:val="7FAF3A71"/>
    <w:rsid w:val="7FC1174A"/>
    <w:rsid w:val="7FEB78BB"/>
    <w:rsid w:val="EDFF6B7F"/>
    <w:rsid w:val="EFDFD386"/>
    <w:rsid w:val="F7F6451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2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99"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link w:val="38"/>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3"/>
    <w:next w:val="1"/>
    <w:qFormat/>
    <w:uiPriority w:val="0"/>
    <w:pPr>
      <w:adjustRightInd w:val="0"/>
      <w:snapToGrid w:val="0"/>
      <w:spacing w:beforeAutospacing="1" w:after="100" w:afterAutospacing="1" w:line="600" w:lineRule="exact"/>
      <w:ind w:firstLine="880" w:firstLineChars="200"/>
      <w:jc w:val="both"/>
    </w:pPr>
    <w:rPr>
      <w:rFonts w:hint="eastAsia" w:ascii="宋体" w:hAnsi="宋体" w:eastAsia="黑体" w:cs="Times New Roman"/>
      <w:b w:val="0"/>
      <w:kern w:val="44"/>
      <w:sz w:val="36"/>
      <w:szCs w:val="48"/>
    </w:rPr>
  </w:style>
  <w:style w:type="paragraph" w:styleId="4">
    <w:name w:val="heading 4"/>
    <w:basedOn w:val="1"/>
    <w:next w:val="1"/>
    <w:qFormat/>
    <w:uiPriority w:val="0"/>
    <w:pPr>
      <w:keepNext/>
      <w:keepLines/>
      <w:spacing w:before="280" w:after="290" w:line="372" w:lineRule="auto"/>
      <w:outlineLvl w:val="3"/>
    </w:pPr>
    <w:rPr>
      <w:rFonts w:ascii="Arial" w:hAnsi="Arial" w:eastAsia="黑体"/>
      <w:b/>
      <w:sz w:val="28"/>
    </w:rPr>
  </w:style>
  <w:style w:type="character" w:default="1" w:styleId="17">
    <w:name w:val="Default Paragraph Font"/>
    <w:qFormat/>
    <w:uiPriority w:val="0"/>
  </w:style>
  <w:style w:type="table" w:default="1" w:styleId="15">
    <w:name w:val="Normal Table"/>
    <w:semiHidden/>
    <w:qFormat/>
    <w:uiPriority w:val="0"/>
    <w:tblPr>
      <w:tblCellMar>
        <w:top w:w="0" w:type="dxa"/>
        <w:left w:w="108" w:type="dxa"/>
        <w:bottom w:w="0" w:type="dxa"/>
        <w:right w:w="108" w:type="dxa"/>
      </w:tblCellMar>
    </w:tblPr>
  </w:style>
  <w:style w:type="paragraph" w:styleId="3">
    <w:name w:val="Title"/>
    <w:basedOn w:val="1"/>
    <w:next w:val="1"/>
    <w:qFormat/>
    <w:uiPriority w:val="0"/>
    <w:pPr>
      <w:spacing w:before="240" w:after="60"/>
      <w:jc w:val="center"/>
      <w:outlineLvl w:val="0"/>
    </w:pPr>
    <w:rPr>
      <w:rFonts w:ascii="Arial" w:hAnsi="Arial"/>
      <w:b/>
      <w:sz w:val="32"/>
    </w:rPr>
  </w:style>
  <w:style w:type="paragraph" w:styleId="5">
    <w:name w:val="Body Text"/>
    <w:basedOn w:val="1"/>
    <w:qFormat/>
    <w:uiPriority w:val="0"/>
    <w:rPr>
      <w:sz w:val="18"/>
    </w:rPr>
  </w:style>
  <w:style w:type="paragraph" w:styleId="6">
    <w:name w:val="Body Text Indent"/>
    <w:basedOn w:val="1"/>
    <w:qFormat/>
    <w:uiPriority w:val="0"/>
    <w:pPr>
      <w:spacing w:after="120"/>
      <w:ind w:left="420" w:leftChars="200"/>
    </w:pPr>
  </w:style>
  <w:style w:type="paragraph" w:styleId="7">
    <w:name w:val="Date"/>
    <w:basedOn w:val="1"/>
    <w:next w:val="1"/>
    <w:qFormat/>
    <w:uiPriority w:val="0"/>
    <w:pPr>
      <w:ind w:left="100" w:leftChars="2500"/>
    </w:pPr>
  </w:style>
  <w:style w:type="paragraph" w:styleId="8">
    <w:name w:val="Balloon Text"/>
    <w:basedOn w:val="1"/>
    <w:semiHidden/>
    <w:qFormat/>
    <w:uiPriority w:val="0"/>
    <w:rPr>
      <w:sz w:val="18"/>
      <w:szCs w:val="18"/>
    </w:rPr>
  </w:style>
  <w:style w:type="paragraph" w:styleId="9">
    <w:name w:val="footer"/>
    <w:basedOn w:val="1"/>
    <w:link w:val="24"/>
    <w:qFormat/>
    <w:uiPriority w:val="99"/>
    <w:pPr>
      <w:tabs>
        <w:tab w:val="center" w:pos="4153"/>
        <w:tab w:val="right" w:pos="8306"/>
      </w:tabs>
      <w:snapToGrid w:val="0"/>
      <w:jc w:val="left"/>
    </w:pPr>
    <w:rPr>
      <w:sz w:val="18"/>
    </w:rPr>
  </w:style>
  <w:style w:type="paragraph" w:styleId="10">
    <w:name w:val="header"/>
    <w:basedOn w:val="1"/>
    <w:qFormat/>
    <w:uiPriority w:val="0"/>
    <w:pPr>
      <w:pBdr>
        <w:bottom w:val="single" w:color="auto" w:sz="6" w:space="1"/>
      </w:pBdr>
      <w:tabs>
        <w:tab w:val="center" w:pos="4153"/>
        <w:tab w:val="right" w:pos="8306"/>
      </w:tabs>
      <w:snapToGrid w:val="0"/>
      <w:jc w:val="center"/>
    </w:pPr>
    <w:rPr>
      <w:sz w:val="18"/>
    </w:rPr>
  </w:style>
  <w:style w:type="paragraph" w:styleId="11">
    <w:name w:val="HTML Preformatted"/>
    <w:basedOn w:val="1"/>
    <w:link w:val="25"/>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kern w:val="0"/>
      <w:sz w:val="24"/>
      <w:szCs w:val="24"/>
    </w:rPr>
  </w:style>
  <w:style w:type="paragraph" w:styleId="12">
    <w:name w:val="Normal (Web)"/>
    <w:basedOn w:val="1"/>
    <w:qFormat/>
    <w:uiPriority w:val="0"/>
    <w:pPr>
      <w:widowControl/>
      <w:spacing w:before="100" w:beforeAutospacing="1" w:after="100" w:afterAutospacing="1"/>
      <w:jc w:val="left"/>
    </w:pPr>
    <w:rPr>
      <w:rFonts w:ascii="宋体" w:hAnsi="宋体" w:cs="宋体"/>
      <w:kern w:val="0"/>
      <w:sz w:val="24"/>
      <w:szCs w:val="24"/>
    </w:rPr>
  </w:style>
  <w:style w:type="paragraph" w:styleId="13">
    <w:name w:val="Body Text First Indent"/>
    <w:basedOn w:val="5"/>
    <w:qFormat/>
    <w:uiPriority w:val="0"/>
    <w:pPr>
      <w:spacing w:after="120"/>
      <w:ind w:firstLine="420" w:firstLineChars="100"/>
    </w:pPr>
    <w:rPr>
      <w:rFonts w:ascii="Calibri" w:hAnsi="Calibri" w:cs="Calibri"/>
      <w:sz w:val="21"/>
      <w:szCs w:val="21"/>
    </w:rPr>
  </w:style>
  <w:style w:type="paragraph" w:styleId="14">
    <w:name w:val="Body Text First Indent 2"/>
    <w:basedOn w:val="6"/>
    <w:qFormat/>
    <w:uiPriority w:val="0"/>
    <w:pPr>
      <w:ind w:firstLine="420"/>
    </w:pPr>
  </w:style>
  <w:style w:type="table" w:styleId="16">
    <w:name w:val="Table Grid"/>
    <w:basedOn w:val="1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8">
    <w:name w:val="Strong"/>
    <w:qFormat/>
    <w:uiPriority w:val="0"/>
    <w:rPr>
      <w:b/>
    </w:rPr>
  </w:style>
  <w:style w:type="character" w:styleId="19">
    <w:name w:val="page number"/>
    <w:qFormat/>
    <w:uiPriority w:val="0"/>
  </w:style>
  <w:style w:type="character" w:styleId="20">
    <w:name w:val="FollowedHyperlink"/>
    <w:qFormat/>
    <w:uiPriority w:val="0"/>
    <w:rPr>
      <w:color w:val="333333"/>
      <w:u w:val="none"/>
    </w:rPr>
  </w:style>
  <w:style w:type="character" w:styleId="21">
    <w:name w:val="Emphasis"/>
    <w:qFormat/>
    <w:uiPriority w:val="20"/>
    <w:rPr>
      <w:color w:val="CC0000"/>
    </w:rPr>
  </w:style>
  <w:style w:type="character" w:styleId="22">
    <w:name w:val="Hyperlink"/>
    <w:qFormat/>
    <w:uiPriority w:val="0"/>
    <w:rPr>
      <w:color w:val="333333"/>
      <w:u w:val="none"/>
    </w:rPr>
  </w:style>
  <w:style w:type="paragraph" w:customStyle="1" w:styleId="23">
    <w:name w:val="正文格式"/>
    <w:basedOn w:val="1"/>
    <w:qFormat/>
    <w:uiPriority w:val="0"/>
    <w:pPr>
      <w:widowControl/>
      <w:adjustRightInd w:val="0"/>
      <w:snapToGrid w:val="0"/>
      <w:spacing w:line="400" w:lineRule="atLeast"/>
      <w:ind w:firstLine="482"/>
      <w:textAlignment w:val="baseline"/>
    </w:pPr>
    <w:rPr>
      <w:rFonts w:ascii="Times New Roman" w:hAnsi="Times New Roman" w:cs="Times New Roman"/>
      <w:kern w:val="0"/>
      <w:sz w:val="24"/>
    </w:rPr>
  </w:style>
  <w:style w:type="character" w:customStyle="1" w:styleId="24">
    <w:name w:val="页脚 Char"/>
    <w:link w:val="9"/>
    <w:qFormat/>
    <w:uiPriority w:val="99"/>
    <w:rPr>
      <w:kern w:val="2"/>
      <w:sz w:val="18"/>
    </w:rPr>
  </w:style>
  <w:style w:type="character" w:customStyle="1" w:styleId="25">
    <w:name w:val="HTML 预设格式 Char"/>
    <w:link w:val="11"/>
    <w:qFormat/>
    <w:uiPriority w:val="99"/>
    <w:rPr>
      <w:rFonts w:ascii="宋体" w:hAnsi="宋体"/>
      <w:sz w:val="24"/>
      <w:szCs w:val="24"/>
    </w:rPr>
  </w:style>
  <w:style w:type="character" w:customStyle="1" w:styleId="26">
    <w:name w:val="font01"/>
    <w:qFormat/>
    <w:uiPriority w:val="0"/>
    <w:rPr>
      <w:rFonts w:hint="default" w:ascii="Times New Roman" w:hAnsi="Times New Roman" w:cs="Times New Roman"/>
      <w:color w:val="000000"/>
      <w:sz w:val="28"/>
      <w:szCs w:val="28"/>
      <w:u w:val="none"/>
    </w:rPr>
  </w:style>
  <w:style w:type="character" w:customStyle="1" w:styleId="27">
    <w:name w:val="15"/>
    <w:qFormat/>
    <w:uiPriority w:val="0"/>
    <w:rPr>
      <w:rFonts w:hint="default" w:ascii="Times New Roman" w:hAnsi="Times New Roman" w:cs="Times New Roman"/>
      <w:b/>
      <w:bCs/>
    </w:rPr>
  </w:style>
  <w:style w:type="character" w:customStyle="1" w:styleId="28">
    <w:name w:val="page-article"/>
    <w:qFormat/>
    <w:uiPriority w:val="0"/>
    <w:rPr>
      <w:color w:val="FFFFFF"/>
    </w:rPr>
  </w:style>
  <w:style w:type="character" w:customStyle="1" w:styleId="29">
    <w:name w:val="font11"/>
    <w:qFormat/>
    <w:uiPriority w:val="0"/>
    <w:rPr>
      <w:rFonts w:hint="eastAsia" w:ascii="宋体" w:hAnsi="宋体" w:eastAsia="宋体" w:cs="宋体"/>
      <w:color w:val="000000"/>
      <w:sz w:val="28"/>
      <w:szCs w:val="28"/>
      <w:u w:val="none"/>
    </w:rPr>
  </w:style>
  <w:style w:type="paragraph" w:customStyle="1" w:styleId="30">
    <w:name w:val="MSG_EN_FONT_STYLE_NAME_TEMPLATE_ROLE_NUMBER MSG_EN_FONT_STYLE_NAME_BY_ROLE_TEXT 4"/>
    <w:basedOn w:val="1"/>
    <w:qFormat/>
    <w:uiPriority w:val="0"/>
    <w:pPr>
      <w:shd w:val="clear" w:color="auto" w:fill="FFFFFF"/>
      <w:spacing w:line="614" w:lineRule="exact"/>
      <w:ind w:firstLine="720"/>
      <w:jc w:val="distribute"/>
    </w:pPr>
    <w:rPr>
      <w:rFonts w:ascii="PMingLiU" w:hAnsi="PMingLiU" w:eastAsia="PMingLiU" w:cs="PMingLiU"/>
    </w:rPr>
  </w:style>
  <w:style w:type="paragraph" w:customStyle="1" w:styleId="31">
    <w:name w:val="正文3"/>
    <w:qFormat/>
    <w:uiPriority w:val="0"/>
    <w:pPr>
      <w:widowControl w:val="0"/>
      <w:jc w:val="both"/>
    </w:pPr>
    <w:rPr>
      <w:rFonts w:ascii="Times New Roman" w:hAnsi="Times New Roman" w:eastAsia="仿宋_GB2312" w:cs="Times New Roman"/>
      <w:kern w:val="2"/>
      <w:sz w:val="32"/>
      <w:szCs w:val="24"/>
      <w:lang w:val="en-US" w:eastAsia="zh-CN" w:bidi="ar-SA"/>
    </w:rPr>
  </w:style>
  <w:style w:type="paragraph" w:customStyle="1" w:styleId="32">
    <w:name w:val="首行缩进"/>
    <w:basedOn w:val="1"/>
    <w:qFormat/>
    <w:uiPriority w:val="99"/>
    <w:pPr>
      <w:spacing w:line="360" w:lineRule="auto"/>
      <w:ind w:firstLine="480" w:firstLineChars="200"/>
    </w:pPr>
    <w:rPr>
      <w:rFonts w:ascii="宋体" w:hAnsi="宋体" w:cs="宋体"/>
      <w:kern w:val="0"/>
    </w:rPr>
  </w:style>
  <w:style w:type="paragraph" w:customStyle="1" w:styleId="33">
    <w:name w:val="Body text|1"/>
    <w:basedOn w:val="1"/>
    <w:qFormat/>
    <w:uiPriority w:val="0"/>
    <w:pPr>
      <w:autoSpaceDE w:val="0"/>
      <w:autoSpaceDN w:val="0"/>
      <w:spacing w:line="394" w:lineRule="auto"/>
      <w:ind w:firstLine="400"/>
      <w:jc w:val="left"/>
    </w:pPr>
    <w:rPr>
      <w:rFonts w:ascii="宋体" w:hAnsi="宋体" w:cs="宋体"/>
      <w:color w:val="757577"/>
      <w:kern w:val="0"/>
      <w:sz w:val="30"/>
      <w:szCs w:val="30"/>
      <w:lang w:val="zh-TW" w:eastAsia="zh-TW" w:bidi="zh-TW"/>
    </w:rPr>
  </w:style>
  <w:style w:type="paragraph" w:customStyle="1" w:styleId="34">
    <w:name w:val="Default"/>
    <w:qFormat/>
    <w:uiPriority w:val="0"/>
    <w:pPr>
      <w:widowControl w:val="0"/>
      <w:autoSpaceDE w:val="0"/>
      <w:autoSpaceDN w:val="0"/>
      <w:adjustRightInd w:val="0"/>
    </w:pPr>
    <w:rPr>
      <w:rFonts w:ascii="方正小标宋简体" w:hAnsi="Times New Roman" w:eastAsia="方正小标宋简体" w:cs="方正小标宋简体"/>
      <w:color w:val="000000"/>
      <w:sz w:val="24"/>
      <w:szCs w:val="24"/>
      <w:lang w:val="en-US" w:eastAsia="zh-CN" w:bidi="ar-SA"/>
    </w:rPr>
  </w:style>
  <w:style w:type="paragraph" w:customStyle="1" w:styleId="35">
    <w:name w:val=" Char"/>
    <w:basedOn w:val="1"/>
    <w:qFormat/>
    <w:uiPriority w:val="0"/>
    <w:rPr>
      <w:rFonts w:ascii="Tahoma" w:hAnsi="Tahoma"/>
      <w:sz w:val="24"/>
    </w:rPr>
  </w:style>
  <w:style w:type="paragraph" w:customStyle="1" w:styleId="36">
    <w:name w:val="正文首行缩进 21"/>
    <w:qFormat/>
    <w:uiPriority w:val="0"/>
    <w:pPr>
      <w:ind w:left="420" w:firstLine="420"/>
    </w:pPr>
    <w:rPr>
      <w:rFonts w:ascii="Times New Roman" w:hAnsi="Times New Roman" w:eastAsia="宋体" w:cs="Calibri"/>
      <w:sz w:val="21"/>
      <w:szCs w:val="22"/>
      <w:lang w:val="en-US" w:eastAsia="zh-CN" w:bidi="ar-SA"/>
    </w:rPr>
  </w:style>
  <w:style w:type="paragraph" w:customStyle="1" w:styleId="37">
    <w:name w:val="MSG_EN_FONT_STYLE_NAME_TEMPLATE_ROLE_NUMBER MSG_EN_FONT_STYLE_NAME_BY_ROLE_TEXT 2"/>
    <w:basedOn w:val="1"/>
    <w:qFormat/>
    <w:uiPriority w:val="0"/>
    <w:pPr>
      <w:shd w:val="clear" w:color="auto" w:fill="FFFFFF"/>
      <w:spacing w:before="360" w:after="1640" w:line="260" w:lineRule="exact"/>
      <w:ind w:hanging="280"/>
      <w:jc w:val="center"/>
    </w:pPr>
    <w:rPr>
      <w:rFonts w:ascii="PMingLiU" w:hAnsi="PMingLiU" w:eastAsia="PMingLiU" w:cs="PMingLiU"/>
      <w:spacing w:val="20"/>
      <w:sz w:val="26"/>
      <w:szCs w:val="26"/>
    </w:rPr>
  </w:style>
  <w:style w:type="character" w:customStyle="1" w:styleId="38">
    <w:name w:val="NormalCharacter"/>
    <w:link w:val="1"/>
    <w:semiHidden/>
    <w:qFormat/>
    <w:uiPriority w:val="0"/>
    <w:rPr>
      <w:rFonts w:ascii="Times New Roman" w:hAnsi="Times New Roman" w:eastAsia="宋体" w:cs="Times New Roman"/>
      <w:kern w:val="2"/>
      <w:sz w:val="21"/>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12</Pages>
  <Words>789</Words>
  <Characters>4500</Characters>
  <Lines>37</Lines>
  <Paragraphs>10</Paragraphs>
  <TotalTime>0</TotalTime>
  <ScaleCrop>false</ScaleCrop>
  <LinksUpToDate>false</LinksUpToDate>
  <CharactersWithSpaces>5279</CharactersWithSpaces>
  <Application>WPS Office_11.1.0.11194_F1E327BC-269C-435d-A152-05C5408002CA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2021-07-31T03:47:00Z</dcterms:created>
  <dc:creator>lenovo</dc:creator>
  <cp:lastModifiedBy>小菲宝</cp:lastModifiedBy>
  <cp:lastPrinted>2021-11-22T12:15:00Z</cp:lastPrinted>
  <dcterms:modified xsi:type="dcterms:W3CDTF">2022-01-03T03:38:49Z</dcterms:modified>
  <dc:title>关于《济南市城市建设档案管理办法》(草案)的说明</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2052-11.1.0.11194</vt:lpwstr>
  </property>
  <property fmtid="{D5CDD505-2E9C-101B-9397-08002B2CF9AE}" pid="3" name="ICV">
    <vt:lpwstr>3458A5C15AC84B40A3D075C09266F4EA</vt:lpwstr>
  </property>
</Properties>
</file>