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A98707B">
      <w:pPr>
        <w:keepNext w:val="0"/>
        <w:keepLines w:val="0"/>
        <w:pageBreakBefore w:val="0"/>
        <w:widowControl w:val="0"/>
        <w:kinsoku/>
        <w:overflowPunct/>
        <w:topLinePunct w:val="0"/>
        <w:autoSpaceDE/>
        <w:autoSpaceDN/>
        <w:bidi w:val="0"/>
        <w:adjustRightInd/>
        <w:snapToGrid/>
        <w:spacing w:line="560" w:lineRule="exact"/>
        <w:ind w:firstLine="0" w:firstLineChars="0"/>
        <w:jc w:val="center"/>
        <w:textAlignment w:val="bottom"/>
        <w:rPr>
          <w:rFonts w:hint="default" w:ascii="Times New Roman" w:hAnsi="Times New Roman" w:cs="Times New Roman"/>
        </w:rPr>
      </w:pPr>
    </w:p>
    <w:p w14:paraId="443EF867">
      <w:pPr>
        <w:keepNext w:val="0"/>
        <w:keepLines w:val="0"/>
        <w:pageBreakBefore w:val="0"/>
        <w:widowControl w:val="0"/>
        <w:kinsoku/>
        <w:wordWrap/>
        <w:overflowPunct/>
        <w:topLinePunct w:val="0"/>
        <w:autoSpaceDE/>
        <w:autoSpaceDN/>
        <w:bidi w:val="0"/>
        <w:adjustRightInd/>
        <w:snapToGrid/>
        <w:spacing w:line="560" w:lineRule="exact"/>
        <w:ind w:left="0" w:firstLine="0" w:firstLineChars="0"/>
        <w:jc w:val="center"/>
        <w:textAlignment w:val="bottom"/>
        <w:rPr>
          <w:rFonts w:hint="default" w:ascii="Times New Roman" w:hAnsi="Times New Roman" w:eastAsia="方正小标宋简体" w:cs="Times New Roman"/>
          <w:spacing w:val="0"/>
          <w:sz w:val="44"/>
        </w:rPr>
      </w:pPr>
      <w:r>
        <w:rPr>
          <w:rFonts w:hint="default" w:ascii="Times New Roman" w:hAnsi="Times New Roman" w:eastAsia="方正小标宋简体" w:cs="Times New Roman"/>
          <w:spacing w:val="0"/>
          <w:sz w:val="44"/>
        </w:rPr>
        <w:t>威海市文登区人民政府</w:t>
      </w:r>
    </w:p>
    <w:p w14:paraId="27A43137">
      <w:pPr>
        <w:keepNext w:val="0"/>
        <w:keepLines w:val="0"/>
        <w:pageBreakBefore w:val="0"/>
        <w:widowControl w:val="0"/>
        <w:kinsoku/>
        <w:wordWrap/>
        <w:overflowPunct/>
        <w:topLinePunct w:val="0"/>
        <w:autoSpaceDE/>
        <w:autoSpaceDN/>
        <w:bidi w:val="0"/>
        <w:adjustRightInd/>
        <w:snapToGrid/>
        <w:spacing w:line="560" w:lineRule="exact"/>
        <w:ind w:left="0" w:right="-38" w:rightChars="-12" w:firstLine="0" w:firstLineChars="0"/>
        <w:jc w:val="center"/>
        <w:textAlignment w:val="bottom"/>
        <w:rPr>
          <w:rFonts w:hint="default" w:ascii="Times New Roman" w:hAnsi="Times New Roman" w:eastAsia="方正小标宋简体" w:cs="Times New Roman"/>
          <w:spacing w:val="0"/>
          <w:sz w:val="44"/>
        </w:rPr>
      </w:pPr>
      <w:r>
        <w:rPr>
          <w:rFonts w:hint="default" w:ascii="Times New Roman" w:hAnsi="Times New Roman" w:eastAsia="方正小标宋简体" w:cs="Times New Roman"/>
          <w:spacing w:val="0"/>
          <w:sz w:val="44"/>
        </w:rPr>
        <w:t>关于调整</w:t>
      </w:r>
      <w:r>
        <w:rPr>
          <w:rFonts w:hint="eastAsia" w:ascii="Times New Roman" w:hAnsi="Times New Roman" w:eastAsia="方正小标宋简体" w:cs="Times New Roman"/>
          <w:spacing w:val="0"/>
          <w:sz w:val="44"/>
          <w:lang w:val="en-US" w:eastAsia="zh-CN"/>
        </w:rPr>
        <w:t>威海市</w:t>
      </w:r>
      <w:r>
        <w:rPr>
          <w:rFonts w:hint="eastAsia" w:ascii="Times New Roman" w:hAnsi="Times New Roman" w:eastAsia="方正小标宋简体" w:cs="Times New Roman"/>
          <w:spacing w:val="0"/>
          <w:sz w:val="44"/>
          <w:lang w:eastAsia="zh-CN"/>
        </w:rPr>
        <w:t>文登区</w:t>
      </w:r>
      <w:r>
        <w:rPr>
          <w:rFonts w:hint="default" w:ascii="Times New Roman" w:hAnsi="Times New Roman" w:eastAsia="方正小标宋简体" w:cs="Times New Roman"/>
          <w:spacing w:val="0"/>
          <w:sz w:val="44"/>
        </w:rPr>
        <w:t>城镇土地级别</w:t>
      </w:r>
    </w:p>
    <w:p w14:paraId="5EF43499">
      <w:pPr>
        <w:keepNext w:val="0"/>
        <w:keepLines w:val="0"/>
        <w:pageBreakBefore w:val="0"/>
        <w:widowControl w:val="0"/>
        <w:kinsoku/>
        <w:wordWrap/>
        <w:overflowPunct/>
        <w:topLinePunct w:val="0"/>
        <w:autoSpaceDE/>
        <w:autoSpaceDN/>
        <w:bidi w:val="0"/>
        <w:adjustRightInd/>
        <w:snapToGrid/>
        <w:spacing w:line="560" w:lineRule="exact"/>
        <w:ind w:left="0" w:right="-38" w:rightChars="-12" w:firstLine="0" w:firstLineChars="0"/>
        <w:jc w:val="center"/>
        <w:textAlignment w:val="bottom"/>
        <w:rPr>
          <w:rFonts w:hint="default" w:ascii="Times New Roman" w:hAnsi="Times New Roman" w:eastAsia="方正小标宋简体" w:cs="Times New Roman"/>
          <w:spacing w:val="0"/>
          <w:sz w:val="44"/>
        </w:rPr>
      </w:pPr>
      <w:r>
        <w:rPr>
          <w:rFonts w:hint="default" w:ascii="Times New Roman" w:hAnsi="Times New Roman" w:eastAsia="方正小标宋简体" w:cs="Times New Roman"/>
          <w:spacing w:val="0"/>
          <w:sz w:val="44"/>
        </w:rPr>
        <w:t>及基准地价的通知</w:t>
      </w:r>
    </w:p>
    <w:p w14:paraId="21960F77">
      <w:pPr>
        <w:keepNext w:val="0"/>
        <w:keepLines w:val="0"/>
        <w:pageBreakBefore w:val="0"/>
        <w:widowControl w:val="0"/>
        <w:kinsoku/>
        <w:overflowPunct/>
        <w:topLinePunct w:val="0"/>
        <w:autoSpaceDE/>
        <w:autoSpaceDN/>
        <w:bidi w:val="0"/>
        <w:adjustRightInd/>
        <w:snapToGrid/>
        <w:spacing w:line="560" w:lineRule="exact"/>
        <w:ind w:firstLine="0" w:firstLineChars="0"/>
        <w:jc w:val="center"/>
        <w:textAlignment w:val="bottom"/>
        <w:rPr>
          <w:rFonts w:hint="default" w:ascii="Times New Roman" w:hAnsi="Times New Roman" w:cs="Times New Roman"/>
        </w:rPr>
      </w:pPr>
      <w:r>
        <w:rPr>
          <w:rFonts w:hint="default" w:ascii="Times New Roman" w:hAnsi="Times New Roman" w:cs="Times New Roman"/>
          <w:lang w:eastAsia="zh-CN"/>
        </w:rPr>
        <w:t>威</w:t>
      </w:r>
      <w:r>
        <w:rPr>
          <w:rFonts w:hint="default" w:ascii="Times New Roman" w:hAnsi="Times New Roman" w:cs="Times New Roman"/>
        </w:rPr>
        <w:t>文政</w:t>
      </w:r>
      <w:r>
        <w:rPr>
          <w:rFonts w:hint="eastAsia" w:ascii="Times New Roman" w:hAnsi="Times New Roman" w:cs="Times New Roman"/>
          <w:lang w:eastAsia="zh-CN"/>
        </w:rPr>
        <w:t>字</w:t>
      </w:r>
      <w:r>
        <w:rPr>
          <w:rFonts w:hint="default" w:ascii="Times New Roman" w:hAnsi="Times New Roman" w:cs="Times New Roman"/>
        </w:rPr>
        <w:t>〔</w:t>
      </w:r>
      <w:r>
        <w:rPr>
          <w:rFonts w:hint="default" w:ascii="Times New Roman" w:hAnsi="Times New Roman" w:cs="Times New Roman"/>
          <w:lang w:val="en-US" w:eastAsia="zh-CN"/>
        </w:rPr>
        <w:t>202</w:t>
      </w:r>
      <w:r>
        <w:rPr>
          <w:rFonts w:hint="eastAsia" w:ascii="Times New Roman" w:hAnsi="Times New Roman" w:cs="Times New Roman"/>
          <w:lang w:val="en-US" w:eastAsia="zh-CN"/>
        </w:rPr>
        <w:t>4</w:t>
      </w:r>
      <w:r>
        <w:rPr>
          <w:rFonts w:hint="default" w:ascii="Times New Roman" w:hAnsi="Times New Roman" w:cs="Times New Roman"/>
        </w:rPr>
        <w:t>〕</w:t>
      </w:r>
      <w:r>
        <w:rPr>
          <w:rFonts w:hint="eastAsia" w:ascii="Times New Roman" w:hAnsi="Times New Roman" w:cs="Times New Roman"/>
          <w:lang w:val="en-US" w:eastAsia="zh-CN"/>
        </w:rPr>
        <w:t>24</w:t>
      </w:r>
      <w:r>
        <w:rPr>
          <w:rFonts w:hint="default" w:ascii="Times New Roman" w:hAnsi="Times New Roman" w:cs="Times New Roman"/>
        </w:rPr>
        <w:t>号</w:t>
      </w:r>
    </w:p>
    <w:p w14:paraId="6C26771F">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bottom"/>
        <w:rPr>
          <w:rFonts w:hint="default" w:ascii="Times New Roman" w:hAnsi="Times New Roman" w:cs="Times New Roman"/>
        </w:rPr>
      </w:pPr>
    </w:p>
    <w:p w14:paraId="60C72453">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bottom"/>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各镇人民政府，各街道办事处，</w:t>
      </w:r>
      <w:r>
        <w:rPr>
          <w:rFonts w:hint="eastAsia" w:ascii="Times New Roman" w:hAnsi="Times New Roman" w:eastAsia="仿宋_GB2312" w:cs="仿宋_GB2312"/>
          <w:color w:val="auto"/>
          <w:sz w:val="32"/>
          <w:szCs w:val="32"/>
          <w:lang w:eastAsia="zh-CN"/>
        </w:rPr>
        <w:t>南海新区、</w:t>
      </w:r>
      <w:r>
        <w:rPr>
          <w:rFonts w:hint="eastAsia" w:ascii="Times New Roman" w:hAnsi="Times New Roman" w:eastAsia="仿宋_GB2312" w:cs="仿宋_GB2312"/>
          <w:color w:val="auto"/>
          <w:sz w:val="32"/>
          <w:szCs w:val="32"/>
        </w:rPr>
        <w:t>开发区</w:t>
      </w:r>
      <w:r>
        <w:rPr>
          <w:rFonts w:hint="eastAsia" w:ascii="Times New Roman" w:hAnsi="Times New Roman" w:eastAsia="仿宋_GB2312" w:cs="仿宋_GB2312"/>
          <w:color w:val="auto"/>
          <w:sz w:val="32"/>
          <w:szCs w:val="32"/>
          <w:lang w:eastAsia="zh-CN"/>
        </w:rPr>
        <w:t>管委</w:t>
      </w:r>
      <w:r>
        <w:rPr>
          <w:rFonts w:hint="eastAsia" w:ascii="Times New Roman" w:hAnsi="Times New Roman" w:cs="仿宋_GB2312"/>
          <w:color w:val="auto"/>
          <w:sz w:val="32"/>
          <w:szCs w:val="32"/>
          <w:lang w:eastAsia="zh-CN"/>
        </w:rPr>
        <w:t>，</w:t>
      </w:r>
      <w:r>
        <w:rPr>
          <w:rFonts w:hint="eastAsia" w:ascii="Times New Roman" w:hAnsi="Times New Roman" w:eastAsia="仿宋_GB2312" w:cs="仿宋_GB2312"/>
          <w:color w:val="auto"/>
          <w:sz w:val="32"/>
          <w:szCs w:val="32"/>
        </w:rPr>
        <w:t>金山</w:t>
      </w:r>
      <w:r>
        <w:rPr>
          <w:rFonts w:hint="eastAsia" w:ascii="Times New Roman" w:hAnsi="Times New Roman" w:eastAsia="仿宋_GB2312" w:cs="仿宋_GB2312"/>
          <w:color w:val="auto"/>
          <w:sz w:val="32"/>
          <w:szCs w:val="32"/>
          <w:lang w:eastAsia="zh-CN"/>
        </w:rPr>
        <w:t>综合服务中心</w:t>
      </w:r>
      <w:r>
        <w:rPr>
          <w:rFonts w:hint="eastAsia" w:ascii="Times New Roman" w:hAnsi="Times New Roman" w:cs="仿宋_GB2312"/>
          <w:color w:val="auto"/>
          <w:sz w:val="32"/>
          <w:szCs w:val="32"/>
          <w:lang w:eastAsia="zh-CN"/>
        </w:rPr>
        <w:t>，</w:t>
      </w:r>
      <w:r>
        <w:rPr>
          <w:rFonts w:hint="eastAsia" w:ascii="Times New Roman" w:hAnsi="Times New Roman" w:eastAsia="仿宋_GB2312" w:cs="仿宋_GB2312"/>
          <w:color w:val="auto"/>
          <w:sz w:val="32"/>
          <w:szCs w:val="32"/>
          <w:lang w:eastAsia="zh-CN"/>
        </w:rPr>
        <w:t>西部智造产业发展服务中心</w:t>
      </w:r>
      <w:r>
        <w:rPr>
          <w:rFonts w:hint="eastAsia" w:ascii="Times New Roman" w:hAnsi="Times New Roman" w:eastAsia="仿宋_GB2312" w:cs="仿宋_GB2312"/>
          <w:color w:val="auto"/>
          <w:sz w:val="32"/>
          <w:szCs w:val="32"/>
        </w:rPr>
        <w:t>，</w:t>
      </w:r>
      <w:r>
        <w:rPr>
          <w:rFonts w:hint="eastAsia" w:ascii="Times New Roman" w:hAnsi="Times New Roman" w:cs="仿宋_GB2312"/>
          <w:color w:val="auto"/>
          <w:sz w:val="32"/>
          <w:szCs w:val="32"/>
          <w:lang w:eastAsia="zh-CN"/>
        </w:rPr>
        <w:t>区直有关部门，驻文有关单位</w:t>
      </w:r>
      <w:r>
        <w:rPr>
          <w:rFonts w:hint="eastAsia" w:ascii="Times New Roman" w:hAnsi="Times New Roman" w:eastAsia="仿宋_GB2312" w:cs="仿宋_GB2312"/>
          <w:color w:val="auto"/>
          <w:sz w:val="32"/>
          <w:szCs w:val="32"/>
        </w:rPr>
        <w:t>：</w:t>
      </w:r>
    </w:p>
    <w:p w14:paraId="4C782F8B">
      <w:pPr>
        <w:keepNext w:val="0"/>
        <w:keepLines w:val="0"/>
        <w:pageBreakBefore w:val="0"/>
        <w:kinsoku/>
        <w:wordWrap/>
        <w:overflowPunct/>
        <w:topLinePunct w:val="0"/>
        <w:autoSpaceDE/>
        <w:autoSpaceDN/>
        <w:bidi w:val="0"/>
        <w:adjustRightInd/>
        <w:snapToGrid/>
        <w:spacing w:line="560" w:lineRule="exact"/>
        <w:ind w:left="0" w:firstLine="640" w:firstLineChars="200"/>
        <w:textAlignment w:val="bottom"/>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为促进土地优化利用，引导土地市场健康发展，根据《中华人民共和国土地管理法》《城镇土地分等定级规程》（GB/T18507</w:t>
      </w:r>
      <w:r>
        <w:rPr>
          <w:rFonts w:hint="eastAsia" w:ascii="Times New Roman" w:hAnsi="Times New Roman" w:cs="仿宋_GB2312"/>
          <w:color w:val="auto"/>
          <w:sz w:val="32"/>
          <w:szCs w:val="32"/>
          <w:lang w:eastAsia="zh-CN"/>
        </w:rPr>
        <w:t>—</w:t>
      </w:r>
      <w:r>
        <w:rPr>
          <w:rFonts w:hint="eastAsia" w:ascii="Times New Roman" w:hAnsi="Times New Roman" w:eastAsia="仿宋_GB2312" w:cs="仿宋_GB2312"/>
          <w:color w:val="auto"/>
          <w:sz w:val="32"/>
          <w:szCs w:val="32"/>
        </w:rPr>
        <w:t>2014）等相关法律、标准规定，经区政府研究决定，调整</w:t>
      </w:r>
      <w:r>
        <w:rPr>
          <w:rFonts w:hint="eastAsia" w:ascii="Times New Roman" w:hAnsi="Times New Roman" w:cs="仿宋_GB2312"/>
          <w:color w:val="auto"/>
          <w:sz w:val="32"/>
          <w:szCs w:val="32"/>
          <w:lang w:val="en-US" w:eastAsia="zh-CN"/>
        </w:rPr>
        <w:t>威海市</w:t>
      </w:r>
      <w:r>
        <w:rPr>
          <w:rFonts w:hint="eastAsia" w:ascii="Times New Roman" w:hAnsi="Times New Roman" w:eastAsia="仿宋_GB2312" w:cs="仿宋_GB2312"/>
          <w:color w:val="auto"/>
          <w:sz w:val="32"/>
          <w:szCs w:val="32"/>
        </w:rPr>
        <w:t>文登区土地级别和基准地价</w:t>
      </w:r>
      <w:r>
        <w:rPr>
          <w:rFonts w:hint="eastAsia" w:ascii="Times New Roman" w:hAnsi="Times New Roman" w:cs="仿宋_GB2312"/>
          <w:color w:val="auto"/>
          <w:sz w:val="32"/>
          <w:szCs w:val="32"/>
          <w:lang w:eastAsia="zh-CN"/>
        </w:rPr>
        <w:t>，</w:t>
      </w:r>
      <w:r>
        <w:rPr>
          <w:rFonts w:hint="eastAsia" w:ascii="Times New Roman" w:hAnsi="Times New Roman" w:eastAsia="仿宋_GB2312" w:cs="仿宋_GB2312"/>
          <w:color w:val="auto"/>
          <w:sz w:val="32"/>
          <w:szCs w:val="32"/>
        </w:rPr>
        <w:t>现通知如下：</w:t>
      </w:r>
    </w:p>
    <w:p w14:paraId="4E1810B5">
      <w:pPr>
        <w:keepNext w:val="0"/>
        <w:keepLines w:val="0"/>
        <w:pageBreakBefore w:val="0"/>
        <w:widowControl/>
        <w:suppressLineNumbers w:val="0"/>
        <w:kinsoku/>
        <w:wordWrap/>
        <w:overflowPunct/>
        <w:topLinePunct w:val="0"/>
        <w:autoSpaceDE/>
        <w:autoSpaceDN/>
        <w:bidi w:val="0"/>
        <w:adjustRightInd/>
        <w:snapToGrid/>
        <w:spacing w:line="560" w:lineRule="exact"/>
        <w:ind w:left="0" w:firstLine="640" w:firstLineChars="200"/>
        <w:jc w:val="left"/>
        <w:textAlignment w:val="bottom"/>
        <w:rPr>
          <w:rFonts w:hint="eastAsia" w:ascii="Times New Roman" w:hAnsi="Times New Roman" w:eastAsia="仿宋_GB2312" w:cs="仿宋_GB2312"/>
          <w:color w:val="auto"/>
          <w:kern w:val="0"/>
          <w:sz w:val="32"/>
          <w:szCs w:val="32"/>
          <w:lang w:val="en-US" w:eastAsia="zh-CN" w:bidi="ar"/>
        </w:rPr>
      </w:pPr>
      <w:r>
        <w:rPr>
          <w:rFonts w:hint="eastAsia" w:ascii="Times New Roman" w:hAnsi="Times New Roman" w:eastAsia="仿宋_GB2312" w:cs="仿宋_GB2312"/>
          <w:color w:val="auto"/>
          <w:kern w:val="0"/>
          <w:sz w:val="32"/>
          <w:szCs w:val="32"/>
          <w:lang w:val="en-US" w:eastAsia="zh-CN" w:bidi="ar"/>
        </w:rPr>
        <w:t>调整范围包括文登区和南海新区。</w:t>
      </w:r>
      <w:r>
        <w:rPr>
          <w:rFonts w:hint="eastAsia" w:ascii="Times New Roman" w:hAnsi="Times New Roman" w:eastAsia="仿宋_GB2312" w:cs="仿宋_GB2312"/>
          <w:color w:val="auto"/>
          <w:sz w:val="32"/>
          <w:szCs w:val="32"/>
        </w:rPr>
        <w:t>基准地价更新基准日为</w:t>
      </w:r>
      <w:r>
        <w:rPr>
          <w:rFonts w:hint="eastAsia" w:ascii="Times New Roman" w:hAnsi="Times New Roman" w:eastAsia="仿宋_GB2312" w:cs="仿宋_GB2312"/>
          <w:color w:val="auto"/>
          <w:sz w:val="32"/>
          <w:szCs w:val="32"/>
          <w:lang w:val="en-US" w:eastAsia="zh-CN"/>
        </w:rPr>
        <w:t xml:space="preserve"> 2023年1月1日</w:t>
      </w:r>
      <w:r>
        <w:rPr>
          <w:rFonts w:hint="eastAsia" w:ascii="Times New Roman" w:hAnsi="Times New Roman" w:eastAsia="仿宋_GB2312" w:cs="仿宋_GB2312"/>
          <w:color w:val="auto"/>
          <w:sz w:val="32"/>
          <w:szCs w:val="32"/>
        </w:rPr>
        <w:t>。土地使用年期设定为国家法定最高出让年期，</w:t>
      </w:r>
      <w:r>
        <w:rPr>
          <w:rFonts w:hint="eastAsia" w:ascii="Times New Roman" w:hAnsi="Times New Roman" w:eastAsia="仿宋_GB2312" w:cs="仿宋_GB2312"/>
          <w:color w:val="auto"/>
          <w:kern w:val="0"/>
          <w:sz w:val="32"/>
          <w:szCs w:val="32"/>
          <w:lang w:val="en-US" w:eastAsia="zh-CN" w:bidi="ar"/>
        </w:rPr>
        <w:t>即商服用地40年、居住用地70年、工矿用地50年、公共管理与公共服务用地50年。本次调整的基准地价是不同级别商服、居住、工矿、公共管理与公共服务四类用地价格，其他用地价格可参照相关或相近用途类别确定。</w:t>
      </w:r>
    </w:p>
    <w:p w14:paraId="6EC2277E">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40" w:firstLineChars="200"/>
        <w:jc w:val="left"/>
        <w:textAlignment w:val="bottom"/>
        <w:rPr>
          <w:rFonts w:hint="eastAsia" w:ascii="Times New Roman" w:hAnsi="Times New Roman" w:eastAsia="仿宋_GB2312" w:cs="仿宋_GB2312"/>
          <w:color w:val="auto"/>
          <w:kern w:val="0"/>
          <w:sz w:val="32"/>
          <w:szCs w:val="32"/>
          <w:lang w:val="en-US" w:eastAsia="zh-CN" w:bidi="ar"/>
        </w:rPr>
      </w:pPr>
      <w:r>
        <w:rPr>
          <w:rFonts w:hint="eastAsia" w:ascii="Times New Roman" w:hAnsi="Times New Roman" w:eastAsia="仿宋_GB2312" w:cs="仿宋_GB2312"/>
          <w:color w:val="auto"/>
          <w:kern w:val="0"/>
          <w:sz w:val="32"/>
          <w:szCs w:val="32"/>
          <w:lang w:val="en-US" w:eastAsia="zh-CN" w:bidi="ar"/>
        </w:rPr>
        <w:t>本次土地级别调整与基准地价更新成果自202</w:t>
      </w:r>
      <w:r>
        <w:rPr>
          <w:rFonts w:hint="eastAsia" w:ascii="Times New Roman" w:hAnsi="Times New Roman" w:cs="仿宋_GB2312"/>
          <w:color w:val="auto"/>
          <w:kern w:val="0"/>
          <w:sz w:val="32"/>
          <w:szCs w:val="32"/>
          <w:lang w:val="en-US" w:eastAsia="zh-CN" w:bidi="ar"/>
        </w:rPr>
        <w:t>5</w:t>
      </w:r>
      <w:r>
        <w:rPr>
          <w:rFonts w:hint="eastAsia" w:ascii="Times New Roman" w:hAnsi="Times New Roman" w:eastAsia="仿宋_GB2312" w:cs="仿宋_GB2312"/>
          <w:color w:val="auto"/>
          <w:kern w:val="0"/>
          <w:sz w:val="32"/>
          <w:szCs w:val="32"/>
          <w:lang w:val="en-US" w:eastAsia="zh-CN" w:bidi="ar"/>
        </w:rPr>
        <w:t>年</w:t>
      </w:r>
      <w:r>
        <w:rPr>
          <w:rFonts w:hint="eastAsia" w:ascii="Times New Roman" w:hAnsi="Times New Roman" w:cs="仿宋_GB2312"/>
          <w:color w:val="auto"/>
          <w:kern w:val="0"/>
          <w:sz w:val="32"/>
          <w:szCs w:val="32"/>
          <w:lang w:val="en-US" w:eastAsia="zh-CN" w:bidi="ar"/>
        </w:rPr>
        <w:t>1</w:t>
      </w:r>
      <w:r>
        <w:rPr>
          <w:rFonts w:hint="eastAsia" w:ascii="Times New Roman" w:hAnsi="Times New Roman" w:eastAsia="仿宋_GB2312" w:cs="仿宋_GB2312"/>
          <w:color w:val="auto"/>
          <w:kern w:val="0"/>
          <w:sz w:val="32"/>
          <w:szCs w:val="32"/>
          <w:lang w:val="en-US" w:eastAsia="zh-CN" w:bidi="ar"/>
        </w:rPr>
        <w:t>月</w:t>
      </w:r>
      <w:r>
        <w:rPr>
          <w:rFonts w:hint="eastAsia" w:ascii="Times New Roman" w:hAnsi="Times New Roman" w:cs="仿宋_GB2312"/>
          <w:color w:val="auto"/>
          <w:kern w:val="0"/>
          <w:sz w:val="32"/>
          <w:szCs w:val="32"/>
          <w:lang w:val="en-US" w:eastAsia="zh-CN" w:bidi="ar"/>
        </w:rPr>
        <w:t>1</w:t>
      </w:r>
      <w:r>
        <w:rPr>
          <w:rFonts w:hint="eastAsia" w:ascii="Times New Roman" w:hAnsi="Times New Roman" w:eastAsia="仿宋_GB2312" w:cs="仿宋_GB2312"/>
          <w:color w:val="auto"/>
          <w:kern w:val="0"/>
          <w:sz w:val="32"/>
          <w:szCs w:val="32"/>
          <w:lang w:val="en-US" w:eastAsia="zh-CN" w:bidi="ar"/>
        </w:rPr>
        <w:t>日施行</w:t>
      </w:r>
      <w:r>
        <w:rPr>
          <w:rFonts w:hint="eastAsia" w:ascii="Times New Roman" w:hAnsi="Times New Roman" w:cs="仿宋_GB2312"/>
          <w:color w:val="auto"/>
          <w:kern w:val="0"/>
          <w:sz w:val="32"/>
          <w:szCs w:val="32"/>
          <w:lang w:val="en-US" w:eastAsia="zh-CN" w:bidi="ar"/>
        </w:rPr>
        <w:t>，</w:t>
      </w:r>
      <w:r>
        <w:rPr>
          <w:rFonts w:hint="eastAsia" w:ascii="Times New Roman" w:hAnsi="Times New Roman" w:eastAsia="仿宋_GB2312" w:cs="仿宋_GB2312"/>
          <w:color w:val="auto"/>
          <w:kern w:val="0"/>
          <w:sz w:val="32"/>
          <w:szCs w:val="32"/>
          <w:lang w:val="en-US" w:eastAsia="zh-CN" w:bidi="ar"/>
        </w:rPr>
        <w:t>有效期至2029年</w:t>
      </w:r>
      <w:r>
        <w:rPr>
          <w:rFonts w:hint="eastAsia" w:ascii="Times New Roman" w:hAnsi="Times New Roman" w:cs="仿宋_GB2312"/>
          <w:color w:val="auto"/>
          <w:kern w:val="0"/>
          <w:sz w:val="32"/>
          <w:szCs w:val="32"/>
          <w:lang w:val="en-US" w:eastAsia="zh-CN" w:bidi="ar"/>
        </w:rPr>
        <w:t>12</w:t>
      </w:r>
      <w:r>
        <w:rPr>
          <w:rFonts w:hint="eastAsia" w:ascii="Times New Roman" w:hAnsi="Times New Roman" w:eastAsia="仿宋_GB2312" w:cs="仿宋_GB2312"/>
          <w:color w:val="auto"/>
          <w:kern w:val="0"/>
          <w:sz w:val="32"/>
          <w:szCs w:val="32"/>
          <w:lang w:val="en-US" w:eastAsia="zh-CN" w:bidi="ar"/>
        </w:rPr>
        <w:t>月</w:t>
      </w:r>
      <w:r>
        <w:rPr>
          <w:rFonts w:hint="eastAsia" w:ascii="Times New Roman" w:hAnsi="Times New Roman" w:cs="仿宋_GB2312"/>
          <w:color w:val="auto"/>
          <w:kern w:val="0"/>
          <w:sz w:val="32"/>
          <w:szCs w:val="32"/>
          <w:lang w:val="en-US" w:eastAsia="zh-CN" w:bidi="ar"/>
        </w:rPr>
        <w:t>31</w:t>
      </w:r>
      <w:r>
        <w:rPr>
          <w:rFonts w:hint="eastAsia" w:ascii="Times New Roman" w:hAnsi="Times New Roman" w:eastAsia="仿宋_GB2312" w:cs="仿宋_GB2312"/>
          <w:color w:val="auto"/>
          <w:kern w:val="0"/>
          <w:sz w:val="32"/>
          <w:szCs w:val="32"/>
          <w:lang w:val="en-US" w:eastAsia="zh-CN" w:bidi="ar"/>
        </w:rPr>
        <w:t>日。《威海市文登区人民政府关于调整城镇土地级别及基准地价有关问题的通知》（威文政字〔2020〕21号）同时废止。</w:t>
      </w:r>
    </w:p>
    <w:p w14:paraId="6601D1DD">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40" w:firstLineChars="200"/>
        <w:jc w:val="left"/>
        <w:textAlignment w:val="bottom"/>
        <w:rPr>
          <w:rFonts w:hint="eastAsia" w:ascii="Times New Roman" w:hAnsi="Times New Roman" w:eastAsia="仿宋_GB2312" w:cs="仿宋_GB2312"/>
          <w:color w:val="auto"/>
          <w:kern w:val="0"/>
          <w:sz w:val="32"/>
          <w:szCs w:val="32"/>
          <w:lang w:val="en-US" w:eastAsia="zh-CN" w:bidi="ar"/>
        </w:rPr>
      </w:pPr>
    </w:p>
    <w:p w14:paraId="5D99B8F2">
      <w:pPr>
        <w:keepNext w:val="0"/>
        <w:keepLines w:val="0"/>
        <w:pageBreakBefore w:val="0"/>
        <w:kinsoku/>
        <w:wordWrap/>
        <w:overflowPunct/>
        <w:topLinePunct w:val="0"/>
        <w:autoSpaceDE/>
        <w:autoSpaceDN/>
        <w:bidi w:val="0"/>
        <w:adjustRightInd/>
        <w:snapToGrid/>
        <w:spacing w:line="560" w:lineRule="exact"/>
        <w:ind w:left="0" w:firstLine="640"/>
        <w:textAlignment w:val="bottom"/>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附件：1.</w:t>
      </w:r>
      <w:r>
        <w:rPr>
          <w:rFonts w:hint="eastAsia" w:ascii="Times New Roman" w:hAnsi="Times New Roman" w:cs="仿宋_GB2312"/>
          <w:color w:val="auto"/>
          <w:sz w:val="32"/>
          <w:szCs w:val="32"/>
          <w:lang w:val="en-US" w:eastAsia="zh-CN"/>
        </w:rPr>
        <w:t xml:space="preserve"> 威海市</w:t>
      </w:r>
      <w:r>
        <w:rPr>
          <w:rFonts w:hint="eastAsia" w:ascii="Times New Roman" w:hAnsi="Times New Roman" w:eastAsia="仿宋_GB2312" w:cs="仿宋_GB2312"/>
          <w:color w:val="auto"/>
          <w:sz w:val="32"/>
          <w:szCs w:val="32"/>
        </w:rPr>
        <w:t>文登区土地级别范围表</w:t>
      </w:r>
    </w:p>
    <w:p w14:paraId="5C027222">
      <w:pPr>
        <w:keepNext w:val="0"/>
        <w:keepLines w:val="0"/>
        <w:pageBreakBefore w:val="0"/>
        <w:kinsoku/>
        <w:wordWrap/>
        <w:overflowPunct/>
        <w:topLinePunct w:val="0"/>
        <w:autoSpaceDE/>
        <w:autoSpaceDN/>
        <w:bidi w:val="0"/>
        <w:adjustRightInd/>
        <w:snapToGrid/>
        <w:spacing w:line="560" w:lineRule="exact"/>
        <w:ind w:left="0" w:firstLine="1600" w:firstLineChars="500"/>
        <w:textAlignment w:val="bottom"/>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2.</w:t>
      </w:r>
      <w:r>
        <w:rPr>
          <w:rFonts w:hint="eastAsia" w:ascii="Times New Roman" w:hAnsi="Times New Roman" w:cs="仿宋_GB2312"/>
          <w:color w:val="auto"/>
          <w:sz w:val="32"/>
          <w:szCs w:val="32"/>
          <w:lang w:val="en-US" w:eastAsia="zh-CN"/>
        </w:rPr>
        <w:t xml:space="preserve"> 威海市</w:t>
      </w:r>
      <w:r>
        <w:rPr>
          <w:rFonts w:hint="eastAsia" w:ascii="Times New Roman" w:hAnsi="Times New Roman" w:eastAsia="仿宋_GB2312" w:cs="仿宋_GB2312"/>
          <w:color w:val="auto"/>
          <w:sz w:val="32"/>
          <w:szCs w:val="32"/>
        </w:rPr>
        <w:t>文登区基准地价表</w:t>
      </w:r>
    </w:p>
    <w:p w14:paraId="5591681D">
      <w:pPr>
        <w:keepNext w:val="0"/>
        <w:keepLines w:val="0"/>
        <w:pageBreakBefore w:val="0"/>
        <w:kinsoku/>
        <w:wordWrap/>
        <w:overflowPunct/>
        <w:topLinePunct w:val="0"/>
        <w:autoSpaceDE/>
        <w:autoSpaceDN/>
        <w:bidi w:val="0"/>
        <w:adjustRightInd/>
        <w:snapToGrid/>
        <w:spacing w:line="560" w:lineRule="exact"/>
        <w:ind w:left="0" w:firstLine="1600" w:firstLineChars="500"/>
        <w:textAlignment w:val="bottom"/>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3.</w:t>
      </w:r>
      <w:r>
        <w:rPr>
          <w:rFonts w:hint="eastAsia" w:ascii="Times New Roman" w:hAnsi="Times New Roman" w:cs="仿宋_GB2312"/>
          <w:color w:val="auto"/>
          <w:sz w:val="32"/>
          <w:szCs w:val="32"/>
          <w:lang w:val="en-US" w:eastAsia="zh-CN"/>
        </w:rPr>
        <w:t xml:space="preserve"> 威海市</w:t>
      </w:r>
      <w:r>
        <w:rPr>
          <w:rFonts w:hint="eastAsia" w:ascii="Times New Roman" w:hAnsi="Times New Roman" w:eastAsia="仿宋_GB2312" w:cs="仿宋_GB2312"/>
          <w:color w:val="auto"/>
          <w:sz w:val="32"/>
          <w:szCs w:val="32"/>
        </w:rPr>
        <w:t>南海新区土地级别范围表</w:t>
      </w:r>
    </w:p>
    <w:p w14:paraId="728A3C29">
      <w:pPr>
        <w:keepNext w:val="0"/>
        <w:keepLines w:val="0"/>
        <w:pageBreakBefore w:val="0"/>
        <w:kinsoku/>
        <w:wordWrap/>
        <w:overflowPunct/>
        <w:topLinePunct w:val="0"/>
        <w:autoSpaceDE/>
        <w:autoSpaceDN/>
        <w:bidi w:val="0"/>
        <w:adjustRightInd/>
        <w:snapToGrid/>
        <w:spacing w:line="560" w:lineRule="exact"/>
        <w:ind w:left="0" w:firstLine="1600" w:firstLineChars="500"/>
        <w:textAlignment w:val="bottom"/>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4.</w:t>
      </w:r>
      <w:r>
        <w:rPr>
          <w:rFonts w:hint="eastAsia" w:ascii="Times New Roman" w:hAnsi="Times New Roman" w:cs="仿宋_GB2312"/>
          <w:color w:val="auto"/>
          <w:sz w:val="32"/>
          <w:szCs w:val="32"/>
          <w:lang w:val="en-US" w:eastAsia="zh-CN"/>
        </w:rPr>
        <w:t xml:space="preserve"> 威海市</w:t>
      </w:r>
      <w:r>
        <w:rPr>
          <w:rFonts w:hint="eastAsia" w:ascii="Times New Roman" w:hAnsi="Times New Roman" w:eastAsia="仿宋_GB2312" w:cs="仿宋_GB2312"/>
          <w:color w:val="auto"/>
          <w:sz w:val="32"/>
          <w:szCs w:val="32"/>
        </w:rPr>
        <w:t>南海新区基准地价表</w:t>
      </w:r>
    </w:p>
    <w:p w14:paraId="18EEA1AF">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Chars="500" w:right="0" w:rightChars="0"/>
        <w:jc w:val="both"/>
        <w:textAlignment w:val="bottom"/>
        <w:outlineLvl w:val="9"/>
        <w:rPr>
          <w:rFonts w:hint="default" w:ascii="Times New Roman" w:hAnsi="Times New Roman" w:cs="Times New Roman"/>
          <w:szCs w:val="22"/>
          <w:lang w:val="en-US" w:eastAsia="zh-CN"/>
        </w:rPr>
      </w:pPr>
    </w:p>
    <w:p w14:paraId="4AC7350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bottom"/>
        <w:outlineLvl w:val="9"/>
        <w:rPr>
          <w:rFonts w:hint="default" w:ascii="Times New Roman" w:hAnsi="Times New Roman" w:cs="Times New Roman"/>
          <w:lang w:val="en-US" w:eastAsia="zh-CN"/>
        </w:rPr>
      </w:pPr>
    </w:p>
    <w:p w14:paraId="08F20935">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bottom"/>
        <w:outlineLvl w:val="9"/>
        <w:rPr>
          <w:rFonts w:hint="default" w:ascii="Times New Roman" w:hAnsi="Times New Roman" w:cs="Times New Roman"/>
          <w:lang w:val="en-US" w:eastAsia="zh-CN"/>
        </w:rPr>
      </w:pPr>
    </w:p>
    <w:p w14:paraId="4E116354">
      <w:pPr>
        <w:keepNext w:val="0"/>
        <w:keepLines w:val="0"/>
        <w:pageBreakBefore w:val="0"/>
        <w:widowControl w:val="0"/>
        <w:kinsoku/>
        <w:wordWrap w:val="0"/>
        <w:overflowPunct/>
        <w:topLinePunct w:val="0"/>
        <w:autoSpaceDE/>
        <w:autoSpaceDN/>
        <w:bidi w:val="0"/>
        <w:adjustRightInd/>
        <w:snapToGrid/>
        <w:spacing w:before="0" w:beforeLines="0" w:after="0" w:afterLines="0" w:line="560" w:lineRule="exact"/>
        <w:ind w:left="0" w:leftChars="0" w:right="0" w:rightChars="0" w:firstLine="0" w:firstLineChars="0"/>
        <w:jc w:val="right"/>
        <w:textAlignment w:val="bottom"/>
        <w:outlineLvl w:val="9"/>
        <w:rPr>
          <w:rFonts w:hint="default" w:ascii="Times New Roman" w:hAnsi="Times New Roman" w:eastAsia="仿宋_GB2312" w:cs="Times New Roman"/>
          <w:lang w:val="en-US" w:eastAsia="zh-CN"/>
        </w:rPr>
      </w:pPr>
      <w:r>
        <w:rPr>
          <w:rFonts w:hint="default" w:ascii="Times New Roman" w:hAnsi="Times New Roman" w:cs="Times New Roman"/>
        </w:rPr>
        <w:t>威海市文登区人民政府</w:t>
      </w:r>
      <w:r>
        <w:rPr>
          <w:rFonts w:hint="eastAsia" w:ascii="Times New Roman" w:hAnsi="Times New Roman" w:cs="Times New Roman"/>
          <w:lang w:val="en-US" w:eastAsia="zh-CN"/>
        </w:rPr>
        <w:t xml:space="preserve">    </w:t>
      </w:r>
    </w:p>
    <w:p w14:paraId="41153092">
      <w:pPr>
        <w:keepNext w:val="0"/>
        <w:keepLines w:val="0"/>
        <w:pageBreakBefore w:val="0"/>
        <w:widowControl w:val="0"/>
        <w:kinsoku/>
        <w:wordWrap w:val="0"/>
        <w:overflowPunct/>
        <w:topLinePunct w:val="0"/>
        <w:autoSpaceDE/>
        <w:autoSpaceDN/>
        <w:bidi w:val="0"/>
        <w:adjustRightInd/>
        <w:snapToGrid/>
        <w:spacing w:before="0" w:beforeLines="0" w:after="0" w:afterLines="0" w:line="560" w:lineRule="exact"/>
        <w:ind w:left="0" w:leftChars="0" w:right="0" w:rightChars="0" w:firstLine="0" w:firstLineChars="0"/>
        <w:jc w:val="right"/>
        <w:textAlignment w:val="bottom"/>
        <w:outlineLvl w:val="9"/>
        <w:rPr>
          <w:rFonts w:hint="default" w:ascii="Times New Roman" w:hAnsi="Times New Roman" w:cs="Times New Roman"/>
          <w:lang w:val="en-US" w:eastAsia="zh-CN"/>
        </w:rPr>
      </w:pPr>
      <w:r>
        <w:rPr>
          <w:rFonts w:hint="default" w:ascii="Times New Roman" w:hAnsi="Times New Roman" w:cs="Times New Roman"/>
        </w:rPr>
        <w:t>20</w:t>
      </w:r>
      <w:r>
        <w:rPr>
          <w:rFonts w:hint="default" w:ascii="Times New Roman" w:hAnsi="Times New Roman" w:cs="Times New Roman"/>
          <w:lang w:val="en-US" w:eastAsia="zh-CN"/>
        </w:rPr>
        <w:t>2</w:t>
      </w:r>
      <w:r>
        <w:rPr>
          <w:rFonts w:hint="eastAsia" w:ascii="Times New Roman" w:hAnsi="Times New Roman" w:cs="Times New Roman"/>
          <w:lang w:val="en-US" w:eastAsia="zh-CN"/>
        </w:rPr>
        <w:t>4</w:t>
      </w:r>
      <w:r>
        <w:rPr>
          <w:rFonts w:hint="default" w:ascii="Times New Roman" w:hAnsi="Times New Roman" w:cs="Times New Roman"/>
        </w:rPr>
        <w:t>年</w:t>
      </w:r>
      <w:r>
        <w:rPr>
          <w:rFonts w:hint="eastAsia" w:ascii="Times New Roman" w:hAnsi="Times New Roman" w:cs="Times New Roman"/>
          <w:lang w:val="en-US" w:eastAsia="zh-CN"/>
        </w:rPr>
        <w:t>12</w:t>
      </w:r>
      <w:r>
        <w:rPr>
          <w:rFonts w:hint="default" w:ascii="Times New Roman" w:hAnsi="Times New Roman" w:cs="Times New Roman"/>
        </w:rPr>
        <w:t>月</w:t>
      </w:r>
      <w:r>
        <w:rPr>
          <w:rFonts w:hint="eastAsia" w:ascii="Times New Roman" w:hAnsi="Times New Roman" w:cs="Times New Roman"/>
          <w:lang w:val="en-US" w:eastAsia="zh-CN"/>
        </w:rPr>
        <w:t xml:space="preserve">31日     </w:t>
      </w:r>
    </w:p>
    <w:p w14:paraId="69C07F31">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244F68BB">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431E19AA">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2D34107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363D6FD1">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36BCD20A">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1ECFAD78">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1DD9A15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6A4C659E">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330F2B5A">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firstLine="0"/>
        <w:jc w:val="both"/>
        <w:textAlignment w:val="bottom"/>
        <w:outlineLvl w:val="9"/>
        <w:rPr>
          <w:rFonts w:hint="default" w:ascii="Times New Roman" w:hAnsi="Times New Roman" w:cs="Times New Roman"/>
          <w:lang w:val="en-US" w:eastAsia="zh-CN"/>
        </w:rPr>
      </w:pPr>
    </w:p>
    <w:p w14:paraId="40E34D2A">
      <w:pPr>
        <w:ind w:left="0" w:firstLine="0"/>
        <w:rPr>
          <w:rFonts w:hint="eastAsia" w:ascii="Times New Roman" w:hAnsi="Times New Roman" w:eastAsia="黑体" w:cs="黑体"/>
          <w:bCs/>
          <w:color w:val="000000" w:themeColor="text1"/>
          <w:szCs w:val="32"/>
          <w14:textFill>
            <w14:solidFill>
              <w14:schemeClr w14:val="tx1"/>
            </w14:solidFill>
          </w14:textFill>
        </w:rPr>
      </w:pPr>
      <w:r>
        <w:rPr>
          <w:rFonts w:hint="eastAsia" w:ascii="Times New Roman" w:hAnsi="Times New Roman" w:eastAsia="黑体" w:cs="黑体"/>
          <w:bCs/>
          <w:color w:val="000000" w:themeColor="text1"/>
          <w:szCs w:val="32"/>
          <w14:textFill>
            <w14:solidFill>
              <w14:schemeClr w14:val="tx1"/>
            </w14:solidFill>
          </w14:textFill>
        </w:rPr>
        <w:t>附件1</w:t>
      </w:r>
    </w:p>
    <w:p w14:paraId="5643B829">
      <w:pPr>
        <w:spacing w:line="560" w:lineRule="exact"/>
        <w:ind w:left="0" w:firstLine="0"/>
        <w:jc w:val="center"/>
        <w:rPr>
          <w:rFonts w:ascii="Times New Roman" w:hAnsi="Times New Roman" w:eastAsia="方正小标宋简体"/>
          <w:bCs/>
          <w:color w:val="000000" w:themeColor="text1"/>
          <w:sz w:val="44"/>
          <w:szCs w:val="44"/>
          <w14:textFill>
            <w14:solidFill>
              <w14:schemeClr w14:val="tx1"/>
            </w14:solidFill>
          </w14:textFill>
        </w:rPr>
      </w:pPr>
      <w:r>
        <w:rPr>
          <w:rFonts w:ascii="Times New Roman" w:hAnsi="Times New Roman" w:eastAsia="方正小标宋简体"/>
          <w:bCs/>
          <w:color w:val="000000" w:themeColor="text1"/>
          <w:sz w:val="44"/>
          <w:szCs w:val="44"/>
          <w14:textFill>
            <w14:solidFill>
              <w14:schemeClr w14:val="tx1"/>
            </w14:solidFill>
          </w14:textFill>
        </w:rPr>
        <w:t>文登区土地级别范围表</w:t>
      </w:r>
    </w:p>
    <w:p w14:paraId="06149B25">
      <w:pPr>
        <w:spacing w:line="560" w:lineRule="exact"/>
        <w:ind w:left="0" w:firstLine="0"/>
        <w:jc w:val="center"/>
        <w:rPr>
          <w:rFonts w:hint="eastAsia" w:ascii="Times New Roman" w:hAnsi="Times New Roman" w:eastAsia="楷体_GB2312" w:cs="楷体_GB2312"/>
          <w:bCs/>
          <w:color w:val="000000" w:themeColor="text1"/>
          <w:sz w:val="28"/>
          <w:szCs w:val="28"/>
          <w14:textFill>
            <w14:solidFill>
              <w14:schemeClr w14:val="tx1"/>
            </w14:solidFill>
          </w14:textFill>
        </w:rPr>
      </w:pPr>
      <w:r>
        <w:rPr>
          <w:rFonts w:hint="eastAsia" w:ascii="Times New Roman" w:hAnsi="Times New Roman" w:eastAsia="楷体_GB2312" w:cs="楷体_GB2312"/>
          <w:bCs/>
          <w:color w:val="000000" w:themeColor="text1"/>
          <w:sz w:val="28"/>
          <w:szCs w:val="28"/>
          <w14:textFill>
            <w14:solidFill>
              <w14:schemeClr w14:val="tx1"/>
            </w14:solidFill>
          </w14:textFill>
        </w:rPr>
        <w:t>表1-1商服、机关团体、医疗卫生土地级别范围分布表</w:t>
      </w:r>
    </w:p>
    <w:tbl>
      <w:tblPr>
        <w:tblStyle w:val="12"/>
        <w:tblW w:w="86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2"/>
        <w:gridCol w:w="6527"/>
      </w:tblGrid>
      <w:tr w14:paraId="2B1C5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9" w:hRule="atLeast"/>
        </w:trPr>
        <w:tc>
          <w:tcPr>
            <w:tcW w:w="2172" w:type="dxa"/>
            <w:shd w:val="clear" w:color="auto" w:fill="auto"/>
            <w:noWrap w:val="0"/>
            <w:vAlign w:val="center"/>
          </w:tcPr>
          <w:p w14:paraId="0D3C0A33">
            <w:pPr>
              <w:spacing w:line="40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一级地</w:t>
            </w:r>
          </w:p>
        </w:tc>
        <w:tc>
          <w:tcPr>
            <w:tcW w:w="6527" w:type="dxa"/>
            <w:shd w:val="clear" w:color="auto" w:fill="auto"/>
            <w:noWrap w:val="0"/>
            <w:vAlign w:val="top"/>
          </w:tcPr>
          <w:p w14:paraId="3186B969">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p>
          <w:p w14:paraId="4C6FC772">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东至学府路、登云路；南至圣经山路及抱龙河；西至龙山路；北至大众宾馆、天润城，大润发北侧、向东沿德贤街至学府路。</w:t>
            </w:r>
          </w:p>
          <w:p w14:paraId="7D8EFB32">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p>
        </w:tc>
      </w:tr>
      <w:tr w14:paraId="0AA01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72" w:type="dxa"/>
            <w:shd w:val="clear" w:color="auto" w:fill="auto"/>
            <w:noWrap w:val="0"/>
            <w:vAlign w:val="center"/>
          </w:tcPr>
          <w:p w14:paraId="2225797E">
            <w:pPr>
              <w:spacing w:line="40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二级地</w:t>
            </w:r>
          </w:p>
        </w:tc>
        <w:tc>
          <w:tcPr>
            <w:tcW w:w="6527" w:type="dxa"/>
            <w:shd w:val="clear" w:color="auto" w:fill="auto"/>
            <w:noWrap w:val="0"/>
            <w:vAlign w:val="top"/>
          </w:tcPr>
          <w:p w14:paraId="50543603">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p>
          <w:p w14:paraId="2E54DD1E">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杜营河西侧，沿文山东路至体育公园西侧向南至闵广新天地北侧规划道路，向东至虎山路，沿虎山路向南至渠格河，沿渠格河向西至文昌路，沿文昌路向南至浙商城南侧规划道路；南至秀山路；西至宋家沟村西侧，马山路，沿河向北至珠海路；北至珠海路，沿保利路向南至香水路、向东至世纪大道，沿新一中北侧向东至杜营河。</w:t>
            </w:r>
          </w:p>
          <w:p w14:paraId="30556BCE">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p>
        </w:tc>
      </w:tr>
      <w:tr w14:paraId="7E4F8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0" w:hRule="atLeast"/>
        </w:trPr>
        <w:tc>
          <w:tcPr>
            <w:tcW w:w="2172" w:type="dxa"/>
            <w:shd w:val="clear" w:color="auto" w:fill="auto"/>
            <w:noWrap w:val="0"/>
            <w:vAlign w:val="center"/>
          </w:tcPr>
          <w:p w14:paraId="19873DC1">
            <w:pPr>
              <w:spacing w:line="40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三级地</w:t>
            </w:r>
          </w:p>
        </w:tc>
        <w:tc>
          <w:tcPr>
            <w:tcW w:w="6527" w:type="dxa"/>
            <w:shd w:val="clear" w:color="auto" w:fill="auto"/>
            <w:noWrap w:val="0"/>
            <w:vAlign w:val="top"/>
          </w:tcPr>
          <w:p w14:paraId="2198F4B2">
            <w:pPr>
              <w:spacing w:line="400" w:lineRule="exact"/>
              <w:ind w:left="0" w:firstLine="0"/>
              <w:jc w:val="left"/>
              <w:rPr>
                <w:rFonts w:hint="eastAsia" w:ascii="Times New Roman" w:hAnsi="Times New Roman" w:cs="仿宋_GB2312"/>
                <w:bCs/>
                <w:color w:val="000000" w:themeColor="text1"/>
                <w:sz w:val="24"/>
                <w:szCs w:val="24"/>
                <w14:textFill>
                  <w14:solidFill>
                    <w14:schemeClr w14:val="tx1"/>
                  </w14:solidFill>
                </w14:textFill>
              </w:rPr>
            </w:pPr>
          </w:p>
          <w:p w14:paraId="39DE095E">
            <w:pPr>
              <w:spacing w:line="400" w:lineRule="exact"/>
              <w:ind w:left="0" w:firstLine="0"/>
              <w:jc w:val="left"/>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教场东村南侧规划道路，沿河向西南至规划道路（虎山路东500米），沿路向南、向西至虎山路，沿虎山路向南至福和路；南至福和路、孙家卧龙村南侧、规划玉岭路、秀山路、母猪河；西至东母猪河东岸、桃威铁路；北至七里水头村北、九里银河南侧、初张路、珠海路，向东至虎山路，沿虎山路向南至天润路，沿天润路向东至教场东村东侧。</w:t>
            </w:r>
          </w:p>
          <w:p w14:paraId="4B7F7E0E">
            <w:pPr>
              <w:spacing w:line="400" w:lineRule="exact"/>
              <w:ind w:left="0" w:firstLine="0"/>
              <w:jc w:val="left"/>
              <w:rPr>
                <w:rFonts w:hint="eastAsia" w:ascii="Times New Roman" w:hAnsi="Times New Roman" w:cs="仿宋_GB2312"/>
                <w:bCs/>
                <w:color w:val="000000" w:themeColor="text1"/>
                <w:sz w:val="24"/>
                <w:szCs w:val="24"/>
                <w14:textFill>
                  <w14:solidFill>
                    <w14:schemeClr w14:val="tx1"/>
                  </w14:solidFill>
                </w14:textFill>
              </w:rPr>
            </w:pPr>
          </w:p>
        </w:tc>
      </w:tr>
      <w:tr w14:paraId="2DF9E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2172" w:type="dxa"/>
            <w:shd w:val="clear" w:color="auto" w:fill="auto"/>
            <w:noWrap w:val="0"/>
            <w:vAlign w:val="center"/>
          </w:tcPr>
          <w:p w14:paraId="70AF7C95">
            <w:pPr>
              <w:spacing w:line="40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四级地</w:t>
            </w:r>
          </w:p>
        </w:tc>
        <w:tc>
          <w:tcPr>
            <w:tcW w:w="6527" w:type="dxa"/>
            <w:shd w:val="clear" w:color="auto" w:fill="auto"/>
            <w:noWrap w:val="0"/>
            <w:vAlign w:val="top"/>
          </w:tcPr>
          <w:p w14:paraId="03798F88">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p>
          <w:p w14:paraId="2E34E52E">
            <w:pPr>
              <w:spacing w:line="400" w:lineRule="exact"/>
              <w:ind w:left="0" w:firstLine="0"/>
              <w:rPr>
                <w:rFonts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（1</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城区</w:t>
            </w:r>
            <w:r>
              <w:rPr>
                <w:rFonts w:ascii="Times New Roman" w:hAnsi="Times New Roman" w:cs="仿宋_GB2312"/>
                <w:bCs/>
                <w:color w:val="000000" w:themeColor="text1"/>
                <w:sz w:val="24"/>
                <w:szCs w:val="24"/>
                <w14:textFill>
                  <w14:solidFill>
                    <w14:schemeClr w14:val="tx1"/>
                  </w14:solidFill>
                </w14:textFill>
              </w:rPr>
              <w:t>范围</w:t>
            </w:r>
            <w:r>
              <w:rPr>
                <w:rFonts w:hint="eastAsia" w:ascii="Times New Roman" w:hAnsi="Times New Roman" w:cs="仿宋_GB2312"/>
                <w:bCs/>
                <w:color w:val="000000" w:themeColor="text1"/>
                <w:sz w:val="24"/>
                <w:szCs w:val="24"/>
                <w14:textFill>
                  <w14:solidFill>
                    <w14:schemeClr w14:val="tx1"/>
                  </w14:solidFill>
                </w14:textFill>
              </w:rPr>
              <w:t>内一</w:t>
            </w:r>
            <w:r>
              <w:rPr>
                <w:rFonts w:ascii="Times New Roman" w:hAnsi="Times New Roman" w:cs="仿宋_GB2312"/>
                <w:bCs/>
                <w:color w:val="000000" w:themeColor="text1"/>
                <w:sz w:val="24"/>
                <w:szCs w:val="24"/>
                <w14:textFill>
                  <w14:solidFill>
                    <w14:schemeClr w14:val="tx1"/>
                  </w14:solidFill>
                </w14:textFill>
              </w:rPr>
              <w:t>、二、</w:t>
            </w:r>
            <w:r>
              <w:rPr>
                <w:rFonts w:hint="eastAsia" w:ascii="Times New Roman" w:hAnsi="Times New Roman" w:cs="仿宋_GB2312"/>
                <w:bCs/>
                <w:color w:val="000000" w:themeColor="text1"/>
                <w:sz w:val="24"/>
                <w:szCs w:val="24"/>
                <w14:textFill>
                  <w14:solidFill>
                    <w14:schemeClr w14:val="tx1"/>
                  </w14:solidFill>
                </w14:textFill>
              </w:rPr>
              <w:t>三级地以外为四级地。</w:t>
            </w:r>
          </w:p>
          <w:p w14:paraId="4241142F">
            <w:pPr>
              <w:spacing w:line="400" w:lineRule="exact"/>
              <w:ind w:left="0" w:firstLine="0"/>
              <w:rPr>
                <w:rFonts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（2</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大</w:t>
            </w:r>
            <w:r>
              <w:rPr>
                <w:rFonts w:ascii="Times New Roman" w:hAnsi="Times New Roman" w:cs="仿宋_GB2312"/>
                <w:bCs/>
                <w:color w:val="000000" w:themeColor="text1"/>
                <w:sz w:val="24"/>
                <w:szCs w:val="24"/>
                <w14:textFill>
                  <w14:solidFill>
                    <w14:schemeClr w14:val="tx1"/>
                  </w14:solidFill>
                </w14:textFill>
              </w:rPr>
              <w:t>水</w:t>
            </w:r>
            <w:r>
              <w:rPr>
                <w:rFonts w:hint="eastAsia" w:ascii="Times New Roman" w:hAnsi="Times New Roman" w:cs="仿宋_GB2312"/>
                <w:bCs/>
                <w:color w:val="000000" w:themeColor="text1"/>
                <w:sz w:val="24"/>
                <w:szCs w:val="24"/>
                <w:lang w:val="en-US" w:eastAsia="zh-CN"/>
                <w14:textFill>
                  <w14:solidFill>
                    <w14:schemeClr w14:val="tx1"/>
                  </w14:solidFill>
                </w14:textFill>
              </w:rPr>
              <w:t>泊</w:t>
            </w:r>
            <w:r>
              <w:rPr>
                <w:rFonts w:hint="eastAsia" w:ascii="Times New Roman" w:hAnsi="Times New Roman" w:cs="仿宋_GB2312"/>
                <w:bCs/>
                <w:color w:val="000000" w:themeColor="text1"/>
                <w:sz w:val="24"/>
                <w:szCs w:val="24"/>
                <w14:textFill>
                  <w14:solidFill>
                    <w14:schemeClr w14:val="tx1"/>
                  </w14:solidFill>
                </w14:textFill>
              </w:rPr>
              <w:t>镇</w:t>
            </w:r>
            <w:r>
              <w:rPr>
                <w:rFonts w:ascii="Times New Roman" w:hAnsi="Times New Roman" w:cs="仿宋_GB2312"/>
                <w:bCs/>
                <w:color w:val="000000" w:themeColor="text1"/>
                <w:sz w:val="24"/>
                <w:szCs w:val="24"/>
                <w14:textFill>
                  <w14:solidFill>
                    <w14:schemeClr w14:val="tx1"/>
                  </w14:solidFill>
                </w14:textFill>
              </w:rPr>
              <w:t>、张家产镇、高村镇、泽库镇、侯家镇、宋村镇、泽头镇、小观镇、</w:t>
            </w:r>
            <w:r>
              <w:rPr>
                <w:rFonts w:hint="eastAsia" w:ascii="Times New Roman" w:hAnsi="Times New Roman" w:cs="仿宋_GB2312"/>
                <w:bCs/>
                <w:color w:val="000000" w:themeColor="text1"/>
                <w:sz w:val="24"/>
                <w:szCs w:val="24"/>
                <w14:textFill>
                  <w14:solidFill>
                    <w14:schemeClr w14:val="tx1"/>
                  </w14:solidFill>
                </w14:textFill>
              </w:rPr>
              <w:t>葛</w:t>
            </w:r>
            <w:r>
              <w:rPr>
                <w:rFonts w:ascii="Times New Roman" w:hAnsi="Times New Roman" w:cs="仿宋_GB2312"/>
                <w:bCs/>
                <w:color w:val="000000" w:themeColor="text1"/>
                <w:sz w:val="24"/>
                <w:szCs w:val="24"/>
                <w14:textFill>
                  <w14:solidFill>
                    <w14:schemeClr w14:val="tx1"/>
                  </w14:solidFill>
                </w14:textFill>
              </w:rPr>
              <w:t>家镇、米山镇、界石镇土地。</w:t>
            </w:r>
          </w:p>
          <w:p w14:paraId="34D59283">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p>
        </w:tc>
      </w:tr>
    </w:tbl>
    <w:p w14:paraId="24619E3B">
      <w:pPr>
        <w:rPr>
          <w:rFonts w:hint="eastAsia" w:ascii="Times New Roman" w:hAnsi="Times New Roman" w:eastAsia="楷体_GB2312" w:cs="楷体_GB2312"/>
          <w:color w:val="000000" w:themeColor="text1"/>
          <w:sz w:val="28"/>
          <w:szCs w:val="28"/>
          <w14:textFill>
            <w14:solidFill>
              <w14:schemeClr w14:val="tx1"/>
            </w14:solidFill>
          </w14:textFill>
        </w:rPr>
      </w:pPr>
      <w:r>
        <w:rPr>
          <w:rFonts w:hint="eastAsia" w:ascii="Times New Roman" w:hAnsi="Times New Roman" w:eastAsia="楷体_GB2312" w:cs="楷体_GB2312"/>
          <w:color w:val="000000" w:themeColor="text1"/>
          <w:sz w:val="28"/>
          <w:szCs w:val="28"/>
          <w14:textFill>
            <w14:solidFill>
              <w14:schemeClr w14:val="tx1"/>
            </w14:solidFill>
          </w14:textFill>
        </w:rPr>
        <w:br w:type="page"/>
      </w:r>
    </w:p>
    <w:p w14:paraId="029EF7DF">
      <w:pPr>
        <w:spacing w:line="560" w:lineRule="exact"/>
        <w:ind w:left="0" w:firstLine="0"/>
        <w:jc w:val="center"/>
        <w:rPr>
          <w:rFonts w:hint="eastAsia" w:ascii="Times New Roman" w:hAnsi="Times New Roman" w:eastAsia="楷体_GB2312" w:cs="楷体_GB2312"/>
          <w:color w:val="000000" w:themeColor="text1"/>
          <w:sz w:val="28"/>
          <w:szCs w:val="28"/>
          <w14:textFill>
            <w14:solidFill>
              <w14:schemeClr w14:val="tx1"/>
            </w14:solidFill>
          </w14:textFill>
        </w:rPr>
      </w:pPr>
      <w:r>
        <w:rPr>
          <w:rFonts w:hint="eastAsia" w:ascii="Times New Roman" w:hAnsi="Times New Roman" w:eastAsia="楷体_GB2312" w:cs="楷体_GB2312"/>
          <w:color w:val="000000" w:themeColor="text1"/>
          <w:sz w:val="28"/>
          <w:szCs w:val="28"/>
          <w14:textFill>
            <w14:solidFill>
              <w14:schemeClr w14:val="tx1"/>
            </w14:solidFill>
          </w14:textFill>
        </w:rPr>
        <w:t>表1-2 住宅土地级别范围分布表</w:t>
      </w:r>
    </w:p>
    <w:tbl>
      <w:tblPr>
        <w:tblStyle w:val="12"/>
        <w:tblW w:w="86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8"/>
        <w:gridCol w:w="7311"/>
      </w:tblGrid>
      <w:tr w14:paraId="63DAB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6" w:hRule="atLeast"/>
        </w:trPr>
        <w:tc>
          <w:tcPr>
            <w:tcW w:w="1348" w:type="dxa"/>
            <w:shd w:val="clear" w:color="auto" w:fill="auto"/>
            <w:noWrap w:val="0"/>
            <w:vAlign w:val="center"/>
          </w:tcPr>
          <w:p w14:paraId="44E72D2E">
            <w:pPr>
              <w:spacing w:line="56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一级地</w:t>
            </w:r>
          </w:p>
        </w:tc>
        <w:tc>
          <w:tcPr>
            <w:tcW w:w="7311" w:type="dxa"/>
            <w:shd w:val="clear" w:color="auto" w:fill="auto"/>
            <w:noWrap w:val="0"/>
            <w:vAlign w:val="top"/>
          </w:tcPr>
          <w:p w14:paraId="1A4B0CD8">
            <w:pPr>
              <w:spacing w:line="400" w:lineRule="atLeast"/>
              <w:ind w:left="0" w:firstLine="0"/>
              <w:jc w:val="left"/>
              <w:rPr>
                <w:rFonts w:hint="eastAsia" w:ascii="Times New Roman" w:hAnsi="Times New Roman" w:cs="仿宋_GB2312"/>
                <w:bCs/>
                <w:color w:val="000000" w:themeColor="text1"/>
                <w:sz w:val="24"/>
                <w:szCs w:val="24"/>
                <w14:textFill>
                  <w14:solidFill>
                    <w14:schemeClr w14:val="tx1"/>
                  </w14:solidFill>
                </w14:textFill>
              </w:rPr>
            </w:pPr>
          </w:p>
          <w:p w14:paraId="42616DC8">
            <w:pPr>
              <w:spacing w:line="400" w:lineRule="atLeast"/>
              <w:ind w:left="0" w:firstLine="0"/>
              <w:jc w:val="left"/>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杜营河西侧，沿文山东路至体育公园西侧向南至闵广新天地北侧规划道路，向东至虎山路，沿虎山路向南至渠格河，沿渠格河向西至文昌路，沿文昌路向南至浙商城南侧规划道路；南至秀山路、小五里头村南、毓菁华小区南侧、圣经山路、上海国际花园南侧、向西至龙山路；西至龙山路，贵和花园小区西侧、五龙街，向北至柳林河；北至香水路，向东至香山路，沿香山路向北珠海路，沿保利路向南至香水路，向东至世纪大道，向南至保成路，沿保成路向东至杜营河。</w:t>
            </w:r>
          </w:p>
          <w:p w14:paraId="731119D6">
            <w:pPr>
              <w:spacing w:line="400" w:lineRule="atLeast"/>
              <w:ind w:left="0" w:firstLine="0"/>
              <w:jc w:val="left"/>
              <w:rPr>
                <w:rFonts w:hint="eastAsia" w:ascii="Times New Roman" w:hAnsi="Times New Roman" w:cs="仿宋_GB2312"/>
                <w:bCs/>
                <w:color w:val="000000" w:themeColor="text1"/>
                <w:sz w:val="24"/>
                <w:szCs w:val="24"/>
                <w14:textFill>
                  <w14:solidFill>
                    <w14:schemeClr w14:val="tx1"/>
                  </w14:solidFill>
                </w14:textFill>
              </w:rPr>
            </w:pPr>
          </w:p>
        </w:tc>
      </w:tr>
      <w:tr w14:paraId="62E43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1" w:hRule="atLeast"/>
        </w:trPr>
        <w:tc>
          <w:tcPr>
            <w:tcW w:w="1348" w:type="dxa"/>
            <w:shd w:val="clear" w:color="auto" w:fill="auto"/>
            <w:noWrap w:val="0"/>
            <w:vAlign w:val="center"/>
          </w:tcPr>
          <w:p w14:paraId="6916CE1F">
            <w:pPr>
              <w:spacing w:line="56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二级地</w:t>
            </w:r>
          </w:p>
        </w:tc>
        <w:tc>
          <w:tcPr>
            <w:tcW w:w="7311" w:type="dxa"/>
            <w:shd w:val="clear" w:color="auto" w:fill="auto"/>
            <w:noWrap w:val="0"/>
            <w:vAlign w:val="top"/>
          </w:tcPr>
          <w:p w14:paraId="38C0D705">
            <w:pPr>
              <w:spacing w:line="400" w:lineRule="atLeast"/>
              <w:ind w:left="0" w:firstLine="0"/>
              <w:jc w:val="left"/>
              <w:rPr>
                <w:rFonts w:hint="eastAsia" w:ascii="Times New Roman" w:hAnsi="Times New Roman" w:cs="仿宋_GB2312"/>
                <w:bCs/>
                <w:color w:val="000000" w:themeColor="text1"/>
                <w:sz w:val="24"/>
                <w:szCs w:val="24"/>
                <w14:textFill>
                  <w14:solidFill>
                    <w14:schemeClr w14:val="tx1"/>
                  </w14:solidFill>
                </w14:textFill>
              </w:rPr>
            </w:pPr>
          </w:p>
          <w:p w14:paraId="333F89B5">
            <w:pPr>
              <w:spacing w:line="400" w:lineRule="atLeast"/>
              <w:ind w:left="0" w:firstLine="0"/>
              <w:jc w:val="left"/>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东至教场东村南侧规划道路，沿河向西南至规划道路（虎山路东500米），沿规划路向南至福谐路东规划道路；南至福谐路、规划玉岭路、碧桂园小区南侧、秀山路、沿秀山路向西至豹山路；西至豹山路</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温泉路、宏安集团土地、沿柳林河东侧向北至广州路；北至广州路、金山路、汕头路、向东至世纪大道，沿珠海路向东至文昌路，沿文昌路向南至南宁路，向东至虎山路、向南至天润路，沿天润路向东至教场东村东侧。</w:t>
            </w:r>
          </w:p>
          <w:p w14:paraId="1B6CED23">
            <w:pPr>
              <w:spacing w:line="400" w:lineRule="atLeast"/>
              <w:ind w:left="0" w:firstLine="0"/>
              <w:jc w:val="left"/>
              <w:rPr>
                <w:rFonts w:hint="eastAsia" w:ascii="Times New Roman" w:hAnsi="Times New Roman" w:cs="仿宋_GB2312"/>
                <w:bCs/>
                <w:color w:val="000000" w:themeColor="text1"/>
                <w:sz w:val="24"/>
                <w:szCs w:val="24"/>
                <w14:textFill>
                  <w14:solidFill>
                    <w14:schemeClr w14:val="tx1"/>
                  </w14:solidFill>
                </w14:textFill>
              </w:rPr>
            </w:pPr>
          </w:p>
        </w:tc>
      </w:tr>
      <w:tr w14:paraId="760F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0" w:hRule="atLeast"/>
        </w:trPr>
        <w:tc>
          <w:tcPr>
            <w:tcW w:w="1348" w:type="dxa"/>
            <w:shd w:val="clear" w:color="auto" w:fill="auto"/>
            <w:noWrap w:val="0"/>
            <w:vAlign w:val="center"/>
          </w:tcPr>
          <w:p w14:paraId="5C90A0CE">
            <w:pPr>
              <w:spacing w:line="56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三级地</w:t>
            </w:r>
          </w:p>
        </w:tc>
        <w:tc>
          <w:tcPr>
            <w:tcW w:w="7311" w:type="dxa"/>
            <w:shd w:val="clear" w:color="auto" w:fill="auto"/>
            <w:noWrap w:val="0"/>
            <w:vAlign w:val="top"/>
          </w:tcPr>
          <w:p w14:paraId="6EFBB5E2">
            <w:pPr>
              <w:spacing w:line="400" w:lineRule="atLeast"/>
              <w:ind w:left="0" w:firstLine="0"/>
              <w:jc w:val="left"/>
              <w:rPr>
                <w:rFonts w:hint="eastAsia" w:ascii="Times New Roman" w:hAnsi="Times New Roman" w:cs="仿宋_GB2312"/>
                <w:bCs/>
                <w:color w:val="000000" w:themeColor="text1"/>
                <w:sz w:val="24"/>
                <w:szCs w:val="24"/>
                <w14:textFill>
                  <w14:solidFill>
                    <w14:schemeClr w14:val="tx1"/>
                  </w14:solidFill>
                </w14:textFill>
              </w:rPr>
            </w:pPr>
          </w:p>
          <w:p w14:paraId="4DE77B4C">
            <w:pPr>
              <w:spacing w:line="400" w:lineRule="atLeast"/>
              <w:ind w:left="0" w:firstLine="0"/>
              <w:jc w:val="left"/>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文昌路，向南至广州路，向东至虎山路，向南至珠海东路，沿珠海东路向东至杭州路，向南至杜营河、沿河向西至虎山路东1000米规划教场路；南至孙家卧龙村南侧，规划万山路、小嵛岭村、麦疃后村；西至东母猪河东侧、桃威铁路；北至七里水头村北、二零二省道。</w:t>
            </w:r>
          </w:p>
          <w:p w14:paraId="670998C0">
            <w:pPr>
              <w:spacing w:line="400" w:lineRule="atLeast"/>
              <w:ind w:left="0" w:firstLine="0"/>
              <w:jc w:val="left"/>
              <w:rPr>
                <w:rFonts w:hint="eastAsia" w:ascii="Times New Roman" w:hAnsi="Times New Roman" w:cs="仿宋_GB2312"/>
                <w:bCs/>
                <w:color w:val="000000" w:themeColor="text1"/>
                <w:sz w:val="24"/>
                <w:szCs w:val="24"/>
                <w14:textFill>
                  <w14:solidFill>
                    <w14:schemeClr w14:val="tx1"/>
                  </w14:solidFill>
                </w14:textFill>
              </w:rPr>
            </w:pPr>
          </w:p>
        </w:tc>
      </w:tr>
      <w:tr w14:paraId="00662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348" w:type="dxa"/>
            <w:shd w:val="clear" w:color="auto" w:fill="auto"/>
            <w:noWrap w:val="0"/>
            <w:vAlign w:val="center"/>
          </w:tcPr>
          <w:p w14:paraId="6616AE9A">
            <w:pPr>
              <w:spacing w:line="56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四级地</w:t>
            </w:r>
          </w:p>
        </w:tc>
        <w:tc>
          <w:tcPr>
            <w:tcW w:w="7311" w:type="dxa"/>
            <w:shd w:val="clear" w:color="auto" w:fill="auto"/>
            <w:noWrap w:val="0"/>
            <w:vAlign w:val="top"/>
          </w:tcPr>
          <w:p w14:paraId="43B5EDF9">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p>
          <w:p w14:paraId="2F3406DA">
            <w:pPr>
              <w:spacing w:line="400" w:lineRule="exact"/>
              <w:ind w:left="0" w:firstLine="0"/>
              <w:rPr>
                <w:rFonts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（1</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城区</w:t>
            </w:r>
            <w:r>
              <w:rPr>
                <w:rFonts w:ascii="Times New Roman" w:hAnsi="Times New Roman" w:cs="仿宋_GB2312"/>
                <w:bCs/>
                <w:color w:val="000000" w:themeColor="text1"/>
                <w:sz w:val="24"/>
                <w:szCs w:val="24"/>
                <w14:textFill>
                  <w14:solidFill>
                    <w14:schemeClr w14:val="tx1"/>
                  </w14:solidFill>
                </w14:textFill>
              </w:rPr>
              <w:t>范围</w:t>
            </w:r>
            <w:r>
              <w:rPr>
                <w:rFonts w:hint="eastAsia" w:ascii="Times New Roman" w:hAnsi="Times New Roman" w:cs="仿宋_GB2312"/>
                <w:bCs/>
                <w:color w:val="000000" w:themeColor="text1"/>
                <w:sz w:val="24"/>
                <w:szCs w:val="24"/>
                <w14:textFill>
                  <w14:solidFill>
                    <w14:schemeClr w14:val="tx1"/>
                  </w14:solidFill>
                </w14:textFill>
              </w:rPr>
              <w:t>内一</w:t>
            </w:r>
            <w:r>
              <w:rPr>
                <w:rFonts w:ascii="Times New Roman" w:hAnsi="Times New Roman" w:cs="仿宋_GB2312"/>
                <w:bCs/>
                <w:color w:val="000000" w:themeColor="text1"/>
                <w:sz w:val="24"/>
                <w:szCs w:val="24"/>
                <w14:textFill>
                  <w14:solidFill>
                    <w14:schemeClr w14:val="tx1"/>
                  </w14:solidFill>
                </w14:textFill>
              </w:rPr>
              <w:t>、二、</w:t>
            </w:r>
            <w:r>
              <w:rPr>
                <w:rFonts w:hint="eastAsia" w:ascii="Times New Roman" w:hAnsi="Times New Roman" w:cs="仿宋_GB2312"/>
                <w:bCs/>
                <w:color w:val="000000" w:themeColor="text1"/>
                <w:sz w:val="24"/>
                <w:szCs w:val="24"/>
                <w14:textFill>
                  <w14:solidFill>
                    <w14:schemeClr w14:val="tx1"/>
                  </w14:solidFill>
                </w14:textFill>
              </w:rPr>
              <w:t>三级地以外为四级地。</w:t>
            </w:r>
          </w:p>
          <w:p w14:paraId="0CB1812D">
            <w:pPr>
              <w:spacing w:line="400" w:lineRule="exact"/>
              <w:ind w:left="0" w:firstLine="0"/>
              <w:rPr>
                <w:rFonts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（2</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大</w:t>
            </w:r>
            <w:r>
              <w:rPr>
                <w:rFonts w:ascii="Times New Roman" w:hAnsi="Times New Roman" w:cs="仿宋_GB2312"/>
                <w:bCs/>
                <w:color w:val="000000" w:themeColor="text1"/>
                <w:sz w:val="24"/>
                <w:szCs w:val="24"/>
                <w14:textFill>
                  <w14:solidFill>
                    <w14:schemeClr w14:val="tx1"/>
                  </w14:solidFill>
                </w14:textFill>
              </w:rPr>
              <w:t>水</w:t>
            </w:r>
            <w:r>
              <w:rPr>
                <w:rFonts w:hint="eastAsia" w:ascii="Times New Roman" w:hAnsi="Times New Roman" w:cs="仿宋_GB2312"/>
                <w:bCs/>
                <w:color w:val="000000" w:themeColor="text1"/>
                <w:sz w:val="24"/>
                <w:szCs w:val="24"/>
                <w:lang w:val="en-US" w:eastAsia="zh-CN"/>
                <w14:textFill>
                  <w14:solidFill>
                    <w14:schemeClr w14:val="tx1"/>
                  </w14:solidFill>
                </w14:textFill>
              </w:rPr>
              <w:t>泊</w:t>
            </w:r>
            <w:r>
              <w:rPr>
                <w:rFonts w:hint="eastAsia" w:ascii="Times New Roman" w:hAnsi="Times New Roman" w:cs="仿宋_GB2312"/>
                <w:bCs/>
                <w:color w:val="000000" w:themeColor="text1"/>
                <w:sz w:val="24"/>
                <w:szCs w:val="24"/>
                <w14:textFill>
                  <w14:solidFill>
                    <w14:schemeClr w14:val="tx1"/>
                  </w14:solidFill>
                </w14:textFill>
              </w:rPr>
              <w:t>镇</w:t>
            </w:r>
            <w:r>
              <w:rPr>
                <w:rFonts w:ascii="Times New Roman" w:hAnsi="Times New Roman" w:cs="仿宋_GB2312"/>
                <w:bCs/>
                <w:color w:val="000000" w:themeColor="text1"/>
                <w:sz w:val="24"/>
                <w:szCs w:val="24"/>
                <w14:textFill>
                  <w14:solidFill>
                    <w14:schemeClr w14:val="tx1"/>
                  </w14:solidFill>
                </w14:textFill>
              </w:rPr>
              <w:t>、张家产镇、高村镇、泽库镇、侯家镇、宋村镇、泽头镇、小观镇、</w:t>
            </w:r>
            <w:r>
              <w:rPr>
                <w:rFonts w:hint="eastAsia" w:ascii="Times New Roman" w:hAnsi="Times New Roman" w:cs="仿宋_GB2312"/>
                <w:bCs/>
                <w:color w:val="000000" w:themeColor="text1"/>
                <w:sz w:val="24"/>
                <w:szCs w:val="24"/>
                <w14:textFill>
                  <w14:solidFill>
                    <w14:schemeClr w14:val="tx1"/>
                  </w14:solidFill>
                </w14:textFill>
              </w:rPr>
              <w:t>葛</w:t>
            </w:r>
            <w:r>
              <w:rPr>
                <w:rFonts w:ascii="Times New Roman" w:hAnsi="Times New Roman" w:cs="仿宋_GB2312"/>
                <w:bCs/>
                <w:color w:val="000000" w:themeColor="text1"/>
                <w:sz w:val="24"/>
                <w:szCs w:val="24"/>
                <w14:textFill>
                  <w14:solidFill>
                    <w14:schemeClr w14:val="tx1"/>
                  </w14:solidFill>
                </w14:textFill>
              </w:rPr>
              <w:t>家镇、米山镇、界石镇土地。</w:t>
            </w:r>
          </w:p>
          <w:p w14:paraId="04433AD9">
            <w:pPr>
              <w:spacing w:line="400" w:lineRule="exact"/>
              <w:ind w:left="0" w:firstLine="0"/>
              <w:rPr>
                <w:rFonts w:hint="eastAsia" w:ascii="Times New Roman" w:hAnsi="Times New Roman" w:cs="仿宋_GB2312"/>
                <w:bCs/>
                <w:color w:val="000000" w:themeColor="text1"/>
                <w:sz w:val="24"/>
                <w:szCs w:val="24"/>
                <w14:textFill>
                  <w14:solidFill>
                    <w14:schemeClr w14:val="tx1"/>
                  </w14:solidFill>
                </w14:textFill>
              </w:rPr>
            </w:pPr>
          </w:p>
        </w:tc>
      </w:tr>
    </w:tbl>
    <w:p w14:paraId="0F48403E">
      <w:pPr>
        <w:rPr>
          <w:rFonts w:ascii="Times New Roman" w:hAnsi="Times New Roman" w:eastAsia="楷体_GB2312" w:cs="楷体_GB2312"/>
          <w:color w:val="000000" w:themeColor="text1"/>
          <w:sz w:val="28"/>
          <w:szCs w:val="28"/>
          <w14:textFill>
            <w14:solidFill>
              <w14:schemeClr w14:val="tx1"/>
            </w14:solidFill>
          </w14:textFill>
        </w:rPr>
      </w:pPr>
      <w:r>
        <w:rPr>
          <w:rFonts w:hint="eastAsia" w:ascii="Times New Roman" w:hAnsi="Times New Roman" w:eastAsia="楷体_GB2312" w:cs="楷体_GB2312"/>
          <w:color w:val="000000" w:themeColor="text1"/>
          <w:sz w:val="28"/>
          <w:szCs w:val="28"/>
          <w14:textFill>
            <w14:solidFill>
              <w14:schemeClr w14:val="tx1"/>
            </w14:solidFill>
          </w14:textFill>
        </w:rPr>
        <w:br w:type="page"/>
      </w:r>
      <w:r>
        <w:rPr>
          <w:rFonts w:hint="eastAsia" w:ascii="Times New Roman" w:hAnsi="Times New Roman" w:eastAsia="楷体_GB2312" w:cs="楷体_GB2312"/>
          <w:color w:val="000000" w:themeColor="text1"/>
          <w:sz w:val="28"/>
          <w:szCs w:val="28"/>
          <w14:textFill>
            <w14:solidFill>
              <w14:schemeClr w14:val="tx1"/>
            </w14:solidFill>
          </w14:textFill>
        </w:rPr>
        <w:t>表1-3 工业、科研、文化、教育、体育、社会福利、交通运输</w:t>
      </w:r>
    </w:p>
    <w:p w14:paraId="11DADFCB">
      <w:pPr>
        <w:jc w:val="center"/>
        <w:rPr>
          <w:rFonts w:hint="eastAsia" w:ascii="Times New Roman" w:hAnsi="Times New Roman" w:eastAsia="楷体_GB2312" w:cs="楷体_GB2312"/>
          <w:color w:val="000000" w:themeColor="text1"/>
          <w:sz w:val="28"/>
          <w:szCs w:val="28"/>
          <w14:textFill>
            <w14:solidFill>
              <w14:schemeClr w14:val="tx1"/>
            </w14:solidFill>
          </w14:textFill>
        </w:rPr>
      </w:pPr>
      <w:r>
        <w:rPr>
          <w:rFonts w:hint="eastAsia" w:ascii="Times New Roman" w:hAnsi="Times New Roman" w:eastAsia="楷体_GB2312" w:cs="楷体_GB2312"/>
          <w:color w:val="000000" w:themeColor="text1"/>
          <w:sz w:val="28"/>
          <w:szCs w:val="28"/>
          <w14:textFill>
            <w14:solidFill>
              <w14:schemeClr w14:val="tx1"/>
            </w14:solidFill>
          </w14:textFill>
        </w:rPr>
        <w:t>土地级别范围分布表</w:t>
      </w:r>
    </w:p>
    <w:tbl>
      <w:tblPr>
        <w:tblStyle w:val="12"/>
        <w:tblW w:w="86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98"/>
        <w:gridCol w:w="6561"/>
      </w:tblGrid>
      <w:tr w14:paraId="119CF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5" w:hRule="atLeast"/>
        </w:trPr>
        <w:tc>
          <w:tcPr>
            <w:tcW w:w="2098" w:type="dxa"/>
            <w:shd w:val="clear" w:color="auto" w:fill="auto"/>
            <w:noWrap w:val="0"/>
            <w:vAlign w:val="center"/>
          </w:tcPr>
          <w:p w14:paraId="66D2C485">
            <w:pPr>
              <w:spacing w:line="40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一级地</w:t>
            </w:r>
          </w:p>
        </w:tc>
        <w:tc>
          <w:tcPr>
            <w:tcW w:w="6561" w:type="dxa"/>
            <w:shd w:val="clear" w:color="auto" w:fill="auto"/>
            <w:noWrap w:val="0"/>
            <w:vAlign w:val="center"/>
          </w:tcPr>
          <w:p w14:paraId="7EC3F00D">
            <w:pPr>
              <w:spacing w:line="400" w:lineRule="exact"/>
              <w:ind w:left="0" w:firstLine="0"/>
              <w:jc w:val="both"/>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东至初张路；南至圣经山路；西至龙山路；北至大众宾馆、纺织机械、天润城、大润发，向东沿德贤街至学府路，向南至公园路，向东沿峰山南侧至初张路。</w:t>
            </w:r>
          </w:p>
        </w:tc>
      </w:tr>
      <w:tr w14:paraId="794DF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0" w:hRule="atLeast"/>
        </w:trPr>
        <w:tc>
          <w:tcPr>
            <w:tcW w:w="2098" w:type="dxa"/>
            <w:shd w:val="clear" w:color="auto" w:fill="auto"/>
            <w:noWrap w:val="0"/>
            <w:vAlign w:val="center"/>
          </w:tcPr>
          <w:p w14:paraId="5CCDB1F3">
            <w:pPr>
              <w:spacing w:line="40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二级地</w:t>
            </w:r>
          </w:p>
        </w:tc>
        <w:tc>
          <w:tcPr>
            <w:tcW w:w="6561" w:type="dxa"/>
            <w:shd w:val="clear" w:color="auto" w:fill="auto"/>
            <w:noWrap w:val="0"/>
            <w:vAlign w:val="center"/>
          </w:tcPr>
          <w:p w14:paraId="5CBB35B2">
            <w:pPr>
              <w:spacing w:line="400" w:lineRule="exact"/>
              <w:ind w:left="0" w:firstLine="0"/>
              <w:jc w:val="both"/>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（1</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文登化工产业园:</w:t>
            </w:r>
          </w:p>
          <w:p w14:paraId="6FD45855">
            <w:pPr>
              <w:spacing w:line="400" w:lineRule="exact"/>
              <w:ind w:left="0" w:firstLine="0"/>
              <w:jc w:val="both"/>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东至威泉路，西至堆金路，南至天润路，北至202省道。</w:t>
            </w:r>
          </w:p>
          <w:p w14:paraId="59E738B7">
            <w:pPr>
              <w:spacing w:line="400" w:lineRule="exact"/>
              <w:ind w:left="0" w:firstLine="0"/>
              <w:jc w:val="both"/>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（2</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主城区周边区域：</w:t>
            </w:r>
          </w:p>
          <w:p w14:paraId="2BC1D6DB">
            <w:pPr>
              <w:spacing w:line="400" w:lineRule="exact"/>
              <w:ind w:left="0" w:firstLine="0"/>
              <w:jc w:val="both"/>
              <w:rPr>
                <w:rFonts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东至初张路、香水路、虎山路；南至福谐路、规划玉岭路、秀山路，沿圣经山路向西至温泉路；西至温泉路，宏安集团土地、沿柳林河东侧向北至汕头路；北至汕头路，沿</w:t>
            </w:r>
            <w:r>
              <w:rPr>
                <w:rFonts w:ascii="Times New Roman" w:hAnsi="Times New Roman" w:cs="仿宋_GB2312"/>
                <w:bCs/>
                <w:color w:val="000000" w:themeColor="text1"/>
                <w:sz w:val="24"/>
                <w:szCs w:val="24"/>
                <w14:textFill>
                  <w14:solidFill>
                    <w14:schemeClr w14:val="tx1"/>
                  </w14:solidFill>
                </w14:textFill>
              </w:rPr>
              <w:t>汕头路向东至盛</w:t>
            </w:r>
            <w:r>
              <w:rPr>
                <w:rFonts w:hint="eastAsia" w:ascii="Times New Roman" w:hAnsi="Times New Roman" w:cs="仿宋_GB2312"/>
                <w:bCs/>
                <w:color w:val="000000" w:themeColor="text1"/>
                <w:sz w:val="24"/>
                <w:szCs w:val="24"/>
                <w14:textFill>
                  <w14:solidFill>
                    <w14:schemeClr w14:val="tx1"/>
                  </w14:solidFill>
                </w14:textFill>
              </w:rPr>
              <w:t>基</w:t>
            </w:r>
            <w:r>
              <w:rPr>
                <w:rFonts w:ascii="Times New Roman" w:hAnsi="Times New Roman" w:cs="仿宋_GB2312"/>
                <w:bCs/>
                <w:color w:val="000000" w:themeColor="text1"/>
                <w:sz w:val="24"/>
                <w:szCs w:val="24"/>
                <w14:textFill>
                  <w14:solidFill>
                    <w14:schemeClr w14:val="tx1"/>
                  </w14:solidFill>
                </w14:textFill>
              </w:rPr>
              <w:t>路，沿盛</w:t>
            </w:r>
            <w:r>
              <w:rPr>
                <w:rFonts w:hint="eastAsia" w:ascii="Times New Roman" w:hAnsi="Times New Roman" w:cs="仿宋_GB2312"/>
                <w:bCs/>
                <w:color w:val="000000" w:themeColor="text1"/>
                <w:sz w:val="24"/>
                <w:szCs w:val="24"/>
                <w14:textFill>
                  <w14:solidFill>
                    <w14:schemeClr w14:val="tx1"/>
                  </w14:solidFill>
                </w14:textFill>
              </w:rPr>
              <w:t>基</w:t>
            </w:r>
            <w:r>
              <w:rPr>
                <w:rFonts w:ascii="Times New Roman" w:hAnsi="Times New Roman" w:cs="仿宋_GB2312"/>
                <w:bCs/>
                <w:color w:val="000000" w:themeColor="text1"/>
                <w:sz w:val="24"/>
                <w:szCs w:val="24"/>
                <w14:textFill>
                  <w14:solidFill>
                    <w14:schemeClr w14:val="tx1"/>
                  </w14:solidFill>
                </w14:textFill>
              </w:rPr>
              <w:t>路向北至厦门路，沿厦门路向东至</w:t>
            </w:r>
            <w:r>
              <w:rPr>
                <w:rFonts w:hint="eastAsia" w:ascii="Times New Roman" w:hAnsi="Times New Roman" w:cs="仿宋_GB2312"/>
                <w:bCs/>
                <w:color w:val="000000" w:themeColor="text1"/>
                <w:sz w:val="24"/>
                <w:szCs w:val="24"/>
                <w14:textFill>
                  <w14:solidFill>
                    <w14:schemeClr w14:val="tx1"/>
                  </w14:solidFill>
                </w14:textFill>
              </w:rPr>
              <w:t>初张</w:t>
            </w:r>
            <w:r>
              <w:rPr>
                <w:rFonts w:ascii="Times New Roman" w:hAnsi="Times New Roman" w:cs="仿宋_GB2312"/>
                <w:bCs/>
                <w:color w:val="000000" w:themeColor="text1"/>
                <w:sz w:val="24"/>
                <w:szCs w:val="24"/>
                <w14:textFill>
                  <w14:solidFill>
                    <w14:schemeClr w14:val="tx1"/>
                  </w14:solidFill>
                </w14:textFill>
              </w:rPr>
              <w:t>路</w:t>
            </w:r>
            <w:r>
              <w:rPr>
                <w:rFonts w:hint="eastAsia" w:ascii="Times New Roman" w:hAnsi="Times New Roman" w:cs="仿宋_GB2312"/>
                <w:bCs/>
                <w:color w:val="000000" w:themeColor="text1"/>
                <w:sz w:val="24"/>
                <w:szCs w:val="24"/>
                <w14:textFill>
                  <w14:solidFill>
                    <w14:schemeClr w14:val="tx1"/>
                  </w14:solidFill>
                </w14:textFill>
              </w:rPr>
              <w:t>。</w:t>
            </w:r>
          </w:p>
          <w:p w14:paraId="44040F69">
            <w:pPr>
              <w:spacing w:line="400" w:lineRule="exact"/>
              <w:ind w:left="0" w:firstLine="0"/>
              <w:jc w:val="both"/>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（3</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威</w:t>
            </w:r>
            <w:r>
              <w:rPr>
                <w:rFonts w:ascii="Times New Roman" w:hAnsi="Times New Roman" w:cs="仿宋_GB2312"/>
                <w:bCs/>
                <w:color w:val="000000" w:themeColor="text1"/>
                <w:sz w:val="24"/>
                <w:szCs w:val="24"/>
                <w14:textFill>
                  <w14:solidFill>
                    <w14:schemeClr w14:val="tx1"/>
                  </w14:solidFill>
                </w14:textFill>
              </w:rPr>
              <w:t>海综合</w:t>
            </w:r>
            <w:r>
              <w:rPr>
                <w:rFonts w:hint="eastAsia" w:ascii="Times New Roman" w:hAnsi="Times New Roman" w:cs="仿宋_GB2312"/>
                <w:bCs/>
                <w:color w:val="000000" w:themeColor="text1"/>
                <w:sz w:val="24"/>
                <w:szCs w:val="24"/>
                <w:lang w:val="en-US" w:eastAsia="zh-CN"/>
                <w14:textFill>
                  <w14:solidFill>
                    <w14:schemeClr w14:val="tx1"/>
                  </w14:solidFill>
                </w14:textFill>
              </w:rPr>
              <w:t>保</w:t>
            </w:r>
            <w:r>
              <w:rPr>
                <w:rFonts w:ascii="Times New Roman" w:hAnsi="Times New Roman" w:cs="仿宋_GB2312"/>
                <w:bCs/>
                <w:color w:val="000000" w:themeColor="text1"/>
                <w:sz w:val="24"/>
                <w:szCs w:val="24"/>
                <w14:textFill>
                  <w14:solidFill>
                    <w14:schemeClr w14:val="tx1"/>
                  </w14:solidFill>
                </w14:textFill>
              </w:rPr>
              <w:t>税区南区</w:t>
            </w:r>
            <w:r>
              <w:rPr>
                <w:rFonts w:hint="eastAsia" w:ascii="Times New Roman" w:hAnsi="Times New Roman" w:cs="仿宋_GB2312"/>
                <w:bCs/>
                <w:color w:val="000000" w:themeColor="text1"/>
                <w:sz w:val="24"/>
                <w:szCs w:val="24"/>
                <w14:textFill>
                  <w14:solidFill>
                    <w14:schemeClr w14:val="tx1"/>
                  </w14:solidFill>
                </w14:textFill>
              </w:rPr>
              <w:t>封</w:t>
            </w:r>
            <w:r>
              <w:rPr>
                <w:rFonts w:ascii="Times New Roman" w:hAnsi="Times New Roman" w:cs="仿宋_GB2312"/>
                <w:bCs/>
                <w:color w:val="000000" w:themeColor="text1"/>
                <w:sz w:val="24"/>
                <w:szCs w:val="24"/>
                <w14:textFill>
                  <w14:solidFill>
                    <w14:schemeClr w14:val="tx1"/>
                  </w14:solidFill>
                </w14:textFill>
              </w:rPr>
              <w:t>关区范围内土地。</w:t>
            </w:r>
          </w:p>
        </w:tc>
      </w:tr>
      <w:tr w14:paraId="40C14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4" w:hRule="atLeast"/>
        </w:trPr>
        <w:tc>
          <w:tcPr>
            <w:tcW w:w="2098" w:type="dxa"/>
            <w:shd w:val="clear" w:color="auto" w:fill="auto"/>
            <w:noWrap w:val="0"/>
            <w:vAlign w:val="center"/>
          </w:tcPr>
          <w:p w14:paraId="1B3B3418">
            <w:pPr>
              <w:spacing w:line="40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三级地</w:t>
            </w:r>
          </w:p>
        </w:tc>
        <w:tc>
          <w:tcPr>
            <w:tcW w:w="6561" w:type="dxa"/>
            <w:shd w:val="clear" w:color="auto" w:fill="auto"/>
            <w:noWrap w:val="0"/>
            <w:vAlign w:val="center"/>
          </w:tcPr>
          <w:p w14:paraId="4F02A381">
            <w:pPr>
              <w:spacing w:line="400" w:lineRule="exact"/>
              <w:ind w:left="0" w:firstLine="0"/>
              <w:jc w:val="both"/>
              <w:rPr>
                <w:rFonts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（1</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主城区周边区域：</w:t>
            </w:r>
          </w:p>
          <w:p w14:paraId="0BAB2939">
            <w:pPr>
              <w:spacing w:line="400" w:lineRule="exact"/>
              <w:ind w:left="0" w:firstLine="0"/>
              <w:jc w:val="both"/>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东至威泉路、天润路、虎山路东1000米规划教场路；南至万山路、小嵛岭村、麦疃后村；西至东母猪河东侧、沿东母猪河东侧至</w:t>
            </w:r>
            <w:r>
              <w:rPr>
                <w:rFonts w:ascii="Times New Roman" w:hAnsi="Times New Roman" w:cs="仿宋_GB2312"/>
                <w:bCs/>
                <w:color w:val="000000" w:themeColor="text1"/>
                <w:sz w:val="24"/>
                <w:szCs w:val="24"/>
                <w14:textFill>
                  <w14:solidFill>
                    <w14:schemeClr w14:val="tx1"/>
                  </w14:solidFill>
                </w14:textFill>
              </w:rPr>
              <w:t>米山西路，沿米山西路向西至</w:t>
            </w:r>
            <w:r>
              <w:rPr>
                <w:rFonts w:hint="eastAsia" w:ascii="Times New Roman" w:hAnsi="Times New Roman" w:cs="仿宋_GB2312"/>
                <w:bCs/>
                <w:color w:val="000000" w:themeColor="text1"/>
                <w:sz w:val="24"/>
                <w:szCs w:val="24"/>
                <w14:textFill>
                  <w14:solidFill>
                    <w14:schemeClr w14:val="tx1"/>
                  </w14:solidFill>
                </w14:textFill>
              </w:rPr>
              <w:t>站东路、沿站</w:t>
            </w:r>
            <w:r>
              <w:rPr>
                <w:rFonts w:ascii="Times New Roman" w:hAnsi="Times New Roman" w:cs="仿宋_GB2312"/>
                <w:bCs/>
                <w:color w:val="000000" w:themeColor="text1"/>
                <w:sz w:val="24"/>
                <w:szCs w:val="24"/>
                <w14:textFill>
                  <w14:solidFill>
                    <w14:schemeClr w14:val="tx1"/>
                  </w14:solidFill>
                </w14:textFill>
              </w:rPr>
              <w:t>东路向北至</w:t>
            </w:r>
            <w:r>
              <w:rPr>
                <w:rFonts w:hint="eastAsia" w:ascii="Times New Roman" w:hAnsi="Times New Roman" w:cs="仿宋_GB2312"/>
                <w:bCs/>
                <w:color w:val="000000" w:themeColor="text1"/>
                <w:sz w:val="24"/>
                <w:szCs w:val="24"/>
                <w14:textFill>
                  <w14:solidFill>
                    <w14:schemeClr w14:val="tx1"/>
                  </w14:solidFill>
                </w14:textFill>
              </w:rPr>
              <w:t>文</w:t>
            </w:r>
            <w:r>
              <w:rPr>
                <w:rFonts w:ascii="Times New Roman" w:hAnsi="Times New Roman" w:cs="仿宋_GB2312"/>
                <w:bCs/>
                <w:color w:val="000000" w:themeColor="text1"/>
                <w:sz w:val="24"/>
                <w:szCs w:val="24"/>
                <w14:textFill>
                  <w14:solidFill>
                    <w14:schemeClr w14:val="tx1"/>
                  </w14:solidFill>
                </w14:textFill>
              </w:rPr>
              <w:t>山西路</w:t>
            </w:r>
            <w:r>
              <w:rPr>
                <w:rFonts w:hint="eastAsia" w:ascii="Times New Roman" w:hAnsi="Times New Roman" w:cs="仿宋_GB2312"/>
                <w:bCs/>
                <w:color w:val="000000" w:themeColor="text1"/>
                <w:sz w:val="24"/>
                <w:szCs w:val="24"/>
                <w14:textFill>
                  <w14:solidFill>
                    <w14:schemeClr w14:val="tx1"/>
                  </w14:solidFill>
                </w14:textFill>
              </w:rPr>
              <w:t>，</w:t>
            </w:r>
            <w:r>
              <w:rPr>
                <w:rFonts w:ascii="Times New Roman" w:hAnsi="Times New Roman" w:cs="仿宋_GB2312"/>
                <w:bCs/>
                <w:color w:val="000000" w:themeColor="text1"/>
                <w:sz w:val="24"/>
                <w:szCs w:val="24"/>
                <w14:textFill>
                  <w14:solidFill>
                    <w14:schemeClr w14:val="tx1"/>
                  </w14:solidFill>
                </w14:textFill>
              </w:rPr>
              <w:t>沿文山西路向东至东</w:t>
            </w:r>
            <w:r>
              <w:rPr>
                <w:rFonts w:hint="eastAsia" w:ascii="Times New Roman" w:hAnsi="Times New Roman" w:cs="仿宋_GB2312"/>
                <w:bCs/>
                <w:color w:val="000000" w:themeColor="text1"/>
                <w:sz w:val="24"/>
                <w:szCs w:val="24"/>
                <w14:textFill>
                  <w14:solidFill>
                    <w14:schemeClr w14:val="tx1"/>
                  </w14:solidFill>
                </w14:textFill>
              </w:rPr>
              <w:t>母猪河东侧、桃威铁路；北至文登经济开发区行政界线。</w:t>
            </w:r>
          </w:p>
          <w:p w14:paraId="6737ECC1">
            <w:pPr>
              <w:spacing w:line="400" w:lineRule="exact"/>
              <w:ind w:left="0" w:firstLine="0"/>
              <w:jc w:val="both"/>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（2</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威</w:t>
            </w:r>
            <w:r>
              <w:rPr>
                <w:rFonts w:ascii="Times New Roman" w:hAnsi="Times New Roman" w:cs="仿宋_GB2312"/>
                <w:bCs/>
                <w:color w:val="000000" w:themeColor="text1"/>
                <w:sz w:val="24"/>
                <w:szCs w:val="24"/>
                <w14:textFill>
                  <w14:solidFill>
                    <w14:schemeClr w14:val="tx1"/>
                  </w14:solidFill>
                </w14:textFill>
              </w:rPr>
              <w:t>海综合</w:t>
            </w:r>
            <w:r>
              <w:rPr>
                <w:rFonts w:hint="eastAsia" w:ascii="Times New Roman" w:hAnsi="Times New Roman" w:cs="仿宋_GB2312"/>
                <w:bCs/>
                <w:color w:val="000000" w:themeColor="text1"/>
                <w:sz w:val="24"/>
                <w:szCs w:val="24"/>
                <w:lang w:val="en-US" w:eastAsia="zh-CN"/>
                <w14:textFill>
                  <w14:solidFill>
                    <w14:schemeClr w14:val="tx1"/>
                  </w14:solidFill>
                </w14:textFill>
              </w:rPr>
              <w:t>保</w:t>
            </w:r>
            <w:bookmarkStart w:id="4" w:name="_GoBack"/>
            <w:bookmarkEnd w:id="4"/>
            <w:r>
              <w:rPr>
                <w:rFonts w:ascii="Times New Roman" w:hAnsi="Times New Roman" w:cs="仿宋_GB2312"/>
                <w:bCs/>
                <w:color w:val="000000" w:themeColor="text1"/>
                <w:sz w:val="24"/>
                <w:szCs w:val="24"/>
                <w14:textFill>
                  <w14:solidFill>
                    <w14:schemeClr w14:val="tx1"/>
                  </w14:solidFill>
                </w14:textFill>
              </w:rPr>
              <w:t>税区南区服务区范围内土地。</w:t>
            </w:r>
          </w:p>
        </w:tc>
      </w:tr>
      <w:tr w14:paraId="1C839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098" w:type="dxa"/>
            <w:shd w:val="clear" w:color="auto" w:fill="auto"/>
            <w:noWrap w:val="0"/>
            <w:vAlign w:val="center"/>
          </w:tcPr>
          <w:p w14:paraId="6C10AF17">
            <w:pPr>
              <w:spacing w:line="400" w:lineRule="exact"/>
              <w:ind w:left="0" w:firstLine="0"/>
              <w:jc w:val="center"/>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四级地</w:t>
            </w:r>
          </w:p>
        </w:tc>
        <w:tc>
          <w:tcPr>
            <w:tcW w:w="6561" w:type="dxa"/>
            <w:shd w:val="clear" w:color="auto" w:fill="auto"/>
            <w:noWrap w:val="0"/>
            <w:vAlign w:val="center"/>
          </w:tcPr>
          <w:p w14:paraId="19ADD8F8">
            <w:pPr>
              <w:spacing w:line="400" w:lineRule="exact"/>
              <w:ind w:left="0" w:firstLine="0"/>
              <w:jc w:val="both"/>
              <w:rPr>
                <w:rFonts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（1</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城区</w:t>
            </w:r>
            <w:r>
              <w:rPr>
                <w:rFonts w:ascii="Times New Roman" w:hAnsi="Times New Roman" w:cs="仿宋_GB2312"/>
                <w:bCs/>
                <w:color w:val="000000" w:themeColor="text1"/>
                <w:sz w:val="24"/>
                <w:szCs w:val="24"/>
                <w14:textFill>
                  <w14:solidFill>
                    <w14:schemeClr w14:val="tx1"/>
                  </w14:solidFill>
                </w14:textFill>
              </w:rPr>
              <w:t>范围</w:t>
            </w:r>
            <w:r>
              <w:rPr>
                <w:rFonts w:hint="eastAsia" w:ascii="Times New Roman" w:hAnsi="Times New Roman" w:cs="仿宋_GB2312"/>
                <w:bCs/>
                <w:color w:val="000000" w:themeColor="text1"/>
                <w:sz w:val="24"/>
                <w:szCs w:val="24"/>
                <w14:textFill>
                  <w14:solidFill>
                    <w14:schemeClr w14:val="tx1"/>
                  </w14:solidFill>
                </w14:textFill>
              </w:rPr>
              <w:t>内一</w:t>
            </w:r>
            <w:r>
              <w:rPr>
                <w:rFonts w:ascii="Times New Roman" w:hAnsi="Times New Roman" w:cs="仿宋_GB2312"/>
                <w:bCs/>
                <w:color w:val="000000" w:themeColor="text1"/>
                <w:sz w:val="24"/>
                <w:szCs w:val="24"/>
                <w14:textFill>
                  <w14:solidFill>
                    <w14:schemeClr w14:val="tx1"/>
                  </w14:solidFill>
                </w14:textFill>
              </w:rPr>
              <w:t>、二、</w:t>
            </w:r>
            <w:r>
              <w:rPr>
                <w:rFonts w:hint="eastAsia" w:ascii="Times New Roman" w:hAnsi="Times New Roman" w:cs="仿宋_GB2312"/>
                <w:bCs/>
                <w:color w:val="000000" w:themeColor="text1"/>
                <w:sz w:val="24"/>
                <w:szCs w:val="24"/>
                <w14:textFill>
                  <w14:solidFill>
                    <w14:schemeClr w14:val="tx1"/>
                  </w14:solidFill>
                </w14:textFill>
              </w:rPr>
              <w:t>三级地以外为四级地。</w:t>
            </w:r>
          </w:p>
          <w:p w14:paraId="64896084">
            <w:pPr>
              <w:spacing w:line="400" w:lineRule="exact"/>
              <w:ind w:left="0" w:firstLine="0"/>
              <w:jc w:val="both"/>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（2</w:t>
            </w:r>
            <w:r>
              <w:rPr>
                <w:rFonts w:ascii="Times New Roman" w:hAnsi="Times New Roman" w:cs="仿宋_GB2312"/>
                <w:bCs/>
                <w:color w:val="000000" w:themeColor="text1"/>
                <w:sz w:val="24"/>
                <w:szCs w:val="24"/>
                <w14:textFill>
                  <w14:solidFill>
                    <w14:schemeClr w14:val="tx1"/>
                  </w14:solidFill>
                </w14:textFill>
              </w:rPr>
              <w:t>）</w:t>
            </w:r>
            <w:r>
              <w:rPr>
                <w:rFonts w:hint="eastAsia" w:ascii="Times New Roman" w:hAnsi="Times New Roman" w:cs="仿宋_GB2312"/>
                <w:bCs/>
                <w:color w:val="000000" w:themeColor="text1"/>
                <w:sz w:val="24"/>
                <w:szCs w:val="24"/>
                <w14:textFill>
                  <w14:solidFill>
                    <w14:schemeClr w14:val="tx1"/>
                  </w14:solidFill>
                </w14:textFill>
              </w:rPr>
              <w:t>大</w:t>
            </w:r>
            <w:r>
              <w:rPr>
                <w:rFonts w:ascii="Times New Roman" w:hAnsi="Times New Roman" w:cs="仿宋_GB2312"/>
                <w:bCs/>
                <w:color w:val="000000" w:themeColor="text1"/>
                <w:sz w:val="24"/>
                <w:szCs w:val="24"/>
                <w14:textFill>
                  <w14:solidFill>
                    <w14:schemeClr w14:val="tx1"/>
                  </w14:solidFill>
                </w14:textFill>
              </w:rPr>
              <w:t>水</w:t>
            </w:r>
            <w:r>
              <w:rPr>
                <w:rFonts w:hint="eastAsia" w:ascii="Times New Roman" w:hAnsi="Times New Roman" w:cs="仿宋_GB2312"/>
                <w:bCs/>
                <w:color w:val="000000" w:themeColor="text1"/>
                <w:sz w:val="24"/>
                <w:szCs w:val="24"/>
                <w:lang w:val="en-US" w:eastAsia="zh-CN"/>
                <w14:textFill>
                  <w14:solidFill>
                    <w14:schemeClr w14:val="tx1"/>
                  </w14:solidFill>
                </w14:textFill>
              </w:rPr>
              <w:t>泊</w:t>
            </w:r>
            <w:r>
              <w:rPr>
                <w:rFonts w:hint="eastAsia" w:ascii="Times New Roman" w:hAnsi="Times New Roman" w:cs="仿宋_GB2312"/>
                <w:bCs/>
                <w:color w:val="000000" w:themeColor="text1"/>
                <w:sz w:val="24"/>
                <w:szCs w:val="24"/>
                <w14:textFill>
                  <w14:solidFill>
                    <w14:schemeClr w14:val="tx1"/>
                  </w14:solidFill>
                </w14:textFill>
              </w:rPr>
              <w:t>镇</w:t>
            </w:r>
            <w:r>
              <w:rPr>
                <w:rFonts w:ascii="Times New Roman" w:hAnsi="Times New Roman" w:cs="仿宋_GB2312"/>
                <w:bCs/>
                <w:color w:val="000000" w:themeColor="text1"/>
                <w:sz w:val="24"/>
                <w:szCs w:val="24"/>
                <w14:textFill>
                  <w14:solidFill>
                    <w14:schemeClr w14:val="tx1"/>
                  </w14:solidFill>
                </w14:textFill>
              </w:rPr>
              <w:t>、张家产镇、高村镇、泽库镇、侯家镇、宋村镇、泽头镇、小观镇、</w:t>
            </w:r>
            <w:r>
              <w:rPr>
                <w:rFonts w:hint="eastAsia" w:ascii="Times New Roman" w:hAnsi="Times New Roman" w:cs="仿宋_GB2312"/>
                <w:bCs/>
                <w:color w:val="000000" w:themeColor="text1"/>
                <w:sz w:val="24"/>
                <w:szCs w:val="24"/>
                <w14:textFill>
                  <w14:solidFill>
                    <w14:schemeClr w14:val="tx1"/>
                  </w14:solidFill>
                </w14:textFill>
              </w:rPr>
              <w:t>葛</w:t>
            </w:r>
            <w:r>
              <w:rPr>
                <w:rFonts w:ascii="Times New Roman" w:hAnsi="Times New Roman" w:cs="仿宋_GB2312"/>
                <w:bCs/>
                <w:color w:val="000000" w:themeColor="text1"/>
                <w:sz w:val="24"/>
                <w:szCs w:val="24"/>
                <w14:textFill>
                  <w14:solidFill>
                    <w14:schemeClr w14:val="tx1"/>
                  </w14:solidFill>
                </w14:textFill>
              </w:rPr>
              <w:t>家镇、米山镇、界石镇土地。</w:t>
            </w:r>
          </w:p>
        </w:tc>
      </w:tr>
    </w:tbl>
    <w:p w14:paraId="631C6B5B">
      <w:pPr>
        <w:ind w:left="0" w:firstLine="0"/>
        <w:rPr>
          <w:rFonts w:ascii="Times New Roman" w:hAnsi="Times New Roman" w:eastAsia="黑体"/>
          <w:color w:val="000000" w:themeColor="text1"/>
          <w14:textFill>
            <w14:solidFill>
              <w14:schemeClr w14:val="tx1"/>
            </w14:solidFill>
          </w14:textFill>
        </w:rPr>
      </w:pPr>
      <w:r>
        <w:rPr>
          <w:rFonts w:ascii="Times New Roman" w:hAnsi="Times New Roman"/>
          <w:b/>
          <w:color w:val="000000" w:themeColor="text1"/>
          <w:szCs w:val="32"/>
          <w14:textFill>
            <w14:solidFill>
              <w14:schemeClr w14:val="tx1"/>
            </w14:solidFill>
          </w14:textFill>
        </w:rPr>
        <w:br w:type="page"/>
      </w:r>
      <w:r>
        <w:rPr>
          <w:rFonts w:ascii="Times New Roman" w:hAnsi="Times New Roman" w:eastAsia="黑体"/>
          <w:color w:val="000000" w:themeColor="text1"/>
          <w14:textFill>
            <w14:solidFill>
              <w14:schemeClr w14:val="tx1"/>
            </w14:solidFill>
          </w14:textFill>
        </w:rPr>
        <w:t>附件2</w:t>
      </w:r>
    </w:p>
    <w:tbl>
      <w:tblPr>
        <w:tblStyle w:val="12"/>
        <w:tblW w:w="9488" w:type="dxa"/>
        <w:jc w:val="center"/>
        <w:tblLayout w:type="autofit"/>
        <w:tblCellMar>
          <w:top w:w="0" w:type="dxa"/>
          <w:left w:w="108" w:type="dxa"/>
          <w:bottom w:w="0" w:type="dxa"/>
          <w:right w:w="108" w:type="dxa"/>
        </w:tblCellMar>
      </w:tblPr>
      <w:tblGrid>
        <w:gridCol w:w="1325"/>
        <w:gridCol w:w="1644"/>
        <w:gridCol w:w="1756"/>
        <w:gridCol w:w="1756"/>
        <w:gridCol w:w="1588"/>
        <w:gridCol w:w="1419"/>
      </w:tblGrid>
      <w:tr w14:paraId="3C7E76BB">
        <w:tblPrEx>
          <w:tblCellMar>
            <w:top w:w="0" w:type="dxa"/>
            <w:left w:w="108" w:type="dxa"/>
            <w:bottom w:w="0" w:type="dxa"/>
            <w:right w:w="108" w:type="dxa"/>
          </w:tblCellMar>
        </w:tblPrEx>
        <w:trPr>
          <w:trHeight w:val="748" w:hRule="atLeast"/>
          <w:jc w:val="center"/>
        </w:trPr>
        <w:tc>
          <w:tcPr>
            <w:tcW w:w="9488" w:type="dxa"/>
            <w:gridSpan w:val="6"/>
            <w:tcBorders>
              <w:top w:val="nil"/>
              <w:left w:val="nil"/>
              <w:bottom w:val="nil"/>
              <w:right w:val="nil"/>
            </w:tcBorders>
            <w:noWrap/>
            <w:vAlign w:val="center"/>
          </w:tcPr>
          <w:p w14:paraId="35CDA3E3">
            <w:pPr>
              <w:widowControl/>
              <w:ind w:left="0" w:firstLine="0"/>
              <w:jc w:val="center"/>
              <w:textAlignment w:val="center"/>
              <w:rPr>
                <w:rFonts w:hint="eastAsia" w:ascii="Times New Roman" w:hAnsi="Times New Roman" w:eastAsia="宋体" w:cs="宋体"/>
                <w:b/>
                <w:bCs/>
                <w:color w:val="000000" w:themeColor="text1"/>
                <w:sz w:val="40"/>
                <w:szCs w:val="40"/>
                <w14:textFill>
                  <w14:solidFill>
                    <w14:schemeClr w14:val="tx1"/>
                  </w14:solidFill>
                </w14:textFill>
              </w:rPr>
            </w:pPr>
            <w:r>
              <w:rPr>
                <w:rFonts w:hint="eastAsia" w:ascii="Times New Roman" w:hAnsi="Times New Roman" w:eastAsia="方正小标宋简体" w:cs="方正小标宋简体"/>
                <w:color w:val="000000" w:themeColor="text1"/>
                <w:sz w:val="40"/>
                <w:szCs w:val="40"/>
                <w:lang w:bidi="ar"/>
                <w14:textFill>
                  <w14:solidFill>
                    <w14:schemeClr w14:val="tx1"/>
                  </w14:solidFill>
                </w14:textFill>
              </w:rPr>
              <w:t>文登区基准地价表</w:t>
            </w:r>
          </w:p>
        </w:tc>
      </w:tr>
      <w:tr w14:paraId="2655588C">
        <w:tblPrEx>
          <w:tblCellMar>
            <w:top w:w="0" w:type="dxa"/>
            <w:left w:w="108" w:type="dxa"/>
            <w:bottom w:w="0" w:type="dxa"/>
            <w:right w:w="108" w:type="dxa"/>
          </w:tblCellMar>
        </w:tblPrEx>
        <w:trPr>
          <w:trHeight w:val="636" w:hRule="atLeast"/>
          <w:jc w:val="center"/>
        </w:trPr>
        <w:tc>
          <w:tcPr>
            <w:tcW w:w="0" w:type="auto"/>
            <w:tcBorders>
              <w:top w:val="nil"/>
              <w:left w:val="nil"/>
              <w:bottom w:val="nil"/>
              <w:right w:val="nil"/>
            </w:tcBorders>
            <w:noWrap/>
            <w:vAlign w:val="center"/>
          </w:tcPr>
          <w:p w14:paraId="76707C4D">
            <w:pPr>
              <w:jc w:val="center"/>
              <w:rPr>
                <w:rFonts w:hint="eastAsia" w:ascii="Times New Roman" w:hAnsi="Times New Roman" w:eastAsia="宋体" w:cs="宋体"/>
                <w:b/>
                <w:bCs/>
                <w:color w:val="000000" w:themeColor="text1"/>
                <w:sz w:val="40"/>
                <w:szCs w:val="40"/>
                <w14:textFill>
                  <w14:solidFill>
                    <w14:schemeClr w14:val="tx1"/>
                  </w14:solidFill>
                </w14:textFill>
              </w:rPr>
            </w:pPr>
          </w:p>
        </w:tc>
        <w:tc>
          <w:tcPr>
            <w:tcW w:w="0" w:type="auto"/>
            <w:tcBorders>
              <w:top w:val="nil"/>
              <w:left w:val="nil"/>
              <w:bottom w:val="nil"/>
              <w:right w:val="nil"/>
            </w:tcBorders>
            <w:noWrap/>
            <w:vAlign w:val="center"/>
          </w:tcPr>
          <w:p w14:paraId="1CE2830E">
            <w:pPr>
              <w:jc w:val="center"/>
              <w:rPr>
                <w:rFonts w:hint="eastAsia" w:ascii="Times New Roman" w:hAnsi="Times New Roman" w:eastAsia="宋体" w:cs="宋体"/>
                <w:b/>
                <w:bCs/>
                <w:color w:val="000000" w:themeColor="text1"/>
                <w:sz w:val="40"/>
                <w:szCs w:val="40"/>
                <w14:textFill>
                  <w14:solidFill>
                    <w14:schemeClr w14:val="tx1"/>
                  </w14:solidFill>
                </w14:textFill>
              </w:rPr>
            </w:pPr>
          </w:p>
        </w:tc>
        <w:tc>
          <w:tcPr>
            <w:tcW w:w="0" w:type="auto"/>
            <w:tcBorders>
              <w:top w:val="nil"/>
              <w:left w:val="nil"/>
              <w:bottom w:val="nil"/>
              <w:right w:val="nil"/>
            </w:tcBorders>
            <w:noWrap/>
            <w:vAlign w:val="center"/>
          </w:tcPr>
          <w:p w14:paraId="1E8FA21E">
            <w:pPr>
              <w:jc w:val="center"/>
              <w:rPr>
                <w:rFonts w:hint="eastAsia" w:ascii="Times New Roman" w:hAnsi="Times New Roman" w:eastAsia="宋体" w:cs="宋体"/>
                <w:b/>
                <w:bCs/>
                <w:color w:val="000000" w:themeColor="text1"/>
                <w:sz w:val="40"/>
                <w:szCs w:val="40"/>
                <w14:textFill>
                  <w14:solidFill>
                    <w14:schemeClr w14:val="tx1"/>
                  </w14:solidFill>
                </w14:textFill>
              </w:rPr>
            </w:pPr>
          </w:p>
        </w:tc>
        <w:tc>
          <w:tcPr>
            <w:tcW w:w="0" w:type="auto"/>
            <w:tcBorders>
              <w:top w:val="nil"/>
              <w:left w:val="nil"/>
              <w:bottom w:val="nil"/>
              <w:right w:val="nil"/>
            </w:tcBorders>
            <w:noWrap/>
            <w:vAlign w:val="center"/>
          </w:tcPr>
          <w:p w14:paraId="5624D0E2">
            <w:pPr>
              <w:jc w:val="center"/>
              <w:rPr>
                <w:rFonts w:hint="eastAsia" w:ascii="Times New Roman" w:hAnsi="Times New Roman" w:eastAsia="宋体" w:cs="宋体"/>
                <w:b/>
                <w:bCs/>
                <w:color w:val="000000" w:themeColor="text1"/>
                <w:sz w:val="40"/>
                <w:szCs w:val="40"/>
                <w14:textFill>
                  <w14:solidFill>
                    <w14:schemeClr w14:val="tx1"/>
                  </w14:solidFill>
                </w14:textFill>
              </w:rPr>
            </w:pPr>
          </w:p>
        </w:tc>
        <w:tc>
          <w:tcPr>
            <w:tcW w:w="0" w:type="auto"/>
            <w:gridSpan w:val="2"/>
            <w:tcBorders>
              <w:top w:val="nil"/>
              <w:left w:val="nil"/>
              <w:bottom w:val="single" w:color="000000" w:sz="4" w:space="0"/>
              <w:right w:val="nil"/>
            </w:tcBorders>
            <w:noWrap/>
            <w:vAlign w:val="center"/>
          </w:tcPr>
          <w:p w14:paraId="7F2E09F1">
            <w:pPr>
              <w:widowControl/>
              <w:jc w:val="right"/>
              <w:textAlignment w:val="center"/>
              <w:rPr>
                <w:rFonts w:hint="eastAsia" w:ascii="Times New Roman" w:hAnsi="Times New Roman" w:eastAsia="宋体" w:cs="宋体"/>
                <w:color w:val="000000" w:themeColor="text1"/>
                <w:sz w:val="20"/>
                <w14:textFill>
                  <w14:solidFill>
                    <w14:schemeClr w14:val="tx1"/>
                  </w14:solidFill>
                </w14:textFill>
              </w:rPr>
            </w:pPr>
            <w:r>
              <w:rPr>
                <w:rFonts w:hint="eastAsia" w:ascii="Times New Roman" w:hAnsi="Times New Roman" w:eastAsia="楷体_GB2312" w:cs="楷体_GB2312"/>
                <w:color w:val="000000" w:themeColor="text1"/>
                <w:sz w:val="24"/>
                <w:szCs w:val="24"/>
                <w:lang w:bidi="ar"/>
                <w14:textFill>
                  <w14:solidFill>
                    <w14:schemeClr w14:val="tx1"/>
                  </w14:solidFill>
                </w14:textFill>
              </w:rPr>
              <w:t>单位：元/平方米</w:t>
            </w:r>
          </w:p>
        </w:tc>
      </w:tr>
      <w:tr w14:paraId="6AB5EDE0">
        <w:tblPrEx>
          <w:tblCellMar>
            <w:top w:w="0" w:type="dxa"/>
            <w:left w:w="108" w:type="dxa"/>
            <w:bottom w:w="0" w:type="dxa"/>
            <w:right w:w="108" w:type="dxa"/>
          </w:tblCellMar>
        </w:tblPrEx>
        <w:trPr>
          <w:trHeight w:val="616"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59399A1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用途</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515BA7">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项目</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B8E20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一级</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BD9FA4">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二级</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3FCD0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三级</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223C6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四级</w:t>
            </w:r>
          </w:p>
        </w:tc>
      </w:tr>
      <w:tr w14:paraId="2F9A3B0E">
        <w:tblPrEx>
          <w:tblCellMar>
            <w:top w:w="0" w:type="dxa"/>
            <w:left w:w="108" w:type="dxa"/>
            <w:bottom w:w="0" w:type="dxa"/>
            <w:right w:w="108" w:type="dxa"/>
          </w:tblCellMar>
        </w:tblPrEx>
        <w:trPr>
          <w:trHeight w:val="603"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noWrap/>
            <w:vAlign w:val="center"/>
          </w:tcPr>
          <w:p w14:paraId="702B84F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商服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BEA783">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738E49">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2459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7211A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1735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8CF97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1068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ABE20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782 </w:t>
            </w:r>
          </w:p>
        </w:tc>
      </w:tr>
      <w:tr w14:paraId="5514EE48">
        <w:tblPrEx>
          <w:tblCellMar>
            <w:top w:w="0" w:type="dxa"/>
            <w:left w:w="108" w:type="dxa"/>
            <w:bottom w:w="0" w:type="dxa"/>
            <w:right w:w="108" w:type="dxa"/>
          </w:tblCellMar>
        </w:tblPrEx>
        <w:trPr>
          <w:trHeight w:val="603"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noWrap/>
            <w:vAlign w:val="center"/>
          </w:tcPr>
          <w:p w14:paraId="311A3BB8">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29F2F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楼面地价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691F6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1756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452A6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1239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F8157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763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F401E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559 </w:t>
            </w:r>
          </w:p>
        </w:tc>
      </w:tr>
      <w:tr w14:paraId="4C64F682">
        <w:tblPrEx>
          <w:tblCellMar>
            <w:top w:w="0" w:type="dxa"/>
            <w:left w:w="108" w:type="dxa"/>
            <w:bottom w:w="0" w:type="dxa"/>
            <w:right w:w="108" w:type="dxa"/>
          </w:tblCellMar>
        </w:tblPrEx>
        <w:trPr>
          <w:trHeight w:val="603"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noWrap/>
            <w:vAlign w:val="center"/>
          </w:tcPr>
          <w:p w14:paraId="6AE46CC1">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CB4A5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579478">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2166-3198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451F2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1218-2253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4A0B37">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797-1336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7DD743">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623-939</w:t>
            </w:r>
          </w:p>
        </w:tc>
      </w:tr>
      <w:tr w14:paraId="0AB622C6">
        <w:tblPrEx>
          <w:tblCellMar>
            <w:top w:w="0" w:type="dxa"/>
            <w:left w:w="108" w:type="dxa"/>
            <w:bottom w:w="0" w:type="dxa"/>
            <w:right w:w="108" w:type="dxa"/>
          </w:tblCellMar>
        </w:tblPrEx>
        <w:trPr>
          <w:trHeight w:val="603"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noWrap/>
            <w:vAlign w:val="center"/>
          </w:tcPr>
          <w:p w14:paraId="224272E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住宅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8572C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673AD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1732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084C2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1072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28D98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814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6DF755">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644 </w:t>
            </w:r>
          </w:p>
        </w:tc>
      </w:tr>
      <w:tr w14:paraId="63A0BDCB">
        <w:tblPrEx>
          <w:tblCellMar>
            <w:top w:w="0" w:type="dxa"/>
            <w:left w:w="108" w:type="dxa"/>
            <w:bottom w:w="0" w:type="dxa"/>
            <w:right w:w="108" w:type="dxa"/>
          </w:tblCellMar>
        </w:tblPrEx>
        <w:trPr>
          <w:trHeight w:val="603"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noWrap/>
            <w:vAlign w:val="center"/>
          </w:tcPr>
          <w:p w14:paraId="6895202B">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A2747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楼面地价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D4D83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1237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BAF33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766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9797F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581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704A21">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460 </w:t>
            </w:r>
          </w:p>
        </w:tc>
      </w:tr>
      <w:tr w14:paraId="6684841B">
        <w:tblPrEx>
          <w:tblCellMar>
            <w:top w:w="0" w:type="dxa"/>
            <w:left w:w="108" w:type="dxa"/>
            <w:bottom w:w="0" w:type="dxa"/>
            <w:right w:w="108" w:type="dxa"/>
          </w:tblCellMar>
        </w:tblPrEx>
        <w:trPr>
          <w:trHeight w:val="603"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noWrap/>
            <w:vAlign w:val="center"/>
          </w:tcPr>
          <w:p w14:paraId="67D75920">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9C1AA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F170C4">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1214-2258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E84B0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800-1343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364DF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650-978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62E3F8">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516-776</w:t>
            </w:r>
          </w:p>
        </w:tc>
      </w:tr>
      <w:tr w14:paraId="358DD92A">
        <w:tblPrEx>
          <w:tblCellMar>
            <w:top w:w="0" w:type="dxa"/>
            <w:left w:w="108" w:type="dxa"/>
            <w:bottom w:w="0" w:type="dxa"/>
            <w:right w:w="108" w:type="dxa"/>
          </w:tblCellMar>
        </w:tblPrEx>
        <w:trPr>
          <w:trHeight w:val="603"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noWrap/>
            <w:vAlign w:val="center"/>
          </w:tcPr>
          <w:p w14:paraId="7C9A533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工业</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58C497">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6C4D81">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553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BDB0B1">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496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441F3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407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31DB69">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351 </w:t>
            </w:r>
          </w:p>
        </w:tc>
      </w:tr>
      <w:tr w14:paraId="6E3183C0">
        <w:tblPrEx>
          <w:tblCellMar>
            <w:top w:w="0" w:type="dxa"/>
            <w:left w:w="108" w:type="dxa"/>
            <w:bottom w:w="0" w:type="dxa"/>
            <w:right w:w="108" w:type="dxa"/>
          </w:tblCellMar>
        </w:tblPrEx>
        <w:trPr>
          <w:trHeight w:val="603"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noWrap/>
            <w:vAlign w:val="center"/>
          </w:tcPr>
          <w:p w14:paraId="612AE253">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F944D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96B928">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443-665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B8ACB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420-572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C85CC9">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366-449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23DA4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315-387</w:t>
            </w:r>
          </w:p>
        </w:tc>
      </w:tr>
      <w:tr w14:paraId="1F1D5310">
        <w:tblPrEx>
          <w:tblCellMar>
            <w:top w:w="0" w:type="dxa"/>
            <w:left w:w="108" w:type="dxa"/>
            <w:bottom w:w="0" w:type="dxa"/>
            <w:right w:w="108" w:type="dxa"/>
          </w:tblCellMar>
        </w:tblPrEx>
        <w:trPr>
          <w:trHeight w:val="603" w:hRule="atLeast"/>
          <w:jc w:val="center"/>
        </w:trPr>
        <w:tc>
          <w:tcPr>
            <w:tcW w:w="1199" w:type="dxa"/>
            <w:vMerge w:val="restart"/>
            <w:tcBorders>
              <w:top w:val="single" w:color="000000" w:sz="4" w:space="0"/>
              <w:left w:val="single" w:color="000000" w:sz="4" w:space="0"/>
              <w:bottom w:val="single" w:color="000000" w:sz="4" w:space="0"/>
              <w:right w:val="single" w:color="000000" w:sz="4" w:space="0"/>
            </w:tcBorders>
            <w:noWrap w:val="0"/>
            <w:vAlign w:val="center"/>
          </w:tcPr>
          <w:p w14:paraId="1FD42FF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机关团体</w:t>
            </w:r>
            <w:r>
              <w:rPr>
                <w:rFonts w:hint="eastAsia" w:ascii="Times New Roman" w:hAnsi="Times New Roman" w:cs="仿宋_GB2312"/>
                <w:color w:val="000000" w:themeColor="text1"/>
                <w:sz w:val="24"/>
                <w:szCs w:val="24"/>
                <w:lang w:bidi="ar"/>
                <w14:textFill>
                  <w14:solidFill>
                    <w14:schemeClr w14:val="tx1"/>
                  </w14:solidFill>
                </w14:textFill>
              </w:rPr>
              <w:br w:type="textWrapping"/>
            </w:r>
            <w:r>
              <w:rPr>
                <w:rFonts w:hint="eastAsia" w:ascii="Times New Roman" w:hAnsi="Times New Roman" w:cs="仿宋_GB2312"/>
                <w:color w:val="000000" w:themeColor="text1"/>
                <w:sz w:val="24"/>
                <w:szCs w:val="24"/>
                <w:lang w:bidi="ar"/>
                <w14:textFill>
                  <w14:solidFill>
                    <w14:schemeClr w14:val="tx1"/>
                  </w14:solidFill>
                </w14:textFill>
              </w:rPr>
              <w:t>医疗卫生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9268E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FCB53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1967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E2DBA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1388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BD2E3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854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6349D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626 </w:t>
            </w:r>
          </w:p>
        </w:tc>
      </w:tr>
      <w:tr w14:paraId="4B83461C">
        <w:tblPrEx>
          <w:tblCellMar>
            <w:top w:w="0" w:type="dxa"/>
            <w:left w:w="108" w:type="dxa"/>
            <w:bottom w:w="0" w:type="dxa"/>
            <w:right w:w="108" w:type="dxa"/>
          </w:tblCellMar>
        </w:tblPrEx>
        <w:trPr>
          <w:trHeight w:val="603" w:hRule="atLeast"/>
          <w:jc w:val="center"/>
        </w:trPr>
        <w:tc>
          <w:tcPr>
            <w:tcW w:w="119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8324A6">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9C21B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楼面地价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14F909">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1405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E9390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991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26264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610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295E7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447 </w:t>
            </w:r>
          </w:p>
        </w:tc>
      </w:tr>
      <w:tr w14:paraId="2DFA5260">
        <w:tblPrEx>
          <w:tblCellMar>
            <w:top w:w="0" w:type="dxa"/>
            <w:left w:w="108" w:type="dxa"/>
            <w:bottom w:w="0" w:type="dxa"/>
            <w:right w:w="108" w:type="dxa"/>
          </w:tblCellMar>
        </w:tblPrEx>
        <w:trPr>
          <w:trHeight w:val="603" w:hRule="atLeast"/>
          <w:jc w:val="center"/>
        </w:trPr>
        <w:tc>
          <w:tcPr>
            <w:tcW w:w="119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0FB9D2">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C01C5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087E08">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1373-2559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C67A33">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974-1802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98BAF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637-1069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5B5C2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499-751</w:t>
            </w:r>
          </w:p>
        </w:tc>
      </w:tr>
      <w:tr w14:paraId="7749EFC3">
        <w:tblPrEx>
          <w:tblCellMar>
            <w:top w:w="0" w:type="dxa"/>
            <w:left w:w="108" w:type="dxa"/>
            <w:bottom w:w="0" w:type="dxa"/>
            <w:right w:w="108" w:type="dxa"/>
          </w:tblCellMar>
        </w:tblPrEx>
        <w:trPr>
          <w:trHeight w:val="704" w:hRule="atLeast"/>
          <w:jc w:val="center"/>
        </w:trPr>
        <w:tc>
          <w:tcPr>
            <w:tcW w:w="1199" w:type="dxa"/>
            <w:vMerge w:val="restart"/>
            <w:tcBorders>
              <w:top w:val="single" w:color="000000" w:sz="4" w:space="0"/>
              <w:left w:val="single" w:color="000000" w:sz="4" w:space="0"/>
              <w:bottom w:val="single" w:color="000000" w:sz="4" w:space="0"/>
              <w:right w:val="single" w:color="000000" w:sz="4" w:space="0"/>
            </w:tcBorders>
            <w:noWrap w:val="0"/>
            <w:vAlign w:val="center"/>
          </w:tcPr>
          <w:p w14:paraId="6E6E949D">
            <w:pPr>
              <w:widowControl/>
              <w:spacing w:line="400" w:lineRule="exact"/>
              <w:ind w:left="0" w:firstLine="0"/>
              <w:jc w:val="center"/>
              <w:textAlignment w:val="center"/>
              <w:rPr>
                <w:rFonts w:hint="eastAsia" w:ascii="Times New Roman" w:hAnsi="Times New Roman" w:cs="仿宋_GB2312"/>
                <w:color w:val="000000" w:themeColor="text1"/>
                <w:sz w:val="24"/>
                <w:szCs w:val="24"/>
                <w:lang w:bidi="ar"/>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科研           文化           教育            体育           社会福利</w:t>
            </w:r>
          </w:p>
          <w:p w14:paraId="1377AA92">
            <w:pPr>
              <w:widowControl/>
              <w:spacing w:line="400" w:lineRule="exact"/>
              <w:ind w:left="0" w:firstLine="0"/>
              <w:jc w:val="center"/>
              <w:textAlignment w:val="center"/>
              <w:rPr>
                <w:rFonts w:hint="eastAsia" w:ascii="Times New Roman" w:hAnsi="Times New Roman" w:cs="仿宋_GB2312"/>
                <w:color w:val="000000" w:themeColor="text1"/>
                <w:sz w:val="24"/>
                <w:szCs w:val="24"/>
                <w:lang w:bidi="ar"/>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交通运输</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D212E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37C014">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553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65CB9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496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D1ACE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407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BE269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351 </w:t>
            </w:r>
          </w:p>
        </w:tc>
      </w:tr>
      <w:tr w14:paraId="13FD002E">
        <w:tblPrEx>
          <w:tblCellMar>
            <w:top w:w="0" w:type="dxa"/>
            <w:left w:w="108" w:type="dxa"/>
            <w:bottom w:w="0" w:type="dxa"/>
            <w:right w:w="108" w:type="dxa"/>
          </w:tblCellMar>
        </w:tblPrEx>
        <w:trPr>
          <w:trHeight w:val="1598" w:hRule="atLeast"/>
          <w:jc w:val="center"/>
        </w:trPr>
        <w:tc>
          <w:tcPr>
            <w:tcW w:w="119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27E4EA">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98959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5917A1">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443-665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49B618">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420-572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BA860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366-449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6D430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315-387</w:t>
            </w:r>
          </w:p>
        </w:tc>
      </w:tr>
      <w:tr w14:paraId="3B939A0C">
        <w:tblPrEx>
          <w:tblCellMar>
            <w:top w:w="0" w:type="dxa"/>
            <w:left w:w="108" w:type="dxa"/>
            <w:bottom w:w="0" w:type="dxa"/>
            <w:right w:w="108" w:type="dxa"/>
          </w:tblCellMar>
        </w:tblPrEx>
        <w:trPr>
          <w:trHeight w:val="467" w:hRule="atLeast"/>
          <w:jc w:val="center"/>
        </w:trPr>
        <w:tc>
          <w:tcPr>
            <w:tcW w:w="9488" w:type="dxa"/>
            <w:gridSpan w:val="6"/>
            <w:tcBorders>
              <w:top w:val="single" w:color="000000" w:sz="4" w:space="0"/>
              <w:left w:val="nil"/>
              <w:bottom w:val="nil"/>
              <w:right w:val="nil"/>
            </w:tcBorders>
            <w:noWrap w:val="0"/>
            <w:vAlign w:val="top"/>
          </w:tcPr>
          <w:p w14:paraId="27622822">
            <w:pPr>
              <w:widowControl/>
              <w:ind w:left="0" w:firstLine="0"/>
              <w:jc w:val="left"/>
              <w:textAlignment w:val="top"/>
              <w:rPr>
                <w:rFonts w:hint="eastAsia" w:ascii="Times New Roman" w:hAnsi="Times New Roman" w:eastAsia="宋体" w:cs="宋体"/>
                <w:color w:val="000000" w:themeColor="text1"/>
                <w:sz w:val="24"/>
                <w:szCs w:val="24"/>
                <w14:textFill>
                  <w14:solidFill>
                    <w14:schemeClr w14:val="tx1"/>
                  </w14:solidFill>
                </w14:textFill>
              </w:rPr>
            </w:pPr>
            <w:r>
              <w:rPr>
                <w:rFonts w:hint="eastAsia" w:ascii="Times New Roman" w:hAnsi="Times New Roman" w:eastAsia="楷体_GB2312" w:cs="楷体_GB2312"/>
                <w:color w:val="000000" w:themeColor="text1"/>
                <w:sz w:val="24"/>
                <w:szCs w:val="24"/>
                <w:lang w:bidi="ar"/>
                <w14:textFill>
                  <w14:solidFill>
                    <w14:schemeClr w14:val="tx1"/>
                  </w14:solidFill>
                </w14:textFill>
              </w:rPr>
              <w:t>注：商服、住宅、工业用地容积率分别设定为</w:t>
            </w:r>
            <w:r>
              <w:rPr>
                <w:rStyle w:val="19"/>
                <w:rFonts w:hint="eastAsia" w:eastAsia="楷体_GB2312" w:cs="楷体_GB2312"/>
                <w:color w:val="000000" w:themeColor="text1"/>
                <w:lang w:bidi="ar"/>
                <w14:textFill>
                  <w14:solidFill>
                    <w14:schemeClr w14:val="tx1"/>
                  </w14:solidFill>
                </w14:textFill>
              </w:rPr>
              <w:t>1.4</w:t>
            </w:r>
            <w:r>
              <w:rPr>
                <w:rStyle w:val="20"/>
                <w:rFonts w:hint="default" w:ascii="Times New Roman" w:hAnsi="Times New Roman" w:eastAsia="楷体_GB2312" w:cs="楷体_GB2312"/>
                <w:color w:val="000000" w:themeColor="text1"/>
                <w:lang w:bidi="ar"/>
                <w14:textFill>
                  <w14:solidFill>
                    <w14:schemeClr w14:val="tx1"/>
                  </w14:solidFill>
                </w14:textFill>
              </w:rPr>
              <w:t>、</w:t>
            </w:r>
            <w:r>
              <w:rPr>
                <w:rStyle w:val="19"/>
                <w:rFonts w:hint="eastAsia" w:eastAsia="楷体_GB2312" w:cs="楷体_GB2312"/>
                <w:color w:val="000000" w:themeColor="text1"/>
                <w:lang w:bidi="ar"/>
                <w14:textFill>
                  <w14:solidFill>
                    <w14:schemeClr w14:val="tx1"/>
                  </w14:solidFill>
                </w14:textFill>
              </w:rPr>
              <w:t>1.4</w:t>
            </w:r>
            <w:r>
              <w:rPr>
                <w:rStyle w:val="20"/>
                <w:rFonts w:hint="default" w:ascii="Times New Roman" w:hAnsi="Times New Roman" w:eastAsia="楷体_GB2312" w:cs="楷体_GB2312"/>
                <w:color w:val="000000" w:themeColor="text1"/>
                <w:lang w:bidi="ar"/>
                <w14:textFill>
                  <w14:solidFill>
                    <w14:schemeClr w14:val="tx1"/>
                  </w14:solidFill>
                </w14:textFill>
              </w:rPr>
              <w:t>、</w:t>
            </w:r>
            <w:r>
              <w:rPr>
                <w:rStyle w:val="19"/>
                <w:rFonts w:hint="eastAsia" w:eastAsia="楷体_GB2312" w:cs="楷体_GB2312"/>
                <w:color w:val="000000" w:themeColor="text1"/>
                <w:lang w:bidi="ar"/>
                <w14:textFill>
                  <w14:solidFill>
                    <w14:schemeClr w14:val="tx1"/>
                  </w14:solidFill>
                </w14:textFill>
              </w:rPr>
              <w:t>1.0</w:t>
            </w:r>
            <w:r>
              <w:rPr>
                <w:rStyle w:val="20"/>
                <w:rFonts w:hint="default" w:ascii="Times New Roman" w:hAnsi="Times New Roman" w:eastAsia="楷体_GB2312" w:cs="楷体_GB2312"/>
                <w:color w:val="000000" w:themeColor="text1"/>
                <w:lang w:bidi="ar"/>
                <w14:textFill>
                  <w14:solidFill>
                    <w14:schemeClr w14:val="tx1"/>
                  </w14:solidFill>
                </w14:textFill>
              </w:rPr>
              <w:t>。</w:t>
            </w:r>
          </w:p>
        </w:tc>
      </w:tr>
    </w:tbl>
    <w:p w14:paraId="38AA6D27">
      <w:pPr>
        <w:ind w:left="0" w:firstLine="0"/>
        <w:rPr>
          <w:rFonts w:hint="eastAsia" w:ascii="Times New Roman" w:hAnsi="Times New Roman" w:eastAsia="黑体" w:cs="黑体"/>
          <w:bCs/>
          <w:color w:val="000000" w:themeColor="text1"/>
          <w:szCs w:val="32"/>
          <w14:textFill>
            <w14:solidFill>
              <w14:schemeClr w14:val="tx1"/>
            </w14:solidFill>
          </w14:textFill>
        </w:rPr>
      </w:pPr>
      <w:r>
        <w:rPr>
          <w:rFonts w:hint="eastAsia" w:ascii="Times New Roman" w:hAnsi="Times New Roman" w:eastAsia="黑体" w:cs="黑体"/>
          <w:bCs/>
          <w:color w:val="000000" w:themeColor="text1"/>
          <w:szCs w:val="32"/>
          <w14:textFill>
            <w14:solidFill>
              <w14:schemeClr w14:val="tx1"/>
            </w14:solidFill>
          </w14:textFill>
        </w:rPr>
        <w:t>附件3</w:t>
      </w:r>
    </w:p>
    <w:p w14:paraId="0B0F54D0">
      <w:pPr>
        <w:spacing w:line="560" w:lineRule="exact"/>
        <w:ind w:left="0" w:firstLine="0"/>
        <w:jc w:val="center"/>
        <w:rPr>
          <w:rFonts w:ascii="Times New Roman" w:hAnsi="Times New Roman" w:eastAsia="方正小标宋简体"/>
          <w:bCs/>
          <w:color w:val="000000" w:themeColor="text1"/>
          <w:sz w:val="44"/>
          <w:szCs w:val="44"/>
          <w14:textFill>
            <w14:solidFill>
              <w14:schemeClr w14:val="tx1"/>
            </w14:solidFill>
          </w14:textFill>
        </w:rPr>
      </w:pPr>
      <w:r>
        <w:rPr>
          <w:rFonts w:hint="eastAsia" w:ascii="Times New Roman" w:hAnsi="Times New Roman" w:eastAsia="方正小标宋简体"/>
          <w:bCs/>
          <w:color w:val="000000" w:themeColor="text1"/>
          <w:sz w:val="44"/>
          <w:szCs w:val="44"/>
          <w14:textFill>
            <w14:solidFill>
              <w14:schemeClr w14:val="tx1"/>
            </w14:solidFill>
          </w14:textFill>
        </w:rPr>
        <w:t>南海新区</w:t>
      </w:r>
      <w:r>
        <w:rPr>
          <w:rFonts w:ascii="Times New Roman" w:hAnsi="Times New Roman" w:eastAsia="方正小标宋简体"/>
          <w:bCs/>
          <w:color w:val="000000" w:themeColor="text1"/>
          <w:sz w:val="44"/>
          <w:szCs w:val="44"/>
          <w14:textFill>
            <w14:solidFill>
              <w14:schemeClr w14:val="tx1"/>
            </w14:solidFill>
          </w14:textFill>
        </w:rPr>
        <w:t>土地级别范围表</w:t>
      </w:r>
    </w:p>
    <w:p w14:paraId="59D27B89">
      <w:pPr>
        <w:spacing w:line="400" w:lineRule="exact"/>
        <w:ind w:firstLine="0"/>
        <w:jc w:val="center"/>
        <w:textAlignment w:val="auto"/>
        <w:rPr>
          <w:rFonts w:hint="eastAsia" w:ascii="Times New Roman" w:hAnsi="Times New Roman" w:eastAsia="楷体_GB2312" w:cs="楷体_GB2312"/>
          <w:bCs/>
          <w:color w:val="000000" w:themeColor="text1"/>
          <w:sz w:val="28"/>
          <w:szCs w:val="28"/>
          <w14:textFill>
            <w14:solidFill>
              <w14:schemeClr w14:val="tx1"/>
            </w14:solidFill>
          </w14:textFill>
        </w:rPr>
      </w:pPr>
    </w:p>
    <w:p w14:paraId="7E865C78">
      <w:pPr>
        <w:spacing w:line="400" w:lineRule="exact"/>
        <w:ind w:left="0" w:firstLine="0"/>
        <w:jc w:val="center"/>
        <w:textAlignment w:val="auto"/>
        <w:rPr>
          <w:rFonts w:hint="eastAsia" w:ascii="Times New Roman" w:hAnsi="Times New Roman" w:eastAsia="楷体_GB2312" w:cs="楷体_GB2312"/>
          <w:bCs/>
          <w:color w:val="000000" w:themeColor="text1"/>
          <w:sz w:val="28"/>
          <w:szCs w:val="28"/>
          <w14:textFill>
            <w14:solidFill>
              <w14:schemeClr w14:val="tx1"/>
            </w14:solidFill>
          </w14:textFill>
        </w:rPr>
      </w:pPr>
      <w:r>
        <w:rPr>
          <w:rFonts w:hint="eastAsia" w:ascii="Times New Roman" w:hAnsi="Times New Roman" w:eastAsia="楷体_GB2312" w:cs="楷体_GB2312"/>
          <w:color w:val="000000" w:themeColor="text1"/>
          <w:sz w:val="28"/>
          <w:szCs w:val="28"/>
          <w14:textFill>
            <w14:solidFill>
              <w14:schemeClr w14:val="tx1"/>
            </w14:solidFill>
          </w14:textFill>
        </w:rPr>
        <w:t>表1-1</w:t>
      </w:r>
      <w:r>
        <w:rPr>
          <w:rFonts w:hint="eastAsia" w:ascii="Times New Roman" w:hAnsi="Times New Roman" w:eastAsia="楷体_GB2312" w:cs="楷体_GB2312"/>
          <w:bCs/>
          <w:color w:val="000000" w:themeColor="text1"/>
          <w:sz w:val="28"/>
          <w:szCs w:val="28"/>
          <w14:textFill>
            <w14:solidFill>
              <w14:schemeClr w14:val="tx1"/>
            </w14:solidFill>
          </w14:textFill>
        </w:rPr>
        <w:t>商服、机关团体、医疗卫生土地级别范围分布表</w:t>
      </w:r>
    </w:p>
    <w:tbl>
      <w:tblPr>
        <w:tblStyle w:val="12"/>
        <w:tblW w:w="86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2"/>
        <w:gridCol w:w="6527"/>
      </w:tblGrid>
      <w:tr w14:paraId="44E1B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9" w:hRule="atLeast"/>
        </w:trPr>
        <w:tc>
          <w:tcPr>
            <w:tcW w:w="2172" w:type="dxa"/>
            <w:shd w:val="clear" w:color="auto" w:fill="auto"/>
            <w:noWrap w:val="0"/>
            <w:vAlign w:val="center"/>
          </w:tcPr>
          <w:p w14:paraId="61EEBFCF">
            <w:pPr>
              <w:spacing w:line="400" w:lineRule="exact"/>
              <w:ind w:firstLine="0"/>
              <w:jc w:val="center"/>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一级地</w:t>
            </w:r>
          </w:p>
        </w:tc>
        <w:tc>
          <w:tcPr>
            <w:tcW w:w="6527" w:type="dxa"/>
            <w:shd w:val="clear" w:color="auto" w:fill="auto"/>
            <w:noWrap w:val="0"/>
            <w:vAlign w:val="top"/>
          </w:tcPr>
          <w:p w14:paraId="516E20E9">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p w14:paraId="4CCADCD2">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东至科研路；南至黄海海岸线；西至黄垒河东岸；北至环海路、滨海路，向东至明珠路，向北至百寿路，沿百寿路向东至金海路，沿金海路向北至海逸路，向东至科研路。</w:t>
            </w:r>
          </w:p>
          <w:p w14:paraId="4899F6CE">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tc>
      </w:tr>
      <w:tr w14:paraId="5B9F1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8" w:hRule="atLeast"/>
        </w:trPr>
        <w:tc>
          <w:tcPr>
            <w:tcW w:w="2172" w:type="dxa"/>
            <w:shd w:val="clear" w:color="auto" w:fill="auto"/>
            <w:noWrap w:val="0"/>
            <w:vAlign w:val="center"/>
          </w:tcPr>
          <w:p w14:paraId="5B22ECF4">
            <w:pPr>
              <w:spacing w:line="400" w:lineRule="exact"/>
              <w:ind w:firstLine="0"/>
              <w:jc w:val="center"/>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二级地</w:t>
            </w:r>
          </w:p>
        </w:tc>
        <w:tc>
          <w:tcPr>
            <w:tcW w:w="6527" w:type="dxa"/>
            <w:shd w:val="clear" w:color="auto" w:fill="auto"/>
            <w:noWrap w:val="0"/>
            <w:vAlign w:val="top"/>
          </w:tcPr>
          <w:p w14:paraId="2DF5C2AA">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p w14:paraId="3652FBD0">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东至昌阳河；南至黄海海岸线，沿黄海海岸线向西至科研路，向北至金来路，向西至科研路，沿</w:t>
            </w:r>
            <w:r>
              <w:rPr>
                <w:rFonts w:ascii="Times New Roman" w:hAnsi="Times New Roman" w:cs="仿宋_GB2312"/>
                <w:bCs/>
                <w:color w:val="000000" w:themeColor="text1"/>
                <w:sz w:val="24"/>
                <w:szCs w:val="24"/>
                <w14:textFill>
                  <w14:solidFill>
                    <w14:schemeClr w14:val="tx1"/>
                  </w14:solidFill>
                </w14:textFill>
              </w:rPr>
              <w:t>科研路</w:t>
            </w:r>
            <w:r>
              <w:rPr>
                <w:rFonts w:hint="eastAsia" w:ascii="Times New Roman" w:hAnsi="Times New Roman" w:cs="仿宋_GB2312"/>
                <w:bCs/>
                <w:color w:val="000000" w:themeColor="text1"/>
                <w:sz w:val="24"/>
                <w:szCs w:val="24"/>
                <w14:textFill>
                  <w14:solidFill>
                    <w14:schemeClr w14:val="tx1"/>
                  </w14:solidFill>
                </w14:textFill>
              </w:rPr>
              <w:t>向北至</w:t>
            </w:r>
            <w:bookmarkStart w:id="0" w:name="OLE_LINK2"/>
            <w:bookmarkStart w:id="1" w:name="OLE_LINK1"/>
            <w:r>
              <w:rPr>
                <w:rFonts w:hint="eastAsia" w:ascii="Times New Roman" w:hAnsi="Times New Roman" w:cs="仿宋_GB2312"/>
                <w:bCs/>
                <w:color w:val="000000" w:themeColor="text1"/>
                <w:sz w:val="24"/>
                <w:szCs w:val="24"/>
                <w14:textFill>
                  <w14:solidFill>
                    <w14:schemeClr w14:val="tx1"/>
                  </w14:solidFill>
                </w14:textFill>
              </w:rPr>
              <w:t>海逸路</w:t>
            </w:r>
            <w:bookmarkEnd w:id="0"/>
            <w:bookmarkEnd w:id="1"/>
            <w:r>
              <w:rPr>
                <w:rFonts w:hint="eastAsia" w:ascii="Times New Roman" w:hAnsi="Times New Roman" w:cs="仿宋_GB2312"/>
                <w:bCs/>
                <w:color w:val="000000" w:themeColor="text1"/>
                <w:sz w:val="24"/>
                <w:szCs w:val="24"/>
                <w14:textFill>
                  <w14:solidFill>
                    <w14:schemeClr w14:val="tx1"/>
                  </w14:solidFill>
                </w14:textFill>
              </w:rPr>
              <w:t>，沿海逸路向西至金海路，沿</w:t>
            </w:r>
            <w:r>
              <w:rPr>
                <w:rFonts w:ascii="Times New Roman" w:hAnsi="Times New Roman" w:cs="仿宋_GB2312"/>
                <w:bCs/>
                <w:color w:val="000000" w:themeColor="text1"/>
                <w:sz w:val="24"/>
                <w:szCs w:val="24"/>
                <w14:textFill>
                  <w14:solidFill>
                    <w14:schemeClr w14:val="tx1"/>
                  </w14:solidFill>
                </w14:textFill>
              </w:rPr>
              <w:t>金海路</w:t>
            </w:r>
            <w:r>
              <w:rPr>
                <w:rFonts w:hint="eastAsia" w:ascii="Times New Roman" w:hAnsi="Times New Roman" w:cs="仿宋_GB2312"/>
                <w:bCs/>
                <w:color w:val="000000" w:themeColor="text1"/>
                <w:sz w:val="24"/>
                <w:szCs w:val="24"/>
                <w14:textFill>
                  <w14:solidFill>
                    <w14:schemeClr w14:val="tx1"/>
                  </w14:solidFill>
                </w14:textFill>
              </w:rPr>
              <w:t>向南至百寿路，沿百寿路向西至明珠路，沿明珠路向南至海滨路；西至环海路，沿环海路向北至现代路；北至现代</w:t>
            </w:r>
            <w:r>
              <w:rPr>
                <w:rFonts w:ascii="Times New Roman" w:hAnsi="Times New Roman" w:cs="仿宋_GB2312"/>
                <w:bCs/>
                <w:color w:val="000000" w:themeColor="text1"/>
                <w:sz w:val="24"/>
                <w:szCs w:val="24"/>
                <w14:textFill>
                  <w14:solidFill>
                    <w14:schemeClr w14:val="tx1"/>
                  </w14:solidFill>
                </w14:textFill>
              </w:rPr>
              <w:t>路，沿现代路向东至</w:t>
            </w:r>
            <w:r>
              <w:rPr>
                <w:rFonts w:hint="eastAsia" w:ascii="Times New Roman" w:hAnsi="Times New Roman" w:cs="仿宋_GB2312"/>
                <w:bCs/>
                <w:color w:val="000000" w:themeColor="text1"/>
                <w:sz w:val="24"/>
                <w:szCs w:val="24"/>
                <w14:textFill>
                  <w14:solidFill>
                    <w14:schemeClr w14:val="tx1"/>
                  </w14:solidFill>
                </w14:textFill>
              </w:rPr>
              <w:t>金</w:t>
            </w:r>
            <w:r>
              <w:rPr>
                <w:rFonts w:ascii="Times New Roman" w:hAnsi="Times New Roman" w:cs="仿宋_GB2312"/>
                <w:bCs/>
                <w:color w:val="000000" w:themeColor="text1"/>
                <w:sz w:val="24"/>
                <w:szCs w:val="24"/>
                <w14:textFill>
                  <w14:solidFill>
                    <w14:schemeClr w14:val="tx1"/>
                  </w14:solidFill>
                </w14:textFill>
              </w:rPr>
              <w:t>海路，沿金海路向北至大学路</w:t>
            </w:r>
            <w:r>
              <w:rPr>
                <w:rFonts w:hint="eastAsia" w:ascii="Times New Roman" w:hAnsi="Times New Roman" w:cs="仿宋_GB2312"/>
                <w:bCs/>
                <w:color w:val="000000" w:themeColor="text1"/>
                <w:sz w:val="24"/>
                <w:szCs w:val="24"/>
                <w14:textFill>
                  <w14:solidFill>
                    <w14:schemeClr w14:val="tx1"/>
                  </w14:solidFill>
                </w14:textFill>
              </w:rPr>
              <w:t>，沿</w:t>
            </w:r>
            <w:r>
              <w:rPr>
                <w:rFonts w:ascii="Times New Roman" w:hAnsi="Times New Roman" w:cs="仿宋_GB2312"/>
                <w:bCs/>
                <w:color w:val="000000" w:themeColor="text1"/>
                <w:sz w:val="24"/>
                <w:szCs w:val="24"/>
                <w14:textFill>
                  <w14:solidFill>
                    <w14:schemeClr w14:val="tx1"/>
                  </w14:solidFill>
                </w14:textFill>
              </w:rPr>
              <w:t>香水河东岸向北至</w:t>
            </w:r>
            <w:r>
              <w:rPr>
                <w:rFonts w:hint="eastAsia" w:ascii="Times New Roman" w:hAnsi="Times New Roman" w:cs="仿宋_GB2312"/>
                <w:bCs/>
                <w:color w:val="000000" w:themeColor="text1"/>
                <w:sz w:val="24"/>
                <w:szCs w:val="24"/>
                <w14:textFill>
                  <w14:solidFill>
                    <w14:schemeClr w14:val="tx1"/>
                  </w14:solidFill>
                </w14:textFill>
              </w:rPr>
              <w:t>白云路。</w:t>
            </w:r>
          </w:p>
          <w:p w14:paraId="53508F77">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tc>
      </w:tr>
      <w:tr w14:paraId="7BD59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2172" w:type="dxa"/>
            <w:shd w:val="clear" w:color="auto" w:fill="auto"/>
            <w:noWrap w:val="0"/>
            <w:vAlign w:val="center"/>
          </w:tcPr>
          <w:p w14:paraId="68DEB14E">
            <w:pPr>
              <w:spacing w:line="400" w:lineRule="exact"/>
              <w:ind w:firstLine="0"/>
              <w:jc w:val="center"/>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三级地</w:t>
            </w:r>
          </w:p>
        </w:tc>
        <w:tc>
          <w:tcPr>
            <w:tcW w:w="6527" w:type="dxa"/>
            <w:shd w:val="clear" w:color="auto" w:fill="auto"/>
            <w:noWrap w:val="0"/>
            <w:vAlign w:val="top"/>
          </w:tcPr>
          <w:p w14:paraId="69639CD4">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p>
          <w:p w14:paraId="2FC379E2">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一级、二级地以外土地为三级地。</w:t>
            </w:r>
          </w:p>
          <w:p w14:paraId="607E557E">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p>
        </w:tc>
      </w:tr>
    </w:tbl>
    <w:p w14:paraId="05BE0107">
      <w:pPr>
        <w:ind w:left="0" w:firstLine="0"/>
        <w:jc w:val="center"/>
        <w:rPr>
          <w:rFonts w:hint="eastAsia" w:ascii="Times New Roman" w:hAnsi="Times New Roman" w:eastAsia="楷体_GB2312" w:cs="楷体_GB2312"/>
          <w:bCs/>
          <w:color w:val="000000" w:themeColor="text1"/>
          <w:sz w:val="28"/>
          <w:szCs w:val="28"/>
          <w14:textFill>
            <w14:solidFill>
              <w14:schemeClr w14:val="tx1"/>
            </w14:solidFill>
          </w14:textFill>
        </w:rPr>
      </w:pPr>
      <w:r>
        <w:rPr>
          <w:rFonts w:hint="eastAsia" w:ascii="Times New Roman" w:hAnsi="Times New Roman" w:eastAsia="楷体_GB2312" w:cs="楷体_GB2312"/>
          <w:bCs/>
          <w:color w:val="000000" w:themeColor="text1"/>
          <w:sz w:val="28"/>
          <w:szCs w:val="28"/>
          <w14:textFill>
            <w14:solidFill>
              <w14:schemeClr w14:val="tx1"/>
            </w14:solidFill>
          </w14:textFill>
        </w:rPr>
        <w:br w:type="page"/>
      </w:r>
      <w:r>
        <w:rPr>
          <w:rFonts w:hint="eastAsia" w:ascii="Times New Roman" w:hAnsi="Times New Roman" w:eastAsia="楷体_GB2312" w:cs="楷体_GB2312"/>
          <w:color w:val="000000" w:themeColor="text1"/>
          <w:sz w:val="28"/>
          <w:szCs w:val="28"/>
          <w14:textFill>
            <w14:solidFill>
              <w14:schemeClr w14:val="tx1"/>
            </w14:solidFill>
          </w14:textFill>
        </w:rPr>
        <w:t>表1-2</w:t>
      </w:r>
      <w:r>
        <w:rPr>
          <w:rFonts w:hint="eastAsia" w:ascii="Times New Roman" w:hAnsi="Times New Roman" w:eastAsia="楷体_GB2312" w:cs="楷体_GB2312"/>
          <w:bCs/>
          <w:color w:val="000000" w:themeColor="text1"/>
          <w:sz w:val="28"/>
          <w:szCs w:val="28"/>
          <w14:textFill>
            <w14:solidFill>
              <w14:schemeClr w14:val="tx1"/>
            </w14:solidFill>
          </w14:textFill>
        </w:rPr>
        <w:t>住宅土地级别范围分布表</w:t>
      </w:r>
    </w:p>
    <w:tbl>
      <w:tblPr>
        <w:tblStyle w:val="12"/>
        <w:tblW w:w="86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2"/>
        <w:gridCol w:w="6527"/>
      </w:tblGrid>
      <w:tr w14:paraId="21251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9" w:hRule="atLeast"/>
        </w:trPr>
        <w:tc>
          <w:tcPr>
            <w:tcW w:w="2172" w:type="dxa"/>
            <w:shd w:val="clear" w:color="auto" w:fill="auto"/>
            <w:noWrap w:val="0"/>
            <w:vAlign w:val="center"/>
          </w:tcPr>
          <w:p w14:paraId="18386D72">
            <w:pPr>
              <w:spacing w:line="400" w:lineRule="exact"/>
              <w:ind w:firstLine="0"/>
              <w:jc w:val="center"/>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一级地</w:t>
            </w:r>
          </w:p>
        </w:tc>
        <w:tc>
          <w:tcPr>
            <w:tcW w:w="6527" w:type="dxa"/>
            <w:shd w:val="clear" w:color="auto" w:fill="auto"/>
            <w:noWrap w:val="0"/>
            <w:vAlign w:val="top"/>
          </w:tcPr>
          <w:p w14:paraId="720C8710">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p w14:paraId="30302DD8">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东至香水河；南至黄海海岸线；西至黄垒河东岸；北至环</w:t>
            </w:r>
            <w:r>
              <w:rPr>
                <w:rFonts w:ascii="Times New Roman" w:hAnsi="Times New Roman" w:cs="仿宋_GB2312"/>
                <w:bCs/>
                <w:color w:val="000000" w:themeColor="text1"/>
                <w:sz w:val="24"/>
                <w:szCs w:val="24"/>
                <w14:textFill>
                  <w14:solidFill>
                    <w14:schemeClr w14:val="tx1"/>
                  </w14:solidFill>
                </w14:textFill>
              </w:rPr>
              <w:t>海路、</w:t>
            </w:r>
            <w:r>
              <w:rPr>
                <w:rFonts w:hint="eastAsia" w:ascii="Times New Roman" w:hAnsi="Times New Roman" w:cs="仿宋_GB2312"/>
                <w:bCs/>
                <w:color w:val="000000" w:themeColor="text1"/>
                <w:sz w:val="24"/>
                <w:szCs w:val="24"/>
                <w14:textFill>
                  <w14:solidFill>
                    <w14:schemeClr w14:val="tx1"/>
                  </w14:solidFill>
                </w14:textFill>
              </w:rPr>
              <w:t>滨海路，沿</w:t>
            </w:r>
            <w:r>
              <w:rPr>
                <w:rFonts w:ascii="Times New Roman" w:hAnsi="Times New Roman" w:cs="仿宋_GB2312"/>
                <w:bCs/>
                <w:color w:val="000000" w:themeColor="text1"/>
                <w:sz w:val="24"/>
                <w:szCs w:val="24"/>
                <w14:textFill>
                  <w14:solidFill>
                    <w14:schemeClr w14:val="tx1"/>
                  </w14:solidFill>
                </w14:textFill>
              </w:rPr>
              <w:t>滨海路</w:t>
            </w:r>
            <w:r>
              <w:rPr>
                <w:rFonts w:hint="eastAsia" w:ascii="Times New Roman" w:hAnsi="Times New Roman" w:cs="仿宋_GB2312"/>
                <w:bCs/>
                <w:color w:val="000000" w:themeColor="text1"/>
                <w:sz w:val="24"/>
                <w:szCs w:val="24"/>
                <w14:textFill>
                  <w14:solidFill>
                    <w14:schemeClr w14:val="tx1"/>
                  </w14:solidFill>
                </w14:textFill>
              </w:rPr>
              <w:t>向东至明珠路，向北至金辉路，沿金辉路、百寿路向东至金海路，沿金海路向北至海逸路；东至科研路，沿科研路向南至金来路，沿金来路向东至香水河。</w:t>
            </w:r>
          </w:p>
          <w:p w14:paraId="2651DF45">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tc>
      </w:tr>
      <w:tr w14:paraId="237D9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5" w:hRule="atLeast"/>
        </w:trPr>
        <w:tc>
          <w:tcPr>
            <w:tcW w:w="2172" w:type="dxa"/>
            <w:shd w:val="clear" w:color="auto" w:fill="auto"/>
            <w:noWrap w:val="0"/>
            <w:vAlign w:val="center"/>
          </w:tcPr>
          <w:p w14:paraId="2DEB83F6">
            <w:pPr>
              <w:spacing w:line="400" w:lineRule="exact"/>
              <w:ind w:firstLine="0"/>
              <w:jc w:val="center"/>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二级地</w:t>
            </w:r>
          </w:p>
        </w:tc>
        <w:tc>
          <w:tcPr>
            <w:tcW w:w="6527" w:type="dxa"/>
            <w:shd w:val="clear" w:color="auto" w:fill="auto"/>
            <w:noWrap w:val="0"/>
            <w:vAlign w:val="top"/>
          </w:tcPr>
          <w:p w14:paraId="4FFC90ED">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p w14:paraId="53019DE7">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东至昌阳河；南至黄海海岸线，向西至香水河，向北至金来路，沿</w:t>
            </w:r>
            <w:r>
              <w:rPr>
                <w:rFonts w:ascii="Times New Roman" w:hAnsi="Times New Roman" w:cs="仿宋_GB2312"/>
                <w:bCs/>
                <w:color w:val="000000" w:themeColor="text1"/>
                <w:sz w:val="24"/>
                <w:szCs w:val="24"/>
                <w14:textFill>
                  <w14:solidFill>
                    <w14:schemeClr w14:val="tx1"/>
                  </w14:solidFill>
                </w14:textFill>
              </w:rPr>
              <w:t>金来路</w:t>
            </w:r>
            <w:r>
              <w:rPr>
                <w:rFonts w:hint="eastAsia" w:ascii="Times New Roman" w:hAnsi="Times New Roman" w:cs="仿宋_GB2312"/>
                <w:bCs/>
                <w:color w:val="000000" w:themeColor="text1"/>
                <w:sz w:val="24"/>
                <w:szCs w:val="24"/>
                <w14:textFill>
                  <w14:solidFill>
                    <w14:schemeClr w14:val="tx1"/>
                  </w14:solidFill>
                </w14:textFill>
              </w:rPr>
              <w:t>向西至科研路，沿</w:t>
            </w:r>
            <w:r>
              <w:rPr>
                <w:rFonts w:ascii="Times New Roman" w:hAnsi="Times New Roman" w:cs="仿宋_GB2312"/>
                <w:bCs/>
                <w:color w:val="000000" w:themeColor="text1"/>
                <w:sz w:val="24"/>
                <w:szCs w:val="24"/>
                <w14:textFill>
                  <w14:solidFill>
                    <w14:schemeClr w14:val="tx1"/>
                  </w14:solidFill>
                </w14:textFill>
              </w:rPr>
              <w:t>科研路</w:t>
            </w:r>
            <w:r>
              <w:rPr>
                <w:rFonts w:hint="eastAsia" w:ascii="Times New Roman" w:hAnsi="Times New Roman" w:cs="仿宋_GB2312"/>
                <w:bCs/>
                <w:color w:val="000000" w:themeColor="text1"/>
                <w:sz w:val="24"/>
                <w:szCs w:val="24"/>
                <w14:textFill>
                  <w14:solidFill>
                    <w14:schemeClr w14:val="tx1"/>
                  </w14:solidFill>
                </w14:textFill>
              </w:rPr>
              <w:t>向北至海逸路，向西至金海路，向南至百寿路，沿百寿路、</w:t>
            </w:r>
            <w:r>
              <w:rPr>
                <w:rFonts w:ascii="Times New Roman" w:hAnsi="Times New Roman" w:cs="仿宋_GB2312"/>
                <w:bCs/>
                <w:color w:val="000000" w:themeColor="text1"/>
                <w:sz w:val="24"/>
                <w:szCs w:val="24"/>
                <w14:textFill>
                  <w14:solidFill>
                    <w14:schemeClr w14:val="tx1"/>
                  </w14:solidFill>
                </w14:textFill>
              </w:rPr>
              <w:t>金辉路</w:t>
            </w:r>
            <w:r>
              <w:rPr>
                <w:rFonts w:hint="eastAsia" w:ascii="Times New Roman" w:hAnsi="Times New Roman" w:cs="仿宋_GB2312"/>
                <w:bCs/>
                <w:color w:val="000000" w:themeColor="text1"/>
                <w:sz w:val="24"/>
                <w:szCs w:val="24"/>
                <w14:textFill>
                  <w14:solidFill>
                    <w14:schemeClr w14:val="tx1"/>
                  </w14:solidFill>
                </w14:textFill>
              </w:rPr>
              <w:t>向西至明珠路，沿明珠路向南至滨海路；西至环海路；北至现代路，沿路向东至金海路，沿金</w:t>
            </w:r>
            <w:r>
              <w:rPr>
                <w:rFonts w:ascii="Times New Roman" w:hAnsi="Times New Roman" w:cs="仿宋_GB2312"/>
                <w:bCs/>
                <w:color w:val="000000" w:themeColor="text1"/>
                <w:sz w:val="24"/>
                <w:szCs w:val="24"/>
                <w14:textFill>
                  <w14:solidFill>
                    <w14:schemeClr w14:val="tx1"/>
                  </w14:solidFill>
                </w14:textFill>
              </w:rPr>
              <w:t>海路向北</w:t>
            </w:r>
            <w:r>
              <w:rPr>
                <w:rFonts w:hint="eastAsia" w:ascii="Times New Roman" w:hAnsi="Times New Roman" w:cs="仿宋_GB2312"/>
                <w:bCs/>
                <w:color w:val="000000" w:themeColor="text1"/>
                <w:sz w:val="24"/>
                <w:szCs w:val="24"/>
                <w14:textFill>
                  <w14:solidFill>
                    <w14:schemeClr w14:val="tx1"/>
                  </w14:solidFill>
                </w14:textFill>
              </w:rPr>
              <w:t>至大学路，至香水</w:t>
            </w:r>
            <w:r>
              <w:rPr>
                <w:rFonts w:ascii="Times New Roman" w:hAnsi="Times New Roman" w:cs="仿宋_GB2312"/>
                <w:bCs/>
                <w:color w:val="000000" w:themeColor="text1"/>
                <w:sz w:val="24"/>
                <w:szCs w:val="24"/>
                <w14:textFill>
                  <w14:solidFill>
                    <w14:schemeClr w14:val="tx1"/>
                  </w14:solidFill>
                </w14:textFill>
              </w:rPr>
              <w:t>河东</w:t>
            </w:r>
            <w:r>
              <w:rPr>
                <w:rFonts w:hint="eastAsia" w:ascii="Times New Roman" w:hAnsi="Times New Roman" w:cs="仿宋_GB2312"/>
                <w:bCs/>
                <w:color w:val="000000" w:themeColor="text1"/>
                <w:sz w:val="24"/>
                <w:szCs w:val="24"/>
                <w14:textFill>
                  <w14:solidFill>
                    <w14:schemeClr w14:val="tx1"/>
                  </w14:solidFill>
                </w14:textFill>
              </w:rPr>
              <w:t>岸向北至白云路，沿路向东至昌阳河西岸。</w:t>
            </w:r>
          </w:p>
          <w:p w14:paraId="78AE1360">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tc>
      </w:tr>
      <w:tr w14:paraId="72150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trPr>
        <w:tc>
          <w:tcPr>
            <w:tcW w:w="2172" w:type="dxa"/>
            <w:shd w:val="clear" w:color="auto" w:fill="auto"/>
            <w:noWrap w:val="0"/>
            <w:vAlign w:val="center"/>
          </w:tcPr>
          <w:p w14:paraId="2EAD566C">
            <w:pPr>
              <w:spacing w:line="400" w:lineRule="exact"/>
              <w:ind w:firstLine="0"/>
              <w:jc w:val="center"/>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三级地</w:t>
            </w:r>
          </w:p>
        </w:tc>
        <w:tc>
          <w:tcPr>
            <w:tcW w:w="6527" w:type="dxa"/>
            <w:shd w:val="clear" w:color="auto" w:fill="auto"/>
            <w:noWrap w:val="0"/>
            <w:vAlign w:val="top"/>
          </w:tcPr>
          <w:p w14:paraId="70A8E78D">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p>
          <w:p w14:paraId="02A7561E">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一级、二级地以外土地为三级地。</w:t>
            </w:r>
          </w:p>
          <w:p w14:paraId="7C35721D">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p>
        </w:tc>
      </w:tr>
    </w:tbl>
    <w:p w14:paraId="1A66B522">
      <w:pPr>
        <w:rPr>
          <w:rFonts w:hint="eastAsia" w:ascii="Times New Roman" w:hAnsi="Times New Roman" w:eastAsia="楷体_GB2312" w:cs="楷体_GB2312"/>
          <w:color w:val="000000" w:themeColor="text1"/>
          <w:sz w:val="28"/>
          <w:szCs w:val="28"/>
          <w14:textFill>
            <w14:solidFill>
              <w14:schemeClr w14:val="tx1"/>
            </w14:solidFill>
          </w14:textFill>
        </w:rPr>
      </w:pPr>
      <w:r>
        <w:rPr>
          <w:rFonts w:hint="eastAsia" w:ascii="Times New Roman" w:hAnsi="Times New Roman" w:eastAsia="楷体_GB2312" w:cs="楷体_GB2312"/>
          <w:color w:val="000000" w:themeColor="text1"/>
          <w:sz w:val="28"/>
          <w:szCs w:val="28"/>
          <w14:textFill>
            <w14:solidFill>
              <w14:schemeClr w14:val="tx1"/>
            </w14:solidFill>
          </w14:textFill>
        </w:rPr>
        <w:br w:type="page"/>
      </w:r>
    </w:p>
    <w:p w14:paraId="11F51BBB">
      <w:pPr>
        <w:ind w:left="0" w:firstLine="0"/>
        <w:jc w:val="center"/>
        <w:rPr>
          <w:rFonts w:hint="eastAsia" w:ascii="Times New Roman" w:hAnsi="Times New Roman" w:eastAsia="楷体_GB2312" w:cs="楷体_GB2312"/>
          <w:bCs/>
          <w:color w:val="000000" w:themeColor="text1"/>
          <w:sz w:val="28"/>
          <w:szCs w:val="28"/>
          <w14:textFill>
            <w14:solidFill>
              <w14:schemeClr w14:val="tx1"/>
            </w14:solidFill>
          </w14:textFill>
        </w:rPr>
      </w:pPr>
      <w:r>
        <w:rPr>
          <w:rFonts w:hint="eastAsia" w:ascii="Times New Roman" w:hAnsi="Times New Roman" w:eastAsia="楷体_GB2312" w:cs="楷体_GB2312"/>
          <w:color w:val="000000" w:themeColor="text1"/>
          <w:sz w:val="28"/>
          <w:szCs w:val="28"/>
          <w14:textFill>
            <w14:solidFill>
              <w14:schemeClr w14:val="tx1"/>
            </w14:solidFill>
          </w14:textFill>
        </w:rPr>
        <w:t>表1-3</w:t>
      </w:r>
      <w:r>
        <w:rPr>
          <w:rFonts w:hint="eastAsia" w:ascii="Times New Roman" w:hAnsi="Times New Roman" w:eastAsia="楷体_GB2312" w:cs="楷体_GB2312"/>
          <w:bCs/>
          <w:color w:val="000000" w:themeColor="text1"/>
          <w:sz w:val="28"/>
          <w:szCs w:val="28"/>
          <w14:textFill>
            <w14:solidFill>
              <w14:schemeClr w14:val="tx1"/>
            </w14:solidFill>
          </w14:textFill>
        </w:rPr>
        <w:t>工业、科研、文化、教育、体育、社会福利、交通运输土地级别范围分布表</w:t>
      </w:r>
    </w:p>
    <w:tbl>
      <w:tblPr>
        <w:tblStyle w:val="12"/>
        <w:tblW w:w="86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2"/>
        <w:gridCol w:w="6527"/>
      </w:tblGrid>
      <w:tr w14:paraId="44EF6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5" w:hRule="atLeast"/>
        </w:trPr>
        <w:tc>
          <w:tcPr>
            <w:tcW w:w="2172" w:type="dxa"/>
            <w:shd w:val="clear" w:color="auto" w:fill="auto"/>
            <w:noWrap w:val="0"/>
            <w:vAlign w:val="center"/>
          </w:tcPr>
          <w:p w14:paraId="13450F22">
            <w:pPr>
              <w:spacing w:line="400" w:lineRule="exact"/>
              <w:ind w:firstLine="0"/>
              <w:jc w:val="center"/>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一级地</w:t>
            </w:r>
          </w:p>
        </w:tc>
        <w:tc>
          <w:tcPr>
            <w:tcW w:w="6527" w:type="dxa"/>
            <w:shd w:val="clear" w:color="auto" w:fill="auto"/>
            <w:noWrap w:val="0"/>
            <w:vAlign w:val="top"/>
          </w:tcPr>
          <w:p w14:paraId="40A7B2BB">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p w14:paraId="7A2A31CD">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东至香水河；南至黄海海岸线；西至黄垒河东岸；北至环</w:t>
            </w:r>
            <w:r>
              <w:rPr>
                <w:rFonts w:ascii="Times New Roman" w:hAnsi="Times New Roman" w:cs="仿宋_GB2312"/>
                <w:bCs/>
                <w:color w:val="000000" w:themeColor="text1"/>
                <w:sz w:val="24"/>
                <w:szCs w:val="24"/>
                <w14:textFill>
                  <w14:solidFill>
                    <w14:schemeClr w14:val="tx1"/>
                  </w14:solidFill>
                </w14:textFill>
              </w:rPr>
              <w:t>海路、</w:t>
            </w:r>
            <w:r>
              <w:rPr>
                <w:rFonts w:hint="eastAsia" w:ascii="Times New Roman" w:hAnsi="Times New Roman" w:cs="仿宋_GB2312"/>
                <w:bCs/>
                <w:color w:val="000000" w:themeColor="text1"/>
                <w:sz w:val="24"/>
                <w:szCs w:val="24"/>
                <w14:textFill>
                  <w14:solidFill>
                    <w14:schemeClr w14:val="tx1"/>
                  </w14:solidFill>
                </w14:textFill>
              </w:rPr>
              <w:t>滨海路，沿</w:t>
            </w:r>
            <w:r>
              <w:rPr>
                <w:rFonts w:ascii="Times New Roman" w:hAnsi="Times New Roman" w:cs="仿宋_GB2312"/>
                <w:bCs/>
                <w:color w:val="000000" w:themeColor="text1"/>
                <w:sz w:val="24"/>
                <w:szCs w:val="24"/>
                <w14:textFill>
                  <w14:solidFill>
                    <w14:schemeClr w14:val="tx1"/>
                  </w14:solidFill>
                </w14:textFill>
              </w:rPr>
              <w:t>滨海路</w:t>
            </w:r>
            <w:r>
              <w:rPr>
                <w:rFonts w:hint="eastAsia" w:ascii="Times New Roman" w:hAnsi="Times New Roman" w:cs="仿宋_GB2312"/>
                <w:bCs/>
                <w:color w:val="000000" w:themeColor="text1"/>
                <w:sz w:val="24"/>
                <w:szCs w:val="24"/>
                <w14:textFill>
                  <w14:solidFill>
                    <w14:schemeClr w14:val="tx1"/>
                  </w14:solidFill>
                </w14:textFill>
              </w:rPr>
              <w:t>向东至明珠路，向北至金辉路，沿金辉路、百寿路向东至金海路，沿金海路向北至海逸路；东至科研路，沿科研路向南至金来路，沿金来路向东至香水河。</w:t>
            </w:r>
          </w:p>
          <w:p w14:paraId="2DA47144">
            <w:pPr>
              <w:spacing w:line="400" w:lineRule="exact"/>
              <w:ind w:firstLine="0"/>
              <w:textAlignment w:val="auto"/>
              <w:rPr>
                <w:rFonts w:hint="eastAsia" w:ascii="Times New Roman" w:hAnsi="Times New Roman" w:cs="仿宋_GB2312"/>
                <w:bCs/>
                <w:color w:val="000000" w:themeColor="text1"/>
                <w:sz w:val="24"/>
                <w:szCs w:val="24"/>
                <w14:textFill>
                  <w14:solidFill>
                    <w14:schemeClr w14:val="tx1"/>
                  </w14:solidFill>
                </w14:textFill>
              </w:rPr>
            </w:pPr>
          </w:p>
        </w:tc>
      </w:tr>
      <w:tr w14:paraId="4A3D9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0" w:hRule="atLeast"/>
        </w:trPr>
        <w:tc>
          <w:tcPr>
            <w:tcW w:w="2172" w:type="dxa"/>
            <w:shd w:val="clear" w:color="auto" w:fill="auto"/>
            <w:noWrap w:val="0"/>
            <w:vAlign w:val="center"/>
          </w:tcPr>
          <w:p w14:paraId="26F37156">
            <w:pPr>
              <w:spacing w:line="400" w:lineRule="exact"/>
              <w:ind w:firstLine="0"/>
              <w:jc w:val="center"/>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二级地</w:t>
            </w:r>
          </w:p>
        </w:tc>
        <w:tc>
          <w:tcPr>
            <w:tcW w:w="6527" w:type="dxa"/>
            <w:shd w:val="clear" w:color="auto" w:fill="auto"/>
            <w:noWrap w:val="0"/>
            <w:vAlign w:val="top"/>
          </w:tcPr>
          <w:p w14:paraId="360A6582">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p>
          <w:p w14:paraId="3108D0CA">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1）东至昌阳河；南至黄海海岸线，向西至香水河，向北至金来路，沿金来路向西至科研路，沿科研路向北至海逸路，向西至金海路，向南至百寿路，沿百寿路、金辉路向西至明珠路，沿明珠路向南至滨海路；西至环海路；北至现代路，沿路向东至金海路，沿金海路向北至大学路，至香水河东岸向北至白云路，沿路向东至昌阳河西岸。</w:t>
            </w:r>
          </w:p>
          <w:p w14:paraId="328A261B">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（2）南</w:t>
            </w:r>
            <w:r>
              <w:rPr>
                <w:rFonts w:ascii="Times New Roman" w:hAnsi="Times New Roman" w:cs="仿宋_GB2312"/>
                <w:bCs/>
                <w:color w:val="000000" w:themeColor="text1"/>
                <w:sz w:val="24"/>
                <w:szCs w:val="24"/>
                <w14:textFill>
                  <w14:solidFill>
                    <w14:schemeClr w14:val="tx1"/>
                  </w14:solidFill>
                </w14:textFill>
              </w:rPr>
              <w:t>海化工产业园：</w:t>
            </w:r>
            <w:r>
              <w:rPr>
                <w:rFonts w:hint="eastAsia" w:ascii="Times New Roman" w:hAnsi="Times New Roman" w:cs="仿宋_GB2312"/>
                <w:bCs/>
                <w:color w:val="000000" w:themeColor="text1"/>
                <w:sz w:val="24"/>
                <w:szCs w:val="24"/>
                <w14:textFill>
                  <w14:solidFill>
                    <w14:schemeClr w14:val="tx1"/>
                  </w14:solidFill>
                </w14:textFill>
              </w:rPr>
              <w:t>东至龙跃路；南至滨海路；西至龙泰西路，沿龙泰西路向北至创兴路，沿创兴路向东至龙泰路，沿龙泰路向北至方圆路；北</w:t>
            </w:r>
            <w:r>
              <w:rPr>
                <w:rFonts w:ascii="Times New Roman" w:hAnsi="Times New Roman" w:cs="仿宋_GB2312"/>
                <w:bCs/>
                <w:color w:val="000000" w:themeColor="text1"/>
                <w:sz w:val="24"/>
                <w:szCs w:val="24"/>
                <w14:textFill>
                  <w14:solidFill>
                    <w14:schemeClr w14:val="tx1"/>
                  </w14:solidFill>
                </w14:textFill>
              </w:rPr>
              <w:t>至方圆路，</w:t>
            </w:r>
            <w:r>
              <w:rPr>
                <w:rFonts w:hint="eastAsia" w:ascii="Times New Roman" w:hAnsi="Times New Roman" w:cs="仿宋_GB2312"/>
                <w:bCs/>
                <w:color w:val="000000" w:themeColor="text1"/>
                <w:sz w:val="24"/>
                <w:szCs w:val="24"/>
                <w14:textFill>
                  <w14:solidFill>
                    <w14:schemeClr w14:val="tx1"/>
                  </w14:solidFill>
                </w14:textFill>
              </w:rPr>
              <w:t>沿路向东至</w:t>
            </w:r>
            <w:bookmarkStart w:id="2" w:name="OLE_LINK4"/>
            <w:bookmarkStart w:id="3" w:name="OLE_LINK3"/>
            <w:r>
              <w:rPr>
                <w:rFonts w:hint="eastAsia" w:ascii="Times New Roman" w:hAnsi="Times New Roman" w:cs="仿宋_GB2312"/>
                <w:bCs/>
                <w:color w:val="000000" w:themeColor="text1"/>
                <w:sz w:val="24"/>
                <w:szCs w:val="24"/>
                <w14:textFill>
                  <w14:solidFill>
                    <w14:schemeClr w14:val="tx1"/>
                  </w14:solidFill>
                </w14:textFill>
              </w:rPr>
              <w:t>龙泰东路</w:t>
            </w:r>
            <w:bookmarkEnd w:id="2"/>
            <w:bookmarkEnd w:id="3"/>
            <w:r>
              <w:rPr>
                <w:rFonts w:hint="eastAsia" w:ascii="Times New Roman" w:hAnsi="Times New Roman" w:cs="仿宋_GB2312"/>
                <w:bCs/>
                <w:color w:val="000000" w:themeColor="text1"/>
                <w:sz w:val="24"/>
                <w:szCs w:val="24"/>
                <w14:textFill>
                  <w14:solidFill>
                    <w14:schemeClr w14:val="tx1"/>
                  </w14:solidFill>
                </w14:textFill>
              </w:rPr>
              <w:t>，沿龙泰东路向南至现代路，沿现</w:t>
            </w:r>
            <w:r>
              <w:rPr>
                <w:rFonts w:ascii="Times New Roman" w:hAnsi="Times New Roman" w:cs="仿宋_GB2312"/>
                <w:bCs/>
                <w:color w:val="000000" w:themeColor="text1"/>
                <w:sz w:val="24"/>
                <w:szCs w:val="24"/>
                <w14:textFill>
                  <w14:solidFill>
                    <w14:schemeClr w14:val="tx1"/>
                  </w14:solidFill>
                </w14:textFill>
              </w:rPr>
              <w:t>代</w:t>
            </w:r>
            <w:r>
              <w:rPr>
                <w:rFonts w:hint="eastAsia" w:ascii="Times New Roman" w:hAnsi="Times New Roman" w:cs="仿宋_GB2312"/>
                <w:bCs/>
                <w:color w:val="000000" w:themeColor="text1"/>
                <w:sz w:val="24"/>
                <w:szCs w:val="24"/>
                <w14:textFill>
                  <w14:solidFill>
                    <w14:schemeClr w14:val="tx1"/>
                  </w14:solidFill>
                </w14:textFill>
              </w:rPr>
              <w:t>路向东至龙跃路。</w:t>
            </w:r>
          </w:p>
          <w:p w14:paraId="72B0CCBA">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p>
        </w:tc>
      </w:tr>
      <w:tr w14:paraId="1A557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172" w:type="dxa"/>
            <w:shd w:val="clear" w:color="auto" w:fill="auto"/>
            <w:noWrap w:val="0"/>
            <w:vAlign w:val="center"/>
          </w:tcPr>
          <w:p w14:paraId="290F7BD2">
            <w:pPr>
              <w:spacing w:line="400" w:lineRule="exact"/>
              <w:ind w:firstLine="0"/>
              <w:jc w:val="center"/>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三级地</w:t>
            </w:r>
          </w:p>
        </w:tc>
        <w:tc>
          <w:tcPr>
            <w:tcW w:w="6527" w:type="dxa"/>
            <w:shd w:val="clear" w:color="auto" w:fill="auto"/>
            <w:noWrap w:val="0"/>
            <w:vAlign w:val="top"/>
          </w:tcPr>
          <w:p w14:paraId="7C8EA448">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p>
          <w:p w14:paraId="1B930CCD">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r>
              <w:rPr>
                <w:rFonts w:hint="eastAsia" w:ascii="Times New Roman" w:hAnsi="Times New Roman" w:cs="仿宋_GB2312"/>
                <w:bCs/>
                <w:color w:val="000000" w:themeColor="text1"/>
                <w:sz w:val="24"/>
                <w:szCs w:val="24"/>
                <w14:textFill>
                  <w14:solidFill>
                    <w14:schemeClr w14:val="tx1"/>
                  </w14:solidFill>
                </w14:textFill>
              </w:rPr>
              <w:t>一级、二级地以外土地为三级地。</w:t>
            </w:r>
          </w:p>
          <w:p w14:paraId="45CA664D">
            <w:pPr>
              <w:spacing w:line="400" w:lineRule="exact"/>
              <w:ind w:firstLine="0"/>
              <w:jc w:val="left"/>
              <w:textAlignment w:val="auto"/>
              <w:rPr>
                <w:rFonts w:hint="eastAsia" w:ascii="Times New Roman" w:hAnsi="Times New Roman" w:cs="仿宋_GB2312"/>
                <w:bCs/>
                <w:color w:val="000000" w:themeColor="text1"/>
                <w:sz w:val="24"/>
                <w:szCs w:val="24"/>
                <w14:textFill>
                  <w14:solidFill>
                    <w14:schemeClr w14:val="tx1"/>
                  </w14:solidFill>
                </w14:textFill>
              </w:rPr>
            </w:pPr>
          </w:p>
        </w:tc>
      </w:tr>
    </w:tbl>
    <w:p w14:paraId="2B0E1EE7">
      <w:pPr>
        <w:ind w:left="0" w:firstLine="0"/>
        <w:rPr>
          <w:rFonts w:ascii="Times New Roman" w:hAnsi="Times New Roman" w:eastAsia="黑体"/>
          <w:color w:val="000000" w:themeColor="text1"/>
          <w14:textFill>
            <w14:solidFill>
              <w14:schemeClr w14:val="tx1"/>
            </w14:solidFill>
          </w14:textFill>
        </w:rPr>
      </w:pPr>
      <w:r>
        <w:rPr>
          <w:rFonts w:ascii="Times New Roman" w:hAnsi="Times New Roman" w:eastAsia="黑体"/>
          <w:color w:val="000000" w:themeColor="text1"/>
          <w14:textFill>
            <w14:solidFill>
              <w14:schemeClr w14:val="tx1"/>
            </w14:solidFill>
          </w14:textFill>
        </w:rPr>
        <w:br w:type="page"/>
      </w:r>
      <w:r>
        <w:rPr>
          <w:rFonts w:ascii="Times New Roman" w:hAnsi="Times New Roman" w:eastAsia="黑体"/>
          <w:color w:val="000000" w:themeColor="text1"/>
          <w14:textFill>
            <w14:solidFill>
              <w14:schemeClr w14:val="tx1"/>
            </w14:solidFill>
          </w14:textFill>
        </w:rPr>
        <w:t>附件</w:t>
      </w:r>
      <w:r>
        <w:rPr>
          <w:rFonts w:hint="eastAsia" w:ascii="Times New Roman" w:hAnsi="Times New Roman" w:eastAsia="黑体"/>
          <w:color w:val="000000" w:themeColor="text1"/>
          <w14:textFill>
            <w14:solidFill>
              <w14:schemeClr w14:val="tx1"/>
            </w14:solidFill>
          </w14:textFill>
        </w:rPr>
        <w:t>4</w:t>
      </w:r>
    </w:p>
    <w:p w14:paraId="1C5302F3">
      <w:pPr>
        <w:ind w:left="0" w:firstLine="0"/>
        <w:jc w:val="center"/>
        <w:rPr>
          <w:rFonts w:ascii="Times New Roman" w:hAnsi="Times New Roman" w:eastAsia="方正小标宋简体"/>
          <w:bCs/>
          <w:color w:val="000000" w:themeColor="text1"/>
          <w:sz w:val="44"/>
          <w:szCs w:val="44"/>
          <w14:textFill>
            <w14:solidFill>
              <w14:schemeClr w14:val="tx1"/>
            </w14:solidFill>
          </w14:textFill>
        </w:rPr>
      </w:pPr>
      <w:r>
        <w:rPr>
          <w:rFonts w:hint="eastAsia" w:ascii="Times New Roman" w:hAnsi="Times New Roman" w:eastAsia="方正小标宋简体"/>
          <w:bCs/>
          <w:color w:val="000000" w:themeColor="text1"/>
          <w:sz w:val="44"/>
          <w:szCs w:val="44"/>
          <w14:textFill>
            <w14:solidFill>
              <w14:schemeClr w14:val="tx1"/>
            </w14:solidFill>
          </w14:textFill>
        </w:rPr>
        <w:t>南海新区</w:t>
      </w:r>
      <w:r>
        <w:rPr>
          <w:rFonts w:ascii="Times New Roman" w:hAnsi="Times New Roman" w:eastAsia="方正小标宋简体"/>
          <w:bCs/>
          <w:color w:val="000000" w:themeColor="text1"/>
          <w:sz w:val="44"/>
          <w:szCs w:val="44"/>
          <w14:textFill>
            <w14:solidFill>
              <w14:schemeClr w14:val="tx1"/>
            </w14:solidFill>
          </w14:textFill>
        </w:rPr>
        <w:t>基准地价表</w:t>
      </w:r>
    </w:p>
    <w:tbl>
      <w:tblPr>
        <w:tblStyle w:val="12"/>
        <w:tblW w:w="9060" w:type="dxa"/>
        <w:tblInd w:w="96" w:type="dxa"/>
        <w:tblLayout w:type="autofit"/>
        <w:tblCellMar>
          <w:top w:w="0" w:type="dxa"/>
          <w:left w:w="108" w:type="dxa"/>
          <w:bottom w:w="0" w:type="dxa"/>
          <w:right w:w="108" w:type="dxa"/>
        </w:tblCellMar>
      </w:tblPr>
      <w:tblGrid>
        <w:gridCol w:w="1812"/>
        <w:gridCol w:w="1812"/>
        <w:gridCol w:w="1812"/>
        <w:gridCol w:w="1812"/>
        <w:gridCol w:w="1812"/>
      </w:tblGrid>
      <w:tr w14:paraId="61878CF9">
        <w:tblPrEx>
          <w:tblCellMar>
            <w:top w:w="0" w:type="dxa"/>
            <w:left w:w="108" w:type="dxa"/>
            <w:bottom w:w="0" w:type="dxa"/>
            <w:right w:w="108" w:type="dxa"/>
          </w:tblCellMar>
        </w:tblPrEx>
        <w:trPr>
          <w:trHeight w:val="563" w:hRule="atLeast"/>
        </w:trPr>
        <w:tc>
          <w:tcPr>
            <w:tcW w:w="1812" w:type="dxa"/>
            <w:tcBorders>
              <w:top w:val="nil"/>
              <w:left w:val="nil"/>
              <w:bottom w:val="nil"/>
              <w:right w:val="nil"/>
            </w:tcBorders>
            <w:noWrap/>
            <w:vAlign w:val="center"/>
          </w:tcPr>
          <w:p w14:paraId="51EBCD05">
            <w:pPr>
              <w:widowControl/>
              <w:spacing w:line="400" w:lineRule="exact"/>
              <w:ind w:left="0" w:firstLine="0"/>
              <w:jc w:val="center"/>
              <w:rPr>
                <w:rFonts w:hint="eastAsia" w:ascii="Times New Roman" w:hAnsi="Times New Roman" w:eastAsia="宋体" w:cs="宋体"/>
                <w:b/>
                <w:bCs/>
                <w:color w:val="000000" w:themeColor="text1"/>
                <w:sz w:val="40"/>
                <w:szCs w:val="40"/>
                <w14:textFill>
                  <w14:solidFill>
                    <w14:schemeClr w14:val="tx1"/>
                  </w14:solidFill>
                </w14:textFill>
              </w:rPr>
            </w:pPr>
          </w:p>
        </w:tc>
        <w:tc>
          <w:tcPr>
            <w:tcW w:w="1812" w:type="dxa"/>
            <w:tcBorders>
              <w:top w:val="nil"/>
              <w:left w:val="nil"/>
              <w:bottom w:val="nil"/>
              <w:right w:val="nil"/>
            </w:tcBorders>
            <w:noWrap/>
            <w:vAlign w:val="center"/>
          </w:tcPr>
          <w:p w14:paraId="10970EF7">
            <w:pPr>
              <w:widowControl/>
              <w:spacing w:line="400" w:lineRule="exact"/>
              <w:ind w:left="0" w:firstLine="0"/>
              <w:jc w:val="center"/>
              <w:rPr>
                <w:rFonts w:hint="eastAsia" w:ascii="Times New Roman" w:hAnsi="Times New Roman" w:eastAsia="宋体" w:cs="宋体"/>
                <w:b/>
                <w:bCs/>
                <w:color w:val="000000" w:themeColor="text1"/>
                <w:sz w:val="40"/>
                <w:szCs w:val="40"/>
                <w14:textFill>
                  <w14:solidFill>
                    <w14:schemeClr w14:val="tx1"/>
                  </w14:solidFill>
                </w14:textFill>
              </w:rPr>
            </w:pPr>
          </w:p>
        </w:tc>
        <w:tc>
          <w:tcPr>
            <w:tcW w:w="1812" w:type="dxa"/>
            <w:tcBorders>
              <w:top w:val="nil"/>
              <w:left w:val="nil"/>
              <w:bottom w:val="nil"/>
              <w:right w:val="nil"/>
            </w:tcBorders>
            <w:noWrap/>
            <w:vAlign w:val="center"/>
          </w:tcPr>
          <w:p w14:paraId="4ABB30F0">
            <w:pPr>
              <w:widowControl/>
              <w:spacing w:line="400" w:lineRule="exact"/>
              <w:ind w:left="0" w:firstLine="0"/>
              <w:jc w:val="center"/>
              <w:rPr>
                <w:rFonts w:hint="eastAsia" w:ascii="Times New Roman" w:hAnsi="Times New Roman" w:eastAsia="宋体" w:cs="宋体"/>
                <w:b/>
                <w:bCs/>
                <w:color w:val="000000" w:themeColor="text1"/>
                <w:sz w:val="40"/>
                <w:szCs w:val="40"/>
                <w14:textFill>
                  <w14:solidFill>
                    <w14:schemeClr w14:val="tx1"/>
                  </w14:solidFill>
                </w14:textFill>
              </w:rPr>
            </w:pPr>
          </w:p>
        </w:tc>
        <w:tc>
          <w:tcPr>
            <w:tcW w:w="3624" w:type="dxa"/>
            <w:gridSpan w:val="2"/>
            <w:tcBorders>
              <w:top w:val="nil"/>
              <w:left w:val="nil"/>
              <w:bottom w:val="single" w:color="000000" w:sz="8" w:space="0"/>
              <w:right w:val="nil"/>
            </w:tcBorders>
            <w:noWrap/>
            <w:vAlign w:val="center"/>
          </w:tcPr>
          <w:p w14:paraId="16CEC1C9">
            <w:pPr>
              <w:widowControl/>
              <w:spacing w:line="400" w:lineRule="exact"/>
              <w:ind w:left="0" w:firstLine="0"/>
              <w:jc w:val="right"/>
              <w:textAlignment w:val="center"/>
              <w:rPr>
                <w:rFonts w:hint="eastAsia" w:ascii="Times New Roman" w:hAnsi="Times New Roman" w:eastAsia="楷体_GB2312" w:cs="楷体_GB2312"/>
                <w:color w:val="000000" w:themeColor="text1"/>
                <w:sz w:val="24"/>
                <w:szCs w:val="24"/>
                <w14:textFill>
                  <w14:solidFill>
                    <w14:schemeClr w14:val="tx1"/>
                  </w14:solidFill>
                </w14:textFill>
              </w:rPr>
            </w:pPr>
            <w:r>
              <w:rPr>
                <w:rFonts w:hint="eastAsia" w:ascii="Times New Roman" w:hAnsi="Times New Roman" w:eastAsia="楷体_GB2312" w:cs="楷体_GB2312"/>
                <w:color w:val="000000" w:themeColor="text1"/>
                <w:sz w:val="24"/>
                <w:szCs w:val="24"/>
                <w:lang w:bidi="ar"/>
                <w14:textFill>
                  <w14:solidFill>
                    <w14:schemeClr w14:val="tx1"/>
                  </w14:solidFill>
                </w14:textFill>
              </w:rPr>
              <w:t>单位：元/平方米</w:t>
            </w:r>
          </w:p>
        </w:tc>
      </w:tr>
      <w:tr w14:paraId="7457C3C5">
        <w:tblPrEx>
          <w:tblCellMar>
            <w:top w:w="0" w:type="dxa"/>
            <w:left w:w="108" w:type="dxa"/>
            <w:bottom w:w="0" w:type="dxa"/>
            <w:right w:w="108" w:type="dxa"/>
          </w:tblCellMar>
        </w:tblPrEx>
        <w:trPr>
          <w:trHeight w:val="600" w:hRule="atLeast"/>
        </w:trPr>
        <w:tc>
          <w:tcPr>
            <w:tcW w:w="0" w:type="auto"/>
            <w:tcBorders>
              <w:top w:val="single" w:color="000000" w:sz="8" w:space="0"/>
              <w:left w:val="single" w:color="000000" w:sz="8" w:space="0"/>
              <w:bottom w:val="single" w:color="000000" w:sz="4" w:space="0"/>
              <w:right w:val="single" w:color="000000" w:sz="4" w:space="0"/>
            </w:tcBorders>
            <w:noWrap/>
            <w:vAlign w:val="center"/>
          </w:tcPr>
          <w:p w14:paraId="3E2ED6F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用途</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03E3436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项目</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6DA56F8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一级</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7DDDBAD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二级</w:t>
            </w:r>
          </w:p>
        </w:tc>
        <w:tc>
          <w:tcPr>
            <w:tcW w:w="0" w:type="auto"/>
            <w:tcBorders>
              <w:top w:val="single" w:color="000000" w:sz="8" w:space="0"/>
              <w:left w:val="single" w:color="000000" w:sz="4" w:space="0"/>
              <w:bottom w:val="single" w:color="000000" w:sz="4" w:space="0"/>
              <w:right w:val="single" w:color="000000" w:sz="8" w:space="0"/>
            </w:tcBorders>
            <w:noWrap/>
            <w:vAlign w:val="center"/>
          </w:tcPr>
          <w:p w14:paraId="356775D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三级</w:t>
            </w:r>
          </w:p>
        </w:tc>
      </w:tr>
      <w:tr w14:paraId="37A8BE70">
        <w:tblPrEx>
          <w:tblCellMar>
            <w:top w:w="0" w:type="dxa"/>
            <w:left w:w="108" w:type="dxa"/>
            <w:bottom w:w="0" w:type="dxa"/>
            <w:right w:w="108" w:type="dxa"/>
          </w:tblCellMar>
        </w:tblPrEx>
        <w:trPr>
          <w:trHeight w:val="551" w:hRule="atLeast"/>
        </w:trPr>
        <w:tc>
          <w:tcPr>
            <w:tcW w:w="0" w:type="auto"/>
            <w:vMerge w:val="restart"/>
            <w:tcBorders>
              <w:top w:val="single" w:color="000000" w:sz="4" w:space="0"/>
              <w:left w:val="single" w:color="000000" w:sz="8" w:space="0"/>
              <w:bottom w:val="single" w:color="000000" w:sz="4" w:space="0"/>
              <w:right w:val="single" w:color="000000" w:sz="4" w:space="0"/>
            </w:tcBorders>
            <w:noWrap/>
            <w:vAlign w:val="center"/>
          </w:tcPr>
          <w:p w14:paraId="6028154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商服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73B10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39DDEF48">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1553</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132647D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1104</w:t>
            </w:r>
          </w:p>
        </w:tc>
        <w:tc>
          <w:tcPr>
            <w:tcW w:w="1812" w:type="dxa"/>
            <w:tcBorders>
              <w:top w:val="single" w:color="000000" w:sz="4" w:space="0"/>
              <w:left w:val="single" w:color="000000" w:sz="4" w:space="0"/>
              <w:bottom w:val="single" w:color="000000" w:sz="4" w:space="0"/>
              <w:right w:val="single" w:color="000000" w:sz="8" w:space="0"/>
            </w:tcBorders>
            <w:noWrap w:val="0"/>
            <w:vAlign w:val="center"/>
          </w:tcPr>
          <w:p w14:paraId="59410D4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841</w:t>
            </w:r>
          </w:p>
        </w:tc>
      </w:tr>
      <w:tr w14:paraId="4B0C47BF">
        <w:tblPrEx>
          <w:tblCellMar>
            <w:top w:w="0" w:type="dxa"/>
            <w:left w:w="108" w:type="dxa"/>
            <w:bottom w:w="0" w:type="dxa"/>
            <w:right w:w="108" w:type="dxa"/>
          </w:tblCellMar>
        </w:tblPrEx>
        <w:trPr>
          <w:trHeight w:val="551" w:hRule="atLeast"/>
        </w:trPr>
        <w:tc>
          <w:tcPr>
            <w:tcW w:w="0" w:type="auto"/>
            <w:vMerge w:val="continue"/>
            <w:tcBorders>
              <w:top w:val="single" w:color="000000" w:sz="4" w:space="0"/>
              <w:left w:val="single" w:color="000000" w:sz="8" w:space="0"/>
              <w:bottom w:val="single" w:color="000000" w:sz="4" w:space="0"/>
              <w:right w:val="single" w:color="000000" w:sz="4" w:space="0"/>
            </w:tcBorders>
            <w:noWrap/>
            <w:vAlign w:val="center"/>
          </w:tcPr>
          <w:p w14:paraId="56D86335">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6FE9E3">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楼面地价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134B19">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1109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45273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789 </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4E9F373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601 </w:t>
            </w:r>
          </w:p>
        </w:tc>
      </w:tr>
      <w:tr w14:paraId="0F6A7CB7">
        <w:tblPrEx>
          <w:tblCellMar>
            <w:top w:w="0" w:type="dxa"/>
            <w:left w:w="108" w:type="dxa"/>
            <w:bottom w:w="0" w:type="dxa"/>
            <w:right w:w="108" w:type="dxa"/>
          </w:tblCellMar>
        </w:tblPrEx>
        <w:trPr>
          <w:trHeight w:val="551" w:hRule="atLeast"/>
        </w:trPr>
        <w:tc>
          <w:tcPr>
            <w:tcW w:w="0" w:type="auto"/>
            <w:vMerge w:val="continue"/>
            <w:tcBorders>
              <w:top w:val="single" w:color="000000" w:sz="4" w:space="0"/>
              <w:left w:val="single" w:color="000000" w:sz="8" w:space="0"/>
              <w:bottom w:val="single" w:color="000000" w:sz="4" w:space="0"/>
              <w:right w:val="single" w:color="000000" w:sz="4" w:space="0"/>
            </w:tcBorders>
            <w:noWrap/>
            <w:vAlign w:val="center"/>
          </w:tcPr>
          <w:p w14:paraId="54D64D0C">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188A53">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39F61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1088-2019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D282D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773-1436</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35CD67C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632-1052</w:t>
            </w:r>
          </w:p>
        </w:tc>
      </w:tr>
      <w:tr w14:paraId="21169869">
        <w:tblPrEx>
          <w:tblCellMar>
            <w:top w:w="0" w:type="dxa"/>
            <w:left w:w="108" w:type="dxa"/>
            <w:bottom w:w="0" w:type="dxa"/>
            <w:right w:w="108" w:type="dxa"/>
          </w:tblCellMar>
        </w:tblPrEx>
        <w:trPr>
          <w:trHeight w:val="551" w:hRule="atLeast"/>
        </w:trPr>
        <w:tc>
          <w:tcPr>
            <w:tcW w:w="0" w:type="auto"/>
            <w:vMerge w:val="restart"/>
            <w:tcBorders>
              <w:top w:val="single" w:color="000000" w:sz="4" w:space="0"/>
              <w:left w:val="single" w:color="000000" w:sz="8" w:space="0"/>
              <w:bottom w:val="single" w:color="000000" w:sz="4" w:space="0"/>
              <w:right w:val="single" w:color="000000" w:sz="4" w:space="0"/>
            </w:tcBorders>
            <w:noWrap/>
            <w:vAlign w:val="center"/>
          </w:tcPr>
          <w:p w14:paraId="3D84C459">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住宅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47945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7FA163C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1538</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20AB9E0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1096</w:t>
            </w:r>
          </w:p>
        </w:tc>
        <w:tc>
          <w:tcPr>
            <w:tcW w:w="1812" w:type="dxa"/>
            <w:tcBorders>
              <w:top w:val="single" w:color="000000" w:sz="4" w:space="0"/>
              <w:left w:val="single" w:color="000000" w:sz="4" w:space="0"/>
              <w:bottom w:val="single" w:color="000000" w:sz="4" w:space="0"/>
              <w:right w:val="single" w:color="000000" w:sz="8" w:space="0"/>
            </w:tcBorders>
            <w:noWrap w:val="0"/>
            <w:vAlign w:val="center"/>
          </w:tcPr>
          <w:p w14:paraId="597F56F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829</w:t>
            </w:r>
          </w:p>
        </w:tc>
      </w:tr>
      <w:tr w14:paraId="7EAB9128">
        <w:tblPrEx>
          <w:tblCellMar>
            <w:top w:w="0" w:type="dxa"/>
            <w:left w:w="108" w:type="dxa"/>
            <w:bottom w:w="0" w:type="dxa"/>
            <w:right w:w="108" w:type="dxa"/>
          </w:tblCellMar>
        </w:tblPrEx>
        <w:trPr>
          <w:trHeight w:val="551" w:hRule="atLeast"/>
        </w:trPr>
        <w:tc>
          <w:tcPr>
            <w:tcW w:w="0" w:type="auto"/>
            <w:vMerge w:val="continue"/>
            <w:tcBorders>
              <w:top w:val="single" w:color="000000" w:sz="4" w:space="0"/>
              <w:left w:val="single" w:color="000000" w:sz="8" w:space="0"/>
              <w:bottom w:val="single" w:color="000000" w:sz="4" w:space="0"/>
              <w:right w:val="single" w:color="000000" w:sz="4" w:space="0"/>
            </w:tcBorders>
            <w:noWrap/>
            <w:vAlign w:val="center"/>
          </w:tcPr>
          <w:p w14:paraId="3263C864">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02BEA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楼面地价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859F4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1099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9F4D1C">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783 </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552762F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592 </w:t>
            </w:r>
          </w:p>
        </w:tc>
      </w:tr>
      <w:tr w14:paraId="78DDBD53">
        <w:tblPrEx>
          <w:tblCellMar>
            <w:top w:w="0" w:type="dxa"/>
            <w:left w:w="108" w:type="dxa"/>
            <w:bottom w:w="0" w:type="dxa"/>
            <w:right w:w="108" w:type="dxa"/>
          </w:tblCellMar>
        </w:tblPrEx>
        <w:trPr>
          <w:trHeight w:val="551" w:hRule="atLeast"/>
        </w:trPr>
        <w:tc>
          <w:tcPr>
            <w:tcW w:w="0" w:type="auto"/>
            <w:vMerge w:val="continue"/>
            <w:tcBorders>
              <w:top w:val="single" w:color="000000" w:sz="4" w:space="0"/>
              <w:left w:val="single" w:color="000000" w:sz="8" w:space="0"/>
              <w:bottom w:val="single" w:color="000000" w:sz="4" w:space="0"/>
              <w:right w:val="single" w:color="000000" w:sz="4" w:space="0"/>
            </w:tcBorders>
            <w:noWrap/>
            <w:vAlign w:val="center"/>
          </w:tcPr>
          <w:p w14:paraId="30AB4FEC">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1501D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20397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1077-2000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1BE44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822-1370</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3508F91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663-995</w:t>
            </w:r>
          </w:p>
        </w:tc>
      </w:tr>
      <w:tr w14:paraId="657F24DA">
        <w:tblPrEx>
          <w:tblCellMar>
            <w:top w:w="0" w:type="dxa"/>
            <w:left w:w="108" w:type="dxa"/>
            <w:bottom w:w="0" w:type="dxa"/>
            <w:right w:w="108" w:type="dxa"/>
          </w:tblCellMar>
        </w:tblPrEx>
        <w:trPr>
          <w:trHeight w:val="551" w:hRule="atLeast"/>
        </w:trPr>
        <w:tc>
          <w:tcPr>
            <w:tcW w:w="0" w:type="auto"/>
            <w:vMerge w:val="restart"/>
            <w:tcBorders>
              <w:top w:val="single" w:color="000000" w:sz="4" w:space="0"/>
              <w:left w:val="single" w:color="000000" w:sz="8" w:space="0"/>
              <w:bottom w:val="single" w:color="000000" w:sz="4" w:space="0"/>
              <w:right w:val="single" w:color="000000" w:sz="4" w:space="0"/>
            </w:tcBorders>
            <w:noWrap/>
            <w:vAlign w:val="center"/>
          </w:tcPr>
          <w:p w14:paraId="55F35D3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工业</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B71321">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28242689">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507</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0E55B37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438</w:t>
            </w:r>
          </w:p>
        </w:tc>
        <w:tc>
          <w:tcPr>
            <w:tcW w:w="1812" w:type="dxa"/>
            <w:tcBorders>
              <w:top w:val="single" w:color="000000" w:sz="4" w:space="0"/>
              <w:left w:val="single" w:color="000000" w:sz="4" w:space="0"/>
              <w:bottom w:val="single" w:color="000000" w:sz="4" w:space="0"/>
              <w:right w:val="single" w:color="000000" w:sz="8" w:space="0"/>
            </w:tcBorders>
            <w:noWrap w:val="0"/>
            <w:vAlign w:val="center"/>
          </w:tcPr>
          <w:p w14:paraId="3822883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376</w:t>
            </w:r>
          </w:p>
        </w:tc>
      </w:tr>
      <w:tr w14:paraId="1AA11DFE">
        <w:tblPrEx>
          <w:tblCellMar>
            <w:top w:w="0" w:type="dxa"/>
            <w:left w:w="108" w:type="dxa"/>
            <w:bottom w:w="0" w:type="dxa"/>
            <w:right w:w="108" w:type="dxa"/>
          </w:tblCellMar>
        </w:tblPrEx>
        <w:trPr>
          <w:trHeight w:val="551" w:hRule="atLeast"/>
        </w:trPr>
        <w:tc>
          <w:tcPr>
            <w:tcW w:w="0" w:type="auto"/>
            <w:vMerge w:val="continue"/>
            <w:tcBorders>
              <w:top w:val="single" w:color="000000" w:sz="4" w:space="0"/>
              <w:left w:val="single" w:color="000000" w:sz="8" w:space="0"/>
              <w:bottom w:val="single" w:color="000000" w:sz="4" w:space="0"/>
              <w:right w:val="single" w:color="000000" w:sz="4" w:space="0"/>
            </w:tcBorders>
            <w:noWrap/>
            <w:vAlign w:val="center"/>
          </w:tcPr>
          <w:p w14:paraId="52A936E9">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FB8B25">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B1A2B7">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405-609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A5FF1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372-504</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3CAF1F41">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339-414</w:t>
            </w:r>
          </w:p>
        </w:tc>
      </w:tr>
      <w:tr w14:paraId="35387571">
        <w:tblPrEx>
          <w:tblCellMar>
            <w:top w:w="0" w:type="dxa"/>
            <w:left w:w="108" w:type="dxa"/>
            <w:bottom w:w="0" w:type="dxa"/>
            <w:right w:w="108" w:type="dxa"/>
          </w:tblCellMar>
        </w:tblPrEx>
        <w:trPr>
          <w:trHeight w:val="551" w:hRule="atLeast"/>
        </w:trPr>
        <w:tc>
          <w:tcPr>
            <w:tcW w:w="1812" w:type="dxa"/>
            <w:vMerge w:val="restart"/>
            <w:tcBorders>
              <w:top w:val="single" w:color="000000" w:sz="4" w:space="0"/>
              <w:left w:val="single" w:color="000000" w:sz="4" w:space="0"/>
              <w:bottom w:val="single" w:color="000000" w:sz="4" w:space="0"/>
              <w:right w:val="single" w:color="000000" w:sz="4" w:space="0"/>
            </w:tcBorders>
            <w:noWrap w:val="0"/>
            <w:vAlign w:val="center"/>
          </w:tcPr>
          <w:p w14:paraId="62D1FE08">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机关团体</w:t>
            </w:r>
            <w:r>
              <w:rPr>
                <w:rFonts w:hint="eastAsia" w:ascii="Times New Roman" w:hAnsi="Times New Roman" w:cs="仿宋_GB2312"/>
                <w:color w:val="000000" w:themeColor="text1"/>
                <w:sz w:val="24"/>
                <w:szCs w:val="24"/>
                <w:lang w:bidi="ar"/>
                <w14:textFill>
                  <w14:solidFill>
                    <w14:schemeClr w14:val="tx1"/>
                  </w14:solidFill>
                </w14:textFill>
              </w:rPr>
              <w:br w:type="textWrapping"/>
            </w:r>
            <w:r>
              <w:rPr>
                <w:rFonts w:hint="eastAsia" w:ascii="Times New Roman" w:hAnsi="Times New Roman" w:cs="仿宋_GB2312"/>
                <w:color w:val="000000" w:themeColor="text1"/>
                <w:sz w:val="24"/>
                <w:szCs w:val="24"/>
                <w:lang w:bidi="ar"/>
                <w14:textFill>
                  <w14:solidFill>
                    <w14:schemeClr w14:val="tx1"/>
                  </w14:solidFill>
                </w14:textFill>
              </w:rPr>
              <w:t>医疗卫生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834B3D">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72B62D47">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14:textFill>
                  <w14:solidFill>
                    <w14:schemeClr w14:val="tx1"/>
                  </w14:solidFill>
                </w14:textFill>
              </w:rPr>
              <w:t>1087</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075A4DC5">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773</w:t>
            </w:r>
          </w:p>
        </w:tc>
        <w:tc>
          <w:tcPr>
            <w:tcW w:w="1812" w:type="dxa"/>
            <w:tcBorders>
              <w:top w:val="single" w:color="000000" w:sz="4" w:space="0"/>
              <w:left w:val="single" w:color="000000" w:sz="4" w:space="0"/>
              <w:bottom w:val="single" w:color="000000" w:sz="4" w:space="0"/>
              <w:right w:val="single" w:color="000000" w:sz="8" w:space="0"/>
            </w:tcBorders>
            <w:noWrap w:val="0"/>
            <w:vAlign w:val="center"/>
          </w:tcPr>
          <w:p w14:paraId="77BDF55A">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589</w:t>
            </w:r>
          </w:p>
        </w:tc>
      </w:tr>
      <w:tr w14:paraId="273E311C">
        <w:tblPrEx>
          <w:tblCellMar>
            <w:top w:w="0" w:type="dxa"/>
            <w:left w:w="108" w:type="dxa"/>
            <w:bottom w:w="0" w:type="dxa"/>
            <w:right w:w="108" w:type="dxa"/>
          </w:tblCellMar>
        </w:tblPrEx>
        <w:trPr>
          <w:trHeight w:val="551" w:hRule="atLeast"/>
        </w:trPr>
        <w:tc>
          <w:tcPr>
            <w:tcW w:w="181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F8CCC2">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9B39A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楼面地价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8F690F">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776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EBA4B3">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552 </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1D19C58B">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 xml:space="preserve">421 </w:t>
            </w:r>
          </w:p>
        </w:tc>
      </w:tr>
      <w:tr w14:paraId="49EB39B5">
        <w:tblPrEx>
          <w:tblCellMar>
            <w:top w:w="0" w:type="dxa"/>
            <w:left w:w="108" w:type="dxa"/>
            <w:bottom w:w="0" w:type="dxa"/>
            <w:right w:w="108" w:type="dxa"/>
          </w:tblCellMar>
        </w:tblPrEx>
        <w:trPr>
          <w:trHeight w:val="551" w:hRule="atLeast"/>
        </w:trPr>
        <w:tc>
          <w:tcPr>
            <w:tcW w:w="181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27A023">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59FD02">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AC343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761-1413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329D33">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542-1005</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11C1F461">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441-737</w:t>
            </w:r>
          </w:p>
        </w:tc>
      </w:tr>
      <w:tr w14:paraId="0D705F84">
        <w:tblPrEx>
          <w:tblCellMar>
            <w:top w:w="0" w:type="dxa"/>
            <w:left w:w="108" w:type="dxa"/>
            <w:bottom w:w="0" w:type="dxa"/>
            <w:right w:w="108" w:type="dxa"/>
          </w:tblCellMar>
        </w:tblPrEx>
        <w:trPr>
          <w:trHeight w:val="625" w:hRule="atLeast"/>
        </w:trPr>
        <w:tc>
          <w:tcPr>
            <w:tcW w:w="1812" w:type="dxa"/>
            <w:vMerge w:val="restart"/>
            <w:tcBorders>
              <w:top w:val="single" w:color="000000" w:sz="4" w:space="0"/>
              <w:left w:val="single" w:color="000000" w:sz="4" w:space="0"/>
              <w:bottom w:val="single" w:color="000000" w:sz="4" w:space="0"/>
              <w:right w:val="single" w:color="000000" w:sz="4" w:space="0"/>
            </w:tcBorders>
            <w:noWrap w:val="0"/>
            <w:vAlign w:val="center"/>
          </w:tcPr>
          <w:p w14:paraId="2CBF0302">
            <w:pPr>
              <w:widowControl/>
              <w:spacing w:line="400" w:lineRule="exact"/>
              <w:ind w:left="0" w:firstLine="0"/>
              <w:jc w:val="center"/>
              <w:textAlignment w:val="center"/>
              <w:rPr>
                <w:rFonts w:hint="eastAsia" w:ascii="Times New Roman" w:hAnsi="Times New Roman" w:cs="仿宋_GB2312"/>
                <w:color w:val="000000" w:themeColor="text1"/>
                <w:sz w:val="24"/>
                <w:szCs w:val="24"/>
                <w:lang w:bidi="ar"/>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科研           文化           教育            体育           社会福利</w:t>
            </w:r>
          </w:p>
          <w:p w14:paraId="6A9C439F">
            <w:pPr>
              <w:widowControl/>
              <w:spacing w:line="400" w:lineRule="exact"/>
              <w:ind w:left="0" w:firstLine="0"/>
              <w:jc w:val="center"/>
              <w:textAlignment w:val="center"/>
              <w:rPr>
                <w:rFonts w:hint="eastAsia" w:ascii="Times New Roman" w:hAnsi="Times New Roman" w:cs="仿宋_GB2312"/>
                <w:color w:val="000000" w:themeColor="text1"/>
                <w:sz w:val="24"/>
                <w:szCs w:val="24"/>
                <w:lang w:bidi="ar"/>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交通运输</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90420E">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基准地价</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06666429">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507</w:t>
            </w:r>
          </w:p>
        </w:tc>
        <w:tc>
          <w:tcPr>
            <w:tcW w:w="1812" w:type="dxa"/>
            <w:tcBorders>
              <w:top w:val="single" w:color="000000" w:sz="4" w:space="0"/>
              <w:left w:val="single" w:color="000000" w:sz="4" w:space="0"/>
              <w:bottom w:val="single" w:color="000000" w:sz="4" w:space="0"/>
              <w:right w:val="single" w:color="000000" w:sz="4" w:space="0"/>
            </w:tcBorders>
            <w:noWrap w:val="0"/>
            <w:vAlign w:val="center"/>
          </w:tcPr>
          <w:p w14:paraId="60E9D46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438</w:t>
            </w:r>
          </w:p>
        </w:tc>
        <w:tc>
          <w:tcPr>
            <w:tcW w:w="1812" w:type="dxa"/>
            <w:tcBorders>
              <w:top w:val="single" w:color="000000" w:sz="4" w:space="0"/>
              <w:left w:val="single" w:color="000000" w:sz="4" w:space="0"/>
              <w:bottom w:val="single" w:color="000000" w:sz="4" w:space="0"/>
              <w:right w:val="single" w:color="000000" w:sz="8" w:space="0"/>
            </w:tcBorders>
            <w:noWrap w:val="0"/>
            <w:vAlign w:val="center"/>
          </w:tcPr>
          <w:p w14:paraId="62FD9879">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376</w:t>
            </w:r>
          </w:p>
        </w:tc>
      </w:tr>
      <w:tr w14:paraId="0F2AB4BF">
        <w:tblPrEx>
          <w:tblCellMar>
            <w:top w:w="0" w:type="dxa"/>
            <w:left w:w="108" w:type="dxa"/>
            <w:bottom w:w="0" w:type="dxa"/>
            <w:right w:w="108" w:type="dxa"/>
          </w:tblCellMar>
        </w:tblPrEx>
        <w:trPr>
          <w:trHeight w:val="1815" w:hRule="atLeast"/>
        </w:trPr>
        <w:tc>
          <w:tcPr>
            <w:tcW w:w="181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3A4104">
            <w:pPr>
              <w:widowControl/>
              <w:spacing w:line="400" w:lineRule="exact"/>
              <w:ind w:left="0" w:firstLine="0"/>
              <w:jc w:val="center"/>
              <w:rPr>
                <w:rFonts w:hint="eastAsia" w:ascii="Times New Roman" w:hAnsi="Times New Roman" w:cs="仿宋_GB2312"/>
                <w:color w:val="000000" w:themeColor="text1"/>
                <w:sz w:val="24"/>
                <w:szCs w:val="24"/>
                <w14:textFill>
                  <w14:solidFill>
                    <w14:schemeClr w14:val="tx1"/>
                  </w14:solidFill>
                </w14:textFill>
              </w:rPr>
            </w:pPr>
          </w:p>
        </w:tc>
        <w:tc>
          <w:tcPr>
            <w:tcW w:w="0" w:type="auto"/>
            <w:tcBorders>
              <w:top w:val="single" w:color="000000" w:sz="4" w:space="0"/>
              <w:left w:val="single" w:color="000000" w:sz="4" w:space="0"/>
              <w:bottom w:val="single" w:color="000000" w:sz="8" w:space="0"/>
              <w:right w:val="single" w:color="000000" w:sz="4" w:space="0"/>
            </w:tcBorders>
            <w:noWrap/>
            <w:vAlign w:val="center"/>
          </w:tcPr>
          <w:p w14:paraId="25794F33">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幅度</w:t>
            </w:r>
          </w:p>
        </w:tc>
        <w:tc>
          <w:tcPr>
            <w:tcW w:w="0" w:type="auto"/>
            <w:tcBorders>
              <w:top w:val="single" w:color="000000" w:sz="4" w:space="0"/>
              <w:left w:val="single" w:color="000000" w:sz="4" w:space="0"/>
              <w:bottom w:val="single" w:color="000000" w:sz="8" w:space="0"/>
              <w:right w:val="single" w:color="000000" w:sz="4" w:space="0"/>
            </w:tcBorders>
            <w:noWrap/>
            <w:vAlign w:val="center"/>
          </w:tcPr>
          <w:p w14:paraId="68672704">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405-</w:t>
            </w:r>
            <w:r>
              <w:rPr>
                <w:rFonts w:hint="eastAsia" w:ascii="Times New Roman" w:hAnsi="Times New Roman" w:cs="仿宋_GB2312"/>
                <w:color w:val="000000" w:themeColor="text1"/>
                <w:sz w:val="24"/>
                <w:szCs w:val="24"/>
                <w14:textFill>
                  <w14:solidFill>
                    <w14:schemeClr w14:val="tx1"/>
                  </w14:solidFill>
                </w14:textFill>
              </w:rPr>
              <w:t>609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DEDBB6">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372-504</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5A9705F0">
            <w:pPr>
              <w:widowControl/>
              <w:spacing w:line="400" w:lineRule="exact"/>
              <w:ind w:left="0" w:firstLine="0"/>
              <w:jc w:val="center"/>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cs="仿宋_GB2312"/>
                <w:color w:val="000000" w:themeColor="text1"/>
                <w:sz w:val="24"/>
                <w:szCs w:val="24"/>
                <w:lang w:bidi="ar"/>
                <w14:textFill>
                  <w14:solidFill>
                    <w14:schemeClr w14:val="tx1"/>
                  </w14:solidFill>
                </w14:textFill>
              </w:rPr>
              <w:t>339-414</w:t>
            </w:r>
          </w:p>
        </w:tc>
      </w:tr>
      <w:tr w14:paraId="40E5DDDA">
        <w:tblPrEx>
          <w:tblCellMar>
            <w:top w:w="0" w:type="dxa"/>
            <w:left w:w="108" w:type="dxa"/>
            <w:bottom w:w="0" w:type="dxa"/>
            <w:right w:w="108" w:type="dxa"/>
          </w:tblCellMar>
        </w:tblPrEx>
        <w:trPr>
          <w:trHeight w:val="600" w:hRule="atLeast"/>
        </w:trPr>
        <w:tc>
          <w:tcPr>
            <w:tcW w:w="0" w:type="auto"/>
            <w:gridSpan w:val="5"/>
            <w:tcBorders>
              <w:top w:val="single" w:color="000000" w:sz="8" w:space="0"/>
              <w:left w:val="nil"/>
              <w:bottom w:val="nil"/>
              <w:right w:val="nil"/>
            </w:tcBorders>
            <w:noWrap/>
            <w:vAlign w:val="center"/>
          </w:tcPr>
          <w:p w14:paraId="582B8F0D">
            <w:pPr>
              <w:widowControl/>
              <w:spacing w:line="400" w:lineRule="exact"/>
              <w:ind w:left="0" w:firstLine="0"/>
              <w:jc w:val="left"/>
              <w:textAlignment w:val="center"/>
              <w:rPr>
                <w:rFonts w:hint="eastAsia" w:ascii="Times New Roman" w:hAnsi="Times New Roman" w:cs="仿宋_GB2312"/>
                <w:color w:val="000000" w:themeColor="text1"/>
                <w:sz w:val="24"/>
                <w:szCs w:val="24"/>
                <w14:textFill>
                  <w14:solidFill>
                    <w14:schemeClr w14:val="tx1"/>
                  </w14:solidFill>
                </w14:textFill>
              </w:rPr>
            </w:pPr>
            <w:r>
              <w:rPr>
                <w:rFonts w:hint="eastAsia" w:ascii="Times New Roman" w:hAnsi="Times New Roman" w:eastAsia="楷体_GB2312" w:cs="楷体_GB2312"/>
                <w:color w:val="000000" w:themeColor="text1"/>
                <w:sz w:val="24"/>
                <w:szCs w:val="24"/>
                <w:lang w:bidi="ar"/>
                <w14:textFill>
                  <w14:solidFill>
                    <w14:schemeClr w14:val="tx1"/>
                  </w14:solidFill>
                </w14:textFill>
              </w:rPr>
              <w:t>注：商服、住宅、工业用地容积率分别设定为</w:t>
            </w:r>
            <w:r>
              <w:rPr>
                <w:rStyle w:val="21"/>
                <w:rFonts w:hint="eastAsia" w:eastAsia="楷体_GB2312" w:cs="楷体_GB2312"/>
                <w:color w:val="000000" w:themeColor="text1"/>
                <w:lang w:bidi="ar"/>
                <w14:textFill>
                  <w14:solidFill>
                    <w14:schemeClr w14:val="tx1"/>
                  </w14:solidFill>
                </w14:textFill>
              </w:rPr>
              <w:t>1.4</w:t>
            </w:r>
            <w:r>
              <w:rPr>
                <w:rFonts w:hint="eastAsia" w:ascii="Times New Roman" w:hAnsi="Times New Roman" w:eastAsia="楷体_GB2312" w:cs="楷体_GB2312"/>
                <w:color w:val="000000" w:themeColor="text1"/>
                <w:sz w:val="24"/>
                <w:szCs w:val="24"/>
                <w:lang w:bidi="ar"/>
                <w14:textFill>
                  <w14:solidFill>
                    <w14:schemeClr w14:val="tx1"/>
                  </w14:solidFill>
                </w14:textFill>
              </w:rPr>
              <w:t>、</w:t>
            </w:r>
            <w:r>
              <w:rPr>
                <w:rStyle w:val="21"/>
                <w:rFonts w:hint="eastAsia" w:eastAsia="楷体_GB2312" w:cs="楷体_GB2312"/>
                <w:color w:val="000000" w:themeColor="text1"/>
                <w:lang w:bidi="ar"/>
                <w14:textFill>
                  <w14:solidFill>
                    <w14:schemeClr w14:val="tx1"/>
                  </w14:solidFill>
                </w14:textFill>
              </w:rPr>
              <w:t>1.4</w:t>
            </w:r>
            <w:r>
              <w:rPr>
                <w:rFonts w:hint="eastAsia" w:ascii="Times New Roman" w:hAnsi="Times New Roman" w:eastAsia="楷体_GB2312" w:cs="楷体_GB2312"/>
                <w:color w:val="000000" w:themeColor="text1"/>
                <w:sz w:val="24"/>
                <w:szCs w:val="24"/>
                <w:lang w:bidi="ar"/>
                <w14:textFill>
                  <w14:solidFill>
                    <w14:schemeClr w14:val="tx1"/>
                  </w14:solidFill>
                </w14:textFill>
              </w:rPr>
              <w:t>、</w:t>
            </w:r>
            <w:r>
              <w:rPr>
                <w:rStyle w:val="21"/>
                <w:rFonts w:hint="eastAsia" w:eastAsia="楷体_GB2312" w:cs="楷体_GB2312"/>
                <w:color w:val="000000" w:themeColor="text1"/>
                <w:lang w:bidi="ar"/>
                <w14:textFill>
                  <w14:solidFill>
                    <w14:schemeClr w14:val="tx1"/>
                  </w14:solidFill>
                </w14:textFill>
              </w:rPr>
              <w:t>1.0</w:t>
            </w:r>
            <w:r>
              <w:rPr>
                <w:rFonts w:hint="eastAsia" w:ascii="Times New Roman" w:hAnsi="Times New Roman" w:eastAsia="楷体_GB2312" w:cs="楷体_GB2312"/>
                <w:color w:val="000000" w:themeColor="text1"/>
                <w:sz w:val="24"/>
                <w:szCs w:val="24"/>
                <w:lang w:bidi="ar"/>
                <w14:textFill>
                  <w14:solidFill>
                    <w14:schemeClr w14:val="tx1"/>
                  </w14:solidFill>
                </w14:textFill>
              </w:rPr>
              <w:t>。</w:t>
            </w:r>
          </w:p>
        </w:tc>
      </w:tr>
    </w:tbl>
    <w:p w14:paraId="12A928BB">
      <w:pPr>
        <w:keepNext w:val="0"/>
        <w:keepLines w:val="0"/>
        <w:pageBreakBefore w:val="0"/>
        <w:widowControl w:val="0"/>
        <w:tabs>
          <w:tab w:val="left" w:pos="3268"/>
          <w:tab w:val="right" w:pos="10285"/>
        </w:tabs>
        <w:kinsoku/>
        <w:wordWrap/>
        <w:overflowPunct/>
        <w:topLinePunct w:val="0"/>
        <w:autoSpaceDE/>
        <w:autoSpaceDN/>
        <w:bidi w:val="0"/>
        <w:adjustRightInd/>
        <w:snapToGrid/>
        <w:spacing w:before="0" w:beforeLines="0" w:after="0" w:afterLines="50" w:line="600" w:lineRule="exact"/>
        <w:ind w:left="0" w:leftChars="0" w:right="320" w:rightChars="100" w:firstLine="0" w:firstLineChars="0"/>
        <w:jc w:val="both"/>
        <w:textAlignment w:val="bottom"/>
        <w:outlineLvl w:val="9"/>
        <w:rPr>
          <w:rFonts w:hint="default" w:ascii="Times New Roman" w:hAnsi="Times New Roman" w:cs="Times New Roman"/>
          <w:sz w:val="28"/>
        </w:rPr>
      </w:pPr>
    </w:p>
    <w:sectPr>
      <w:headerReference r:id="rId5" w:type="default"/>
      <w:footerReference r:id="rId7" w:type="default"/>
      <w:headerReference r:id="rId6" w:type="even"/>
      <w:footerReference r:id="rId8" w:type="even"/>
      <w:footnotePr>
        <w:numFmt w:val="decimalHalfWidth"/>
      </w:footnotePr>
      <w:endnotePr>
        <w:numFmt w:val="chineseCounting"/>
      </w:endnotePr>
      <w:pgSz w:w="11905" w:h="16837"/>
      <w:pgMar w:top="2098" w:right="1531" w:bottom="2098" w:left="1531" w:header="566" w:footer="1474" w:gutter="0"/>
      <w:pgNumType w:start="1"/>
      <w:cols w:space="720" w:num="1"/>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BC34A6">
    <w:pPr>
      <w:spacing w:line="1" w:lineRule="atLeast"/>
    </w:pPr>
    <w:r>
      <mc:AlternateContent>
        <mc:Choice Requires="wps">
          <w:drawing>
            <wp:anchor distT="0" distB="0" distL="0" distR="0" simplePos="0" relativeHeight="251663360" behindDoc="0" locked="1" layoutInCell="1" allowOverlap="1">
              <wp:simplePos x="0" y="0"/>
              <wp:positionH relativeFrom="column">
                <wp:posOffset>0</wp:posOffset>
              </wp:positionH>
              <wp:positionV relativeFrom="paragraph">
                <wp:posOffset>0</wp:posOffset>
              </wp:positionV>
              <wp:extent cx="5615940" cy="323850"/>
              <wp:effectExtent l="0" t="0" r="0" b="0"/>
              <wp:wrapNone/>
              <wp:docPr id="7" name="文本框 4"/>
              <wp:cNvGraphicFramePr/>
              <a:graphic xmlns:a="http://schemas.openxmlformats.org/drawingml/2006/main">
                <a:graphicData uri="http://schemas.microsoft.com/office/word/2010/wordprocessingShape">
                  <wps:wsp>
                    <wps:cNvSpPr txBox="1"/>
                    <wps:spPr>
                      <a:xfrm>
                        <a:off x="0" y="0"/>
                        <a:ext cx="5615940" cy="323850"/>
                      </a:xfrm>
                      <a:prstGeom prst="rect">
                        <a:avLst/>
                      </a:prstGeom>
                      <a:noFill/>
                      <a:ln w="7200">
                        <a:noFill/>
                      </a:ln>
                    </wps:spPr>
                    <wps:txbx>
                      <w:txbxContent>
                        <w:p w14:paraId="4695396F">
                          <w:pPr>
                            <w:widowControl w:val="0"/>
                            <w:spacing w:line="439" w:lineRule="atLeast"/>
                            <w:jc w:val="right"/>
                            <w:rPr>
                              <w:rFonts w:hint="default" w:ascii="Times New Roman" w:hAnsi="Times New Roman" w:cs="Times New Roman"/>
                              <w:sz w:val="28"/>
                            </w:rPr>
                          </w:pPr>
                          <w:r>
                            <w:rPr>
                              <w:rFonts w:hint="default" w:ascii="Times New Roman" w:hAnsi="Times New Roman" w:cs="Times New Roman"/>
                              <w:sz w:val="28"/>
                            </w:rPr>
                            <w:t>—</w:t>
                          </w:r>
                          <w:r>
                            <w:rPr>
                              <w:rFonts w:hint="default" w:ascii="Times New Roman" w:hAnsi="Times New Roman" w:cs="Times New Roman"/>
                              <w:sz w:val="28"/>
                            </w:rPr>
                            <w:fldChar w:fldCharType="begin"/>
                          </w:r>
                          <w:r>
                            <w:rPr>
                              <w:rFonts w:hint="default" w:ascii="Times New Roman" w:hAnsi="Times New Roman" w:cs="Times New Roman"/>
                              <w:sz w:val="28"/>
                            </w:rPr>
                            <w:instrText xml:space="preserve"> PAGE \* Arabic \* MERGEFORMAT </w:instrText>
                          </w:r>
                          <w:r>
                            <w:rPr>
                              <w:rFonts w:hint="default" w:ascii="Times New Roman" w:hAnsi="Times New Roman" w:cs="Times New Roman"/>
                              <w:sz w:val="28"/>
                            </w:rPr>
                            <w:fldChar w:fldCharType="separate"/>
                          </w:r>
                          <w:r>
                            <w:rPr>
                              <w:rFonts w:hint="default" w:ascii="Times New Roman" w:hAnsi="Times New Roman" w:cs="Times New Roman"/>
                              <w:sz w:val="28"/>
                            </w:rPr>
                            <w:t>?</w:t>
                          </w:r>
                          <w:r>
                            <w:rPr>
                              <w:rFonts w:hint="default" w:ascii="Times New Roman" w:hAnsi="Times New Roman" w:cs="Times New Roman"/>
                              <w:sz w:val="28"/>
                            </w:rPr>
                            <w:fldChar w:fldCharType="end"/>
                          </w:r>
                          <w:r>
                            <w:rPr>
                              <w:rFonts w:hint="default" w:ascii="Times New Roman" w:hAnsi="Times New Roman" w:cs="Times New Roman"/>
                              <w:sz w:val="28"/>
                            </w:rPr>
                            <w:t>—　</w:t>
                          </w:r>
                        </w:p>
                      </w:txbxContent>
                    </wps:txbx>
                    <wps:bodyPr wrap="square" lIns="0" tIns="0" rIns="0" bIns="0" upright="1"/>
                  </wps:wsp>
                </a:graphicData>
              </a:graphic>
            </wp:anchor>
          </w:drawing>
        </mc:Choice>
        <mc:Fallback>
          <w:pict>
            <v:shape id="文本框 4" o:spid="_x0000_s1026" o:spt="202" type="#_x0000_t202" style="position:absolute;left:0pt;margin-left:0pt;margin-top:0pt;height:25.5pt;width:442.2pt;z-index:251663360;mso-width-relative:page;mso-height-relative:page;" filled="f" stroked="f" coordsize="21600,21600" o:gfxdata="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E+GIVNUAAAAEAQAADwAAAAAAAAABACAAAAAiAAAAZHJz&#10;L2Rvd25yZXYueG1sUEsBAhQAFAAAAAgAh07iQLzOzq7OAQAAiQMAAA4AAAAAAAAAAQAgAAAAJAEA&#10;AGRycy9lMm9Eb2MueG1sUEsFBgAAAAAGAAYAWQEAAGQFAAAAAA==&#10;">
              <v:fill on="f" focussize="0,0"/>
              <v:stroke on="f" weight="0.566929133858268pt"/>
              <v:imagedata o:title=""/>
              <o:lock v:ext="edit" aspectratio="f"/>
              <v:textbox inset="0mm,0mm,0mm,0mm">
                <w:txbxContent>
                  <w:p w14:paraId="4695396F">
                    <w:pPr>
                      <w:widowControl w:val="0"/>
                      <w:spacing w:line="439" w:lineRule="atLeast"/>
                      <w:jc w:val="right"/>
                      <w:rPr>
                        <w:rFonts w:hint="default" w:ascii="Times New Roman" w:hAnsi="Times New Roman" w:cs="Times New Roman"/>
                        <w:sz w:val="28"/>
                      </w:rPr>
                    </w:pPr>
                    <w:r>
                      <w:rPr>
                        <w:rFonts w:hint="default" w:ascii="Times New Roman" w:hAnsi="Times New Roman" w:cs="Times New Roman"/>
                        <w:sz w:val="28"/>
                      </w:rPr>
                      <w:t>—</w:t>
                    </w:r>
                    <w:r>
                      <w:rPr>
                        <w:rFonts w:hint="default" w:ascii="Times New Roman" w:hAnsi="Times New Roman" w:cs="Times New Roman"/>
                        <w:sz w:val="28"/>
                      </w:rPr>
                      <w:fldChar w:fldCharType="begin"/>
                    </w:r>
                    <w:r>
                      <w:rPr>
                        <w:rFonts w:hint="default" w:ascii="Times New Roman" w:hAnsi="Times New Roman" w:cs="Times New Roman"/>
                        <w:sz w:val="28"/>
                      </w:rPr>
                      <w:instrText xml:space="preserve"> PAGE \* Arabic \* MERGEFORMAT </w:instrText>
                    </w:r>
                    <w:r>
                      <w:rPr>
                        <w:rFonts w:hint="default" w:ascii="Times New Roman" w:hAnsi="Times New Roman" w:cs="Times New Roman"/>
                        <w:sz w:val="28"/>
                      </w:rPr>
                      <w:fldChar w:fldCharType="separate"/>
                    </w:r>
                    <w:r>
                      <w:rPr>
                        <w:rFonts w:hint="default" w:ascii="Times New Roman" w:hAnsi="Times New Roman" w:cs="Times New Roman"/>
                        <w:sz w:val="28"/>
                      </w:rPr>
                      <w:t>?</w:t>
                    </w:r>
                    <w:r>
                      <w:rPr>
                        <w:rFonts w:hint="default" w:ascii="Times New Roman" w:hAnsi="Times New Roman" w:cs="Times New Roman"/>
                        <w:sz w:val="28"/>
                      </w:rPr>
                      <w:fldChar w:fldCharType="end"/>
                    </w:r>
                    <w:r>
                      <w:rPr>
                        <w:rFonts w:hint="default" w:ascii="Times New Roman" w:hAnsi="Times New Roman" w:cs="Times New Roman"/>
                        <w:sz w:val="28"/>
                      </w:rPr>
                      <w:t>—　</w:t>
                    </w:r>
                  </w:p>
                </w:txbxContent>
              </v:textbox>
              <w10:anchorlock/>
            </v:shape>
          </w:pict>
        </mc:Fallback>
      </mc:AlternateContent>
    </w:r>
    <w:r>
      <mc:AlternateContent>
        <mc:Choice Requires="wps">
          <w:drawing>
            <wp:inline distT="0" distB="0" distL="114300" distR="114300">
              <wp:extent cx="5615940" cy="323850"/>
              <wp:effectExtent l="0" t="0" r="0" b="0"/>
              <wp:docPr id="11" name="图片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23850"/>
                      </a:xfrm>
                      <a:prstGeom prst="rect">
                        <a:avLst/>
                      </a:prstGeom>
                      <a:noFill/>
                      <a:ln>
                        <a:noFill/>
                      </a:ln>
                    </wps:spPr>
                    <wps:bodyPr wrap="square" upright="1"/>
                  </wps:wsp>
                </a:graphicData>
              </a:graphic>
            </wp:inline>
          </w:drawing>
        </mc:Choice>
        <mc:Fallback>
          <w:pict>
            <v:rect id="图片 4" o:spid="_x0000_s1026" o:spt="1" style="height:25.5pt;width:442.2pt;" filled="f" stroked="f" coordsize="21600,21600" o:gfxdata="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sOEhTtYAAAAEAQAADwAAAAAAAAABACAAAAAiAAAAZHJzL2Rvd25yZXYueG1sUEsB&#10;AhQAFAAAAAgAh07iQP+MIti+AQAAcQMAAA4AAAAAAAAAAQAgAAAAJQEAAGRycy9lMm9Eb2MueG1s&#10;UEsFBgAAAAAGAAYAWQEAAFUFAAAAAA==&#10;">
              <v:fill on="f" focussize="0,0"/>
              <v:stroke on="f"/>
              <v:imagedata o:title=""/>
              <o:lock v:ext="edit" aspectratio="t"/>
              <w10:wrap type="none"/>
              <w10:anchorlock/>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04A22B">
    <w:pPr>
      <w:spacing w:line="1" w:lineRule="atLeast"/>
    </w:pPr>
    <w:r>
      <mc:AlternateContent>
        <mc:Choice Requires="wps">
          <w:drawing>
            <wp:anchor distT="0" distB="0" distL="0" distR="0" simplePos="0" relativeHeight="251662336" behindDoc="0" locked="1" layoutInCell="1" allowOverlap="1">
              <wp:simplePos x="0" y="0"/>
              <wp:positionH relativeFrom="column">
                <wp:posOffset>0</wp:posOffset>
              </wp:positionH>
              <wp:positionV relativeFrom="paragraph">
                <wp:posOffset>0</wp:posOffset>
              </wp:positionV>
              <wp:extent cx="5615940" cy="323850"/>
              <wp:effectExtent l="0" t="0" r="0" b="0"/>
              <wp:wrapNone/>
              <wp:docPr id="6" name="文本框 3"/>
              <wp:cNvGraphicFramePr/>
              <a:graphic xmlns:a="http://schemas.openxmlformats.org/drawingml/2006/main">
                <a:graphicData uri="http://schemas.microsoft.com/office/word/2010/wordprocessingShape">
                  <wps:wsp>
                    <wps:cNvSpPr txBox="1"/>
                    <wps:spPr>
                      <a:xfrm>
                        <a:off x="0" y="0"/>
                        <a:ext cx="5615940" cy="323850"/>
                      </a:xfrm>
                      <a:prstGeom prst="rect">
                        <a:avLst/>
                      </a:prstGeom>
                      <a:noFill/>
                      <a:ln w="7200">
                        <a:noFill/>
                      </a:ln>
                    </wps:spPr>
                    <wps:txbx>
                      <w:txbxContent>
                        <w:p w14:paraId="2777E7B8">
                          <w:pPr>
                            <w:widowControl w:val="0"/>
                            <w:spacing w:line="439" w:lineRule="atLeast"/>
                            <w:ind w:firstLine="0" w:firstLineChars="0"/>
                            <w:rPr>
                              <w:rFonts w:hint="default" w:ascii="Times New Roman" w:hAnsi="Times New Roman" w:cs="Times New Roman"/>
                              <w:sz w:val="28"/>
                            </w:rPr>
                          </w:pPr>
                          <w:r>
                            <w:rPr>
                              <w:rFonts w:hint="default" w:ascii="Times New Roman" w:hAnsi="Times New Roman" w:cs="Times New Roman"/>
                              <w:sz w:val="28"/>
                            </w:rPr>
                            <w:t>　—</w:t>
                          </w:r>
                          <w:r>
                            <w:rPr>
                              <w:rFonts w:hint="default" w:ascii="Times New Roman" w:hAnsi="Times New Roman" w:cs="Times New Roman"/>
                              <w:sz w:val="28"/>
                            </w:rPr>
                            <w:fldChar w:fldCharType="begin"/>
                          </w:r>
                          <w:r>
                            <w:rPr>
                              <w:rFonts w:hint="default" w:ascii="Times New Roman" w:hAnsi="Times New Roman" w:cs="Times New Roman"/>
                              <w:sz w:val="28"/>
                            </w:rPr>
                            <w:instrText xml:space="preserve"> PAGE \* Arabic \* MERGEFORMAT </w:instrText>
                          </w:r>
                          <w:r>
                            <w:rPr>
                              <w:rFonts w:hint="default" w:ascii="Times New Roman" w:hAnsi="Times New Roman" w:cs="Times New Roman"/>
                              <w:sz w:val="28"/>
                            </w:rPr>
                            <w:fldChar w:fldCharType="separate"/>
                          </w:r>
                          <w:r>
                            <w:rPr>
                              <w:rFonts w:hint="default" w:ascii="Times New Roman" w:hAnsi="Times New Roman" w:cs="Times New Roman"/>
                              <w:sz w:val="28"/>
                            </w:rPr>
                            <w:t>?</w:t>
                          </w:r>
                          <w:r>
                            <w:rPr>
                              <w:rFonts w:hint="default" w:ascii="Times New Roman" w:hAnsi="Times New Roman" w:cs="Times New Roman"/>
                              <w:sz w:val="28"/>
                            </w:rPr>
                            <w:fldChar w:fldCharType="end"/>
                          </w:r>
                          <w:r>
                            <w:rPr>
                              <w:rFonts w:hint="default" w:ascii="Times New Roman" w:hAnsi="Times New Roman" w:cs="Times New Roman"/>
                              <w:sz w:val="28"/>
                            </w:rPr>
                            <w:t>—</w:t>
                          </w:r>
                        </w:p>
                      </w:txbxContent>
                    </wps:txbx>
                    <wps:bodyPr wrap="square" lIns="0" tIns="0" rIns="0" bIns="0" upright="1"/>
                  </wps:wsp>
                </a:graphicData>
              </a:graphic>
            </wp:anchor>
          </w:drawing>
        </mc:Choice>
        <mc:Fallback>
          <w:pict>
            <v:shape id="文本框 3" o:spid="_x0000_s1026" o:spt="202" type="#_x0000_t202" style="position:absolute;left:0pt;margin-left:0pt;margin-top:0pt;height:25.5pt;width:442.2pt;z-index:251662336;mso-width-relative:page;mso-height-relative:page;" filled="f" stroked="f" coordsize="21600,21600" o:gfxdata="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E+GIVNUAAAAEAQAADwAAAAAAAAABACAAAAAiAAAAZHJz&#10;L2Rvd25yZXYueG1sUEsBAhQAFAAAAAgAh07iQKEEGq/OAQAAiQMAAA4AAAAAAAAAAQAgAAAAJAEA&#10;AGRycy9lMm9Eb2MueG1sUEsFBgAAAAAGAAYAWQEAAGQFAAAAAA==&#10;">
              <v:fill on="f" focussize="0,0"/>
              <v:stroke on="f" weight="0.566929133858268pt"/>
              <v:imagedata o:title=""/>
              <o:lock v:ext="edit" aspectratio="f"/>
              <v:textbox inset="0mm,0mm,0mm,0mm">
                <w:txbxContent>
                  <w:p w14:paraId="2777E7B8">
                    <w:pPr>
                      <w:widowControl w:val="0"/>
                      <w:spacing w:line="439" w:lineRule="atLeast"/>
                      <w:ind w:firstLine="0" w:firstLineChars="0"/>
                      <w:rPr>
                        <w:rFonts w:hint="default" w:ascii="Times New Roman" w:hAnsi="Times New Roman" w:cs="Times New Roman"/>
                        <w:sz w:val="28"/>
                      </w:rPr>
                    </w:pPr>
                    <w:r>
                      <w:rPr>
                        <w:rFonts w:hint="default" w:ascii="Times New Roman" w:hAnsi="Times New Roman" w:cs="Times New Roman"/>
                        <w:sz w:val="28"/>
                      </w:rPr>
                      <w:t>　—</w:t>
                    </w:r>
                    <w:r>
                      <w:rPr>
                        <w:rFonts w:hint="default" w:ascii="Times New Roman" w:hAnsi="Times New Roman" w:cs="Times New Roman"/>
                        <w:sz w:val="28"/>
                      </w:rPr>
                      <w:fldChar w:fldCharType="begin"/>
                    </w:r>
                    <w:r>
                      <w:rPr>
                        <w:rFonts w:hint="default" w:ascii="Times New Roman" w:hAnsi="Times New Roman" w:cs="Times New Roman"/>
                        <w:sz w:val="28"/>
                      </w:rPr>
                      <w:instrText xml:space="preserve"> PAGE \* Arabic \* MERGEFORMAT </w:instrText>
                    </w:r>
                    <w:r>
                      <w:rPr>
                        <w:rFonts w:hint="default" w:ascii="Times New Roman" w:hAnsi="Times New Roman" w:cs="Times New Roman"/>
                        <w:sz w:val="28"/>
                      </w:rPr>
                      <w:fldChar w:fldCharType="separate"/>
                    </w:r>
                    <w:r>
                      <w:rPr>
                        <w:rFonts w:hint="default" w:ascii="Times New Roman" w:hAnsi="Times New Roman" w:cs="Times New Roman"/>
                        <w:sz w:val="28"/>
                      </w:rPr>
                      <w:t>?</w:t>
                    </w:r>
                    <w:r>
                      <w:rPr>
                        <w:rFonts w:hint="default" w:ascii="Times New Roman" w:hAnsi="Times New Roman" w:cs="Times New Roman"/>
                        <w:sz w:val="28"/>
                      </w:rPr>
                      <w:fldChar w:fldCharType="end"/>
                    </w:r>
                    <w:r>
                      <w:rPr>
                        <w:rFonts w:hint="default" w:ascii="Times New Roman" w:hAnsi="Times New Roman" w:cs="Times New Roman"/>
                        <w:sz w:val="28"/>
                      </w:rPr>
                      <w:t>—</w:t>
                    </w:r>
                  </w:p>
                </w:txbxContent>
              </v:textbox>
              <w10:anchorlock/>
            </v:shape>
          </w:pict>
        </mc:Fallback>
      </mc:AlternateContent>
    </w:r>
    <w:r>
      <mc:AlternateContent>
        <mc:Choice Requires="wps">
          <w:drawing>
            <wp:inline distT="0" distB="0" distL="114300" distR="114300">
              <wp:extent cx="5615940" cy="323850"/>
              <wp:effectExtent l="0" t="0" r="0" b="0"/>
              <wp:docPr id="10" name="图片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23850"/>
                      </a:xfrm>
                      <a:prstGeom prst="rect">
                        <a:avLst/>
                      </a:prstGeom>
                      <a:noFill/>
                      <a:ln>
                        <a:noFill/>
                      </a:ln>
                    </wps:spPr>
                    <wps:bodyPr wrap="square" upright="1"/>
                  </wps:wsp>
                </a:graphicData>
              </a:graphic>
            </wp:inline>
          </w:drawing>
        </mc:Choice>
        <mc:Fallback>
          <w:pict>
            <v:rect id="图片 3" o:spid="_x0000_s1026" o:spt="1" style="height:25.5pt;width:442.2pt;" filled="f" stroked="f" coordsize="21600,21600" o:gfxdata="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w4SFO1gAAAAQBAAAPAAAAAAAAAAEAIAAAACIAAABkcnMvZG93bnJldi54bWxQSwEC&#10;FAAUAAAACACHTuJAmZvSo70BAABxAwAADgAAAAAAAAABACAAAAAlAQAAZHJzL2Uyb0RvYy54bWxQ&#10;SwUGAAAAAAYABgBZAQAAVAUAAAAA&#10;">
              <v:fill on="f" focussize="0,0"/>
              <v:stroke on="f"/>
              <v:imagedata o:title=""/>
              <o:lock v:ext="edit" aspectratio="t"/>
              <w10:wrap type="none"/>
              <w10:anchorlock/>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46" w:lineRule="auto"/>
      </w:pPr>
      <w:r>
        <w:separator/>
      </w:r>
    </w:p>
  </w:footnote>
  <w:footnote w:type="continuationSeparator" w:id="1">
    <w:p>
      <w:pPr>
        <w:spacing w:before="0" w:after="0" w:line="34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F15063">
    <w:pPr>
      <w:spacing w:line="1" w:lineRule="atLeast"/>
    </w:pPr>
    <w:r>
      <mc:AlternateContent>
        <mc:Choice Requires="wps">
          <w:drawing>
            <wp:anchor distT="0" distB="0" distL="0" distR="0" simplePos="0" relativeHeight="251661312" behindDoc="0" locked="1" layoutInCell="1" allowOverlap="1">
              <wp:simplePos x="0" y="0"/>
              <wp:positionH relativeFrom="column">
                <wp:posOffset>0</wp:posOffset>
              </wp:positionH>
              <wp:positionV relativeFrom="paragraph">
                <wp:posOffset>0</wp:posOffset>
              </wp:positionV>
              <wp:extent cx="5615940" cy="971550"/>
              <wp:effectExtent l="0" t="0" r="0" b="0"/>
              <wp:wrapNone/>
              <wp:docPr id="5" name="文本框 2"/>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14:paraId="092C1E56">
                          <w:pPr>
                            <w:widowControl w:val="0"/>
                            <w:spacing w:line="272" w:lineRule="atLeast"/>
                            <w:rPr>
                              <w:rFonts w:hint="eastAsia"/>
                            </w:rPr>
                          </w:pPr>
                        </w:p>
                      </w:txbxContent>
                    </wps:txbx>
                    <wps:bodyPr wrap="square" lIns="0" tIns="0" rIns="0" bIns="0" upright="1"/>
                  </wps:wsp>
                </a:graphicData>
              </a:graphic>
            </wp:anchor>
          </w:drawing>
        </mc:Choice>
        <mc:Fallback>
          <w:pict>
            <v:shape id="文本框 2" o:spid="_x0000_s1026" o:spt="202" type="#_x0000_t202" style="position:absolute;left:0pt;margin-left:0pt;margin-top:0pt;height:76.5pt;width:442.2pt;z-index:251661312;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&#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zhRH3WAAAABQEAAA8AAAAAAAAAAQAgAAAAIgAAAGRy&#10;cy9kb3ducmV2LnhtbFBLAQIUABQAAAAIAIdO4kCkqwUazgEAAIkDAAAOAAAAAAAAAAEAIAAAACUB&#10;AABkcnMvZTJvRG9jLnhtbFBLBQYAAAAABgAGAFkBAABlBQAAAAA=&#10;">
              <v:fill on="f" focussize="0,0"/>
              <v:stroke on="f" weight="0.566929133858268pt"/>
              <v:imagedata o:title=""/>
              <o:lock v:ext="edit" aspectratio="f"/>
              <v:textbox inset="0mm,0mm,0mm,0mm">
                <w:txbxContent>
                  <w:p w14:paraId="092C1E56">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9" name="图片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2"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nrqBMtcAAAAFAQAADwAAAAAAAAABACAAAAAiAAAAZHJzL2Rvd25yZXYueG1sUEsB&#10;AhQAFAAAAAgAh07iQKyNMne9AQAAcAMAAA4AAAAAAAAAAQAgAAAAJgEAAGRycy9lMm9Eb2MueG1s&#10;UEsFBgAAAAAGAAYAWQEAAFUFAAAAAA==&#10;">
              <v:fill on="f" focussize="0,0"/>
              <v:stroke on="f"/>
              <v:imagedata o:title=""/>
              <o:lock v:ext="edit" aspectratio="t"/>
              <w10:wrap type="none"/>
              <w10:anchorlock/>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860B5E">
    <w:pPr>
      <w:spacing w:line="1" w:lineRule="atLeast"/>
    </w:pPr>
    <w:r>
      <mc:AlternateContent>
        <mc:Choice Requires="wps">
          <w:drawing>
            <wp:anchor distT="0" distB="0" distL="0" distR="0" simplePos="0" relativeHeight="251660288" behindDoc="0" locked="1" layoutInCell="1" allowOverlap="1">
              <wp:simplePos x="0" y="0"/>
              <wp:positionH relativeFrom="column">
                <wp:posOffset>0</wp:posOffset>
              </wp:positionH>
              <wp:positionV relativeFrom="paragraph">
                <wp:posOffset>0</wp:posOffset>
              </wp:positionV>
              <wp:extent cx="5615940" cy="971550"/>
              <wp:effectExtent l="0" t="0" r="0" b="0"/>
              <wp:wrapNone/>
              <wp:docPr id="4" name="文本框 1"/>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14:paraId="2BE71E06">
                          <w:pPr>
                            <w:widowControl w:val="0"/>
                            <w:spacing w:line="272" w:lineRule="atLeast"/>
                            <w:rPr>
                              <w:rFonts w:hint="eastAsia"/>
                            </w:rPr>
                          </w:pPr>
                        </w:p>
                      </w:txbxContent>
                    </wps:txbx>
                    <wps:bodyPr wrap="square" lIns="0" tIns="0" rIns="0" bIns="0" upright="1"/>
                  </wps:wsp>
                </a:graphicData>
              </a:graphic>
            </wp:anchor>
          </w:drawing>
        </mc:Choice>
        <mc:Fallback>
          <w:pict>
            <v:shape id="文本框 1" o:spid="_x0000_s1026" o:spt="202" type="#_x0000_t202" style="position:absolute;left:0pt;margin-left:0pt;margin-top:0pt;height:76.5pt;width:442.2pt;z-index:251660288;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&#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zhRH3WAAAABQEAAA8AAAAAAAAAAQAgAAAAIgAAAGRy&#10;cy9kb3ducmV2LnhtbFBLAQIUABQAAAAIAIdO4kCddSlSzgEAAIkDAAAOAAAAAAAAAAEAIAAAACUB&#10;AABkcnMvZTJvRG9jLnhtbFBLBQYAAAAABgAGAFkBAABlBQAAAAA=&#10;">
              <v:fill on="f" focussize="0,0"/>
              <v:stroke on="f" weight="0.566929133858268pt"/>
              <v:imagedata o:title=""/>
              <o:lock v:ext="edit" aspectratio="f"/>
              <v:textbox inset="0mm,0mm,0mm,0mm">
                <w:txbxContent>
                  <w:p w14:paraId="2BE71E06">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8" name="图片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1"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nrqBMtcAAAAFAQAADwAAAAAAAAABACAAAAAiAAAAZHJzL2Rvd25yZXYueG1sUEsB&#10;AhQAFAAAAAgAh07iQI7/3jG9AQAAcAMAAA4AAAAAAAAAAQAgAAAAJgEAAGRycy9lMm9Eb2MueG1s&#10;UEsFBgAAAAAGAAYAWQEAAFUFAAAAAA==&#10;">
              <v:fill on="f" focussize="0,0"/>
              <v:stroke on="f"/>
              <v:imagedata o:title=""/>
              <o:lock v:ext="edit" aspectratio="t"/>
              <w10:wrap type="none"/>
              <w10:anchorlock/>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mirrorMargin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839"/>
  <w:hyphenationZone w:val="360"/>
  <w:evenAndOddHeaders w:val="1"/>
  <w:displayHorizontalDrawingGridEvery w:val="1"/>
  <w:displayVerticalDrawingGridEvery w:val="1"/>
  <w:doNotUseMarginsForDrawingGridOrigin w:val="1"/>
  <w:drawingGridHorizontalOrigin w:val="0"/>
  <w:drawingGridVerticalOrigin w:val="0"/>
  <w:doNotShadeFormData w:val="1"/>
  <w:noPunctuationKerning w:val="1"/>
  <w:characterSpacingControl w:val="compressPunctuation"/>
  <w:doNotValidateAgainstSchema/>
  <w:doNotDemarcateInvalidXml/>
  <w:hdrShapeDefaults>
    <o:shapelayout v:ext="edit">
      <o:idmap v:ext="edit" data="1"/>
    </o:shapelayout>
  </w:hdrShapeDefaults>
  <w:footnotePr>
    <w:numFmt w:val="decimalHalfWidth"/>
    <w:footnote w:id="0"/>
    <w:footnote w:id="1"/>
  </w:footnotePr>
  <w:endnotePr>
    <w:numFmt w:val="chineseCounting"/>
    <w:endnote w:id="0"/>
    <w:endnote w:id="1"/>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VkYWY4ZTY0NGQ3NjQxMDkwMjM0M2ZjMTE2MTFjNDAifQ=="/>
  </w:docVars>
  <w:rsids>
    <w:rsidRoot w:val="00172A27"/>
    <w:rsid w:val="01683CB5"/>
    <w:rsid w:val="01BC0075"/>
    <w:rsid w:val="02E63CE6"/>
    <w:rsid w:val="04CE5398"/>
    <w:rsid w:val="05894D7E"/>
    <w:rsid w:val="088E32AD"/>
    <w:rsid w:val="09303469"/>
    <w:rsid w:val="0D5775CF"/>
    <w:rsid w:val="0D8F67C4"/>
    <w:rsid w:val="0F3F1FC3"/>
    <w:rsid w:val="0F6C4F88"/>
    <w:rsid w:val="0FAB5E94"/>
    <w:rsid w:val="11CE1A42"/>
    <w:rsid w:val="12424A4E"/>
    <w:rsid w:val="12701C64"/>
    <w:rsid w:val="133B4B30"/>
    <w:rsid w:val="17BF042F"/>
    <w:rsid w:val="18431105"/>
    <w:rsid w:val="18EA5B2D"/>
    <w:rsid w:val="19620619"/>
    <w:rsid w:val="1AA97818"/>
    <w:rsid w:val="1BA45024"/>
    <w:rsid w:val="1DC35F9A"/>
    <w:rsid w:val="1EBC2FC3"/>
    <w:rsid w:val="1F876023"/>
    <w:rsid w:val="1F9E59A4"/>
    <w:rsid w:val="202E0C2A"/>
    <w:rsid w:val="26B92F05"/>
    <w:rsid w:val="26EF60EF"/>
    <w:rsid w:val="2AF93073"/>
    <w:rsid w:val="2C827C8E"/>
    <w:rsid w:val="2CCF6188"/>
    <w:rsid w:val="2D11075F"/>
    <w:rsid w:val="2F6163A6"/>
    <w:rsid w:val="31E265BA"/>
    <w:rsid w:val="343363E0"/>
    <w:rsid w:val="35D338DF"/>
    <w:rsid w:val="396E61A8"/>
    <w:rsid w:val="3F687164"/>
    <w:rsid w:val="42D6782C"/>
    <w:rsid w:val="43223AD9"/>
    <w:rsid w:val="43A9521D"/>
    <w:rsid w:val="45EE5F26"/>
    <w:rsid w:val="46A4475C"/>
    <w:rsid w:val="48611360"/>
    <w:rsid w:val="4C7C09A2"/>
    <w:rsid w:val="4F8C4539"/>
    <w:rsid w:val="50225659"/>
    <w:rsid w:val="522020BE"/>
    <w:rsid w:val="55472950"/>
    <w:rsid w:val="58143695"/>
    <w:rsid w:val="5CE41815"/>
    <w:rsid w:val="5E06220D"/>
    <w:rsid w:val="5E94552B"/>
    <w:rsid w:val="60090B9B"/>
    <w:rsid w:val="648D35F8"/>
    <w:rsid w:val="67DF5F6D"/>
    <w:rsid w:val="688E1277"/>
    <w:rsid w:val="6B5060B5"/>
    <w:rsid w:val="6E241E03"/>
    <w:rsid w:val="724976CD"/>
    <w:rsid w:val="73C61220"/>
    <w:rsid w:val="750143F5"/>
    <w:rsid w:val="7597295F"/>
    <w:rsid w:val="791F2C32"/>
    <w:rsid w:val="7DCB6206"/>
    <w:rsid w:val="7FCF40E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qFormat="1" w:uiPriority="99" w:semiHidden="0" w:name="header"/>
    <w:lsdException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iPriority="99" w:name="Strong"/>
    <w:lsdException w:uiPriority="99"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before="0" w:beforeLines="0" w:after="0" w:afterLines="0" w:line="346" w:lineRule="auto"/>
      <w:ind w:left="1" w:right="0" w:firstLine="419" w:firstLineChars="0"/>
      <w:jc w:val="both"/>
      <w:textAlignment w:val="bottom"/>
    </w:pPr>
    <w:rPr>
      <w:rFonts w:ascii="Calibri" w:hAnsi="Calibri" w:eastAsia="仿宋_GB2312" w:cs="Times New Roman"/>
      <w:sz w:val="32"/>
    </w:rPr>
  </w:style>
  <w:style w:type="paragraph" w:styleId="2">
    <w:name w:val="heading 1"/>
    <w:basedOn w:val="1"/>
    <w:next w:val="3"/>
    <w:qFormat/>
    <w:uiPriority w:val="0"/>
    <w:pPr>
      <w:spacing w:before="104" w:beforeLines="0" w:after="104" w:afterLines="0" w:line="0" w:lineRule="atLeast"/>
      <w:ind w:firstLine="0" w:firstLineChars="0"/>
      <w:jc w:val="center"/>
      <w:outlineLvl w:val="0"/>
    </w:pPr>
    <w:rPr>
      <w:rFonts w:ascii="Arial" w:hAnsi="Arial" w:eastAsia="黑体"/>
      <w:sz w:val="32"/>
    </w:rPr>
  </w:style>
  <w:style w:type="paragraph" w:styleId="3">
    <w:name w:val="heading 2"/>
    <w:basedOn w:val="1"/>
    <w:next w:val="4"/>
    <w:qFormat/>
    <w:uiPriority w:val="0"/>
    <w:pPr>
      <w:spacing w:line="0" w:lineRule="atLeast"/>
      <w:ind w:firstLine="0" w:firstLineChars="0"/>
      <w:jc w:val="center"/>
      <w:outlineLvl w:val="1"/>
    </w:pPr>
    <w:rPr>
      <w:rFonts w:ascii="Times New Roman" w:hAnsi="Times New Roman"/>
      <w:sz w:val="28"/>
    </w:rPr>
  </w:style>
  <w:style w:type="paragraph" w:styleId="4">
    <w:name w:val="heading 3"/>
    <w:basedOn w:val="1"/>
    <w:next w:val="1"/>
    <w:qFormat/>
    <w:uiPriority w:val="0"/>
    <w:pPr>
      <w:spacing w:before="104" w:beforeLines="0" w:after="104" w:afterLines="0"/>
      <w:ind w:firstLine="0" w:firstLineChars="0"/>
      <w:outlineLvl w:val="2"/>
    </w:pPr>
    <w:rPr>
      <w:rFonts w:eastAsia="黑体"/>
    </w:rPr>
  </w:style>
  <w:style w:type="character" w:default="1" w:styleId="14">
    <w:name w:val="Default Paragraph Font"/>
    <w:uiPriority w:val="0"/>
  </w:style>
  <w:style w:type="table" w:default="1" w:styleId="12">
    <w:name w:val="Normal Table"/>
    <w:unhideWhenUsed/>
    <w:qFormat/>
    <w:uiPriority w:val="99"/>
    <w:tblPr>
      <w:tblCellMar>
        <w:top w:w="0" w:type="dxa"/>
        <w:left w:w="108" w:type="dxa"/>
        <w:bottom w:w="0" w:type="dxa"/>
        <w:right w:w="108" w:type="dxa"/>
      </w:tblCellMar>
    </w:tblPr>
  </w:style>
  <w:style w:type="paragraph" w:styleId="5">
    <w:name w:val="toc 3"/>
    <w:basedOn w:val="1"/>
    <w:next w:val="1"/>
    <w:qFormat/>
    <w:uiPriority w:val="0"/>
    <w:pPr>
      <w:spacing w:line="306" w:lineRule="auto"/>
    </w:p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rFonts w:ascii="Calibri" w:hAnsi="Calibri" w:eastAsia="宋体" w:cs="Times New Roman"/>
      <w:sz w:val="18"/>
      <w:szCs w:val="18"/>
    </w:rPr>
  </w:style>
  <w:style w:type="paragraph" w:styleId="7">
    <w:name w:val="toc 1"/>
    <w:basedOn w:val="1"/>
    <w:next w:val="1"/>
    <w:qFormat/>
    <w:uiPriority w:val="0"/>
    <w:pPr>
      <w:spacing w:after="104" w:afterLines="0" w:line="0" w:lineRule="atLeast"/>
      <w:ind w:firstLine="0" w:firstLineChars="0"/>
      <w:jc w:val="left"/>
    </w:pPr>
    <w:rPr>
      <w:rFonts w:ascii="Arial" w:hAnsi="Arial" w:eastAsia="黑体"/>
      <w:sz w:val="28"/>
    </w:rPr>
  </w:style>
  <w:style w:type="paragraph" w:styleId="8">
    <w:name w:val="toc 4"/>
    <w:basedOn w:val="1"/>
    <w:next w:val="1"/>
    <w:qFormat/>
    <w:uiPriority w:val="0"/>
    <w:pPr>
      <w:spacing w:line="306" w:lineRule="auto"/>
      <w:ind w:firstLine="629" w:firstLineChars="0"/>
    </w:pPr>
  </w:style>
  <w:style w:type="paragraph" w:styleId="9">
    <w:name w:val="toc 2"/>
    <w:basedOn w:val="1"/>
    <w:next w:val="1"/>
    <w:qFormat/>
    <w:uiPriority w:val="0"/>
    <w:pPr>
      <w:spacing w:line="306" w:lineRule="auto"/>
      <w:ind w:firstLine="209" w:firstLineChars="0"/>
    </w:pPr>
  </w:style>
  <w:style w:type="paragraph" w:styleId="10">
    <w:name w:val="Title"/>
    <w:basedOn w:val="1"/>
    <w:next w:val="11"/>
    <w:qFormat/>
    <w:uiPriority w:val="0"/>
    <w:pPr>
      <w:spacing w:before="209" w:beforeLines="0" w:after="209" w:afterLines="0" w:line="0" w:lineRule="atLeast"/>
      <w:ind w:firstLine="0" w:firstLineChars="0"/>
      <w:jc w:val="center"/>
    </w:pPr>
    <w:rPr>
      <w:rFonts w:ascii="Arial" w:hAnsi="Arial" w:eastAsia="黑体"/>
      <w:sz w:val="52"/>
    </w:rPr>
  </w:style>
  <w:style w:type="paragraph" w:customStyle="1" w:styleId="11">
    <w:name w:val="文章附标题"/>
    <w:basedOn w:val="1"/>
    <w:next w:val="2"/>
    <w:qFormat/>
    <w:uiPriority w:val="0"/>
    <w:pPr>
      <w:spacing w:before="104" w:beforeLines="0" w:after="104" w:afterLines="0" w:line="0" w:lineRule="atLeast"/>
      <w:ind w:firstLine="0" w:firstLineChars="0"/>
      <w:jc w:val="center"/>
    </w:pPr>
    <w:rPr>
      <w:sz w:val="36"/>
    </w:rPr>
  </w:style>
  <w:style w:type="table" w:styleId="13">
    <w:name w:val="Table Grid"/>
    <w:basedOn w:val="12"/>
    <w:unhideWhenUsed/>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超级链接"/>
    <w:basedOn w:val="14"/>
    <w:qFormat/>
    <w:uiPriority w:val="0"/>
    <w:rPr>
      <w:color w:val="0000FF"/>
      <w:u w:val="single" w:color="0000FF"/>
    </w:rPr>
  </w:style>
  <w:style w:type="character" w:customStyle="1" w:styleId="16">
    <w:name w:val="链接"/>
    <w:basedOn w:val="14"/>
    <w:qFormat/>
    <w:uiPriority w:val="0"/>
    <w:rPr>
      <w:color w:val="0000FF"/>
      <w:u w:val="single" w:color="0000FF"/>
    </w:rPr>
  </w:style>
  <w:style w:type="paragraph" w:customStyle="1" w:styleId="17">
    <w:name w:val="WPS Plain"/>
    <w:qFormat/>
    <w:uiPriority w:val="0"/>
    <w:rPr>
      <w:rFonts w:ascii="Calibri" w:hAnsi="Calibri" w:eastAsia="宋体" w:cs="Times New Roman"/>
    </w:rPr>
  </w:style>
  <w:style w:type="paragraph" w:customStyle="1" w:styleId="18">
    <w:name w:val="目录标题"/>
    <w:basedOn w:val="1"/>
    <w:next w:val="1"/>
    <w:qFormat/>
    <w:uiPriority w:val="0"/>
    <w:pPr>
      <w:spacing w:before="209" w:beforeLines="0" w:after="209" w:afterLines="0" w:line="0" w:lineRule="atLeast"/>
      <w:jc w:val="center"/>
    </w:pPr>
    <w:rPr>
      <w:rFonts w:ascii="Arial" w:hAnsi="Arial" w:eastAsia="黑体"/>
      <w:spacing w:val="209"/>
      <w:sz w:val="52"/>
    </w:rPr>
  </w:style>
  <w:style w:type="character" w:customStyle="1" w:styleId="19">
    <w:name w:val="font41"/>
    <w:basedOn w:val="14"/>
    <w:qFormat/>
    <w:uiPriority w:val="0"/>
    <w:rPr>
      <w:rFonts w:hint="default" w:ascii="Times New Roman" w:hAnsi="Times New Roman" w:cs="Times New Roman"/>
      <w:color w:val="000000"/>
      <w:sz w:val="24"/>
      <w:szCs w:val="24"/>
      <w:u w:val="none"/>
    </w:rPr>
  </w:style>
  <w:style w:type="character" w:customStyle="1" w:styleId="20">
    <w:name w:val="font01"/>
    <w:basedOn w:val="14"/>
    <w:qFormat/>
    <w:uiPriority w:val="0"/>
    <w:rPr>
      <w:rFonts w:hint="eastAsia" w:ascii="宋体" w:hAnsi="宋体" w:eastAsia="宋体" w:cs="宋体"/>
      <w:color w:val="000000"/>
      <w:sz w:val="24"/>
      <w:szCs w:val="24"/>
      <w:u w:val="none"/>
    </w:rPr>
  </w:style>
  <w:style w:type="character" w:customStyle="1" w:styleId="21">
    <w:name w:val="font51"/>
    <w:basedOn w:val="14"/>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Pages>
  <Words>755</Words>
  <Characters>800</Characters>
  <TotalTime>1</TotalTime>
  <ScaleCrop>false</ScaleCrop>
  <LinksUpToDate>false</LinksUpToDate>
  <CharactersWithSpaces>814</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2017-08-25T06:28:00Z</dcterms:created>
  <dc:creator>Administrator</dc:creator>
  <cp:lastModifiedBy>sunny</cp:lastModifiedBy>
  <cp:lastPrinted>2024-11-05T08:12:00Z</cp:lastPrinted>
  <dcterms:modified xsi:type="dcterms:W3CDTF">2025-02-21T02:51:01Z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23D76446C15940DEAC92A572A292BC34_13</vt:lpwstr>
  </property>
  <property fmtid="{D5CDD505-2E9C-101B-9397-08002B2CF9AE}" pid="4" name="KSOTemplateDocerSaveRecord">
    <vt:lpwstr>eyJoZGlkIjoiZWNlM2EyMTZlNjM2NzhmMWMyNTE2ODkzMWE3NjA0MDMiLCJ1c2VySWQiOiIyNzI4MDc3MjUifQ==</vt:lpwstr>
  </property>
</Properties>
</file>