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ind w:left="0" w:firstLine="0"/>
        <w:jc w:val="center"/>
        <w:rPr>
          <w:rFonts w:ascii="sans-serif" w:hAnsi="sans-serif" w:eastAsia="sans-serif" w:cs="sans-serif"/>
          <w:i w:val="0"/>
          <w:iCs w:val="0"/>
          <w:caps w:val="0"/>
          <w:color w:val="000000"/>
          <w:spacing w:val="0"/>
          <w:sz w:val="24"/>
          <w:szCs w:val="24"/>
        </w:rPr>
      </w:pPr>
    </w:p>
    <w:tbl>
      <w:tblPr>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159"/>
        <w:gridCol w:w="81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5" w:hRule="atLeast"/>
          <w:jc w:val="center"/>
        </w:trPr>
        <w:tc>
          <w:tcPr>
            <w:tcW w:w="5000" w:type="pct"/>
            <w:gridSpan w:val="2"/>
            <w:tcBorders>
              <w:top w:val="nil"/>
              <w:left w:val="nil"/>
              <w:bottom w:val="nil"/>
              <w:right w:val="nil"/>
            </w:tcBorders>
            <w:shd w:val="clear"/>
            <w:vAlign w:val="center"/>
          </w:tcPr>
          <w:p>
            <w:pPr>
              <w:keepNext w:val="0"/>
              <w:keepLines w:val="0"/>
              <w:widowControl/>
              <w:suppressLineNumbers w:val="0"/>
              <w:jc w:val="left"/>
            </w:pPr>
            <w:bookmarkStart w:id="0" w:name="_GoBack"/>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98" w:type="pct"/>
            <w:tcBorders>
              <w:top w:val="nil"/>
              <w:left w:val="nil"/>
              <w:bottom w:val="nil"/>
              <w:right w:val="nil"/>
            </w:tcBorders>
            <w:shd w:val="clear"/>
            <w:tcMar>
              <w:top w:w="0" w:type="dxa"/>
              <w:left w:w="0" w:type="dxa"/>
              <w:bottom w:w="0" w:type="dxa"/>
              <w:right w:w="0" w:type="dxa"/>
            </w:tcMar>
            <w:vAlign w:val="center"/>
          </w:tcPr>
          <w:p>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w:t>
            </w:r>
          </w:p>
        </w:tc>
        <w:tc>
          <w:tcPr>
            <w:tcW w:w="4900" w:type="pct"/>
            <w:tcBorders>
              <w:top w:val="nil"/>
              <w:left w:val="nil"/>
              <w:bottom w:val="nil"/>
              <w:right w:val="nil"/>
            </w:tcBorders>
            <w:shd w:val="cle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bdr w:val="none" w:color="auto" w:sz="0" w:space="0"/>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bdr w:val="none" w:color="auto" w:sz="0" w:space="0"/>
              </w:rPr>
              <w:t>　　根据新修订的《中华人民共和国政府信息公开条例》和《山东省政府信息公开规定》(以下简称《规定》)要求,现公布威海市文登区</w:t>
            </w:r>
            <w:r>
              <w:rPr>
                <w:rFonts w:hint="eastAsia"/>
                <w:bdr w:val="none" w:color="auto" w:sz="0" w:space="0"/>
                <w:lang w:val="en-US" w:eastAsia="zh-CN"/>
              </w:rPr>
              <w:t>教育和体育局</w:t>
            </w:r>
            <w:r>
              <w:rPr>
                <w:bdr w:val="none" w:color="auto" w:sz="0" w:space="0"/>
              </w:rPr>
              <w:t>2020年政府信息公开工作年度报告。本报告由总体情况、主动公开政府信息情况，收到和处理依申请公开政府信息情况，政府信息公开相关的行政复议、行政诉讼、举报投诉情况，存在的主要问题和改进措施，其他需要报告的事项等部分组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both"/>
            </w:pPr>
            <w:r>
              <w:rPr>
                <w:bdr w:val="none" w:color="auto" w:sz="0" w:space="0"/>
              </w:rPr>
              <w:t>本报告中所列数据的统计期限自2020年1月1日起至2020年12月31日止。本报告的电子版可在威海市文登区人民政府门户网站（</w:t>
            </w:r>
            <w:r>
              <w:rPr>
                <w:rFonts w:hint="eastAsia"/>
                <w:bdr w:val="none" w:color="auto" w:sz="0" w:space="0"/>
              </w:rPr>
              <w:t>http://www.wendeng.gov.cn/index.html</w:t>
            </w:r>
            <w:r>
              <w:rPr>
                <w:bdr w:val="none" w:color="auto" w:sz="0" w:space="0"/>
              </w:rPr>
              <w:t>）下载。如对本报告有疑问，请与</w:t>
            </w:r>
            <w:r>
              <w:t>威海市文登区</w:t>
            </w:r>
            <w:r>
              <w:rPr>
                <w:rFonts w:hint="eastAsia"/>
                <w:lang w:val="en-US" w:eastAsia="zh-CN"/>
              </w:rPr>
              <w:t>教育和体育局</w:t>
            </w:r>
            <w:r>
              <w:rPr>
                <w:bdr w:val="none" w:color="auto" w:sz="0" w:space="0"/>
              </w:rPr>
              <w:t>办公室联系（地址：威海市文登区</w:t>
            </w:r>
            <w:r>
              <w:rPr>
                <w:rFonts w:hint="eastAsia"/>
                <w:bdr w:val="none" w:color="auto" w:sz="0" w:space="0"/>
                <w:lang w:val="en-US" w:eastAsia="zh-CN"/>
              </w:rPr>
              <w:t>世纪大道84</w:t>
            </w:r>
            <w:r>
              <w:rPr>
                <w:bdr w:val="none" w:color="auto" w:sz="0" w:space="0"/>
              </w:rPr>
              <w:t>号；邮编264400；电话：0631—</w:t>
            </w:r>
            <w:r>
              <w:rPr>
                <w:rFonts w:hint="eastAsia"/>
                <w:bdr w:val="none" w:color="auto" w:sz="0" w:space="0"/>
                <w:lang w:val="en-US" w:eastAsia="zh-CN"/>
              </w:rPr>
              <w:t>84529998</w:t>
            </w:r>
            <w:r>
              <w:rPr>
                <w:bdr w:val="none" w:color="auto" w:sz="0" w:space="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both"/>
            </w:pPr>
            <w:r>
              <w:rPr>
                <w:bdr w:val="none" w:color="auto" w:sz="0" w:space="0"/>
              </w:rPr>
              <w:t>　　一、总体情况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　　2020年度，威海市文登区教育和体育局认真贯彻执行《中华人民共和国政府信息公开条例》要求和省、市、区有关政府信息公开文件精神，着力加强政府信息公开工作的组织领导，完善制度建设，不断创新公开形式、扩展公开内容、丰富公开载体，实施了一系列促进教体系统工作信息公开的举措，促进了威海市文登区教育和体育局政府信息公开工作快速健康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（一）主动公开工作情况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按要求在“威海市文登区人民政府”网站政务公开栏目及时公布威海市文登区教育和体育局机构职能、部门领导、机构设置、工作动态、公告公示等需要主动公开的政务信息。在教育领域、公共文化体育部分，主动公开威海市文登区教育和体育局承担的公共服务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在发布解读、回应社会关切情况方面，充分发挥政府网站、微信公众号等重要载体的作用，开设政策解读专栏，运用政府网站、微信公众号等多种形式，主动、及时、准确发布政策解读，回应社会各界关切。共发布问答解读2条、图文解读1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加大主动公开政府信息工作的力度，今年，威海市文登区教育和体育局在政府信息公开网站主动公开发布各类信息468条。从内容上看，发布工作动态97条；发布公告公示信息35条。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（二）依申请公开工作情况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2020年，威海市文登区教育和体育局收到政务信息公开申请事项1项，已办结。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（三）政府信息管理情况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根据威海市文登区教育和体育局严格按政府信息公开工作领导小组成员分工，配齐信息公开所需的办公设备，规范整理信息公开各类文件资料，安排2名工作人员负责政府信息公开工作，全局政务公开工作向制度化、规范化方向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建立健全政府信息公开保密审查制度和责任追究制度，成立了保密审查领导小组，规范审查程序，严格遵循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（四）平台建设情况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依托威海市文登区人民政府网站，建立和完善了信息发布与政务公开平台，不定期发布全区教育和体育领域工作动态。同时，将主动公开与群众咨询公开相结合，着力提高行政透明度和办事效率。全面强化“文登区教育和体育局”微信公众号宣传力度，全年发布信息700条，阅读量突破200万，为群众了解教体系统系统工作信息提供方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（五）监督保障情况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结合教体系统实际工作，威海市文登区教育和体育局对包括《政务信息依申请公开工作流程细则》等在内的政务公开制度进行了修改完善，拟定了年度政府信息公开工作方案和年度工作计划。完善依申请公开、限时公开、申请受理、考核监督、保密检查、社会评议、责任追究等工作机制，进一步规范工作流程和工作标准，确保政府信息公开工作安全、有效、有序进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二、主动公开政府信息情况</w:t>
            </w:r>
          </w:p>
          <w:tbl>
            <w:tblPr>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3120"/>
              <w:gridCol w:w="1875"/>
              <w:gridCol w:w="1275"/>
              <w:gridCol w:w="18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信息内容</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本年新制作数量</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本年新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公开数量</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对外公开总数量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规章</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规范性文件</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信息内容</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上一年项目数量</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本年增/减</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行政许可</w:t>
                  </w:r>
                </w:p>
              </w:tc>
              <w:tc>
                <w:tcPr>
                  <w:tcW w:w="1875" w:type="dxa"/>
                  <w:tcBorders>
                    <w:top w:val="nil"/>
                    <w:left w:val="nil"/>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2</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其他对外管理服务事项</w:t>
                  </w:r>
                </w:p>
              </w:tc>
              <w:tc>
                <w:tcPr>
                  <w:tcW w:w="1875" w:type="dxa"/>
                  <w:tcBorders>
                    <w:top w:val="nil"/>
                    <w:left w:val="nil"/>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rPr>
                      <w:rFonts w:hint="eastAsia" w:eastAsiaTheme="minorEastAsia"/>
                      <w:lang w:val="en-US" w:eastAsia="zh-CN"/>
                    </w:rPr>
                  </w:pPr>
                  <w:r>
                    <w:rPr>
                      <w:rFonts w:hint="eastAsia"/>
                      <w:lang w:val="en-US" w:eastAsia="zh-CN"/>
                    </w:rPr>
                    <w:t>0</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28</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277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0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信息内容</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上一年项目数量</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本年增/减</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行政处罚</w:t>
                  </w:r>
                </w:p>
              </w:tc>
              <w:tc>
                <w:tcPr>
                  <w:tcW w:w="1875" w:type="dxa"/>
                  <w:tcBorders>
                    <w:top w:val="nil"/>
                    <w:left w:val="nil"/>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36</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行政强制</w:t>
                  </w:r>
                </w:p>
              </w:tc>
              <w:tc>
                <w:tcPr>
                  <w:tcW w:w="1875" w:type="dxa"/>
                  <w:tcBorders>
                    <w:top w:val="nil"/>
                    <w:left w:val="nil"/>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2</w:t>
                  </w:r>
                </w:p>
              </w:tc>
              <w:tc>
                <w:tcPr>
                  <w:tcW w:w="12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信息内容</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上一年项目数量</w:t>
                  </w:r>
                </w:p>
              </w:tc>
              <w:tc>
                <w:tcPr>
                  <w:tcW w:w="3150" w:type="dxa"/>
                  <w:gridSpan w:val="2"/>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本年增/减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行政事业性收费</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rPr>
                      <w:rFonts w:hint="eastAsia" w:eastAsiaTheme="minorEastAsia"/>
                      <w:lang w:eastAsia="zh-CN"/>
                    </w:rPr>
                  </w:pPr>
                  <w:r>
                    <w:rPr>
                      <w:rFonts w:hint="eastAsia"/>
                      <w:bdr w:val="none" w:color="auto" w:sz="0" w:space="0"/>
                      <w:lang w:val="en-US" w:eastAsia="zh-CN"/>
                    </w:rPr>
                    <w:t>1</w:t>
                  </w:r>
                </w:p>
              </w:tc>
              <w:tc>
                <w:tcPr>
                  <w:tcW w:w="3150" w:type="dxa"/>
                  <w:gridSpan w:val="2"/>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rPr>
                      <w:rFonts w:hint="default" w:eastAsiaTheme="minorEastAsia"/>
                      <w:lang w:val="en-US" w:eastAsia="zh-CN"/>
                    </w:rPr>
                  </w:pPr>
                  <w:r>
                    <w:rPr>
                      <w:rFonts w:hint="eastAsia"/>
                      <w:bdr w:val="none" w:color="auto" w:sz="0" w:space="0"/>
                      <w:lang w:val="en-US" w:eastAsia="zh-CN"/>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信息内容</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采购项目数量</w:t>
                  </w:r>
                </w:p>
              </w:tc>
              <w:tc>
                <w:tcPr>
                  <w:tcW w:w="3150" w:type="dxa"/>
                  <w:gridSpan w:val="2"/>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政府集中采购</w:t>
                  </w:r>
                </w:p>
              </w:tc>
              <w:tc>
                <w:tcPr>
                  <w:tcW w:w="1875" w:type="dxa"/>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16</w:t>
                  </w:r>
                </w:p>
              </w:tc>
              <w:tc>
                <w:tcPr>
                  <w:tcW w:w="3150" w:type="dxa"/>
                  <w:gridSpan w:val="2"/>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8202854.64</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三、收到和处理政府信息公开申请情况</w:t>
            </w:r>
          </w:p>
          <w:tbl>
            <w:tblPr>
              <w:tblW w:w="814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3439"/>
              <w:gridCol w:w="659"/>
              <w:gridCol w:w="659"/>
              <w:gridCol w:w="659"/>
              <w:gridCol w:w="660"/>
              <w:gridCol w:w="660"/>
              <w:gridCol w:w="682"/>
              <w:gridCol w:w="7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wAfter w:w="4" w:type="pct"/>
                <w:jc w:val="center"/>
              </w:trPr>
              <w:tc>
                <w:tcPr>
                  <w:tcW w:w="2110" w:type="pct"/>
                  <w:vMerge w:val="restart"/>
                  <w:tcBorders>
                    <w:top w:val="single" w:color="auto" w:sz="6" w:space="0"/>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（本列数据的勾稽关系为：第一项加第二项之和，等于第三项加第四项之和）</w:t>
                  </w:r>
                </w:p>
              </w:tc>
              <w:tc>
                <w:tcPr>
                  <w:tcW w:w="2885" w:type="pct"/>
                  <w:gridSpan w:val="7"/>
                  <w:tcBorders>
                    <w:top w:val="single" w:color="auto" w:sz="6" w:space="0"/>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申请人情况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wAfter w:w="4" w:type="pct"/>
                <w:jc w:val="center"/>
              </w:trPr>
              <w:tc>
                <w:tcPr>
                  <w:tcW w:w="2110" w:type="pct"/>
                  <w:vMerge w:val="continue"/>
                  <w:tcBorders>
                    <w:top w:val="single" w:color="auto" w:sz="6" w:space="0"/>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404"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自然人</w:t>
                  </w:r>
                </w:p>
              </w:tc>
              <w:tc>
                <w:tcPr>
                  <w:tcW w:w="2036" w:type="pct"/>
                  <w:gridSpan w:val="5"/>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法人或其他组织</w:t>
                  </w:r>
                </w:p>
              </w:tc>
              <w:tc>
                <w:tcPr>
                  <w:tcW w:w="443"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wAfter w:w="4" w:type="pct"/>
                <w:jc w:val="center"/>
              </w:trPr>
              <w:tc>
                <w:tcPr>
                  <w:tcW w:w="2110" w:type="pct"/>
                  <w:vMerge w:val="continue"/>
                  <w:tcBorders>
                    <w:top w:val="single" w:color="auto" w:sz="6" w:space="0"/>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404"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商业企业</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科研机构</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社会公益组织</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法律服务机构</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其他</w:t>
                  </w:r>
                </w:p>
              </w:tc>
              <w:tc>
                <w:tcPr>
                  <w:tcW w:w="44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wAfter w:w="4" w:type="pct"/>
                <w:jc w:val="center"/>
              </w:trPr>
              <w:tc>
                <w:tcPr>
                  <w:tcW w:w="2110" w:type="pct"/>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一、本年新收政府信息公开申请数量</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r>
          </w:tbl>
          <w:tbl>
            <w:tblPr>
              <w:tblStyle w:val="3"/>
              <w:tblW w:w="814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444"/>
              <w:gridCol w:w="661"/>
              <w:gridCol w:w="661"/>
              <w:gridCol w:w="661"/>
              <w:gridCol w:w="662"/>
              <w:gridCol w:w="662"/>
              <w:gridCol w:w="675"/>
              <w:gridCol w:w="7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Before w:w="3" w:type="pct"/>
                <w:jc w:val="center"/>
              </w:trPr>
              <w:tc>
                <w:tcPr>
                  <w:tcW w:w="2111" w:type="pct"/>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t>二、上年结转政府信息公开申请数量</w:t>
                  </w:r>
                </w:p>
              </w:tc>
              <w:tc>
                <w:tcPr>
                  <w:tcW w:w="405"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t>0</w:t>
                  </w:r>
                </w:p>
              </w:tc>
              <w:tc>
                <w:tcPr>
                  <w:tcW w:w="405"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t>0</w:t>
                  </w:r>
                </w:p>
              </w:tc>
              <w:tc>
                <w:tcPr>
                  <w:tcW w:w="405"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t>0</w:t>
                  </w:r>
                </w:p>
              </w:tc>
              <w:tc>
                <w:tcPr>
                  <w:tcW w:w="406"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t>0</w:t>
                  </w:r>
                </w:p>
              </w:tc>
              <w:tc>
                <w:tcPr>
                  <w:tcW w:w="406"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t>0</w:t>
                  </w:r>
                </w:p>
              </w:tc>
              <w:tc>
                <w:tcPr>
                  <w:tcW w:w="414"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t>0</w:t>
                  </w:r>
                </w:p>
              </w:tc>
              <w:tc>
                <w:tcPr>
                  <w:tcW w:w="441"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t>0</w:t>
                  </w:r>
                </w:p>
              </w:tc>
            </w:tr>
          </w:tbl>
          <w:tbl>
            <w:tblPr>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988"/>
              <w:gridCol w:w="870"/>
              <w:gridCol w:w="1590"/>
              <w:gridCol w:w="659"/>
              <w:gridCol w:w="659"/>
              <w:gridCol w:w="659"/>
              <w:gridCol w:w="660"/>
              <w:gridCol w:w="660"/>
              <w:gridCol w:w="678"/>
              <w:gridCol w:w="7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restart"/>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三、本年度办理结果</w:t>
                  </w:r>
                </w:p>
              </w:tc>
              <w:tc>
                <w:tcPr>
                  <w:tcW w:w="1507" w:type="pct"/>
                  <w:gridSpan w:val="2"/>
                  <w:tcBorders>
                    <w:top w:val="nil"/>
                    <w:left w:val="nil"/>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（一）予以公开</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1507" w:type="pct"/>
                  <w:gridSpan w:val="2"/>
                  <w:tcBorders>
                    <w:top w:val="nil"/>
                    <w:left w:val="nil"/>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（二）部分公开（区分处理的，只计这一情形，不计其他情形）</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restart"/>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keepNext w:val="0"/>
                    <w:keepLines w:val="0"/>
                    <w:widowControl/>
                    <w:suppressLineNumbers w:val="0"/>
                    <w:jc w:val="left"/>
                  </w:pPr>
                </w:p>
              </w:tc>
              <w:tc>
                <w:tcPr>
                  <w:tcW w:w="533"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（三）不予公开</w:t>
                  </w: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1.属于国家秘密</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945" w:hRule="atLeast"/>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2.其他法律行政法规禁止公开</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3.危及“三安全一稳定”</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4.保护第三方合法权益</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5.属于三类内部事务信息</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6.属于四类过程性信息</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7.属于行政执法案卷</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8.属于行政查询事项</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（四）无法提供</w:t>
                  </w: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1.本机关不掌握相关政府信息</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2.没有现成信息需要另行制作</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3.补正后申请内容仍不明确</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（五）不予处理</w:t>
                  </w: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1.信访举报投诉类申请</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2.重复申请</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3.要求提供公开出版物</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4.无正当理由大量反复申请</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533"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973"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5.要求行政机关确认或重新出具已获取信息</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1507" w:type="pct"/>
                  <w:gridSpan w:val="2"/>
                  <w:tcBorders>
                    <w:top w:val="nil"/>
                    <w:left w:val="nil"/>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（六）其他处理</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606" w:type="pct"/>
                  <w:vMerge w:val="continue"/>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rPr>
                      <w:rFonts w:hint="eastAsia" w:ascii="宋体"/>
                      <w:sz w:val="24"/>
                      <w:szCs w:val="24"/>
                    </w:rPr>
                  </w:pPr>
                </w:p>
              </w:tc>
              <w:tc>
                <w:tcPr>
                  <w:tcW w:w="1507" w:type="pct"/>
                  <w:gridSpan w:val="2"/>
                  <w:tcBorders>
                    <w:top w:val="nil"/>
                    <w:left w:val="nil"/>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（七）总计</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2114" w:type="pct"/>
                  <w:gridSpan w:val="3"/>
                  <w:tcBorders>
                    <w:top w:val="nil"/>
                    <w:left w:val="single" w:color="auto" w:sz="6" w:space="0"/>
                    <w:bottom w:val="single" w:color="auto" w:sz="6" w:space="0"/>
                    <w:right w:val="single" w:color="auto" w:sz="6" w:space="0"/>
                  </w:tcBorders>
                  <w:shd w:val="clear"/>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四、结转下年度继续办理</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05"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1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444"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四、政府信息公开行政复议、行政诉讼情况 </w:t>
            </w:r>
          </w:p>
          <w:tbl>
            <w:tblPr>
              <w:tblW w:w="4999"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549"/>
              <w:gridCol w:w="552"/>
              <w:gridCol w:w="552"/>
              <w:gridCol w:w="552"/>
              <w:gridCol w:w="500"/>
              <w:gridCol w:w="552"/>
              <w:gridCol w:w="552"/>
              <w:gridCol w:w="552"/>
              <w:gridCol w:w="552"/>
              <w:gridCol w:w="552"/>
              <w:gridCol w:w="552"/>
              <w:gridCol w:w="553"/>
              <w:gridCol w:w="553"/>
              <w:gridCol w:w="553"/>
              <w:gridCol w:w="4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jc w:val="center"/>
              </w:trPr>
              <w:tc>
                <w:tcPr>
                  <w:tcW w:w="1661" w:type="pct"/>
                  <w:gridSpan w:val="5"/>
                  <w:tcBorders>
                    <w:top w:val="single" w:color="auto" w:sz="6" w:space="0"/>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行政复议</w:t>
                  </w:r>
                </w:p>
              </w:tc>
              <w:tc>
                <w:tcPr>
                  <w:tcW w:w="3338" w:type="pct"/>
                  <w:gridSpan w:val="10"/>
                  <w:tcBorders>
                    <w:top w:val="single" w:color="auto" w:sz="6" w:space="0"/>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行政诉讼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337" w:type="pct"/>
                  <w:vMerge w:val="restart"/>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结果维持</w:t>
                  </w:r>
                </w:p>
              </w:tc>
              <w:tc>
                <w:tcPr>
                  <w:tcW w:w="339"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结果纠正</w:t>
                  </w:r>
                </w:p>
              </w:tc>
              <w:tc>
                <w:tcPr>
                  <w:tcW w:w="339"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其他结果</w:t>
                  </w:r>
                </w:p>
              </w:tc>
              <w:tc>
                <w:tcPr>
                  <w:tcW w:w="339"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尚未审结</w:t>
                  </w:r>
                </w:p>
              </w:tc>
              <w:tc>
                <w:tcPr>
                  <w:tcW w:w="306" w:type="pct"/>
                  <w:vMerge w:val="restar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总计</w:t>
                  </w:r>
                </w:p>
              </w:tc>
              <w:tc>
                <w:tcPr>
                  <w:tcW w:w="1694" w:type="pct"/>
                  <w:gridSpan w:val="5"/>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未经复议直接起诉</w:t>
                  </w:r>
                </w:p>
              </w:tc>
              <w:tc>
                <w:tcPr>
                  <w:tcW w:w="1642" w:type="pct"/>
                  <w:gridSpan w:val="5"/>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复议后起诉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337" w:type="pct"/>
                  <w:vMerge w:val="continue"/>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339"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339"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339"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306" w:type="pct"/>
                  <w:vMerge w:val="continue"/>
                  <w:tcBorders>
                    <w:top w:val="nil"/>
                    <w:left w:val="nil"/>
                    <w:bottom w:val="single" w:color="auto" w:sz="6" w:space="0"/>
                    <w:right w:val="single" w:color="auto" w:sz="6" w:space="0"/>
                  </w:tcBorders>
                  <w:shd w:val="clear"/>
                  <w:tcMar>
                    <w:top w:w="0" w:type="dxa"/>
                    <w:left w:w="75" w:type="dxa"/>
                    <w:bottom w:w="0" w:type="dxa"/>
                    <w:right w:w="75" w:type="dxa"/>
                  </w:tcMar>
                  <w:vAlign w:val="center"/>
                </w:tcPr>
                <w:p>
                  <w:pPr>
                    <w:rPr>
                      <w:rFonts w:hint="eastAsia" w:ascii="宋体"/>
                      <w:sz w:val="24"/>
                      <w:szCs w:val="24"/>
                    </w:rPr>
                  </w:pP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结果维持</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结果纠正</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其他结果</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尚未审结</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总计</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结果维持</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结果纠正</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其他结果</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尚未审结</w:t>
                  </w:r>
                </w:p>
              </w:tc>
              <w:tc>
                <w:tcPr>
                  <w:tcW w:w="28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337" w:type="pct"/>
                  <w:tcBorders>
                    <w:top w:val="nil"/>
                    <w:left w:val="single" w:color="auto" w:sz="6" w:space="0"/>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0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339"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c>
                <w:tcPr>
                  <w:tcW w:w="286" w:type="pct"/>
                  <w:tcBorders>
                    <w:top w:val="nil"/>
                    <w:left w:val="nil"/>
                    <w:bottom w:val="single" w:color="auto" w:sz="6" w:space="0"/>
                    <w:right w:val="single" w:color="auto" w:sz="6" w:space="0"/>
                  </w:tcBorders>
                  <w:shd w:val="clear"/>
                  <w:tcMar>
                    <w:top w:w="0" w:type="dxa"/>
                    <w:left w:w="75" w:type="dxa"/>
                    <w:bottom w:w="0" w:type="dxa"/>
                    <w:right w:w="7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bdr w:val="none" w:color="auto" w:sz="0" w:space="0"/>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五、存在的主要问题及改进措施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在畅通回应群众关切的问题方面，回应渠道不够丰富，信息公开的覆盖面不够广泛，存在一定程度的信息传播死角问题。对教体系统信息数据进行通俗易懂而又及时、全面的分析解读上还不够细致。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下一步，威海市文登区教育和体育局将根据《中华人民共和国政府信息公开条例》要求，进一步强化制度建设，不断丰富和完善公开方式，加强监督检查，将政府信息公开工作提高到一个新的水平。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六、其他需要报告的事项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今年以来，威海市文登区教育和体育局认真贯彻落实威海市文登区委、威海市文登区政府关于建议提案办理工作的重要指示精神，始终坚持把办好建议提案作为推动重点工作落实的重要抓手，全面扎实推进办理工作，现将2020年度建议提案办理情况公开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2020年威海市文登区教育和体育局共办理人大代表建议2件，政协委员提案11件（其中69、70、71号政协提案内容相同，合并答复）。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威海市文登区教育和体育局相关科室负责人迅速与各位代表委员沟通回复截至目前，受理的人大建议2件和政协提案11件全部办结，办结率100%，办结满意率100%。</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80" w:firstLineChars="200"/>
              <w:jc w:val="left"/>
            </w:pPr>
            <w:r>
              <w:rPr>
                <w:bdr w:val="none" w:color="auto" w:sz="0" w:space="0"/>
              </w:rPr>
              <w:t>2020年文登区教体局组织对中小学政务公开工作进行梳理，局办公室不定期对所属学校政府网站信息公开工作落实情况进行抽查，将工作开展情况纳入全区中小学目标绩效考核内，确保信息公开及时准确。2020年度，相关中小学均按要求更新政府网站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bdr w:val="none" w:color="auto" w:sz="0" w:space="0"/>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bdr w:val="none" w:color="auto" w:sz="0" w:space="0"/>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right"/>
            </w:pPr>
            <w:r>
              <w:rPr>
                <w:bdr w:val="none" w:color="auto" w:sz="0" w:space="0"/>
              </w:rPr>
              <w:t>威海市文登区教育和体育局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right"/>
            </w:pPr>
            <w:r>
              <w:rPr>
                <w:bdr w:val="none" w:color="auto" w:sz="0" w:space="0"/>
              </w:rPr>
              <w:t>2021年1月15日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pPr>
            <w:r>
              <w:rPr>
                <w:bdr w:val="none" w:color="auto" w:sz="0" w:space="0"/>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150" w:hRule="atLeast"/>
          <w:jc w:val="center"/>
        </w:trPr>
        <w:tc>
          <w:tcPr>
            <w:tcW w:w="5000" w:type="pct"/>
            <w:gridSpan w:val="2"/>
            <w:tcBorders>
              <w:top w:val="nil"/>
              <w:left w:val="nil"/>
              <w:bottom w:val="nil"/>
              <w:right w:val="nil"/>
            </w:tcBorders>
            <w:shd w:val="clear"/>
            <w:tcMar>
              <w:left w:w="900" w:type="dxa"/>
            </w:tcMar>
            <w:vAlign w:val="center"/>
          </w:tcPr>
          <w:p>
            <w:pPr>
              <w:keepNext w:val="0"/>
              <w:keepLines w:val="0"/>
              <w:widowControl/>
              <w:suppressLineNumbers w:val="0"/>
              <w:jc w:val="left"/>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98" w:type="pct"/>
            <w:tcBorders>
              <w:top w:val="nil"/>
              <w:left w:val="nil"/>
              <w:bottom w:val="nil"/>
              <w:right w:val="nil"/>
            </w:tcBorders>
            <w:shd w:val="clear"/>
            <w:tcMar>
              <w:top w:w="0" w:type="dxa"/>
              <w:left w:w="0" w:type="dxa"/>
              <w:bottom w:w="0" w:type="dxa"/>
              <w:right w:w="0" w:type="dxa"/>
            </w:tcMar>
            <w:vAlign w:val="center"/>
          </w:tcPr>
          <w:p>
            <w:pPr>
              <w:keepNext w:val="0"/>
              <w:keepLines w:val="0"/>
              <w:widowControl/>
              <w:suppressLineNumbers w:val="0"/>
              <w:jc w:val="left"/>
            </w:pPr>
          </w:p>
        </w:tc>
        <w:tc>
          <w:tcPr>
            <w:tcW w:w="4900" w:type="pct"/>
            <w:tcBorders>
              <w:top w:val="nil"/>
              <w:left w:val="nil"/>
              <w:bottom w:val="nil"/>
              <w:right w:val="nil"/>
            </w:tcBorders>
            <w:shd w:val="clear"/>
            <w:tcMar>
              <w:top w:w="0" w:type="dxa"/>
              <w:left w:w="0" w:type="dxa"/>
              <w:bottom w:w="0" w:type="dxa"/>
              <w:right w:w="0" w:type="dxa"/>
            </w:tcMar>
            <w:vAlign w:val="center"/>
          </w:tcPr>
          <w:p>
            <w:pPr>
              <w:keepNext w:val="0"/>
              <w:keepLines w:val="0"/>
              <w:widowControl/>
              <w:suppressLineNumbers w:val="0"/>
              <w:jc w:val="left"/>
            </w:pPr>
          </w:p>
        </w:tc>
      </w:tr>
      <w:bookmarkEnd w:id="0"/>
    </w:tbl>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r>
        <w:rPr>
          <w:rFonts w:hint="default" w:ascii="sans-serif" w:hAnsi="sans-serif" w:eastAsia="sans-serif" w:cs="sans-serif"/>
          <w:i w:val="0"/>
          <w:iCs w:val="0"/>
          <w:caps w:val="0"/>
          <w:color w:val="000000"/>
          <w:spacing w:val="0"/>
          <w:sz w:val="24"/>
          <w:szCs w:val="24"/>
        </w:rPr>
        <w:t> </w:t>
      </w:r>
    </w:p>
    <w:p>
      <w:pPr>
        <w:pStyle w:val="2"/>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i w:val="0"/>
          <w:iCs w:val="0"/>
          <w:caps w:val="0"/>
          <w:color w:val="000000"/>
          <w:spacing w:val="0"/>
          <w:sz w:val="24"/>
          <w:szCs w:val="2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765293"/>
    <w:rsid w:val="7D7652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2021-12-15T00:46:00Z</dcterms:created>
  <dc:creator>Small grass to fish lai</dc:creator>
  <cp:lastModifiedBy>Small grass to fish lai</cp:lastModifiedBy>
  <dcterms:modified xsi:type="dcterms:W3CDTF">2021-12-15T01:15:03Z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A137EBDF67504AD5B6932AF284AB6590</vt:lpwstr>
  </property>
</Properties>
</file>