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2AA4E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32"/>
          <w:szCs w:val="32"/>
        </w:rPr>
      </w:pPr>
      <w:bookmarkStart w:id="0" w:name="_GoBack"/>
      <w:bookmarkEnd w:id="0"/>
    </w:p>
    <w:p w14:paraId="4CC2B6B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威海市文登区教育和体育局</w:t>
      </w:r>
    </w:p>
    <w:p w14:paraId="4904AF0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2020年政府信息公开工作年度报告</w:t>
      </w:r>
    </w:p>
    <w:p w14:paraId="7DD8845F">
      <w:pPr>
        <w:keepNext w:val="0"/>
        <w:keepLines w:val="0"/>
        <w:pageBreakBefore w:val="0"/>
        <w:widowControl w:val="0"/>
        <w:kinsoku/>
        <w:wordWrap/>
        <w:overflowPunct/>
        <w:topLinePunct w:val="0"/>
        <w:autoSpaceDE/>
        <w:autoSpaceDN/>
        <w:bidi w:val="0"/>
        <w:adjustRightInd/>
        <w:snapToGrid/>
        <w:spacing w:line="560" w:lineRule="exact"/>
        <w:ind w:firstLine="420" w:firstLineChars="200"/>
        <w:textAlignment w:val="auto"/>
        <w:rPr>
          <w:rFonts w:hint="default" w:ascii="Times New Roman" w:hAnsi="Times New Roman" w:eastAsia="仿宋_GB2312" w:cs="Times New Roman"/>
        </w:rPr>
      </w:pPr>
    </w:p>
    <w:p w14:paraId="28A4B44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根据新修订的《中华人民共和国政府信息公开条例》和《山东省政府信息公开规定》(以下简称《规定》)要求,现公布威海市文登区</w:t>
      </w:r>
      <w:r>
        <w:rPr>
          <w:rFonts w:hint="default" w:ascii="Times New Roman" w:hAnsi="Times New Roman" w:eastAsia="仿宋_GB2312" w:cs="Times New Roman"/>
          <w:sz w:val="32"/>
          <w:szCs w:val="32"/>
          <w:lang w:val="en-US" w:eastAsia="zh-CN"/>
        </w:rPr>
        <w:t>教育和体育局</w:t>
      </w:r>
      <w:r>
        <w:rPr>
          <w:rFonts w:hint="default" w:ascii="Times New Roman" w:hAnsi="Times New Roman" w:eastAsia="仿宋_GB2312" w:cs="Times New Roman"/>
          <w:sz w:val="32"/>
          <w:szCs w:val="32"/>
        </w:rPr>
        <w:t>2020年政府信息公开工作年度报告。本报告由总体情况、主动公开政府信息情况，收到和处理依申请公开政府信息情况，政府信息公开相关的行政复议、行政诉讼、举报投诉情况，存在的主要问题和改进措施，其他需要报告的事项等部分组成。</w:t>
      </w:r>
    </w:p>
    <w:p w14:paraId="6796CE1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本报告中所列数据的统计期限自2020年1月1日起至2020年12月31日止。本报告的电子版可在威海市文登区人民政府门户网站（http://www.wendeng.gov.cn/index.html）下载。如对本报告有疑问，请与威海市文登区</w:t>
      </w:r>
      <w:r>
        <w:rPr>
          <w:rFonts w:hint="default" w:ascii="Times New Roman" w:hAnsi="Times New Roman" w:eastAsia="仿宋_GB2312" w:cs="Times New Roman"/>
          <w:sz w:val="32"/>
          <w:szCs w:val="32"/>
          <w:lang w:val="en-US" w:eastAsia="zh-CN"/>
        </w:rPr>
        <w:t>教育和体育局</w:t>
      </w:r>
      <w:r>
        <w:rPr>
          <w:rFonts w:hint="default" w:ascii="Times New Roman" w:hAnsi="Times New Roman" w:eastAsia="仿宋_GB2312" w:cs="Times New Roman"/>
          <w:sz w:val="32"/>
          <w:szCs w:val="32"/>
        </w:rPr>
        <w:t>办公室联系（地址：威海市文登区</w:t>
      </w:r>
      <w:r>
        <w:rPr>
          <w:rFonts w:hint="default" w:ascii="Times New Roman" w:hAnsi="Times New Roman" w:eastAsia="仿宋_GB2312" w:cs="Times New Roman"/>
          <w:sz w:val="32"/>
          <w:szCs w:val="32"/>
          <w:lang w:val="en-US" w:eastAsia="zh-CN"/>
        </w:rPr>
        <w:t>世纪大道84</w:t>
      </w:r>
      <w:r>
        <w:rPr>
          <w:rFonts w:hint="default" w:ascii="Times New Roman" w:hAnsi="Times New Roman" w:eastAsia="仿宋_GB2312" w:cs="Times New Roman"/>
          <w:sz w:val="32"/>
          <w:szCs w:val="32"/>
        </w:rPr>
        <w:t>号；邮编264400；电话：0631—</w:t>
      </w:r>
      <w:r>
        <w:rPr>
          <w:rFonts w:hint="default" w:ascii="Times New Roman" w:hAnsi="Times New Roman" w:eastAsia="仿宋_GB2312" w:cs="Times New Roman"/>
          <w:sz w:val="32"/>
          <w:szCs w:val="32"/>
          <w:lang w:val="en-US" w:eastAsia="zh-CN"/>
        </w:rPr>
        <w:t>8452998</w:t>
      </w:r>
      <w:r>
        <w:rPr>
          <w:rFonts w:hint="default" w:ascii="Times New Roman" w:hAnsi="Times New Roman" w:eastAsia="仿宋_GB2312" w:cs="Times New Roman"/>
          <w:sz w:val="32"/>
          <w:szCs w:val="32"/>
        </w:rPr>
        <w:t>）。</w:t>
      </w:r>
    </w:p>
    <w:p w14:paraId="26C7D39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一、总体情况</w:t>
      </w:r>
    </w:p>
    <w:p w14:paraId="3C73E21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2020年度，威海市文登区教育和体育局认真贯彻执行《中华人民共和国政府信息公开条例》要求和省、市、区有关政府信息公开文件精神，着力加强政府信息公开工作的组织领导，完善制度建设，不断创新公开形式、扩展公开内容、丰富公开载体，实施了一系列促进教体系统工作信息公开的举措，促进了威海市文登区教育和体育局政府信息公开工作快速健康发展。</w:t>
      </w:r>
    </w:p>
    <w:p w14:paraId="6881505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（一）主动公开工作情况</w:t>
      </w:r>
    </w:p>
    <w:p w14:paraId="7998F33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按要求在“威海市文登区人民政府”网站政务公开栏目及时公布威海市文登区教育和体育局机构职能、部门领导、机构设置、工作动态、公告公示等需要主动公开的政</w:t>
      </w:r>
      <w:r>
        <w:rPr>
          <w:rFonts w:hint="default" w:ascii="Times New Roman" w:hAnsi="Times New Roman" w:eastAsia="仿宋_GB2312" w:cs="Times New Roman"/>
          <w:sz w:val="32"/>
          <w:szCs w:val="32"/>
          <w:lang w:val="en-US" w:eastAsia="zh-CN"/>
        </w:rPr>
        <w:t>府</w:t>
      </w:r>
      <w:r>
        <w:rPr>
          <w:rFonts w:hint="default" w:ascii="Times New Roman" w:hAnsi="Times New Roman" w:eastAsia="仿宋_GB2312" w:cs="Times New Roman"/>
          <w:sz w:val="32"/>
          <w:szCs w:val="32"/>
        </w:rPr>
        <w:t>信息。在教育领域、公共文化体育部分，主动公开威海市文登区教育和体育局承担的公共服务信息。</w:t>
      </w:r>
    </w:p>
    <w:p w14:paraId="01AB7CA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发布解读、回应社会关切情况方面，充分发挥政府网站、微信公众号等重要载体的作用，开设政策解读专栏，运用政府网站、微信公众号等多种形式，主动、及时、准确发布政策解读，回应社会各界关切。共发布问答解读2条、图文解读1条。</w:t>
      </w:r>
    </w:p>
    <w:p w14:paraId="4A51AEC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加大主动公开政府信息工作的力度，今年，威海市文登区教育和体育局在政府信息公开网站主动公开发布各类信息468条。从内容上看，发布工作动态97条；发布公告公示信息35条。</w:t>
      </w:r>
    </w:p>
    <w:p w14:paraId="6CFD3A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（二）依申请公开工作情况</w:t>
      </w:r>
    </w:p>
    <w:p w14:paraId="4DDD53F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2020年，威海市文登区教育和体育局收到政</w:t>
      </w:r>
      <w:r>
        <w:rPr>
          <w:rFonts w:hint="default" w:ascii="Times New Roman" w:hAnsi="Times New Roman" w:eastAsia="仿宋_GB2312" w:cs="Times New Roman"/>
          <w:sz w:val="32"/>
          <w:szCs w:val="32"/>
          <w:lang w:val="en-US" w:eastAsia="zh-CN"/>
        </w:rPr>
        <w:t>府</w:t>
      </w:r>
      <w:r>
        <w:rPr>
          <w:rFonts w:hint="default" w:ascii="Times New Roman" w:hAnsi="Times New Roman" w:eastAsia="仿宋_GB2312" w:cs="Times New Roman"/>
          <w:sz w:val="32"/>
          <w:szCs w:val="32"/>
        </w:rPr>
        <w:t>信息公开申请事项1项，已办结。</w:t>
      </w:r>
    </w:p>
    <w:p w14:paraId="262FDB9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（三）政府信息管理情况</w:t>
      </w:r>
    </w:p>
    <w:p w14:paraId="73CAE1C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威海市文登区教育和体育局严格按政府信息公开工作领导小组成员分工，配齐信息公开所需的办公设备，规范整理信息公开各类文件资料，安排2名工作人员负责政府信息公开工作，全局政务公开工作向制度化、规范化方向发展。</w:t>
      </w:r>
    </w:p>
    <w:p w14:paraId="286875F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建立健全政府信息公开保密审查制度和责任追究制度，成立了保密审查领导小组，规范审查程序，严格遵循“谁主管、谁负责、谁公开、谁审查”的原则，逐级负责、层层把关。在确认所提交内容为可公开内容之后，再由专职人员对信息进行公开，形成了及时对拟定公开材料进行事前保密审查、事后监督检查的工作机制，确保涉密信息不公开，公开信息不涉密。</w:t>
      </w:r>
    </w:p>
    <w:p w14:paraId="5064F3D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（四）平台建设情况</w:t>
      </w:r>
    </w:p>
    <w:p w14:paraId="467E906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依托威海市文登区人民政府网站，建立和完善了信息发布与政务公开平台，不定期发布全区教育和体育领域工作动态。同时，将主动公开与群众咨询公开相结合，着力提高行政透明度和办事效率。全面强化“文登区教育和体育局”微信公众号宣传力度，全年发布信息700条，阅读量突破200万，为群众了解教体系统工作信息提供方便。</w:t>
      </w:r>
    </w:p>
    <w:p w14:paraId="33E972A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（五）监督保障情况</w:t>
      </w:r>
    </w:p>
    <w:p w14:paraId="410DEAD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结合教体系统实际工作，威海市文登区教育和体育局对包括《政</w:t>
      </w:r>
      <w:r>
        <w:rPr>
          <w:rFonts w:hint="default" w:ascii="Times New Roman" w:hAnsi="Times New Roman" w:eastAsia="仿宋_GB2312" w:cs="Times New Roman"/>
          <w:sz w:val="32"/>
          <w:szCs w:val="32"/>
          <w:lang w:val="en-US" w:eastAsia="zh-CN"/>
        </w:rPr>
        <w:t>府</w:t>
      </w:r>
      <w:r>
        <w:rPr>
          <w:rFonts w:hint="default" w:ascii="Times New Roman" w:hAnsi="Times New Roman" w:eastAsia="仿宋_GB2312" w:cs="Times New Roman"/>
          <w:sz w:val="32"/>
          <w:szCs w:val="32"/>
        </w:rPr>
        <w:t>信息依申请公开工作流程细则》等在内的政务公开制度进行了修改完善，拟定了年度政府信息公开工作方案和年度工作计划。完善依申请公开、限时公开、申请受理、考核监督、保密检查、社会评议、责任追究等工作机制，进一步规范工作流程和工作标准，确保政府信息公开工作安全、有效、有序进行。</w:t>
      </w:r>
    </w:p>
    <w:p w14:paraId="0C2004F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rPr>
      </w:pPr>
    </w:p>
    <w:p w14:paraId="56BDAD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二、主动公开政府信息情况</w:t>
      </w:r>
    </w:p>
    <w:tbl>
      <w:tblPr>
        <w:tblStyle w:val="3"/>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3120"/>
        <w:gridCol w:w="1875"/>
        <w:gridCol w:w="1275"/>
        <w:gridCol w:w="1875"/>
      </w:tblGrid>
      <w:tr w14:paraId="72DFA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99" w:hRule="atLeast"/>
          <w:jc w:val="center"/>
        </w:trPr>
        <w:tc>
          <w:tcPr>
            <w:tcW w:w="8145" w:type="dxa"/>
            <w:gridSpan w:val="4"/>
            <w:tcBorders>
              <w:top w:val="single" w:color="auto" w:sz="6" w:space="0"/>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14:paraId="2B05942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第二十条第（一）项</w:t>
            </w:r>
          </w:p>
        </w:tc>
      </w:tr>
      <w:tr w14:paraId="73372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059"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4195B49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信息内容</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2A0D43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本年新制作数量</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C90416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本年新</w:t>
            </w:r>
          </w:p>
          <w:p w14:paraId="6F9E5F7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公开数量</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1D8A7B5">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对外公开总数量</w:t>
            </w:r>
          </w:p>
        </w:tc>
      </w:tr>
      <w:tr w14:paraId="1A667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126B442E">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规章</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EFEB63D">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C04684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C98ACB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43AF0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4"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3399C820">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规范性文件</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6E249F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88E74D4">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84924A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w:t>
            </w:r>
          </w:p>
        </w:tc>
      </w:tr>
      <w:tr w14:paraId="28F94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9"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14:paraId="451CF47D">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第二十条第（五）项</w:t>
            </w:r>
          </w:p>
        </w:tc>
      </w:tr>
      <w:tr w14:paraId="5051D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29"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05A99C3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信息内容</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9918D9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上一年项目数量</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47F02DA">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本年增/减</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AF3349E">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处理决定数量</w:t>
            </w:r>
          </w:p>
        </w:tc>
      </w:tr>
      <w:tr w14:paraId="575E0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4"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050810AA">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行政许可</w:t>
            </w:r>
          </w:p>
        </w:tc>
        <w:tc>
          <w:tcPr>
            <w:tcW w:w="187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67AD2A45">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688966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CD152C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274</w:t>
            </w:r>
          </w:p>
        </w:tc>
      </w:tr>
      <w:tr w14:paraId="043BE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4"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3CB85F9A">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其他对外管理服务事项</w:t>
            </w:r>
          </w:p>
        </w:tc>
        <w:tc>
          <w:tcPr>
            <w:tcW w:w="187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21DE670B">
            <w:pPr>
              <w:bidi w:val="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0</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7D309B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28</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B4C381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277</w:t>
            </w:r>
          </w:p>
        </w:tc>
      </w:tr>
      <w:tr w14:paraId="36E0C6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4"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14:paraId="22C0E58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第二十条第（六）项</w:t>
            </w:r>
          </w:p>
        </w:tc>
      </w:tr>
      <w:tr w14:paraId="57136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44"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3342FDC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信息内容</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D2DBA7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上一年项目数量</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84E21C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本年增/减</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CFDA88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处理决定数量</w:t>
            </w:r>
          </w:p>
        </w:tc>
      </w:tr>
      <w:tr w14:paraId="25333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4"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0E1D643A">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行政处罚</w:t>
            </w:r>
          </w:p>
        </w:tc>
        <w:tc>
          <w:tcPr>
            <w:tcW w:w="187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3067A98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36</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561677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E5407B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63C66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4"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6B93A7E6">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行政强制</w:t>
            </w:r>
          </w:p>
        </w:tc>
        <w:tc>
          <w:tcPr>
            <w:tcW w:w="1875"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123A383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w:t>
            </w:r>
          </w:p>
        </w:tc>
        <w:tc>
          <w:tcPr>
            <w:tcW w:w="12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BF94CED">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0FE37C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74265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4"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14:paraId="77C19564">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第二十条第（八）项</w:t>
            </w:r>
          </w:p>
        </w:tc>
      </w:tr>
      <w:tr w14:paraId="5DCBE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4"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7534D928">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信息内容</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B8B73A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上一年项目数量</w:t>
            </w:r>
          </w:p>
        </w:tc>
        <w:tc>
          <w:tcPr>
            <w:tcW w:w="3150" w:type="dxa"/>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48B7C5A">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本年增/减</w:t>
            </w:r>
          </w:p>
        </w:tc>
      </w:tr>
      <w:tr w14:paraId="5E05B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4"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3497F086">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行政事业性收费</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C3EE10E">
            <w:pPr>
              <w:bidi w:val="0"/>
              <w:jc w:val="center"/>
              <w:rPr>
                <w:rFonts w:hint="default" w:ascii="Times New Roman" w:hAnsi="Times New Roman" w:eastAsia="仿宋_GB2312" w:cs="Times New Roman"/>
                <w:sz w:val="24"/>
                <w:szCs w:val="24"/>
                <w:lang w:eastAsia="zh-CN"/>
              </w:rPr>
            </w:pPr>
            <w:r>
              <w:rPr>
                <w:rFonts w:hint="default" w:ascii="Times New Roman" w:hAnsi="Times New Roman" w:eastAsia="仿宋_GB2312" w:cs="Times New Roman"/>
                <w:sz w:val="24"/>
                <w:szCs w:val="24"/>
                <w:lang w:val="en-US" w:eastAsia="zh-CN"/>
              </w:rPr>
              <w:t>1</w:t>
            </w:r>
          </w:p>
        </w:tc>
        <w:tc>
          <w:tcPr>
            <w:tcW w:w="3150" w:type="dxa"/>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0264B80">
            <w:pPr>
              <w:bidi w:val="0"/>
              <w:jc w:val="center"/>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lang w:val="en-US" w:eastAsia="zh-CN"/>
              </w:rPr>
              <w:t>-1</w:t>
            </w:r>
          </w:p>
        </w:tc>
      </w:tr>
      <w:tr w14:paraId="1E358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4"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tcMar>
              <w:top w:w="0" w:type="dxa"/>
              <w:left w:w="75" w:type="dxa"/>
              <w:bottom w:w="0" w:type="dxa"/>
              <w:right w:w="75" w:type="dxa"/>
            </w:tcMar>
            <w:vAlign w:val="center"/>
          </w:tcPr>
          <w:p w14:paraId="74400235">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第二十条第（九）项</w:t>
            </w:r>
          </w:p>
        </w:tc>
      </w:tr>
      <w:tr w14:paraId="42431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44"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758608E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信息内容</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D53C11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采购项目数量</w:t>
            </w:r>
          </w:p>
        </w:tc>
        <w:tc>
          <w:tcPr>
            <w:tcW w:w="3150" w:type="dxa"/>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83BCCAE">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采购总金额</w:t>
            </w:r>
          </w:p>
        </w:tc>
      </w:tr>
      <w:tr w14:paraId="6A9D2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4" w:hRule="atLeast"/>
          <w:jc w:val="center"/>
        </w:trPr>
        <w:tc>
          <w:tcPr>
            <w:tcW w:w="3120" w:type="dxa"/>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5685FBA8">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政府集中采购</w:t>
            </w:r>
          </w:p>
        </w:tc>
        <w:tc>
          <w:tcPr>
            <w:tcW w:w="1875" w:type="dxa"/>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7552D4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16</w:t>
            </w:r>
          </w:p>
        </w:tc>
        <w:tc>
          <w:tcPr>
            <w:tcW w:w="3150" w:type="dxa"/>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82E0C5E">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8202854.64</w:t>
            </w:r>
          </w:p>
        </w:tc>
      </w:tr>
    </w:tbl>
    <w:p w14:paraId="13EBC177">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32"/>
          <w:szCs w:val="32"/>
        </w:rPr>
      </w:pPr>
    </w:p>
    <w:p w14:paraId="1C0A12E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三、收到和处理政府信息公开申请情况</w:t>
      </w:r>
    </w:p>
    <w:tbl>
      <w:tblPr>
        <w:tblStyle w:val="3"/>
        <w:tblW w:w="814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987"/>
        <w:gridCol w:w="868"/>
        <w:gridCol w:w="1583"/>
        <w:gridCol w:w="5"/>
        <w:gridCol w:w="654"/>
        <w:gridCol w:w="2"/>
        <w:gridCol w:w="3"/>
        <w:gridCol w:w="654"/>
        <w:gridCol w:w="5"/>
        <w:gridCol w:w="654"/>
        <w:gridCol w:w="5"/>
        <w:gridCol w:w="2"/>
        <w:gridCol w:w="654"/>
        <w:gridCol w:w="660"/>
        <w:gridCol w:w="5"/>
        <w:gridCol w:w="5"/>
        <w:gridCol w:w="672"/>
        <w:gridCol w:w="5"/>
        <w:gridCol w:w="2"/>
        <w:gridCol w:w="722"/>
      </w:tblGrid>
      <w:tr w14:paraId="48E93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2109" w:type="pct"/>
            <w:gridSpan w:val="3"/>
            <w:vMerge w:val="restart"/>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271F5F90">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（本列数据的勾稽关系为：第一项加第二项之和，等于第三项加第四项之和）</w:t>
            </w:r>
          </w:p>
        </w:tc>
        <w:tc>
          <w:tcPr>
            <w:tcW w:w="2890" w:type="pct"/>
            <w:gridSpan w:val="17"/>
            <w:tcBorders>
              <w:top w:val="single" w:color="auto" w:sz="6" w:space="0"/>
              <w:left w:val="nil"/>
              <w:bottom w:val="single" w:color="auto" w:sz="6" w:space="0"/>
              <w:right w:val="single" w:color="auto" w:sz="6" w:space="0"/>
            </w:tcBorders>
            <w:shd w:val="clear" w:color="auto" w:fill="auto"/>
            <w:tcMar>
              <w:top w:w="0" w:type="dxa"/>
              <w:left w:w="75" w:type="dxa"/>
              <w:bottom w:w="0" w:type="dxa"/>
              <w:right w:w="75" w:type="dxa"/>
            </w:tcMar>
            <w:vAlign w:val="center"/>
          </w:tcPr>
          <w:p w14:paraId="48B1710B">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申请人情况</w:t>
            </w:r>
          </w:p>
        </w:tc>
      </w:tr>
      <w:tr w14:paraId="660F8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2109" w:type="pct"/>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18A5BEE7">
            <w:pPr>
              <w:bidi w:val="0"/>
              <w:jc w:val="both"/>
              <w:rPr>
                <w:rFonts w:hint="default" w:ascii="Times New Roman" w:hAnsi="Times New Roman" w:eastAsia="仿宋_GB2312" w:cs="Times New Roman"/>
                <w:sz w:val="24"/>
                <w:szCs w:val="24"/>
              </w:rPr>
            </w:pPr>
          </w:p>
        </w:tc>
        <w:tc>
          <w:tcPr>
            <w:tcW w:w="404" w:type="pct"/>
            <w:gridSpan w:val="2"/>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0EC52E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自然人</w:t>
            </w:r>
          </w:p>
        </w:tc>
        <w:tc>
          <w:tcPr>
            <w:tcW w:w="2038" w:type="pct"/>
            <w:gridSpan w:val="1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4C74B6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法人或其他组织</w:t>
            </w:r>
          </w:p>
        </w:tc>
        <w:tc>
          <w:tcPr>
            <w:tcW w:w="447" w:type="pct"/>
            <w:gridSpan w:val="3"/>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63D14B4">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总计</w:t>
            </w:r>
          </w:p>
        </w:tc>
      </w:tr>
      <w:tr w14:paraId="5E65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2109" w:type="pct"/>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2C13E02D">
            <w:pPr>
              <w:bidi w:val="0"/>
              <w:jc w:val="both"/>
              <w:rPr>
                <w:rFonts w:hint="default" w:ascii="Times New Roman" w:hAnsi="Times New Roman" w:eastAsia="仿宋_GB2312" w:cs="Times New Roman"/>
                <w:sz w:val="24"/>
                <w:szCs w:val="24"/>
              </w:rPr>
            </w:pPr>
          </w:p>
        </w:tc>
        <w:tc>
          <w:tcPr>
            <w:tcW w:w="404" w:type="pct"/>
            <w:gridSpan w:val="2"/>
            <w:vMerge w:val="continue"/>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5E6F420">
            <w:pPr>
              <w:bidi w:val="0"/>
              <w:jc w:val="center"/>
              <w:rPr>
                <w:rFonts w:hint="default" w:ascii="Times New Roman" w:hAnsi="Times New Roman" w:eastAsia="仿宋_GB2312" w:cs="Times New Roman"/>
                <w:sz w:val="24"/>
                <w:szCs w:val="24"/>
              </w:rPr>
            </w:pP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4D8218E">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商业企业</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5C6730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科研机构</w:t>
            </w:r>
          </w:p>
        </w:tc>
        <w:tc>
          <w:tcPr>
            <w:tcW w:w="405"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83DE4A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社会公益组织</w:t>
            </w:r>
          </w:p>
        </w:tc>
        <w:tc>
          <w:tcPr>
            <w:tcW w:w="405"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A22341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法律服务机构</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EB6709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其他</w:t>
            </w:r>
          </w:p>
        </w:tc>
        <w:tc>
          <w:tcPr>
            <w:tcW w:w="447" w:type="pct"/>
            <w:gridSpan w:val="3"/>
            <w:vMerge w:val="continue"/>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9F33DCC">
            <w:pPr>
              <w:bidi w:val="0"/>
              <w:jc w:val="center"/>
              <w:rPr>
                <w:rFonts w:hint="default" w:ascii="Times New Roman" w:hAnsi="Times New Roman" w:eastAsia="仿宋_GB2312" w:cs="Times New Roman"/>
                <w:sz w:val="24"/>
                <w:szCs w:val="24"/>
              </w:rPr>
            </w:pPr>
          </w:p>
        </w:tc>
      </w:tr>
      <w:tr w14:paraId="786F1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2109" w:type="pct"/>
            <w:gridSpan w:val="3"/>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0FB9816B">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一、本年新收政府信息公开申请数量</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B1C1B0A">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w:t>
            </w: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7EEE314">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3990C28">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5"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1D0E0EB">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5"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FE0F69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4A2ECF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7"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79BD71B">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w:t>
            </w:r>
          </w:p>
        </w:tc>
      </w:tr>
      <w:tr w14:paraId="750A2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2109" w:type="pct"/>
            <w:gridSpan w:val="3"/>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BD0525A">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二、上年结转政府信息公开申请数量</w:t>
            </w:r>
          </w:p>
        </w:tc>
        <w:tc>
          <w:tcPr>
            <w:tcW w:w="405"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252DEA8">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6"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0C0DB1B">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5"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4F7CA3E">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1"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84D083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1"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E178E1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6"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00DBEB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3"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609A104">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55FDF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605" w:type="pct"/>
            <w:vMerge w:val="restart"/>
            <w:tcBorders>
              <w:top w:val="nil"/>
              <w:left w:val="single" w:color="auto" w:sz="6" w:space="0"/>
              <w:right w:val="single" w:color="auto" w:sz="6" w:space="0"/>
            </w:tcBorders>
            <w:shd w:val="clear" w:color="auto" w:fill="auto"/>
            <w:tcMar>
              <w:top w:w="0" w:type="dxa"/>
              <w:left w:w="0" w:type="dxa"/>
              <w:bottom w:w="0" w:type="dxa"/>
              <w:right w:w="0" w:type="dxa"/>
            </w:tcMar>
            <w:vAlign w:val="center"/>
          </w:tcPr>
          <w:p w14:paraId="6154F9A0">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三、本年度办理结果</w:t>
            </w:r>
          </w:p>
        </w:tc>
        <w:tc>
          <w:tcPr>
            <w:tcW w:w="1507" w:type="pct"/>
            <w:gridSpan w:val="3"/>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4D74FAB8">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（一）予以公开</w:t>
            </w: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B50B83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1573AB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CD54BE4">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26AF3A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88CC15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DF519AD">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53FEE7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w:t>
            </w:r>
          </w:p>
        </w:tc>
      </w:tr>
      <w:tr w14:paraId="63736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01" w:hRule="atLeast"/>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16B452CF">
            <w:pPr>
              <w:bidi w:val="0"/>
              <w:jc w:val="both"/>
              <w:rPr>
                <w:rFonts w:hint="default" w:ascii="Times New Roman" w:hAnsi="Times New Roman" w:eastAsia="仿宋_GB2312" w:cs="Times New Roman"/>
                <w:sz w:val="24"/>
                <w:szCs w:val="24"/>
              </w:rPr>
            </w:pPr>
          </w:p>
        </w:tc>
        <w:tc>
          <w:tcPr>
            <w:tcW w:w="1507" w:type="pct"/>
            <w:gridSpan w:val="3"/>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6E1F8F36">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（二）部分公开（区分处理的，只计这一情形，不计其他情形）</w:t>
            </w: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F6CEBB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04720C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5A9953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4EE2DD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13A56F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F6F788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EADCAD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0D7B0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1B0966CE">
            <w:pPr>
              <w:bidi w:val="0"/>
              <w:jc w:val="both"/>
              <w:rPr>
                <w:rFonts w:hint="default" w:ascii="Times New Roman" w:hAnsi="Times New Roman" w:eastAsia="仿宋_GB2312" w:cs="Times New Roman"/>
                <w:sz w:val="24"/>
                <w:szCs w:val="24"/>
              </w:rPr>
            </w:pPr>
          </w:p>
        </w:tc>
        <w:tc>
          <w:tcPr>
            <w:tcW w:w="532" w:type="pct"/>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264B3E6">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（三）不予公开</w:t>
            </w:r>
          </w:p>
        </w:tc>
        <w:tc>
          <w:tcPr>
            <w:tcW w:w="97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A5C2BAE">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1.属于国家秘密</w:t>
            </w: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84A239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8B24AA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0EF633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625C83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E3E7FBE">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427BCED">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5624924">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0905D0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45" w:hRule="atLeast"/>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194E7523">
            <w:pPr>
              <w:bidi w:val="0"/>
              <w:jc w:val="both"/>
              <w:rPr>
                <w:rFonts w:hint="default" w:ascii="Times New Roman" w:hAnsi="Times New Roman" w:eastAsia="仿宋_GB2312" w:cs="Times New Roman"/>
                <w:sz w:val="24"/>
                <w:szCs w:val="24"/>
              </w:rPr>
            </w:pPr>
          </w:p>
        </w:tc>
        <w:tc>
          <w:tcPr>
            <w:tcW w:w="532" w:type="pct"/>
            <w:vMerge w:val="continue"/>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A3E1126">
            <w:pPr>
              <w:bidi w:val="0"/>
              <w:jc w:val="both"/>
              <w:rPr>
                <w:rFonts w:hint="default" w:ascii="Times New Roman" w:hAnsi="Times New Roman" w:eastAsia="仿宋_GB2312" w:cs="Times New Roman"/>
                <w:sz w:val="24"/>
                <w:szCs w:val="24"/>
              </w:rPr>
            </w:pPr>
          </w:p>
        </w:tc>
        <w:tc>
          <w:tcPr>
            <w:tcW w:w="97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426DB7D">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2.其他法律行政法规禁止公开</w:t>
            </w: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FFF131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F39A60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0AC194B">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14E205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1D7799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D55F5B5">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B05BDF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1BCFA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29" w:hRule="atLeast"/>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0A07B711">
            <w:pPr>
              <w:bidi w:val="0"/>
              <w:jc w:val="both"/>
              <w:rPr>
                <w:rFonts w:hint="default" w:ascii="Times New Roman" w:hAnsi="Times New Roman" w:eastAsia="仿宋_GB2312" w:cs="Times New Roman"/>
                <w:sz w:val="24"/>
                <w:szCs w:val="24"/>
              </w:rPr>
            </w:pPr>
          </w:p>
        </w:tc>
        <w:tc>
          <w:tcPr>
            <w:tcW w:w="532" w:type="pct"/>
            <w:vMerge w:val="continue"/>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99D9932">
            <w:pPr>
              <w:bidi w:val="0"/>
              <w:jc w:val="both"/>
              <w:rPr>
                <w:rFonts w:hint="default" w:ascii="Times New Roman" w:hAnsi="Times New Roman" w:eastAsia="仿宋_GB2312" w:cs="Times New Roman"/>
                <w:sz w:val="24"/>
                <w:szCs w:val="24"/>
              </w:rPr>
            </w:pPr>
          </w:p>
        </w:tc>
        <w:tc>
          <w:tcPr>
            <w:tcW w:w="97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38B7C97">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3.危及“三安全一稳定”</w:t>
            </w: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E95FBD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4E2E691">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AF79BEA">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BE238B5">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42B41F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5FB44D4">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3EF545A">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65A93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14" w:hRule="atLeast"/>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1D5514B4">
            <w:pPr>
              <w:bidi w:val="0"/>
              <w:jc w:val="both"/>
              <w:rPr>
                <w:rFonts w:hint="default" w:ascii="Times New Roman" w:hAnsi="Times New Roman" w:eastAsia="仿宋_GB2312" w:cs="Times New Roman"/>
                <w:sz w:val="24"/>
                <w:szCs w:val="24"/>
              </w:rPr>
            </w:pPr>
          </w:p>
        </w:tc>
        <w:tc>
          <w:tcPr>
            <w:tcW w:w="532" w:type="pct"/>
            <w:vMerge w:val="continue"/>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71D9FF0">
            <w:pPr>
              <w:bidi w:val="0"/>
              <w:jc w:val="both"/>
              <w:rPr>
                <w:rFonts w:hint="default" w:ascii="Times New Roman" w:hAnsi="Times New Roman" w:eastAsia="仿宋_GB2312" w:cs="Times New Roman"/>
                <w:sz w:val="24"/>
                <w:szCs w:val="24"/>
              </w:rPr>
            </w:pPr>
          </w:p>
        </w:tc>
        <w:tc>
          <w:tcPr>
            <w:tcW w:w="97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17AD6C3">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4.保护第三方合法权益</w:t>
            </w: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B606CC1">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F6F6694">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333C4D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E55D584">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8A7D02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5FFFCB8">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BB0DDC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386F1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59" w:hRule="atLeast"/>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51B7655E">
            <w:pPr>
              <w:bidi w:val="0"/>
              <w:jc w:val="both"/>
              <w:rPr>
                <w:rFonts w:hint="default" w:ascii="Times New Roman" w:hAnsi="Times New Roman" w:eastAsia="仿宋_GB2312" w:cs="Times New Roman"/>
                <w:sz w:val="24"/>
                <w:szCs w:val="24"/>
              </w:rPr>
            </w:pPr>
          </w:p>
        </w:tc>
        <w:tc>
          <w:tcPr>
            <w:tcW w:w="532" w:type="pct"/>
            <w:vMerge w:val="continue"/>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7CE42F5">
            <w:pPr>
              <w:bidi w:val="0"/>
              <w:jc w:val="both"/>
              <w:rPr>
                <w:rFonts w:hint="default" w:ascii="Times New Roman" w:hAnsi="Times New Roman" w:eastAsia="仿宋_GB2312" w:cs="Times New Roman"/>
                <w:sz w:val="24"/>
                <w:szCs w:val="24"/>
              </w:rPr>
            </w:pPr>
          </w:p>
        </w:tc>
        <w:tc>
          <w:tcPr>
            <w:tcW w:w="97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7F7C66D">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5.属于三类内部事务信息</w:t>
            </w: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6612575">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FA9928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935031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F87044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770779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2DBAAE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0FDFCE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0C0C3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59" w:hRule="atLeast"/>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757D29B6">
            <w:pPr>
              <w:bidi w:val="0"/>
              <w:jc w:val="both"/>
              <w:rPr>
                <w:rFonts w:hint="default" w:ascii="Times New Roman" w:hAnsi="Times New Roman" w:eastAsia="仿宋_GB2312" w:cs="Times New Roman"/>
                <w:sz w:val="24"/>
                <w:szCs w:val="24"/>
              </w:rPr>
            </w:pPr>
          </w:p>
        </w:tc>
        <w:tc>
          <w:tcPr>
            <w:tcW w:w="532" w:type="pct"/>
            <w:vMerge w:val="continue"/>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4EAFB6D">
            <w:pPr>
              <w:bidi w:val="0"/>
              <w:jc w:val="both"/>
              <w:rPr>
                <w:rFonts w:hint="default" w:ascii="Times New Roman" w:hAnsi="Times New Roman" w:eastAsia="仿宋_GB2312" w:cs="Times New Roman"/>
                <w:sz w:val="24"/>
                <w:szCs w:val="24"/>
              </w:rPr>
            </w:pPr>
          </w:p>
        </w:tc>
        <w:tc>
          <w:tcPr>
            <w:tcW w:w="97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A90D137">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6.属于四类过程性信息</w:t>
            </w: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AE4240B">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313E87B">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9CAE185">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7C0527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0946895">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8F6928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9CC931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0DA2C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29" w:hRule="atLeast"/>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0FD99C9A">
            <w:pPr>
              <w:bidi w:val="0"/>
              <w:jc w:val="both"/>
              <w:rPr>
                <w:rFonts w:hint="default" w:ascii="Times New Roman" w:hAnsi="Times New Roman" w:eastAsia="仿宋_GB2312" w:cs="Times New Roman"/>
                <w:sz w:val="24"/>
                <w:szCs w:val="24"/>
              </w:rPr>
            </w:pPr>
          </w:p>
        </w:tc>
        <w:tc>
          <w:tcPr>
            <w:tcW w:w="532" w:type="pct"/>
            <w:vMerge w:val="continue"/>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CC0C832">
            <w:pPr>
              <w:bidi w:val="0"/>
              <w:jc w:val="both"/>
              <w:rPr>
                <w:rFonts w:hint="default" w:ascii="Times New Roman" w:hAnsi="Times New Roman" w:eastAsia="仿宋_GB2312" w:cs="Times New Roman"/>
                <w:sz w:val="24"/>
                <w:szCs w:val="24"/>
              </w:rPr>
            </w:pPr>
          </w:p>
        </w:tc>
        <w:tc>
          <w:tcPr>
            <w:tcW w:w="97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8C2C373">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7.属于行政执法案卷</w:t>
            </w: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61D8CE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A70BBCB">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244A56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5442BB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B83FE7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7ACBBE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B0EC5A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3C781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99" w:hRule="atLeast"/>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130EAEA1">
            <w:pPr>
              <w:bidi w:val="0"/>
              <w:jc w:val="both"/>
              <w:rPr>
                <w:rFonts w:hint="default" w:ascii="Times New Roman" w:hAnsi="Times New Roman" w:eastAsia="仿宋_GB2312" w:cs="Times New Roman"/>
                <w:sz w:val="24"/>
                <w:szCs w:val="24"/>
              </w:rPr>
            </w:pPr>
          </w:p>
        </w:tc>
        <w:tc>
          <w:tcPr>
            <w:tcW w:w="532" w:type="pct"/>
            <w:vMerge w:val="continue"/>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0067745">
            <w:pPr>
              <w:bidi w:val="0"/>
              <w:jc w:val="both"/>
              <w:rPr>
                <w:rFonts w:hint="default" w:ascii="Times New Roman" w:hAnsi="Times New Roman" w:eastAsia="仿宋_GB2312" w:cs="Times New Roman"/>
                <w:sz w:val="24"/>
                <w:szCs w:val="24"/>
              </w:rPr>
            </w:pPr>
          </w:p>
        </w:tc>
        <w:tc>
          <w:tcPr>
            <w:tcW w:w="97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51BD03A">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8.属于行政查询事项</w:t>
            </w: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737DD8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67D5AB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35AC3F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E6E9D04">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EB8DE6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A9F72B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E0563B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22895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30687F97">
            <w:pPr>
              <w:bidi w:val="0"/>
              <w:jc w:val="both"/>
              <w:rPr>
                <w:rFonts w:hint="default" w:ascii="Times New Roman" w:hAnsi="Times New Roman" w:eastAsia="仿宋_GB2312" w:cs="Times New Roman"/>
                <w:sz w:val="24"/>
                <w:szCs w:val="24"/>
              </w:rPr>
            </w:pPr>
          </w:p>
        </w:tc>
        <w:tc>
          <w:tcPr>
            <w:tcW w:w="532" w:type="pct"/>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0D201AF">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（四）无法提供</w:t>
            </w:r>
          </w:p>
        </w:tc>
        <w:tc>
          <w:tcPr>
            <w:tcW w:w="97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A368458">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1.本机关不掌握相关政府信息</w:t>
            </w: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B65B788">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1E84CA1">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EC9C28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EC2DD0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3FC048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5191A5B">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567A44B">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2CCA7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28F921F3">
            <w:pPr>
              <w:bidi w:val="0"/>
              <w:jc w:val="both"/>
              <w:rPr>
                <w:rFonts w:hint="default" w:ascii="Times New Roman" w:hAnsi="Times New Roman" w:eastAsia="仿宋_GB2312" w:cs="Times New Roman"/>
                <w:sz w:val="24"/>
                <w:szCs w:val="24"/>
              </w:rPr>
            </w:pPr>
          </w:p>
        </w:tc>
        <w:tc>
          <w:tcPr>
            <w:tcW w:w="532" w:type="pct"/>
            <w:vMerge w:val="continue"/>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3F30280">
            <w:pPr>
              <w:bidi w:val="0"/>
              <w:jc w:val="both"/>
              <w:rPr>
                <w:rFonts w:hint="default" w:ascii="Times New Roman" w:hAnsi="Times New Roman" w:eastAsia="仿宋_GB2312" w:cs="Times New Roman"/>
                <w:sz w:val="24"/>
                <w:szCs w:val="24"/>
              </w:rPr>
            </w:pPr>
          </w:p>
        </w:tc>
        <w:tc>
          <w:tcPr>
            <w:tcW w:w="97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AA2BE86">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2.没有现成信息需要另行制作</w:t>
            </w: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51C3AED">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6D7A28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09F7E9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273140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F07E648">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515C5E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884A1B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5DBEC3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58E52B43">
            <w:pPr>
              <w:bidi w:val="0"/>
              <w:jc w:val="both"/>
              <w:rPr>
                <w:rFonts w:hint="default" w:ascii="Times New Roman" w:hAnsi="Times New Roman" w:eastAsia="仿宋_GB2312" w:cs="Times New Roman"/>
                <w:sz w:val="24"/>
                <w:szCs w:val="24"/>
              </w:rPr>
            </w:pPr>
          </w:p>
        </w:tc>
        <w:tc>
          <w:tcPr>
            <w:tcW w:w="532" w:type="pct"/>
            <w:vMerge w:val="continue"/>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974C525">
            <w:pPr>
              <w:bidi w:val="0"/>
              <w:jc w:val="both"/>
              <w:rPr>
                <w:rFonts w:hint="default" w:ascii="Times New Roman" w:hAnsi="Times New Roman" w:eastAsia="仿宋_GB2312" w:cs="Times New Roman"/>
                <w:sz w:val="24"/>
                <w:szCs w:val="24"/>
              </w:rPr>
            </w:pPr>
          </w:p>
        </w:tc>
        <w:tc>
          <w:tcPr>
            <w:tcW w:w="97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FEF8FCB">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3.补正后申请内容仍不明确</w:t>
            </w: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8F6219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FAAEC7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A04A5B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8FC061B">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351DE9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604810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32A3C34">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036C3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3B01951A">
            <w:pPr>
              <w:bidi w:val="0"/>
              <w:jc w:val="both"/>
              <w:rPr>
                <w:rFonts w:hint="default" w:ascii="Times New Roman" w:hAnsi="Times New Roman" w:eastAsia="仿宋_GB2312" w:cs="Times New Roman"/>
                <w:sz w:val="24"/>
                <w:szCs w:val="24"/>
              </w:rPr>
            </w:pPr>
          </w:p>
        </w:tc>
        <w:tc>
          <w:tcPr>
            <w:tcW w:w="532" w:type="pct"/>
            <w:vMerge w:val="restart"/>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2C4E1659">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（五）不予处理</w:t>
            </w:r>
          </w:p>
        </w:tc>
        <w:tc>
          <w:tcPr>
            <w:tcW w:w="97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23ED2EA4">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1.信访举报投诉类申请</w:t>
            </w:r>
          </w:p>
        </w:tc>
        <w:tc>
          <w:tcPr>
            <w:tcW w:w="404" w:type="pct"/>
            <w:gridSpan w:val="3"/>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5A123D1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335DE5E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6C92C25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494782C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4BA3FD9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7491EEB4">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56A0CD3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0B978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52" w:hRule="atLeast"/>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7B21A417">
            <w:pPr>
              <w:bidi w:val="0"/>
              <w:jc w:val="both"/>
              <w:rPr>
                <w:rFonts w:hint="default" w:ascii="Times New Roman" w:hAnsi="Times New Roman" w:eastAsia="仿宋_GB2312" w:cs="Times New Roman"/>
                <w:sz w:val="24"/>
                <w:szCs w:val="24"/>
              </w:rPr>
            </w:pPr>
          </w:p>
        </w:tc>
        <w:tc>
          <w:tcPr>
            <w:tcW w:w="532" w:type="pct"/>
            <w:vMerge w:val="continue"/>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27B78477">
            <w:pPr>
              <w:bidi w:val="0"/>
              <w:jc w:val="both"/>
              <w:rPr>
                <w:rFonts w:hint="default" w:ascii="Times New Roman" w:hAnsi="Times New Roman" w:eastAsia="仿宋_GB2312" w:cs="Times New Roman"/>
                <w:sz w:val="24"/>
                <w:szCs w:val="24"/>
              </w:rPr>
            </w:pPr>
          </w:p>
        </w:tc>
        <w:tc>
          <w:tcPr>
            <w:tcW w:w="97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7768AA0C">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2.重复申请</w:t>
            </w:r>
          </w:p>
        </w:tc>
        <w:tc>
          <w:tcPr>
            <w:tcW w:w="404" w:type="pct"/>
            <w:gridSpan w:val="3"/>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68BBDCC5">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67F3D0ED">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3C4D0B0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6418E59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2D86752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68AE840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0DEED65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3DCF29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0C6215EC">
            <w:pPr>
              <w:bidi w:val="0"/>
              <w:jc w:val="both"/>
              <w:rPr>
                <w:rFonts w:hint="default" w:ascii="Times New Roman" w:hAnsi="Times New Roman" w:eastAsia="仿宋_GB2312" w:cs="Times New Roman"/>
                <w:sz w:val="24"/>
                <w:szCs w:val="24"/>
              </w:rPr>
            </w:pPr>
          </w:p>
        </w:tc>
        <w:tc>
          <w:tcPr>
            <w:tcW w:w="532" w:type="pct"/>
            <w:vMerge w:val="continue"/>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42C0978B">
            <w:pPr>
              <w:bidi w:val="0"/>
              <w:jc w:val="both"/>
              <w:rPr>
                <w:rFonts w:hint="default" w:ascii="Times New Roman" w:hAnsi="Times New Roman" w:eastAsia="仿宋_GB2312" w:cs="Times New Roman"/>
                <w:sz w:val="24"/>
                <w:szCs w:val="24"/>
              </w:rPr>
            </w:pPr>
          </w:p>
        </w:tc>
        <w:tc>
          <w:tcPr>
            <w:tcW w:w="97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4A5F6943">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3.要求提供公开出版物</w:t>
            </w:r>
          </w:p>
        </w:tc>
        <w:tc>
          <w:tcPr>
            <w:tcW w:w="404" w:type="pct"/>
            <w:gridSpan w:val="3"/>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79E24B0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3BFCCC8A">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64875A05">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4A86A0FB">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654F9DA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557850D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6E9F988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06A07E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16074F5A">
            <w:pPr>
              <w:bidi w:val="0"/>
              <w:jc w:val="both"/>
              <w:rPr>
                <w:rFonts w:hint="default" w:ascii="Times New Roman" w:hAnsi="Times New Roman" w:eastAsia="仿宋_GB2312" w:cs="Times New Roman"/>
                <w:sz w:val="24"/>
                <w:szCs w:val="24"/>
              </w:rPr>
            </w:pPr>
          </w:p>
        </w:tc>
        <w:tc>
          <w:tcPr>
            <w:tcW w:w="532" w:type="pct"/>
            <w:vMerge w:val="continue"/>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60957DE7">
            <w:pPr>
              <w:bidi w:val="0"/>
              <w:jc w:val="both"/>
              <w:rPr>
                <w:rFonts w:hint="default" w:ascii="Times New Roman" w:hAnsi="Times New Roman" w:eastAsia="仿宋_GB2312" w:cs="Times New Roman"/>
                <w:sz w:val="24"/>
                <w:szCs w:val="24"/>
              </w:rPr>
            </w:pPr>
          </w:p>
        </w:tc>
        <w:tc>
          <w:tcPr>
            <w:tcW w:w="97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1DAC5DC8">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4.无正当理由大量反复申请</w:t>
            </w:r>
          </w:p>
        </w:tc>
        <w:tc>
          <w:tcPr>
            <w:tcW w:w="404" w:type="pct"/>
            <w:gridSpan w:val="3"/>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5AFD951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7F5E865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36010384">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09A475C1">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191957D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4C39D57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137A941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0569F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2397B8B3">
            <w:pPr>
              <w:bidi w:val="0"/>
              <w:jc w:val="both"/>
              <w:rPr>
                <w:rFonts w:hint="default" w:ascii="Times New Roman" w:hAnsi="Times New Roman" w:eastAsia="仿宋_GB2312" w:cs="Times New Roman"/>
                <w:sz w:val="24"/>
                <w:szCs w:val="24"/>
              </w:rPr>
            </w:pPr>
          </w:p>
        </w:tc>
        <w:tc>
          <w:tcPr>
            <w:tcW w:w="532" w:type="pct"/>
            <w:vMerge w:val="continue"/>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291B01F7">
            <w:pPr>
              <w:bidi w:val="0"/>
              <w:jc w:val="both"/>
              <w:rPr>
                <w:rFonts w:hint="default" w:ascii="Times New Roman" w:hAnsi="Times New Roman" w:eastAsia="仿宋_GB2312" w:cs="Times New Roman"/>
                <w:sz w:val="24"/>
                <w:szCs w:val="24"/>
              </w:rPr>
            </w:pPr>
          </w:p>
        </w:tc>
        <w:tc>
          <w:tcPr>
            <w:tcW w:w="97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4DB34C86">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5.要求行政机关确认或重新出具已获取信息</w:t>
            </w:r>
          </w:p>
        </w:tc>
        <w:tc>
          <w:tcPr>
            <w:tcW w:w="404" w:type="pct"/>
            <w:gridSpan w:val="3"/>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1A18F10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42046A8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4F918E5E">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6C4159C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3729603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0C3AC5E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78BAD37D">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02B3A0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605" w:type="pct"/>
            <w:vMerge w:val="continue"/>
            <w:tcBorders>
              <w:left w:val="single" w:color="auto" w:sz="6" w:space="0"/>
              <w:right w:val="single" w:color="auto" w:sz="6" w:space="0"/>
            </w:tcBorders>
            <w:shd w:val="clear" w:color="auto" w:fill="auto"/>
            <w:tcMar>
              <w:top w:w="0" w:type="dxa"/>
              <w:left w:w="0" w:type="dxa"/>
              <w:bottom w:w="0" w:type="dxa"/>
              <w:right w:w="0" w:type="dxa"/>
            </w:tcMar>
            <w:vAlign w:val="center"/>
          </w:tcPr>
          <w:p w14:paraId="6874F506">
            <w:pPr>
              <w:bidi w:val="0"/>
              <w:jc w:val="both"/>
              <w:rPr>
                <w:rFonts w:hint="default" w:ascii="Times New Roman" w:hAnsi="Times New Roman" w:eastAsia="仿宋_GB2312" w:cs="Times New Roman"/>
                <w:sz w:val="24"/>
                <w:szCs w:val="24"/>
              </w:rPr>
            </w:pPr>
          </w:p>
        </w:tc>
        <w:tc>
          <w:tcPr>
            <w:tcW w:w="1507" w:type="pct"/>
            <w:gridSpan w:val="3"/>
            <w:tcBorders>
              <w:top w:val="single" w:color="auto" w:sz="6" w:space="0"/>
              <w:left w:val="nil"/>
              <w:bottom w:val="single" w:color="auto" w:sz="6" w:space="0"/>
              <w:right w:val="single" w:color="auto" w:sz="6" w:space="0"/>
            </w:tcBorders>
            <w:shd w:val="clear" w:color="auto" w:fill="auto"/>
            <w:tcMar>
              <w:top w:w="0" w:type="dxa"/>
              <w:left w:w="0" w:type="dxa"/>
              <w:bottom w:w="0" w:type="dxa"/>
              <w:right w:w="0" w:type="dxa"/>
            </w:tcMar>
            <w:vAlign w:val="center"/>
          </w:tcPr>
          <w:p w14:paraId="176EBDB6">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（六）其他处理</w:t>
            </w:r>
          </w:p>
        </w:tc>
        <w:tc>
          <w:tcPr>
            <w:tcW w:w="404" w:type="pct"/>
            <w:gridSpan w:val="3"/>
            <w:tcBorders>
              <w:top w:val="single" w:color="auto" w:sz="6" w:space="0"/>
              <w:left w:val="nil"/>
              <w:bottom w:val="single" w:color="auto" w:sz="6" w:space="0"/>
              <w:right w:val="single" w:color="auto" w:sz="6" w:space="0"/>
            </w:tcBorders>
            <w:shd w:val="clear" w:color="auto" w:fill="auto"/>
            <w:tcMar>
              <w:top w:w="0" w:type="dxa"/>
              <w:left w:w="75" w:type="dxa"/>
              <w:bottom w:w="0" w:type="dxa"/>
              <w:right w:w="75" w:type="dxa"/>
            </w:tcMar>
            <w:vAlign w:val="center"/>
          </w:tcPr>
          <w:p w14:paraId="5450324A">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single" w:color="auto" w:sz="6" w:space="0"/>
              <w:left w:val="nil"/>
              <w:bottom w:val="single" w:color="auto" w:sz="6" w:space="0"/>
              <w:right w:val="single" w:color="auto" w:sz="6" w:space="0"/>
            </w:tcBorders>
            <w:shd w:val="clear" w:color="auto" w:fill="auto"/>
            <w:tcMar>
              <w:top w:w="0" w:type="dxa"/>
              <w:left w:w="75" w:type="dxa"/>
              <w:bottom w:w="0" w:type="dxa"/>
              <w:right w:w="75" w:type="dxa"/>
            </w:tcMar>
            <w:vAlign w:val="center"/>
          </w:tcPr>
          <w:p w14:paraId="234116A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single" w:color="auto" w:sz="6" w:space="0"/>
              <w:left w:val="nil"/>
              <w:bottom w:val="single" w:color="auto" w:sz="6" w:space="0"/>
              <w:right w:val="single" w:color="auto" w:sz="6" w:space="0"/>
            </w:tcBorders>
            <w:shd w:val="clear" w:color="auto" w:fill="auto"/>
            <w:tcMar>
              <w:top w:w="0" w:type="dxa"/>
              <w:left w:w="75" w:type="dxa"/>
              <w:bottom w:w="0" w:type="dxa"/>
              <w:right w:w="75" w:type="dxa"/>
            </w:tcMar>
            <w:vAlign w:val="center"/>
          </w:tcPr>
          <w:p w14:paraId="033AB6E8">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single" w:color="auto" w:sz="6" w:space="0"/>
              <w:left w:val="nil"/>
              <w:bottom w:val="single" w:color="auto" w:sz="6" w:space="0"/>
              <w:right w:val="single" w:color="auto" w:sz="6" w:space="0"/>
            </w:tcBorders>
            <w:shd w:val="clear" w:color="auto" w:fill="auto"/>
            <w:tcMar>
              <w:top w:w="0" w:type="dxa"/>
              <w:left w:w="75" w:type="dxa"/>
              <w:bottom w:w="0" w:type="dxa"/>
              <w:right w:w="75" w:type="dxa"/>
            </w:tcMar>
            <w:vAlign w:val="center"/>
          </w:tcPr>
          <w:p w14:paraId="2EC4EBE5">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single" w:color="auto" w:sz="6" w:space="0"/>
              <w:left w:val="nil"/>
              <w:bottom w:val="single" w:color="auto" w:sz="6" w:space="0"/>
              <w:right w:val="single" w:color="auto" w:sz="6" w:space="0"/>
            </w:tcBorders>
            <w:shd w:val="clear" w:color="auto" w:fill="auto"/>
            <w:tcMar>
              <w:top w:w="0" w:type="dxa"/>
              <w:left w:w="75" w:type="dxa"/>
              <w:bottom w:w="0" w:type="dxa"/>
              <w:right w:w="75" w:type="dxa"/>
            </w:tcMar>
            <w:vAlign w:val="center"/>
          </w:tcPr>
          <w:p w14:paraId="0BDD150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single" w:color="auto" w:sz="6" w:space="0"/>
              <w:left w:val="nil"/>
              <w:bottom w:val="single" w:color="auto" w:sz="6" w:space="0"/>
              <w:right w:val="single" w:color="auto" w:sz="6" w:space="0"/>
            </w:tcBorders>
            <w:shd w:val="clear" w:color="auto" w:fill="auto"/>
            <w:tcMar>
              <w:top w:w="0" w:type="dxa"/>
              <w:left w:w="75" w:type="dxa"/>
              <w:bottom w:w="0" w:type="dxa"/>
              <w:right w:w="75" w:type="dxa"/>
            </w:tcMar>
            <w:vAlign w:val="center"/>
          </w:tcPr>
          <w:p w14:paraId="49073855">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single" w:color="auto" w:sz="6" w:space="0"/>
              <w:left w:val="nil"/>
              <w:bottom w:val="single" w:color="auto" w:sz="6" w:space="0"/>
              <w:right w:val="single" w:color="auto" w:sz="6" w:space="0"/>
            </w:tcBorders>
            <w:shd w:val="clear" w:color="auto" w:fill="auto"/>
            <w:tcMar>
              <w:top w:w="0" w:type="dxa"/>
              <w:left w:w="75" w:type="dxa"/>
              <w:bottom w:w="0" w:type="dxa"/>
              <w:right w:w="75" w:type="dxa"/>
            </w:tcMar>
            <w:vAlign w:val="center"/>
          </w:tcPr>
          <w:p w14:paraId="46EB3B8F">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r w14:paraId="69B54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605" w:type="pct"/>
            <w:vMerge w:val="continue"/>
            <w:tcBorders>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689A2EC7">
            <w:pPr>
              <w:bidi w:val="0"/>
              <w:jc w:val="both"/>
              <w:rPr>
                <w:rFonts w:hint="default" w:ascii="Times New Roman" w:hAnsi="Times New Roman" w:eastAsia="仿宋_GB2312" w:cs="Times New Roman"/>
                <w:sz w:val="24"/>
                <w:szCs w:val="24"/>
              </w:rPr>
            </w:pPr>
          </w:p>
        </w:tc>
        <w:tc>
          <w:tcPr>
            <w:tcW w:w="1507" w:type="pct"/>
            <w:gridSpan w:val="3"/>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20F4CBFF">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（七）总计</w:t>
            </w: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0B3A87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3FC94B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18FD78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3939F0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C84DB58">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AA650EE">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688DD0A">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w:t>
            </w:r>
          </w:p>
        </w:tc>
      </w:tr>
      <w:tr w14:paraId="1A4C63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2113" w:type="pct"/>
            <w:gridSpan w:val="4"/>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52ED1392">
            <w:pPr>
              <w:bidi w:val="0"/>
              <w:jc w:val="both"/>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四、结转下年度继续办理</w:t>
            </w:r>
          </w:p>
        </w:tc>
        <w:tc>
          <w:tcPr>
            <w:tcW w:w="404"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A2AB54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6D42778">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2727AE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2"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4D6E32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08"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4E029B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18" w:type="pct"/>
            <w:gridSpan w:val="3"/>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529CB03">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444" w:type="pct"/>
            <w:gridSpan w:val="2"/>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3A5AFB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bl>
    <w:p w14:paraId="2ED822E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四、政府信息公开行政复议、行政诉讼情况 </w:t>
      </w:r>
    </w:p>
    <w:tbl>
      <w:tblPr>
        <w:tblStyle w:val="3"/>
        <w:tblW w:w="4999"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570"/>
        <w:gridCol w:w="573"/>
        <w:gridCol w:w="573"/>
        <w:gridCol w:w="573"/>
        <w:gridCol w:w="519"/>
        <w:gridCol w:w="573"/>
        <w:gridCol w:w="573"/>
        <w:gridCol w:w="573"/>
        <w:gridCol w:w="573"/>
        <w:gridCol w:w="573"/>
        <w:gridCol w:w="573"/>
        <w:gridCol w:w="573"/>
        <w:gridCol w:w="573"/>
        <w:gridCol w:w="573"/>
        <w:gridCol w:w="485"/>
      </w:tblGrid>
      <w:tr w14:paraId="3C919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1661" w:type="pct"/>
            <w:gridSpan w:val="5"/>
            <w:tcBorders>
              <w:top w:val="single" w:color="auto" w:sz="6" w:space="0"/>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2CF2503E">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行政复议</w:t>
            </w:r>
          </w:p>
        </w:tc>
        <w:tc>
          <w:tcPr>
            <w:tcW w:w="3338" w:type="pct"/>
            <w:gridSpan w:val="10"/>
            <w:tcBorders>
              <w:top w:val="single" w:color="auto" w:sz="6" w:space="0"/>
              <w:left w:val="nil"/>
              <w:bottom w:val="single" w:color="auto" w:sz="6" w:space="0"/>
              <w:right w:val="single" w:color="auto" w:sz="6" w:space="0"/>
            </w:tcBorders>
            <w:shd w:val="clear" w:color="auto" w:fill="auto"/>
            <w:tcMar>
              <w:top w:w="0" w:type="dxa"/>
              <w:left w:w="75" w:type="dxa"/>
              <w:bottom w:w="0" w:type="dxa"/>
              <w:right w:w="75" w:type="dxa"/>
            </w:tcMar>
            <w:vAlign w:val="center"/>
          </w:tcPr>
          <w:p w14:paraId="5836FF2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行政诉讼</w:t>
            </w:r>
          </w:p>
        </w:tc>
      </w:tr>
      <w:tr w14:paraId="6864A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337" w:type="pct"/>
            <w:vMerge w:val="restart"/>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0F2FFE6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结果维持</w:t>
            </w:r>
          </w:p>
        </w:tc>
        <w:tc>
          <w:tcPr>
            <w:tcW w:w="339" w:type="pct"/>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7B6CC14">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结果纠正</w:t>
            </w:r>
          </w:p>
        </w:tc>
        <w:tc>
          <w:tcPr>
            <w:tcW w:w="339" w:type="pct"/>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BE48C2E">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其他结果</w:t>
            </w:r>
          </w:p>
        </w:tc>
        <w:tc>
          <w:tcPr>
            <w:tcW w:w="339" w:type="pct"/>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8B78B14">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尚未审结</w:t>
            </w:r>
          </w:p>
        </w:tc>
        <w:tc>
          <w:tcPr>
            <w:tcW w:w="306" w:type="pct"/>
            <w:vMerge w:val="restar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03AC251">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总计</w:t>
            </w:r>
          </w:p>
        </w:tc>
        <w:tc>
          <w:tcPr>
            <w:tcW w:w="1694" w:type="pct"/>
            <w:gridSpan w:val="5"/>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ED3F699">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未经复议直接起诉</w:t>
            </w:r>
          </w:p>
        </w:tc>
        <w:tc>
          <w:tcPr>
            <w:tcW w:w="1642" w:type="pct"/>
            <w:gridSpan w:val="5"/>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DE4551B">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复议后起诉</w:t>
            </w:r>
          </w:p>
        </w:tc>
      </w:tr>
      <w:tr w14:paraId="46F50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337" w:type="pct"/>
            <w:vMerge w:val="continue"/>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685F483B">
            <w:pPr>
              <w:bidi w:val="0"/>
              <w:jc w:val="center"/>
              <w:rPr>
                <w:rFonts w:hint="default" w:ascii="Times New Roman" w:hAnsi="Times New Roman" w:eastAsia="仿宋_GB2312" w:cs="Times New Roman"/>
                <w:sz w:val="24"/>
                <w:szCs w:val="24"/>
              </w:rPr>
            </w:pPr>
          </w:p>
        </w:tc>
        <w:tc>
          <w:tcPr>
            <w:tcW w:w="339" w:type="pct"/>
            <w:vMerge w:val="continue"/>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F820395">
            <w:pPr>
              <w:bidi w:val="0"/>
              <w:jc w:val="center"/>
              <w:rPr>
                <w:rFonts w:hint="default" w:ascii="Times New Roman" w:hAnsi="Times New Roman" w:eastAsia="仿宋_GB2312" w:cs="Times New Roman"/>
                <w:sz w:val="24"/>
                <w:szCs w:val="24"/>
              </w:rPr>
            </w:pPr>
          </w:p>
        </w:tc>
        <w:tc>
          <w:tcPr>
            <w:tcW w:w="339" w:type="pct"/>
            <w:vMerge w:val="continue"/>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49ACA8C">
            <w:pPr>
              <w:bidi w:val="0"/>
              <w:jc w:val="center"/>
              <w:rPr>
                <w:rFonts w:hint="default" w:ascii="Times New Roman" w:hAnsi="Times New Roman" w:eastAsia="仿宋_GB2312" w:cs="Times New Roman"/>
                <w:sz w:val="24"/>
                <w:szCs w:val="24"/>
              </w:rPr>
            </w:pPr>
          </w:p>
        </w:tc>
        <w:tc>
          <w:tcPr>
            <w:tcW w:w="339" w:type="pct"/>
            <w:vMerge w:val="continue"/>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E7ADAD5">
            <w:pPr>
              <w:bidi w:val="0"/>
              <w:jc w:val="center"/>
              <w:rPr>
                <w:rFonts w:hint="default" w:ascii="Times New Roman" w:hAnsi="Times New Roman" w:eastAsia="仿宋_GB2312" w:cs="Times New Roman"/>
                <w:sz w:val="24"/>
                <w:szCs w:val="24"/>
              </w:rPr>
            </w:pPr>
          </w:p>
        </w:tc>
        <w:tc>
          <w:tcPr>
            <w:tcW w:w="306" w:type="pct"/>
            <w:vMerge w:val="continue"/>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1342477B">
            <w:pPr>
              <w:bidi w:val="0"/>
              <w:jc w:val="center"/>
              <w:rPr>
                <w:rFonts w:hint="default" w:ascii="Times New Roman" w:hAnsi="Times New Roman" w:eastAsia="仿宋_GB2312" w:cs="Times New Roman"/>
                <w:sz w:val="24"/>
                <w:szCs w:val="24"/>
              </w:rPr>
            </w:pP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40C185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结果维持</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B4355EC">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结果纠正</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A9DB68B">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其他结果</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D2D5CFE">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尚未审结</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CAD7741">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总计</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415C0D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结果维持</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76EE25A">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结果纠正</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D1DAA5D">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其他结果</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399793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尚未审结</w:t>
            </w:r>
          </w:p>
        </w:tc>
        <w:tc>
          <w:tcPr>
            <w:tcW w:w="286"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3DDB558">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总计</w:t>
            </w:r>
          </w:p>
        </w:tc>
      </w:tr>
      <w:tr w14:paraId="21026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jc w:val="center"/>
        </w:trPr>
        <w:tc>
          <w:tcPr>
            <w:tcW w:w="337" w:type="pct"/>
            <w:tcBorders>
              <w:top w:val="nil"/>
              <w:left w:val="single" w:color="auto" w:sz="6" w:space="0"/>
              <w:bottom w:val="single" w:color="auto" w:sz="6" w:space="0"/>
              <w:right w:val="single" w:color="auto" w:sz="6" w:space="0"/>
            </w:tcBorders>
            <w:shd w:val="clear" w:color="auto" w:fill="auto"/>
            <w:tcMar>
              <w:top w:w="0" w:type="dxa"/>
              <w:left w:w="75" w:type="dxa"/>
              <w:bottom w:w="0" w:type="dxa"/>
              <w:right w:w="75" w:type="dxa"/>
            </w:tcMar>
            <w:vAlign w:val="center"/>
          </w:tcPr>
          <w:p w14:paraId="379DD940">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39FD5F6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E92A328">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41BFAE2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306"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4A621F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3450B1E">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438B75D">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38EE68B">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9B04D2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2D4C4AF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0278C607">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E44517A">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503D3AE6">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339"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776D4352">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c>
          <w:tcPr>
            <w:tcW w:w="286" w:type="pct"/>
            <w:tcBorders>
              <w:top w:val="nil"/>
              <w:left w:val="nil"/>
              <w:bottom w:val="single" w:color="auto" w:sz="6" w:space="0"/>
              <w:right w:val="single" w:color="auto" w:sz="6" w:space="0"/>
            </w:tcBorders>
            <w:shd w:val="clear" w:color="auto" w:fill="auto"/>
            <w:tcMar>
              <w:top w:w="0" w:type="dxa"/>
              <w:left w:w="75" w:type="dxa"/>
              <w:bottom w:w="0" w:type="dxa"/>
              <w:right w:w="75" w:type="dxa"/>
            </w:tcMar>
            <w:vAlign w:val="center"/>
          </w:tcPr>
          <w:p w14:paraId="6210473D">
            <w:pPr>
              <w:bidi w:val="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0</w:t>
            </w:r>
          </w:p>
        </w:tc>
      </w:tr>
    </w:tbl>
    <w:p w14:paraId="0B35561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五、存在的主要问题及改进措施</w:t>
      </w:r>
    </w:p>
    <w:p w14:paraId="1F4A832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在畅通回应群众关切的问题方面，回应渠道不够丰富，信息公开的覆盖面不够广泛，存在一定程度的信息传播死角问题。对教体系统信息数据进行通俗易懂而又及时、全面的分析解读上还不够细致。</w:t>
      </w:r>
    </w:p>
    <w:p w14:paraId="68613CA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下一步，威海市文登区教育和体育局将根据《中华人民共和国政府信息公开条例》要求，进一步强化制度建设，不断丰富和完善公开方式，加强监督检查，将政府信息公开工作提高到一个新的水平。</w:t>
      </w:r>
    </w:p>
    <w:p w14:paraId="010DCD4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六、其他需要报告的事项</w:t>
      </w:r>
    </w:p>
    <w:p w14:paraId="4E9F63B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今年以来，威海市文登区教育和体育局认真贯彻落实威海市文登区委、威海市文登区政府关于建议提案办理工作的重要指示精神，始终坚持把办好建议提案作为推动重点工作落实的重要抓手，全面扎实推进办理工作，现将2020年度建议提案办理情况公开如下：</w:t>
      </w:r>
    </w:p>
    <w:p w14:paraId="654CC94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2020年威海市文登区教育和体育局共办理人大代表建议2件，政协委员提案11件（其中69、70、71号政协提案内容相同，合并答复）。</w:t>
      </w:r>
    </w:p>
    <w:p w14:paraId="3D8DA3E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威海市文登区教育和体育局相关科室负责人迅速与各位代表委员沟通回复截至目前，受理的人大建议2件和政协提案11件全部办结，办结率100%，办结满意率100%。</w:t>
      </w:r>
    </w:p>
    <w:p w14:paraId="06A884A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2020年文登区教体局组织对中小学政务公开工作进行梳理，局办公室不定期对所属学校政府网站信息公开工作落实情况进行抽查，将工作开展情况纳入全区中小学目标绩效考核内，确保信息公开及时准确。2020年度，相关中小学均按要求更新政府网站信息。</w:t>
      </w:r>
    </w:p>
    <w:p w14:paraId="5BDE275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p>
    <w:p w14:paraId="4DD0602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p>
    <w:p w14:paraId="7B3E9702">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威海市文登区教育和体育局</w:t>
      </w:r>
      <w:r>
        <w:rPr>
          <w:rFonts w:hint="eastAsia" w:ascii="Times New Roman" w:hAnsi="Times New Roman" w:eastAsia="仿宋_GB2312" w:cs="Times New Roman"/>
          <w:sz w:val="32"/>
          <w:szCs w:val="32"/>
          <w:lang w:val="en-US" w:eastAsia="zh-CN"/>
        </w:rPr>
        <w:t xml:space="preserve">    </w:t>
      </w:r>
    </w:p>
    <w:p w14:paraId="16663A5C">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2021年1月15日</w:t>
      </w:r>
      <w:r>
        <w:rPr>
          <w:rFonts w:hint="eastAsia" w:ascii="Times New Roman" w:hAnsi="Times New Roman" w:eastAsia="仿宋_GB2312" w:cs="Times New Roman"/>
          <w:sz w:val="32"/>
          <w:szCs w:val="32"/>
          <w:lang w:val="en-US" w:eastAsia="zh-CN"/>
        </w:rPr>
        <w:t xml:space="preserve">       </w:t>
      </w:r>
    </w:p>
    <w:p w14:paraId="7F532306">
      <w:pPr>
        <w:bidi w:val="0"/>
        <w:rPr>
          <w:rFonts w:hint="default" w:ascii="Times New Roman" w:hAnsi="Times New Roman" w:eastAsia="仿宋_GB2312" w:cs="Times New Roma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F250489"/>
    <w:rsid w:val="14A01BF7"/>
    <w:rsid w:val="186A7350"/>
    <w:rsid w:val="1F250489"/>
    <w:rsid w:val="41D67BC2"/>
    <w:rsid w:val="5DB875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2884</Words>
  <Characters>3024</Characters>
  <Lines>0</Lines>
  <Paragraphs>0</Paragraphs>
  <TotalTime>20</TotalTime>
  <ScaleCrop>false</ScaleCrop>
  <LinksUpToDate>false</LinksUpToDate>
  <CharactersWithSpaces>3038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2026-05-19T07:49:00Z</dcterms:created>
  <dc:creator>sunny</dc:creator>
  <cp:lastModifiedBy>sunny</cp:lastModifiedBy>
  <dcterms:modified xsi:type="dcterms:W3CDTF">2026-05-20T01:27:37Z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28E59DD3D4DA446589E6D238A3B3062E_13</vt:lpwstr>
  </property>
  <property fmtid="{D5CDD505-2E9C-101B-9397-08002B2CF9AE}" pid="4" name="KSOTemplateDocerSaveRecord">
    <vt:lpwstr>eyJoZGlkIjoiZWNlM2EyMTZlNjM2NzhmMWMyNTE2ODkzMWE3NjA0MDMiLCJ1c2VySWQiOiIyNzI4MDc3MjUifQ==</vt:lpwstr>
  </property>
</Properties>
</file>