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威海市文登区水利局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根据《中华人民共和国政府信息公开条例》（以下简称《条例》的要求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</w:rPr>
        <w:t>现公布威海市文登区水利局202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年度政府信息公开工作年度报告。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本报告由</w:t>
      </w:r>
      <w:r>
        <w:rPr>
          <w:rFonts w:hint="eastAsia" w:ascii="仿宋_GB2312" w:hAnsi="仿宋_GB2312" w:eastAsia="仿宋_GB2312" w:cs="仿宋_GB2312"/>
          <w:sz w:val="32"/>
          <w:szCs w:val="32"/>
        </w:rPr>
        <w:t>总体情况，主动公开政府信息情况，收到和处理政府信息公开申请情况，政府信息公开行政复议、行政诉讼情况，</w:t>
      </w:r>
      <w:r>
        <w:rPr>
          <w:rFonts w:hint="eastAsia" w:ascii="仿宋_GB2312" w:eastAsia="仿宋_GB2312"/>
          <w:sz w:val="32"/>
          <w:szCs w:val="32"/>
        </w:rPr>
        <w:t>信息公开工作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存在的主要问题及改进情况，其他需要报告的事项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部分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组成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本报告中所列数据的统计时限202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年1月1日起至202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年12月31日止。本报告的电子版可在威海市文登区人民政府门户网站（http://www.wendeng.gov.cn）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政府信息公开专栏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下载。如对本报告有疑问，请与威海市文登区水利局联系（地址：威海市文登区龙山路54号，邮箱：wdslj@wh.shandong.cn，电话：0631－8452958，传真：0631－8801958）。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年，区水利局认真贯彻落实《中华人民共和国政府信息公开条例》，健全运行机制，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确保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了政府信息公开效果。全年通过文登区政府网站信息公开平台和微信公众号“文登水利”等形式，及时、全面、有效地主动公开政府信息，积极受理和回复各方面提出的政府信息公开申请，使广大公众得到了及时、高效的政府信息公开服务。</w:t>
      </w:r>
    </w:p>
    <w:p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drawing>
          <wp:inline distT="0" distB="0" distL="114300" distR="114300">
            <wp:extent cx="5574030" cy="4043680"/>
            <wp:effectExtent l="0" t="0" r="7620" b="13970"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404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drawing>
          <wp:inline distT="0" distB="0" distL="114300" distR="114300">
            <wp:extent cx="2326640" cy="3364865"/>
            <wp:effectExtent l="0" t="0" r="16510" b="6985"/>
            <wp:docPr id="3" name="图片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26640" cy="336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（一）主动公开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区水利局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按照《条例》的规定，除法律、法规规定不予公开及涉密等不予公开的政府信息，均能及时主动向公众、企业及社会各界公开，确保机关行政公开、公正、透明。202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年，我单位通过文登区政府网站政府信息公开平台、微信以及新闻媒体等多种形式共主动公开政府信息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43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渠道和形式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分类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，文登政府信息公开平台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269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条，“文登水利”微信公众号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157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，其他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7条（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广播电视、报纸等媒体）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jc w:val="center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drawing>
          <wp:inline distT="0" distB="0" distL="114300" distR="114300">
            <wp:extent cx="4582160" cy="2794000"/>
            <wp:effectExtent l="4445" t="4445" r="23495" b="20955"/>
            <wp:docPr id="13" name="图表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drawing>
          <wp:inline distT="0" distB="0" distL="114300" distR="114300">
            <wp:extent cx="2912745" cy="2426970"/>
            <wp:effectExtent l="0" t="0" r="1905" b="11430"/>
            <wp:docPr id="18" name="图片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12745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/>
          <w:sz w:val="32"/>
          <w:szCs w:val="32"/>
          <w:lang w:eastAsia="zh-CN"/>
        </w:rPr>
        <w:drawing>
          <wp:inline distT="0" distB="0" distL="114300" distR="114300">
            <wp:extent cx="1156970" cy="2510790"/>
            <wp:effectExtent l="0" t="0" r="5080" b="3810"/>
            <wp:docPr id="16" name="图片 1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5697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按政府网站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内容分类，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问政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1条（意见征集1条），专题5条（政策文件专栏2条、财政数据2条、政府开放日1条），政府信息公开2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3条（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公告公示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机构职能3条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人事信息1条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工作动态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政策文件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政策解读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重点领域信息公开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13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政务公开组织推进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执行公开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管理公开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服务公开1条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结果公开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  <w:t>主动公开情况（内容）</w:t>
      </w:r>
    </w:p>
    <w:p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drawing>
          <wp:inline distT="0" distB="0" distL="114300" distR="114300">
            <wp:extent cx="5673090" cy="4244975"/>
            <wp:effectExtent l="4445" t="4445" r="18415" b="17780"/>
            <wp:docPr id="17" name="图表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rFonts w:hint="eastAsia" w:ascii="黑体" w:hAnsi="黑体" w:eastAsia="黑体"/>
          <w:sz w:val="32"/>
          <w:szCs w:val="32"/>
          <w:lang w:eastAsia="zh-CN"/>
        </w:rPr>
        <w:drawing>
          <wp:inline distT="0" distB="0" distL="114300" distR="114300">
            <wp:extent cx="3826510" cy="2955290"/>
            <wp:effectExtent l="0" t="0" r="2540" b="16510"/>
            <wp:docPr id="15" name="图片 1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2651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 xml:space="preserve">    </w:t>
      </w:r>
      <w:r>
        <w:rPr>
          <w:rFonts w:hint="eastAsia" w:ascii="楷体_GB2312" w:hAnsi="楷体_GB2312" w:eastAsia="楷体_GB2312" w:cs="楷体_GB2312"/>
          <w:sz w:val="32"/>
          <w:szCs w:val="32"/>
        </w:rPr>
        <w:t>（二）依申请公开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区水利局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受理政府信息公开申请事项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，与上年相比减少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政府信息公开收费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共计0元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，无行政复议、行政诉讼情况。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区水利局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高度重视依申请公开事项的答复，严格按照《条例》要求开展政府信息公开申请答复工作，由局分管领导牵头，办公室与有关业务科室认真研究分析，并按照规定程序、在规定时限内妥善答复申请人，确保申请人对答复意见满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080000" cy="3810000"/>
            <wp:effectExtent l="4445" t="4445" r="20955" b="14605"/>
            <wp:docPr id="19" name="图表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政府信息管理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及时、准确、全面发布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区水利局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信息公开指南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、工作动态、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主动公开基本目录等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相关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信息，加强对信息的全生命周期管理，202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区水利局起草和制发的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规范性文件开展全面清理，拟保留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政府规范性文件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件，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部门规范性文件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0件，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并在政府网站及时公布。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drawing>
          <wp:inline distT="0" distB="0" distL="114300" distR="114300">
            <wp:extent cx="4404360" cy="2684145"/>
            <wp:effectExtent l="0" t="0" r="15240" b="1905"/>
            <wp:docPr id="20" name="图片 20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04360" cy="268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drawing>
          <wp:inline distT="0" distB="0" distL="114300" distR="114300">
            <wp:extent cx="4473575" cy="1979295"/>
            <wp:effectExtent l="0" t="0" r="3175" b="1905"/>
            <wp:docPr id="21" name="图片 21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73575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区水利局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抓好政府信息公开的管理工作，严格政府信息公开符合审批和发布流程，强化保密审查、法律审核机制，确保政府公开信息符合保密规定，避免出现法律纠纷。公开信息涉及业务工作的事项，均及时与业务科室做好对接沟通，充分征求意见，研究分析公开信息是否违背公众利益、是否对企业和个人信息造成影响，统筹考虑公开信息的社会效益，据此确定政府信息公开内容和范围。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年，没有发生涉密信息被公开的情况。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  （四）平台建设情况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FF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区水利局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采取文登区人民政府政府网站网上公开为主，“文登水利”微信公众号、广播电视、报纸等媒体报道为辅的公开方式，将网上信息公开作为信息公开工作重点，积极发挥文登区人民政府政府网站作为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区水利局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政府信息工作第一平台的作用，切实做好信息公开工作，围绕年度公开工作重点，合理优化网页布局和栏目设置。将所有可公开信息在规定的时限内予以公开，进一步巩固完善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区水利局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信息公开网上渠道，确保信息公开的时效性和有效性。在政府信息公开工作中，严格依照法律规定，坚持把人民群众普遍关心的民生信息作为政务公开的重要内容。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  （五）监督保障情况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进一步加强区水利局信息公开制度化、规范化，依法维护国家秘密安全，保障公民、法人和其他组织依法获取水利局工作信息。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区水利局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配备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分管领导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1名，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专职工作人员1名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严格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按照区政府政务公开科发布的《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年文登区政务公开工作考核细则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》进行工作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，对相关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业务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内容进行责任分解，进一步健全了工作机制，提升政务公开工作标准化、规范化水平。围绕区委、区政府工作大局和重点，坚持以“公开为原则，不公开为例外”的原则，加大政务信息公开工作力度。并对公开目录和公开指南随时进行审核和更新，做到公布信息及时准确。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区水利局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严格按照《条例》要求开展政府信息公开工作，在政府信息公开监督检查和考核工作中，未发现有违反《条例》要求的情况，未收到政府信息公开有关的投诉、举报，也无其他责任追究的情形。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333333"/>
          <w:spacing w:val="0"/>
          <w:sz w:val="32"/>
          <w:szCs w:val="32"/>
          <w:shd w:val="clear" w:fill="FFFFFF"/>
          <w:lang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333333"/>
          <w:spacing w:val="0"/>
          <w:sz w:val="32"/>
          <w:szCs w:val="32"/>
          <w:shd w:val="clear" w:fill="FFFFFF"/>
        </w:rPr>
        <w:t>主动公开政府信息情况</w:t>
      </w:r>
    </w:p>
    <w:tbl>
      <w:tblPr>
        <w:tblStyle w:val="7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117.27</w:t>
            </w:r>
          </w:p>
        </w:tc>
      </w:tr>
    </w:tbl>
    <w:p>
      <w:pPr>
        <w:numPr>
          <w:ilvl w:val="0"/>
          <w:numId w:val="0"/>
        </w:numPr>
        <w:rPr>
          <w:rFonts w:hint="eastAsia" w:ascii="黑体" w:hAnsi="黑体" w:eastAsia="黑体" w:cs="黑体"/>
          <w:sz w:val="32"/>
          <w:szCs w:val="32"/>
        </w:rPr>
      </w:pPr>
      <w:bookmarkStart w:id="10" w:name="_GoBack"/>
      <w:bookmarkEnd w:id="10"/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tbl>
      <w:tblPr>
        <w:tblStyle w:val="7"/>
        <w:tblW w:w="991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2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8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0"/>
        </w:numPr>
        <w:rPr>
          <w:rFonts w:hint="eastAsia" w:ascii="黑体" w:hAnsi="黑体" w:eastAsia="黑体"/>
          <w:sz w:val="32"/>
          <w:szCs w:val="32"/>
        </w:rPr>
      </w:pP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sz w:val="32"/>
          <w:szCs w:val="32"/>
        </w:rPr>
        <w:t>政府信息公开行政复议、行政诉讼情况</w:t>
      </w:r>
    </w:p>
    <w:tbl>
      <w:tblPr>
        <w:tblStyle w:val="7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年，区水利局政府信息公开工作取得了一定成效，但还是存在一定不足，主要表现为：一是重视力度需进一步加大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部分科室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政务公开工作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依然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不够重视，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主动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提供公开信息积极性不足；二是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宣传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需进一步加强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新媒体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宣传形式较单一，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“文登水利”微信公众号关注人数不高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，影响力不足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年改进措施：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一是强化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公开意识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和人员培训。进一步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加强各科室负责人的公开意识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，规范政府信息公开工作。通过召开培训会、督导检查等各种途径，不断宣传当前政府信息公开工作形势，提高各科室抓好政府信息公开工作的意识和能力。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是加强信息公开平台建设。加大“文登水利”微信公众号的推广力度，强化网络媒体的互动和服务功能，更好地保障广大人民群众的知情权、参与权、表达权和监督权。做好与市、区级政务媒体的沟通，及时上传信息，保证发布信息内容合法、完整、准确、及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（一）落实上级年度政务公开工作要点情况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2021年，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区水利局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认真贯彻落实习近平总书记“十六字”治水方针，牢牢把握“水利工程补短板、水利行业强监管”总基调，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按上级要求认真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落实年度政务公开工作，准时征集、公开上级要求的各项内容，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不断增强水安全保障能力，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为推动高质量发展提供有力的水利保障。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（二）人大代表建议、政协委员提案办理结果公开情况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今年一年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区水利局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共办理建议提案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其中区政协十届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次会议政协委员提案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条，区人大十八届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次会议人大代表建议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，均已在政府网站公开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。对提案中涉及到的意见建议，均进行了回应答复，办结率为100%，并进行公示公开。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（三）政务公开工作创新情况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为响应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政务公开工作创新要求，2021年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区水利局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为推进阳光、透明、开放、服务型政府建设，增进社会各界对水利工作的了解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新增政府信息依申请公开学习培训会、开展“政府开放日”等活动，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拓宽公开渠道，提高水利工作的开放性和透明度，让广大群众更加了解水利、支持水利，齐心协力，合力治水，进一步提升人民群众获得感和满意度。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wordWrap w:val="0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威海市文登区水利局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</w:t>
      </w:r>
    </w:p>
    <w:p>
      <w:pPr>
        <w:wordWrap w:val="0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2022年1月28日         </w:t>
      </w:r>
    </w:p>
    <w:sectPr>
      <w:footerReference r:id="rId3" w:type="default"/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enlo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8521B4"/>
    <w:multiLevelType w:val="singleLevel"/>
    <w:tmpl w:val="A68521B4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AC5C8737"/>
    <w:multiLevelType w:val="singleLevel"/>
    <w:tmpl w:val="AC5C8737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MyMzVkMTAwZWQ5MjdhYzI0ZmM5NTc1ZGVjMGRkZTQifQ=="/>
  </w:docVars>
  <w:rsids>
    <w:rsidRoot w:val="00502C34"/>
    <w:rsid w:val="0003350B"/>
    <w:rsid w:val="000500B1"/>
    <w:rsid w:val="0006512C"/>
    <w:rsid w:val="000A57BF"/>
    <w:rsid w:val="000B4F9F"/>
    <w:rsid w:val="000C1FDA"/>
    <w:rsid w:val="00121655"/>
    <w:rsid w:val="00123E53"/>
    <w:rsid w:val="001679FF"/>
    <w:rsid w:val="00180B4F"/>
    <w:rsid w:val="00196721"/>
    <w:rsid w:val="001F026B"/>
    <w:rsid w:val="00203F15"/>
    <w:rsid w:val="00211F6A"/>
    <w:rsid w:val="00243BAF"/>
    <w:rsid w:val="00286BF3"/>
    <w:rsid w:val="002B58BB"/>
    <w:rsid w:val="00315DDF"/>
    <w:rsid w:val="00333740"/>
    <w:rsid w:val="00372E47"/>
    <w:rsid w:val="00384B12"/>
    <w:rsid w:val="00392DAD"/>
    <w:rsid w:val="003C1943"/>
    <w:rsid w:val="004162E7"/>
    <w:rsid w:val="00463EF5"/>
    <w:rsid w:val="004D3C2B"/>
    <w:rsid w:val="004D6D24"/>
    <w:rsid w:val="00502C34"/>
    <w:rsid w:val="00515416"/>
    <w:rsid w:val="00531FBB"/>
    <w:rsid w:val="00552F1D"/>
    <w:rsid w:val="005548EB"/>
    <w:rsid w:val="00612182"/>
    <w:rsid w:val="00683E94"/>
    <w:rsid w:val="006B5301"/>
    <w:rsid w:val="006E2A67"/>
    <w:rsid w:val="00760120"/>
    <w:rsid w:val="007E43CD"/>
    <w:rsid w:val="008244CB"/>
    <w:rsid w:val="00846109"/>
    <w:rsid w:val="00851E51"/>
    <w:rsid w:val="008C68B1"/>
    <w:rsid w:val="00923DE3"/>
    <w:rsid w:val="00990BC0"/>
    <w:rsid w:val="009D1EAC"/>
    <w:rsid w:val="00A9562B"/>
    <w:rsid w:val="00AC0838"/>
    <w:rsid w:val="00AC0B55"/>
    <w:rsid w:val="00B0360E"/>
    <w:rsid w:val="00B06CEF"/>
    <w:rsid w:val="00B82BD5"/>
    <w:rsid w:val="00B846A3"/>
    <w:rsid w:val="00BA1959"/>
    <w:rsid w:val="00BB1402"/>
    <w:rsid w:val="00BD1F13"/>
    <w:rsid w:val="00BD2DFA"/>
    <w:rsid w:val="00BF2FF7"/>
    <w:rsid w:val="00C106D4"/>
    <w:rsid w:val="00C24C5F"/>
    <w:rsid w:val="00C74995"/>
    <w:rsid w:val="00CA2A1F"/>
    <w:rsid w:val="00CE332F"/>
    <w:rsid w:val="00D206E1"/>
    <w:rsid w:val="00DD7168"/>
    <w:rsid w:val="00DF3523"/>
    <w:rsid w:val="00DF7D80"/>
    <w:rsid w:val="00ED6874"/>
    <w:rsid w:val="00ED698F"/>
    <w:rsid w:val="00EE7943"/>
    <w:rsid w:val="00F01622"/>
    <w:rsid w:val="00F03027"/>
    <w:rsid w:val="00F42818"/>
    <w:rsid w:val="00F57A9C"/>
    <w:rsid w:val="00F7173D"/>
    <w:rsid w:val="00F90155"/>
    <w:rsid w:val="00FC01CB"/>
    <w:rsid w:val="00FF3FF5"/>
    <w:rsid w:val="00FF65C3"/>
    <w:rsid w:val="08946F5D"/>
    <w:rsid w:val="0D5968A6"/>
    <w:rsid w:val="0E760EF9"/>
    <w:rsid w:val="0F696B20"/>
    <w:rsid w:val="111D2487"/>
    <w:rsid w:val="114F61E9"/>
    <w:rsid w:val="1C986F33"/>
    <w:rsid w:val="1EC73F68"/>
    <w:rsid w:val="23677D83"/>
    <w:rsid w:val="23BB4FFC"/>
    <w:rsid w:val="266032AA"/>
    <w:rsid w:val="28185E93"/>
    <w:rsid w:val="288527C5"/>
    <w:rsid w:val="29A9697D"/>
    <w:rsid w:val="2AA26EC2"/>
    <w:rsid w:val="2CA3498D"/>
    <w:rsid w:val="2F620A08"/>
    <w:rsid w:val="301276DB"/>
    <w:rsid w:val="33CC2BAF"/>
    <w:rsid w:val="33F8203B"/>
    <w:rsid w:val="350031B1"/>
    <w:rsid w:val="36CA41A8"/>
    <w:rsid w:val="3C787E8C"/>
    <w:rsid w:val="42600598"/>
    <w:rsid w:val="46A25506"/>
    <w:rsid w:val="479D6C67"/>
    <w:rsid w:val="47EA334F"/>
    <w:rsid w:val="492F4C46"/>
    <w:rsid w:val="4CF87E57"/>
    <w:rsid w:val="4EA66093"/>
    <w:rsid w:val="4F271385"/>
    <w:rsid w:val="4F706E74"/>
    <w:rsid w:val="54431E28"/>
    <w:rsid w:val="54A11A0F"/>
    <w:rsid w:val="5D0F28E1"/>
    <w:rsid w:val="5D682CD8"/>
    <w:rsid w:val="601C5E1C"/>
    <w:rsid w:val="6B2036AC"/>
    <w:rsid w:val="6C9A123C"/>
    <w:rsid w:val="6E623FDB"/>
    <w:rsid w:val="6F54601A"/>
    <w:rsid w:val="709A01DD"/>
    <w:rsid w:val="7310615A"/>
    <w:rsid w:val="7A680BCB"/>
    <w:rsid w:val="7D855968"/>
    <w:rsid w:val="7D8E95C2"/>
    <w:rsid w:val="B97F5C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semiHidden="0" w:name="HTML Code"/>
    <w:lsdException w:qFormat="1" w:uiPriority="99" w:semiHidden="0" w:name="HTML Definition"/>
    <w:lsdException w:qFormat="1" w:uiPriority="99" w:semiHidden="0" w:name="HTML Keyboard"/>
    <w:lsdException w:uiPriority="99" w:name="HTML Preformatted"/>
    <w:lsdException w:qFormat="1" w:uiPriority="99" w:semiHidden="0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autoRedefine/>
    <w:qFormat/>
    <w:uiPriority w:val="22"/>
    <w:rPr>
      <w:b/>
      <w:bCs/>
    </w:rPr>
  </w:style>
  <w:style w:type="character" w:styleId="10">
    <w:name w:val="FollowedHyperlink"/>
    <w:basedOn w:val="8"/>
    <w:unhideWhenUsed/>
    <w:qFormat/>
    <w:uiPriority w:val="99"/>
    <w:rPr>
      <w:color w:val="337AB7"/>
      <w:u w:val="single"/>
    </w:rPr>
  </w:style>
  <w:style w:type="character" w:styleId="11">
    <w:name w:val="HTML Definition"/>
    <w:basedOn w:val="8"/>
    <w:unhideWhenUsed/>
    <w:qFormat/>
    <w:uiPriority w:val="99"/>
    <w:rPr>
      <w:i/>
    </w:rPr>
  </w:style>
  <w:style w:type="character" w:styleId="12">
    <w:name w:val="Hyperlink"/>
    <w:basedOn w:val="8"/>
    <w:unhideWhenUsed/>
    <w:qFormat/>
    <w:uiPriority w:val="99"/>
    <w:rPr>
      <w:color w:val="337AB7"/>
      <w:u w:val="single"/>
    </w:rPr>
  </w:style>
  <w:style w:type="character" w:styleId="13">
    <w:name w:val="HTML Code"/>
    <w:basedOn w:val="8"/>
    <w:unhideWhenUsed/>
    <w:qFormat/>
    <w:uiPriority w:val="99"/>
    <w:rPr>
      <w:rFonts w:ascii="Menlo" w:hAnsi="Menlo" w:eastAsia="Menlo" w:cs="Menlo"/>
      <w:color w:val="C7254E"/>
      <w:sz w:val="21"/>
      <w:szCs w:val="21"/>
      <w:shd w:val="clear" w:fill="F9F2F4"/>
    </w:rPr>
  </w:style>
  <w:style w:type="character" w:styleId="14">
    <w:name w:val="HTML Keyboard"/>
    <w:basedOn w:val="8"/>
    <w:unhideWhenUsed/>
    <w:qFormat/>
    <w:uiPriority w:val="99"/>
    <w:rPr>
      <w:rFonts w:hint="default" w:ascii="Menlo" w:hAnsi="Menlo" w:eastAsia="Menlo" w:cs="Menlo"/>
      <w:color w:val="FFFFFF"/>
      <w:sz w:val="21"/>
      <w:szCs w:val="21"/>
      <w:shd w:val="clear" w:fill="333333"/>
    </w:rPr>
  </w:style>
  <w:style w:type="character" w:styleId="15">
    <w:name w:val="HTML Sample"/>
    <w:basedOn w:val="8"/>
    <w:unhideWhenUsed/>
    <w:qFormat/>
    <w:uiPriority w:val="99"/>
    <w:rPr>
      <w:rFonts w:hint="default" w:ascii="Menlo" w:hAnsi="Menlo" w:eastAsia="Menlo" w:cs="Menlo"/>
      <w:sz w:val="21"/>
      <w:szCs w:val="21"/>
    </w:rPr>
  </w:style>
  <w:style w:type="character" w:customStyle="1" w:styleId="16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7">
    <w:name w:val="页脚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8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9">
    <w:name w:val="标题 2 字符"/>
    <w:basedOn w:val="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chart" Target="charts/chart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chart" Target="charts/chart3.xml"/><Relationship Id="rId11" Type="http://schemas.openxmlformats.org/officeDocument/2006/relationships/image" Target="media/image5.png"/><Relationship Id="rId10" Type="http://schemas.openxmlformats.org/officeDocument/2006/relationships/chart" Target="charts/chart2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package" Target="../embeddings/Workbook3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package" Target="../embeddings/Workbook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8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sz="1400">
                <a:solidFill>
                  <a:schemeClr val="tx1"/>
                </a:solidFill>
                <a:uFillTx/>
                <a:ea typeface="黑体" panose="02010609060101010101" charset="-122"/>
              </a:rPr>
              <a:t>主动公开情况（渠道和形式）</a:t>
            </a:r>
            <a:endParaRPr sz="1400">
              <a:solidFill>
                <a:schemeClr val="tx1"/>
              </a:solidFill>
              <a:uFillTx/>
              <a:ea typeface="黑体" panose="02010609060101010101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主动公开情况（渠道和形式）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 contourW="19050"/>
          </c:spPr>
          <c:explosion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/>
            </c:spPr>
          </c:dPt>
          <c:dLbls>
            <c:dLbl>
              <c:idx val="0"/>
              <c:layout/>
              <c:numFmt formatCode="General" sourceLinked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lang="zh-CN" sz="1000" b="0" i="0" u="none" strike="noStrike" kern="1200" cap="none" spc="0" normalizeH="0" baseline="0">
                      <a:solidFill>
                        <a:schemeClr val="tx1"/>
                      </a:solidFill>
                      <a:effectLst/>
                      <a:uFill>
                        <a:solidFill>
                          <a:schemeClr val="accent1"/>
                        </a:solidFill>
                      </a:u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numFmt formatCode="General" sourceLinked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lang="zh-CN" sz="1000" b="0" i="0" u="none" strike="noStrike" kern="1200" cap="none" spc="0" normalizeH="0" baseline="0">
                      <a:solidFill>
                        <a:schemeClr val="tx1"/>
                      </a:solidFill>
                      <a:effectLst/>
                      <a:uFill>
                        <a:solidFill>
                          <a:schemeClr val="accent1"/>
                        </a:solidFill>
                      </a:u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numFmt formatCode="General" sourceLinked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lang="zh-CN" sz="1000" b="0" i="0" u="none" strike="noStrike" kern="1200" cap="none" spc="0" normalizeH="0" baseline="0">
                      <a:solidFill>
                        <a:schemeClr val="tx1"/>
                      </a:solidFill>
                      <a:effectLst/>
                      <a:uFill>
                        <a:solidFill>
                          <a:schemeClr val="accent1"/>
                        </a:solidFill>
                      </a:u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spPr>
              <a:solidFill>
                <a:schemeClr val="lt1">
                  <a:alpha val="90000"/>
                </a:schemeClr>
              </a:solidFill>
              <a:ln w="12700" cap="flat" cmpd="sng" algn="ctr">
                <a:solidFill>
                  <a:schemeClr val="accent1"/>
                </a:solidFill>
                <a:round/>
              </a:ln>
              <a:effectLst>
                <a:outerShdw blurRad="50800" dist="38100" dir="2700000" algn="tl" rotWithShape="0">
                  <a:schemeClr val="accent1">
                    <a:lumMod val="75000"/>
                    <a:alpha val="40000"/>
                  </a:schemeClr>
                </a:outerShdw>
              </a:effectLst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1000" b="0" i="0" u="none" strike="noStrike" kern="1200" cap="none" spc="0" normalizeH="0" baseline="0">
                    <a:solidFill>
                      <a:schemeClr val="tx1"/>
                    </a:solidFill>
                    <a:effectLst/>
                    <a:uFill>
                      <a:solidFill>
                        <a:schemeClr val="accent1"/>
                      </a:solidFill>
                    </a:u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文登政府信息公开平台</c:v>
                </c:pt>
                <c:pt idx="1">
                  <c:v>“文登水利”微信公众号</c:v>
                </c:pt>
                <c:pt idx="2">
                  <c:v>其他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267</c:v>
                </c:pt>
                <c:pt idx="1">
                  <c:v>157</c:v>
                </c:pt>
                <c:pt idx="2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62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1" i="0" u="none" strike="noStrike" kern="1200" cap="none" spc="0" normalizeH="0" baseline="0">
                    <a:solidFill>
                      <a:schemeClr val="tx1"/>
                    </a:solidFill>
                    <a:uFill>
                      <a:solidFill>
                        <a:schemeClr val="bg1"/>
                      </a:solidFill>
                    </a:u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Sheet1!$A$1:$A$16</c:f>
              <c:strCache>
                <c:ptCount val="16"/>
                <c:pt idx="0">
                  <c:v>意见征集</c:v>
                </c:pt>
                <c:pt idx="1">
                  <c:v>政策文件专栏</c:v>
                </c:pt>
                <c:pt idx="2">
                  <c:v>财政数据</c:v>
                </c:pt>
                <c:pt idx="3">
                  <c:v>政府开放日</c:v>
                </c:pt>
                <c:pt idx="4">
                  <c:v>公告公示</c:v>
                </c:pt>
                <c:pt idx="5">
                  <c:v>机构职能</c:v>
                </c:pt>
                <c:pt idx="6">
                  <c:v>人事信息</c:v>
                </c:pt>
                <c:pt idx="7">
                  <c:v>工作动态</c:v>
                </c:pt>
                <c:pt idx="8">
                  <c:v>政策文件</c:v>
                </c:pt>
                <c:pt idx="9">
                  <c:v>政策解读</c:v>
                </c:pt>
                <c:pt idx="10">
                  <c:v>重点领域信息公开</c:v>
                </c:pt>
                <c:pt idx="11">
                  <c:v>政务公开组织推进</c:v>
                </c:pt>
                <c:pt idx="12">
                  <c:v>执行公开</c:v>
                </c:pt>
                <c:pt idx="13">
                  <c:v>管理公开</c:v>
                </c:pt>
                <c:pt idx="14">
                  <c:v>服务公开</c:v>
                </c:pt>
                <c:pt idx="15">
                  <c:v>结果公开</c:v>
                </c:pt>
              </c:strCache>
            </c:strRef>
          </c:cat>
          <c:val>
            <c:numRef>
              <c:f>Sheet1!$B$1:$B$16</c:f>
              <c:numCache>
                <c:formatCode>General</c:formatCode>
                <c:ptCount val="16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  <c:pt idx="4">
                  <c:v>6</c:v>
                </c:pt>
                <c:pt idx="5">
                  <c:v>3</c:v>
                </c:pt>
                <c:pt idx="6">
                  <c:v>1</c:v>
                </c:pt>
                <c:pt idx="7">
                  <c:v>88</c:v>
                </c:pt>
                <c:pt idx="8">
                  <c:v>4</c:v>
                </c:pt>
                <c:pt idx="9">
                  <c:v>7</c:v>
                </c:pt>
                <c:pt idx="10">
                  <c:v>138</c:v>
                </c:pt>
                <c:pt idx="11">
                  <c:v>3</c:v>
                </c:pt>
                <c:pt idx="12">
                  <c:v>3</c:v>
                </c:pt>
                <c:pt idx="13">
                  <c:v>5</c:v>
                </c:pt>
                <c:pt idx="14">
                  <c:v>1</c:v>
                </c:pt>
                <c:pt idx="15">
                  <c:v>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1"/>
        <c:overlap val="0"/>
        <c:axId val="554167851"/>
        <c:axId val="231225085"/>
      </c:barChart>
      <c:catAx>
        <c:axId val="554167851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chemeClr val="tx1"/>
                </a:solidFill>
                <a:effectLst/>
                <a:uFill>
                  <a:solidFill>
                    <a:schemeClr val="tx1">
                      <a:lumMod val="65000"/>
                      <a:lumOff val="35000"/>
                    </a:schemeClr>
                  </a:solidFill>
                </a:uFill>
                <a:latin typeface="+mn-lt"/>
                <a:ea typeface="黑体" panose="02010609060101010101" charset="-122"/>
                <a:cs typeface="+mn-cs"/>
              </a:defRPr>
            </a:pPr>
          </a:p>
        </c:txPr>
        <c:crossAx val="231225085"/>
        <c:crosses val="autoZero"/>
        <c:auto val="1"/>
        <c:lblAlgn val="ctr"/>
        <c:lblOffset val="100"/>
        <c:noMultiLvlLbl val="0"/>
      </c:catAx>
      <c:valAx>
        <c:axId val="231225085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5416785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b="1">
                <a:solidFill>
                  <a:schemeClr val="tx1"/>
                </a:solidFill>
                <a:uFillTx/>
                <a:ea typeface="黑体" panose="02010609060101010101" charset="-122"/>
              </a:rPr>
              <a:t>历年依申请公开办理情况</a:t>
            </a:r>
            <a:endParaRPr b="1">
              <a:solidFill>
                <a:schemeClr val="tx1"/>
              </a:solidFill>
              <a:uFillTx/>
              <a:ea typeface="黑体" panose="02010609060101010101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系列 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Sheet1!$A$2:$A$5</c:f>
              <c:strCache>
                <c:ptCount val="4"/>
                <c:pt idx="0">
                  <c:v>2018年</c:v>
                </c:pt>
                <c:pt idx="1">
                  <c:v>2019年</c:v>
                </c:pt>
                <c:pt idx="2">
                  <c:v>2020年</c:v>
                </c:pt>
                <c:pt idx="3">
                  <c:v>2021年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Sheet1!#REF!</c:f>
              <c:strCache>
                <c:ptCount val="1"/>
                <c:pt idx="0">
                  <c:v/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Sheet1!$A$2:$A$5</c:f>
              <c:strCache>
                <c:ptCount val="4"/>
                <c:pt idx="0">
                  <c:v>2018年</c:v>
                </c:pt>
                <c:pt idx="1">
                  <c:v>2019年</c:v>
                </c:pt>
                <c:pt idx="2">
                  <c:v>2020年</c:v>
                </c:pt>
                <c:pt idx="3">
                  <c:v>2021年</c:v>
                </c:pt>
              </c:strCache>
            </c:strRef>
          </c:cat>
          <c:val>
            <c:numRef>
              <c:f>Sheet1!#REF!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Sheet1!#REF!</c:f>
              <c:strCache>
                <c:ptCount val="1"/>
                <c:pt idx="0">
                  <c:v/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Sheet1!$A$2:$A$5</c:f>
              <c:strCache>
                <c:ptCount val="4"/>
                <c:pt idx="0">
                  <c:v>2018年</c:v>
                </c:pt>
                <c:pt idx="1">
                  <c:v>2019年</c:v>
                </c:pt>
                <c:pt idx="2">
                  <c:v>2020年</c:v>
                </c:pt>
                <c:pt idx="3">
                  <c:v>2021年</c:v>
                </c:pt>
              </c:strCache>
            </c:strRef>
          </c:cat>
          <c:val>
            <c:numRef>
              <c:f>Sheet1!#REF!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0"/>
        <c:axId val="16320589"/>
        <c:axId val="242814028"/>
      </c:lineChart>
      <c:catAx>
        <c:axId val="16320589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>
                      <a:lumMod val="65000"/>
                      <a:lumOff val="35000"/>
                    </a:schemeClr>
                  </a:solidFill>
                </a:uFill>
                <a:latin typeface="+mn-lt"/>
                <a:ea typeface="黑体" panose="02010609060101010101" charset="-122"/>
                <a:cs typeface="+mn-cs"/>
              </a:defRPr>
            </a:pPr>
          </a:p>
        </c:txPr>
        <c:crossAx val="242814028"/>
        <c:crosses val="autoZero"/>
        <c:auto val="1"/>
        <c:lblAlgn val="ctr"/>
        <c:lblOffset val="100"/>
        <c:noMultiLvlLbl val="0"/>
      </c:catAx>
      <c:valAx>
        <c:axId val="2428140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632058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1584</Words>
  <Characters>9030</Characters>
  <Lines>75</Lines>
  <Paragraphs>21</Paragraphs>
  <TotalTime>19</TotalTime>
  <ScaleCrop>false</ScaleCrop>
  <LinksUpToDate>false</LinksUpToDate>
  <CharactersWithSpaces>10593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2021-09-03T15:57:00Z</dcterms:created>
  <dc:creator>qiyuanhua0168@163.com</dc:creator>
  <cp:lastModifiedBy>孙宇凡</cp:lastModifiedBy>
  <cp:lastPrinted>2022-01-24T02:02:00Z</cp:lastPrinted>
  <dcterms:modified xsi:type="dcterms:W3CDTF">2024-02-28T01:14:24Z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BB34D1C091894C9CB704505A443B8A6E</vt:lpwstr>
  </property>
</Properties>
</file>