
<file path=[Content_Types].xml><?xml version="1.0" encoding="utf-8"?>
<Types xmlns="http://schemas.openxmlformats.org/package/2006/content-types">
  <Default Extension="xml" ContentType="application/xml"/>
  <Default Extension="xlsx" ContentType="application/vnd.openxmlformats-officedocument.spreadsheetml.sheet"/>
  <Default Extension="png" ContentType="image/png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olors1.xml" ContentType="application/vnd.ms-office.chartcolorstyle+xml"/>
  <Override PartName="/word/charts/colors2.xml" ContentType="application/vnd.ms-office.chartcolorstyle+xml"/>
  <Override PartName="/word/charts/colors3.xml" ContentType="application/vnd.ms-office.chartcolorstyle+xml"/>
  <Override PartName="/word/charts/style1.xml" ContentType="application/vnd.ms-office.chartstyle+xml"/>
  <Override PartName="/word/charts/style2.xml" ContentType="application/vnd.ms-office.chartstyle+xml"/>
  <Override PartName="/word/charts/style3.xml" ContentType="application/vnd.ms-office.chartstyle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威海市文登区水利局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1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年政府信息公开工作年度报告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根据《中华人民共和国政府信息公开条例》（以下简称《条例》的要求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,</w:t>
      </w:r>
      <w:r>
        <w:rPr>
          <w:rFonts w:hint="eastAsia" w:ascii="仿宋_GB2312" w:hAnsi="仿宋_GB2312" w:eastAsia="仿宋_GB2312" w:cs="仿宋_GB2312"/>
          <w:sz w:val="32"/>
          <w:szCs w:val="32"/>
        </w:rPr>
        <w:t>现公布威海市文登区水利局202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年度政府信息公开工作年度报告。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本报告由</w:t>
      </w:r>
      <w:r>
        <w:rPr>
          <w:rFonts w:hint="eastAsia" w:ascii="仿宋_GB2312" w:hAnsi="仿宋_GB2312" w:eastAsia="仿宋_GB2312" w:cs="仿宋_GB2312"/>
          <w:sz w:val="32"/>
          <w:szCs w:val="32"/>
        </w:rPr>
        <w:t>总体情况，主动公开政府信息情况，收到和处理政府信息公开申请情况，政府信息公开行政复议、行政诉讼情况，</w:t>
      </w:r>
      <w:r>
        <w:rPr>
          <w:rFonts w:hint="eastAsia" w:ascii="仿宋_GB2312" w:eastAsia="仿宋_GB2312"/>
          <w:sz w:val="32"/>
          <w:szCs w:val="32"/>
        </w:rPr>
        <w:t>信息公开工作</w:t>
      </w:r>
      <w:r>
        <w:rPr>
          <w:rFonts w:hint="eastAsia" w:ascii="仿宋_GB2312" w:hAnsi="仿宋_GB2312" w:eastAsia="仿宋_GB2312" w:cs="仿宋_GB2312"/>
          <w:sz w:val="32"/>
          <w:szCs w:val="32"/>
        </w:rPr>
        <w:t>存在的主要问题及改进情况，其他需要报告的事项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6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部分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组成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本报告中所列数据的统计时限202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年1月1日起至202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年12月31日止。本报告的电子版可在威海市文登区人民政府门户网站（http://www.wendeng.gov.cn）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政府信息公开专栏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下载。如对本报告有疑问，请与威海市文登区水利局联系（地址：威海市文登区龙山路54号，邮箱：wdslj@wh.shandong.cn，电话：0631－8452958，传真：0631－8801958）。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一、总体情况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202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年，区水利局认真贯彻落实《中华人民共和国政府信息公开条例》，健全运行机制，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确保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了政府信息公开效果。全年通过文登区政府网站信息公开平台和微信公众号“文登水利”等形式，及时、全面、有效地主动公开政府信息，积极受理和回复各方面提出的政府信息公开申请，使广大公众得到了及时、高效的政府信息公开服务。</w:t>
      </w:r>
    </w:p>
    <w:p>
      <w:pPr>
        <w:rPr>
          <w:rFonts w:hint="eastAsia" w:ascii="黑体" w:hAnsi="黑体" w:eastAsia="黑体"/>
          <w:sz w:val="32"/>
          <w:szCs w:val="32"/>
          <w:lang w:eastAsia="zh-CN"/>
        </w:rPr>
      </w:pPr>
      <w:r>
        <w:rPr>
          <w:rFonts w:hint="eastAsia" w:ascii="黑体" w:hAnsi="黑体" w:eastAsia="黑体"/>
          <w:sz w:val="32"/>
          <w:szCs w:val="32"/>
          <w:lang w:eastAsia="zh-CN"/>
        </w:rPr>
        <w:drawing>
          <wp:inline distT="0" distB="0" distL="114300" distR="114300">
            <wp:extent cx="5574030" cy="4043680"/>
            <wp:effectExtent l="0" t="0" r="7620" b="13970"/>
            <wp:docPr id="2" name="图片 2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574030" cy="4043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center"/>
        <w:rPr>
          <w:rFonts w:hint="eastAsia" w:ascii="黑体" w:hAnsi="黑体" w:eastAsia="黑体"/>
          <w:sz w:val="32"/>
          <w:szCs w:val="32"/>
          <w:lang w:eastAsia="zh-CN"/>
        </w:rPr>
      </w:pPr>
      <w:r>
        <w:rPr>
          <w:rFonts w:hint="eastAsia" w:ascii="黑体" w:hAnsi="黑体" w:eastAsia="黑体"/>
          <w:sz w:val="32"/>
          <w:szCs w:val="32"/>
          <w:lang w:eastAsia="zh-CN"/>
        </w:rPr>
        <w:drawing>
          <wp:inline distT="0" distB="0" distL="114300" distR="114300">
            <wp:extent cx="2326640" cy="3364865"/>
            <wp:effectExtent l="0" t="0" r="16510" b="6985"/>
            <wp:docPr id="3" name="图片 3" descr="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326640" cy="3364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（一）主动公开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区水利局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按照《条例》的规定，除法律、法规规定不予公开及涉密等不予公开的政府信息，均能及时主动向公众、企业及社会各界公开，确保机关行政公开、公正、透明。202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年，我单位通过文登区政府网站政府信息公开平台、微信以及新闻媒体等多种形式共主动公开政府信息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43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1、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按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渠道和形式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分类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，文登政府信息公开平台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269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条，“文登水利”微信公众号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157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条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，其他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7条（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广播电视、报纸等媒体）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</w:t>
      </w:r>
    </w:p>
    <w:p>
      <w:pPr>
        <w:jc w:val="center"/>
        <w:rPr>
          <w:rFonts w:hint="eastAsia" w:ascii="黑体" w:hAnsi="黑体" w:eastAsia="黑体"/>
          <w:sz w:val="32"/>
          <w:szCs w:val="32"/>
          <w:lang w:eastAsia="zh-CN"/>
        </w:rPr>
      </w:pPr>
      <w:r>
        <w:rPr>
          <w:rFonts w:hint="eastAsia" w:ascii="黑体" w:hAnsi="黑体" w:eastAsia="黑体"/>
          <w:sz w:val="32"/>
          <w:szCs w:val="32"/>
          <w:lang w:eastAsia="zh-CN"/>
        </w:rPr>
        <w:drawing>
          <wp:inline distT="0" distB="0" distL="114300" distR="114300">
            <wp:extent cx="4582160" cy="2794000"/>
            <wp:effectExtent l="4445" t="4445" r="23495" b="20955"/>
            <wp:docPr id="13" name="图表 1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>
      <w:pPr>
        <w:rPr>
          <w:rFonts w:hint="eastAsia" w:ascii="黑体" w:hAnsi="黑体" w:eastAsia="黑体"/>
          <w:sz w:val="32"/>
          <w:szCs w:val="32"/>
          <w:lang w:eastAsia="zh-CN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drawing>
          <wp:inline distT="0" distB="0" distL="114300" distR="114300">
            <wp:extent cx="2912745" cy="2426970"/>
            <wp:effectExtent l="0" t="0" r="1905" b="11430"/>
            <wp:docPr id="18" name="图片 18" descr="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8" descr="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912745" cy="24269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黑体" w:hAns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/>
          <w:sz w:val="32"/>
          <w:szCs w:val="32"/>
          <w:lang w:eastAsia="zh-CN"/>
        </w:rPr>
        <w:drawing>
          <wp:inline distT="0" distB="0" distL="114300" distR="114300">
            <wp:extent cx="1156970" cy="2510790"/>
            <wp:effectExtent l="0" t="0" r="5080" b="3810"/>
            <wp:docPr id="16" name="图片 16" descr="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 descr="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156970" cy="2510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按政府网站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内容分类，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问政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1条（意见征集1条），专题5条（政策文件专栏2条、财政数据2条、政府开放日1条），政府信息公开2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3条（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公告公示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条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机构职能3条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人事信息1条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工作动态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88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条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政策文件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条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政策解读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条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</w:rPr>
        <w:t>重点领域信息公开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13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8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条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政务公开组织推进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条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执行公开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条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管理公开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条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服务公开1条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结果公开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条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）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黑体" w:hAnsi="黑体" w:eastAsia="黑体" w:cs="黑体"/>
          <w:b/>
          <w:bCs/>
          <w:sz w:val="30"/>
          <w:szCs w:val="30"/>
          <w:lang w:eastAsia="zh-CN"/>
        </w:rPr>
      </w:pPr>
      <w:r>
        <w:rPr>
          <w:rFonts w:hint="eastAsia" w:ascii="黑体" w:hAnsi="黑体" w:eastAsia="黑体" w:cs="黑体"/>
          <w:b/>
          <w:bCs/>
          <w:sz w:val="30"/>
          <w:szCs w:val="30"/>
          <w:lang w:eastAsia="zh-CN"/>
        </w:rPr>
        <w:t>主动公开情况（内容）</w:t>
      </w:r>
    </w:p>
    <w:p>
      <w:pPr>
        <w:rPr>
          <w:rFonts w:hint="eastAsia" w:ascii="黑体" w:hAnsi="黑体" w:eastAsia="黑体"/>
          <w:sz w:val="32"/>
          <w:szCs w:val="32"/>
          <w:lang w:eastAsia="zh-CN"/>
        </w:rPr>
      </w:pPr>
      <w:r>
        <w:rPr>
          <w:rFonts w:hint="eastAsia" w:ascii="黑体" w:hAnsi="黑体" w:eastAsia="黑体"/>
          <w:sz w:val="32"/>
          <w:szCs w:val="32"/>
          <w:lang w:eastAsia="zh-CN"/>
        </w:rPr>
        <w:drawing>
          <wp:inline distT="0" distB="0" distL="114300" distR="114300">
            <wp:extent cx="5673090" cy="4244975"/>
            <wp:effectExtent l="4445" t="4445" r="18415" b="17780"/>
            <wp:docPr id="17" name="图表 1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  <w:r>
        <w:rPr>
          <w:rFonts w:hint="eastAsia" w:ascii="黑体" w:hAnsi="黑体" w:eastAsia="黑体"/>
          <w:sz w:val="32"/>
          <w:szCs w:val="32"/>
          <w:lang w:eastAsia="zh-CN"/>
        </w:rPr>
        <w:drawing>
          <wp:inline distT="0" distB="0" distL="114300" distR="114300">
            <wp:extent cx="3826510" cy="2955290"/>
            <wp:effectExtent l="0" t="0" r="2540" b="16510"/>
            <wp:docPr id="15" name="图片 15" descr="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 descr="4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826510" cy="2955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楷体_GB2312" w:hAnsi="楷体_GB2312" w:eastAsia="楷体_GB2312" w:cs="楷体_GB2312"/>
          <w:sz w:val="32"/>
          <w:szCs w:val="32"/>
          <w:lang w:eastAsia="zh-CN"/>
        </w:rPr>
      </w:pPr>
      <w:r>
        <w:rPr>
          <w:rFonts w:hint="eastAsia" w:ascii="黑体" w:hAnsi="黑体" w:eastAsia="黑体"/>
          <w:sz w:val="32"/>
          <w:szCs w:val="32"/>
        </w:rPr>
        <w:t xml:space="preserve"> 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（二）依申请公开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202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区水利局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受理政府信息公开申请事项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件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，与上年相比减少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件，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政府信息公开收费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共计0元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，无行政复议、行政诉讼情况。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区水利局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高度重视依申请公开事项的答复，严格按照《条例》要求开展政府信息公开申请答复工作，由局分管领导牵头，办公室与有关业务科室认真研究分析，并按照规定程序、在规定时限内妥善答复申请人，确保申请人对答复意见满意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drawing>
          <wp:inline distT="0" distB="0" distL="114300" distR="114300">
            <wp:extent cx="5080000" cy="3810000"/>
            <wp:effectExtent l="4445" t="4445" r="20955" b="14605"/>
            <wp:docPr id="19" name="图表 1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政府信息管理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及时、准确、全面发布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区水利局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信息公开指南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、工作动态、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主动公开基本目录等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相关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信息，加强对信息的全生命周期管理，202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年，对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区水利局起草和制发的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规范性文件开展全面清理，拟保留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政府规范性文件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件，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部门规范性文件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0件，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并在政府网站及时公布。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drawing>
          <wp:inline distT="0" distB="0" distL="114300" distR="114300">
            <wp:extent cx="4404360" cy="2684145"/>
            <wp:effectExtent l="0" t="0" r="15240" b="1905"/>
            <wp:docPr id="20" name="图片 20" descr="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20" descr="6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404360" cy="2684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drawing>
          <wp:inline distT="0" distB="0" distL="114300" distR="114300">
            <wp:extent cx="4473575" cy="1979295"/>
            <wp:effectExtent l="0" t="0" r="3175" b="1905"/>
            <wp:docPr id="21" name="图片 21" descr="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21" descr="7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473575" cy="19792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区水利局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抓好政府信息公开的管理工作，严格政府信息公开符合审批和发布流程，强化保密审查、法律审核机制，确保政府公开信息符合保密规定，避免出现法律纠纷。公开信息涉及业务工作的事项，均及时与业务科室做好对接沟通，充分征求意见，研究分析公开信息是否违背公众利益、是否对企业和个人信息造成影响，统筹考虑公开信息的社会效益，据此确定政府信息公开内容和范围。202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年，没有发生涉密信息被公开的情况。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 xml:space="preserve">   （四）平台建设情况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0000FF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202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区水利局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采取文登区人民政府政府网站网上公开为主，“文登水利”微信公众号、广播电视、报纸等媒体报道为辅的公开方式，将网上信息公开作为信息公开工作重点，积极发挥文登区人民政府政府网站作为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区水利局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政府信息工作第一平台的作用，切实做好信息公开工作，围绕年度公开工作重点，合理优化网页布局和栏目设置。将所有可公开信息在规定的时限内予以公开，进一步巩固完善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区水利局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信息公开网上渠道，确保信息公开的时效性和有效性。在政府信息公开工作中，严格依照法律规定，坚持把人民群众普遍关心的民生信息作为政务公开的重要内容。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 xml:space="preserve">   （五）监督保障情况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进一步加强区水利局信息公开制度化、规范化，依法维护国家秘密安全，保障公民、法人和其他组织依法获取水利局工作信息。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区水利局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配备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分管领导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1名，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专职工作人员1名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严格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按照区政府政务公开科发布的《</w:t>
      </w:r>
      <w:r>
        <w:rPr>
          <w:rFonts w:hint="default" w:ascii="Times New Roman" w:hAnsi="Times New Roman" w:eastAsia="仿宋_GB2312" w:cs="Times New Roman"/>
          <w:sz w:val="32"/>
          <w:szCs w:val="32"/>
        </w:rPr>
        <w:t>202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年文登区政务公开工作考核细则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》进行工作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，对相关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业务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工作内容进行责任分解，进一步健全了工作机制，提升政务公开工作标准化、规范化水平。围绕区委、区政府工作大局和重点，坚持以“公开为原则，不公开为例外”的原则，加大政务信息公开工作力度。并对公开目录和公开指南随时进行审核和更新，做到公布信息及时准确。202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区水利局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严格按照《条例》要求开展政府信息公开工作，在政府信息公开监督检查和考核工作中，未发现有违反《条例》要求的情况，未收到政府信息公开有关的投诉、举报，也无其他责任追究的情形。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olor w:val="333333"/>
          <w:spacing w:val="0"/>
          <w:sz w:val="32"/>
          <w:szCs w:val="32"/>
          <w:shd w:val="clear" w:fill="FFFFFF"/>
          <w:lang w:eastAsia="zh-CN"/>
        </w:rPr>
        <w:t>二、</w:t>
      </w:r>
      <w:r>
        <w:rPr>
          <w:rFonts w:hint="eastAsia" w:ascii="黑体" w:hAnsi="黑体" w:eastAsia="黑体" w:cs="黑体"/>
          <w:b w:val="0"/>
          <w:bCs w:val="0"/>
          <w:i w:val="0"/>
          <w:iCs w:val="0"/>
          <w:color w:val="333333"/>
          <w:spacing w:val="0"/>
          <w:sz w:val="32"/>
          <w:szCs w:val="32"/>
          <w:shd w:val="clear" w:fill="FFFFFF"/>
        </w:rPr>
        <w:t>主动公开政府信息情况</w:t>
      </w:r>
    </w:p>
    <w:tbl>
      <w:tblPr>
        <w:tblStyle w:val="7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第二十条第（一）项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现行有效件数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第二十条第（五）项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第二十条第（六）项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第二十条第（八）项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  <w:t>117.27</w:t>
            </w:r>
          </w:p>
        </w:tc>
      </w:tr>
    </w:tbl>
    <w:p>
      <w:pPr>
        <w:numPr>
          <w:ilvl w:val="0"/>
          <w:numId w:val="0"/>
        </w:numPr>
        <w:rPr>
          <w:rFonts w:hint="eastAsia" w:ascii="黑体" w:hAnsi="黑体" w:eastAsia="黑体" w:cs="黑体"/>
          <w:sz w:val="32"/>
          <w:szCs w:val="32"/>
        </w:rPr>
      </w:pPr>
      <w:bookmarkStart w:id="10" w:name="_GoBack"/>
      <w:bookmarkEnd w:id="10"/>
    </w:p>
    <w:p>
      <w:pPr>
        <w:numPr>
          <w:ilvl w:val="0"/>
          <w:numId w:val="0"/>
        </w:numPr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三、</w:t>
      </w:r>
      <w:r>
        <w:rPr>
          <w:rFonts w:hint="eastAsia" w:ascii="黑体" w:hAnsi="黑体" w:eastAsia="黑体" w:cs="黑体"/>
          <w:sz w:val="32"/>
          <w:szCs w:val="32"/>
        </w:rPr>
        <w:t>收到和处理政府信息公开申请情况</w:t>
      </w:r>
    </w:p>
    <w:tbl>
      <w:tblPr>
        <w:tblStyle w:val="7"/>
        <w:tblW w:w="9913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829"/>
        <w:gridCol w:w="567"/>
        <w:gridCol w:w="567"/>
        <w:gridCol w:w="731"/>
        <w:gridCol w:w="708"/>
        <w:gridCol w:w="567"/>
        <w:gridCol w:w="851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楷体_GB2312" w:hAnsi="黑体" w:eastAsia="楷体_GB2312"/>
                <w:kern w:val="0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（本列数据的勾稽关系为：第一项加第二项之和，</w:t>
            </w:r>
          </w:p>
          <w:p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等于第三项加第四项之和）</w:t>
            </w:r>
          </w:p>
        </w:tc>
        <w:tc>
          <w:tcPr>
            <w:tcW w:w="482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申请人情况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829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自然人</w:t>
            </w:r>
          </w:p>
        </w:tc>
        <w:tc>
          <w:tcPr>
            <w:tcW w:w="3140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法人或其他组织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总计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82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商业企业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科研机构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社会公益组织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法律服务机构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其他</w:t>
            </w:r>
          </w:p>
        </w:tc>
        <w:tc>
          <w:tcPr>
            <w:tcW w:w="85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hint="eastAsia" w:ascii="黑体" w:hAnsi="黑体" w:eastAsia="黑体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1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（一）予以公开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（二）部分公开（</w:t>
            </w:r>
            <w:bookmarkStart w:id="1" w:name="_Hlk66973981"/>
            <w:r>
              <w:rPr>
                <w:rFonts w:hint="eastAsia" w:ascii="黑体" w:hAnsi="黑体" w:eastAsia="黑体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hint="eastAsia" w:ascii="黑体" w:hAnsi="黑体" w:eastAsia="黑体"/>
                <w:kern w:val="0"/>
                <w:szCs w:val="21"/>
              </w:rPr>
              <w:t>）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1.属于国家秘密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2" w:name="_Hlk66974104"/>
            <w:r>
              <w:rPr>
                <w:rFonts w:hint="eastAsia" w:ascii="仿宋_GB2312" w:hAnsi="黑体" w:eastAsia="仿宋_GB2312"/>
                <w:kern w:val="0"/>
                <w:szCs w:val="21"/>
              </w:rPr>
              <w:t>其他法律行政法规禁止公开</w:t>
            </w:r>
            <w:bookmarkEnd w:id="2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3.危及“三安全一稳定”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</w:t>
            </w:r>
            <w:bookmarkStart w:id="3" w:name="_Hlk66974290"/>
            <w:r>
              <w:rPr>
                <w:rFonts w:hint="eastAsia" w:ascii="仿宋_GB2312" w:hAnsi="黑体" w:eastAsia="仿宋_GB2312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5.属于三类内部事务信息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6.</w:t>
            </w:r>
            <w:bookmarkStart w:id="4" w:name="_Hlk66974555"/>
            <w:r>
              <w:rPr>
                <w:rFonts w:hint="eastAsia" w:ascii="仿宋_GB2312" w:hAnsi="黑体" w:eastAsia="仿宋_GB2312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7.属于行政执法案卷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8.</w:t>
            </w:r>
            <w:bookmarkStart w:id="5" w:name="_Hlk66975211"/>
            <w:r>
              <w:rPr>
                <w:rFonts w:hint="eastAsia" w:ascii="仿宋_GB2312" w:hAnsi="黑体" w:eastAsia="仿宋_GB2312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1.本机关不掌握相关政府信息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1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6" w:name="_Hlk66975392"/>
            <w:r>
              <w:rPr>
                <w:rFonts w:hint="eastAsia" w:ascii="仿宋_GB2312" w:hAnsi="黑体" w:eastAsia="仿宋_GB2312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</w:t>
            </w:r>
            <w:bookmarkStart w:id="7" w:name="_Hlk66975466"/>
            <w:r>
              <w:rPr>
                <w:rFonts w:hint="eastAsia" w:ascii="仿宋_GB2312" w:hAnsi="黑体" w:eastAsia="仿宋_GB2312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</w:t>
            </w:r>
            <w:bookmarkStart w:id="8" w:name="_Hlk66975537"/>
            <w:r>
              <w:rPr>
                <w:rFonts w:hint="eastAsia" w:ascii="仿宋_GB2312" w:hAnsi="黑体" w:eastAsia="仿宋_GB2312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2.重复申请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3.要求提供公开出版物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4.无正当理由大量反复申请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5.要求行政机关确认或重新</w:t>
            </w:r>
          </w:p>
          <w:p>
            <w:pPr>
              <w:widowControl/>
              <w:spacing w:line="300" w:lineRule="exact"/>
              <w:ind w:firstLine="210" w:firstLineChars="100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出具已获取信息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楷体" w:eastAsia="仿宋_GB2312"/>
              </w:rPr>
            </w:pPr>
            <w:r>
              <w:rPr>
                <w:rFonts w:hint="eastAsia" w:ascii="仿宋_GB2312" w:hAnsi="楷体" w:eastAsia="仿宋_GB2312"/>
              </w:rPr>
              <w:t>1.申请人无正当理由逾期不补正、行政机关不再处理其政府信息公开申请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2.申请人逾期未按收费通知要求缴纳费用、行政机关不再处理其政府信息公开申请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3.其他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（七）总计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1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四、结转下年度继续办理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</w:tbl>
    <w:p>
      <w:pPr>
        <w:numPr>
          <w:ilvl w:val="0"/>
          <w:numId w:val="0"/>
        </w:numPr>
        <w:rPr>
          <w:rFonts w:hint="eastAsia" w:ascii="黑体" w:hAnsi="黑体" w:eastAsia="黑体"/>
          <w:sz w:val="32"/>
          <w:szCs w:val="32"/>
        </w:rPr>
      </w:pPr>
    </w:p>
    <w:p>
      <w:pPr>
        <w:ind w:firstLine="640" w:firstLineChars="200"/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四、</w:t>
      </w:r>
      <w:r>
        <w:rPr>
          <w:rFonts w:hint="eastAsia" w:ascii="黑体" w:hAnsi="黑体" w:eastAsia="黑体" w:cs="黑体"/>
          <w:sz w:val="32"/>
          <w:szCs w:val="32"/>
        </w:rPr>
        <w:t>政府信息公开行政复议、行政诉讼情况</w:t>
      </w:r>
    </w:p>
    <w:tbl>
      <w:tblPr>
        <w:tblStyle w:val="7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43" w:leftChars="-21" w:right="-132" w:rightChars="-63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2" w:leftChars="-39" w:right="-97" w:rightChars="-4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</w:t>
            </w:r>
          </w:p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bookmarkStart w:id="9" w:name="_Hlk67039688"/>
            <w:r>
              <w:rPr>
                <w:rFonts w:ascii="黑体" w:hAnsi="黑体" w:eastAsia="黑体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6" w:leftChars="-41" w:right="-88" w:rightChars="-42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99" w:leftChars="-47" w:right="-78" w:rightChars="-37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67" w:leftChars="-33" w:right="-105" w:rightChars="-50" w:hanging="2" w:hangingChars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</w:tr>
    </w:tbl>
    <w:p>
      <w:pPr>
        <w:jc w:val="center"/>
        <w:rPr>
          <w:rFonts w:asci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五、存在的主要问题及改进情况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202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年，区水利局政府信息公开工作取得了一定成效，但还是存在一定不足，主要表现为：一是重视力度需进一步加大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部分科室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对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政务公开工作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依然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不够重视，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主动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提供公开信息积极性不足；二是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宣传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力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度</w:t>
      </w:r>
      <w:r>
        <w:rPr>
          <w:rFonts w:hint="default" w:ascii="Times New Roman" w:hAnsi="Times New Roman" w:eastAsia="仿宋_GB2312" w:cs="Times New Roman"/>
          <w:sz w:val="32"/>
          <w:szCs w:val="32"/>
        </w:rPr>
        <w:t>需进一步加强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新媒体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宣传形式较单一，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“文登水利”微信公众号关注人数不高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，影响力不足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both"/>
        <w:textAlignment w:val="auto"/>
        <w:rPr>
          <w:rFonts w:hint="default" w:ascii="Times New Roman" w:hAnsi="Times New Roman" w:eastAsia="仿宋_GB2312" w:cs="Times New Roman"/>
          <w:b/>
          <w:bCs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</w:rPr>
        <w:t>202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</w:rPr>
        <w:t>年改进措施：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一是强化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公开意识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和人员培训。进一步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加强各科室负责人的公开意识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，规范政府信息公开工作。通过召开培训会、督导检查等各种途径，不断宣传当前政府信息公开工作形势，提高各科室抓好政府信息公开工作的意识和能力。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二是加强信息公开平台建设。加大“文登水利”微信公众号的推广力度，强化网络媒体的互动和服务功能，更好地保障广大人民群众的知情权、参与权、表达权和监督权。做好与市、区级政务媒体的沟通，及时上传信息，保证发布信息内容合法、完整、准确、及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六、其他需要报告的事项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（一）落实上级年度政务公开工作要点情况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2021年，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区水利局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认真贯彻落实习近平总书记“十六字”治水方针，牢牢把握“水利工程补短板、水利行业强监管”总基调，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按上级要求认真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落实年度政务公开工作，准时征集、公开上级要求的各项内容，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不断增强水安全保障能力，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为推动高质量发展提供有力的水利保障。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楷体_GB2312" w:hAnsi="楷体_GB2312" w:eastAsia="楷体_GB2312" w:cs="楷体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（二）人大代表建议、政协委员提案办理结果公开情况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今年一年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区水利局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共办理建议提案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条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其中区政协十届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五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次会议政协委员提案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条，区人大十八届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五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次会议人大代表建议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条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，均已在政府网站公开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。对提案中涉及到的意见建议，均进行了回应答复，办结率为100%，并进行公示公开。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楷体_GB2312" w:hAnsi="楷体_GB2312" w:eastAsia="楷体_GB2312" w:cs="楷体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（三）政务公开工作创新情况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为响应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政务公开工作创新要求，2021年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区水利局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</w:rPr>
        <w:t>为推进阳光、透明、开放、服务型政府建设，增进社会各界对水利工作的了解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新增政府信息依申请公开学习培训会、开展“政府开放日”等活动，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</w:rPr>
        <w:t>拓宽公开渠道，提高水利工作的开放性和透明度，让广大群众更加了解水利、支持水利，齐心协力，合力治水，进一步提升人民群众获得感和满意度。</w:t>
      </w:r>
    </w:p>
    <w:p>
      <w:pPr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wordWrap w:val="0"/>
        <w:jc w:val="right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威海市文登区水利局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    </w:t>
      </w:r>
    </w:p>
    <w:p>
      <w:pPr>
        <w:wordWrap w:val="0"/>
        <w:jc w:val="right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2022年1月28日         </w:t>
      </w:r>
    </w:p>
    <w:sectPr>
      <w:footerReference r:id="rId3" w:type="default"/>
      <w:pgSz w:w="11906" w:h="16838"/>
      <w:pgMar w:top="1440" w:right="1474" w:bottom="1440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Menlo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center"/>
      <w:rPr>
        <w:rFonts w:ascii="宋体" w:hAnsi="宋体" w:eastAsia="宋体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  <w:fldChar w:fldCharType="separate"/>
                          </w:r>
                          <w:r>
                            <w:t>1</w:t>
                          </w:r>
                          <w:r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eastAsia="宋体"/>
                        <w:sz w:val="18"/>
                        <w:lang w:eastAsia="zh-CN"/>
                      </w:rPr>
                    </w:pPr>
                    <w:r>
                      <w:rPr>
                        <w:rFonts w:hint="eastAsia" w:eastAsia="宋体"/>
                        <w:sz w:val="1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eastAsia="宋体"/>
                        <w:sz w:val="1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eastAsia="宋体"/>
                        <w:sz w:val="18"/>
                        <w:lang w:eastAsia="zh-CN"/>
                      </w:rPr>
                      <w:fldChar w:fldCharType="separate"/>
                    </w:r>
                    <w:r>
                      <w:t>1</w:t>
                    </w:r>
                    <w:r>
                      <w:rPr>
                        <w:rFonts w:hint="eastAsia" w:eastAsia="宋体"/>
                        <w:sz w:val="1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68521B4"/>
    <w:multiLevelType w:val="singleLevel"/>
    <w:tmpl w:val="A68521B4"/>
    <w:lvl w:ilvl="0" w:tentative="0">
      <w:start w:val="2"/>
      <w:numFmt w:val="decimal"/>
      <w:suff w:val="nothing"/>
      <w:lvlText w:val="%1、"/>
      <w:lvlJc w:val="left"/>
    </w:lvl>
  </w:abstractNum>
  <w:abstractNum w:abstractNumId="1">
    <w:nsid w:val="AC5C8737"/>
    <w:multiLevelType w:val="singleLevel"/>
    <w:tmpl w:val="AC5C8737"/>
    <w:lvl w:ilvl="0" w:tentative="0">
      <w:start w:val="3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BreakWrappedTables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2MyMzVkMTAwZWQ5MjdhYzI0ZmM5NTc1ZGVjMGRkZTQifQ=="/>
  </w:docVars>
  <w:rsids>
    <w:rsidRoot w:val="00502C34"/>
    <w:rsid w:val="0003350B"/>
    <w:rsid w:val="000500B1"/>
    <w:rsid w:val="0006512C"/>
    <w:rsid w:val="000A57BF"/>
    <w:rsid w:val="000B4F9F"/>
    <w:rsid w:val="000C1FDA"/>
    <w:rsid w:val="00121655"/>
    <w:rsid w:val="00123E53"/>
    <w:rsid w:val="001679FF"/>
    <w:rsid w:val="00180B4F"/>
    <w:rsid w:val="00196721"/>
    <w:rsid w:val="001F026B"/>
    <w:rsid w:val="00203F15"/>
    <w:rsid w:val="00211F6A"/>
    <w:rsid w:val="00243BAF"/>
    <w:rsid w:val="00286BF3"/>
    <w:rsid w:val="002B58BB"/>
    <w:rsid w:val="00315DDF"/>
    <w:rsid w:val="00333740"/>
    <w:rsid w:val="00372E47"/>
    <w:rsid w:val="00384B12"/>
    <w:rsid w:val="00392DAD"/>
    <w:rsid w:val="003C1943"/>
    <w:rsid w:val="004162E7"/>
    <w:rsid w:val="00463EF5"/>
    <w:rsid w:val="004D3C2B"/>
    <w:rsid w:val="004D6D24"/>
    <w:rsid w:val="00502C34"/>
    <w:rsid w:val="00515416"/>
    <w:rsid w:val="00531FBB"/>
    <w:rsid w:val="00552F1D"/>
    <w:rsid w:val="005548EB"/>
    <w:rsid w:val="00612182"/>
    <w:rsid w:val="00683E94"/>
    <w:rsid w:val="006B5301"/>
    <w:rsid w:val="006E2A67"/>
    <w:rsid w:val="00760120"/>
    <w:rsid w:val="007E43CD"/>
    <w:rsid w:val="008244CB"/>
    <w:rsid w:val="00846109"/>
    <w:rsid w:val="00851E51"/>
    <w:rsid w:val="008C68B1"/>
    <w:rsid w:val="00923DE3"/>
    <w:rsid w:val="00990BC0"/>
    <w:rsid w:val="009D1EAC"/>
    <w:rsid w:val="00A9562B"/>
    <w:rsid w:val="00AC0838"/>
    <w:rsid w:val="00AC0B55"/>
    <w:rsid w:val="00B0360E"/>
    <w:rsid w:val="00B06CEF"/>
    <w:rsid w:val="00B82BD5"/>
    <w:rsid w:val="00B846A3"/>
    <w:rsid w:val="00BA1959"/>
    <w:rsid w:val="00BB1402"/>
    <w:rsid w:val="00BD1F13"/>
    <w:rsid w:val="00BD2DFA"/>
    <w:rsid w:val="00BF2FF7"/>
    <w:rsid w:val="00C106D4"/>
    <w:rsid w:val="00C24C5F"/>
    <w:rsid w:val="00C74995"/>
    <w:rsid w:val="00CA2A1F"/>
    <w:rsid w:val="00CE332F"/>
    <w:rsid w:val="00D206E1"/>
    <w:rsid w:val="00DD7168"/>
    <w:rsid w:val="00DF3523"/>
    <w:rsid w:val="00DF7D80"/>
    <w:rsid w:val="00ED6874"/>
    <w:rsid w:val="00ED698F"/>
    <w:rsid w:val="00EE7943"/>
    <w:rsid w:val="00F01622"/>
    <w:rsid w:val="00F03027"/>
    <w:rsid w:val="00F42818"/>
    <w:rsid w:val="00F57A9C"/>
    <w:rsid w:val="00F7173D"/>
    <w:rsid w:val="00F90155"/>
    <w:rsid w:val="00FC01CB"/>
    <w:rsid w:val="00FF3FF5"/>
    <w:rsid w:val="00FF65C3"/>
    <w:rsid w:val="08946F5D"/>
    <w:rsid w:val="0D5968A6"/>
    <w:rsid w:val="0E760EF9"/>
    <w:rsid w:val="0F696B20"/>
    <w:rsid w:val="111D2487"/>
    <w:rsid w:val="114F61E9"/>
    <w:rsid w:val="1C986F33"/>
    <w:rsid w:val="1EC73F68"/>
    <w:rsid w:val="23677D83"/>
    <w:rsid w:val="23BB4FFC"/>
    <w:rsid w:val="266032AA"/>
    <w:rsid w:val="28185E93"/>
    <w:rsid w:val="288527C5"/>
    <w:rsid w:val="29A9697D"/>
    <w:rsid w:val="2AA26EC2"/>
    <w:rsid w:val="2CA3498D"/>
    <w:rsid w:val="2F620A08"/>
    <w:rsid w:val="301276DB"/>
    <w:rsid w:val="33CC2BAF"/>
    <w:rsid w:val="33F8203B"/>
    <w:rsid w:val="350031B1"/>
    <w:rsid w:val="36CA41A8"/>
    <w:rsid w:val="3C787E8C"/>
    <w:rsid w:val="42600598"/>
    <w:rsid w:val="46A25506"/>
    <w:rsid w:val="479D6C67"/>
    <w:rsid w:val="47EA334F"/>
    <w:rsid w:val="492F4C46"/>
    <w:rsid w:val="4CF87E57"/>
    <w:rsid w:val="4EA66093"/>
    <w:rsid w:val="4F271385"/>
    <w:rsid w:val="4F706E74"/>
    <w:rsid w:val="54431E28"/>
    <w:rsid w:val="54A11A0F"/>
    <w:rsid w:val="5D0F28E1"/>
    <w:rsid w:val="5D682CD8"/>
    <w:rsid w:val="601C5E1C"/>
    <w:rsid w:val="6B2036AC"/>
    <w:rsid w:val="6C9A123C"/>
    <w:rsid w:val="6E623FDB"/>
    <w:rsid w:val="6F54601A"/>
    <w:rsid w:val="709A01DD"/>
    <w:rsid w:val="7310615A"/>
    <w:rsid w:val="7A680BCB"/>
    <w:rsid w:val="7D855968"/>
    <w:rsid w:val="7D8E95C2"/>
    <w:rsid w:val="B97F5CF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qFormat="1" w:uiPriority="99" w:semiHidden="0" w:name="HTML Code"/>
    <w:lsdException w:qFormat="1" w:uiPriority="99" w:semiHidden="0" w:name="HTML Definition"/>
    <w:lsdException w:qFormat="1" w:uiPriority="99" w:semiHidden="0" w:name="HTML Keyboard"/>
    <w:lsdException w:uiPriority="99" w:name="HTML Preformatted"/>
    <w:lsdException w:qFormat="1" w:uiPriority="99" w:semiHidden="0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8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9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character" w:default="1" w:styleId="8">
    <w:name w:val="Default Paragraph Font"/>
    <w:unhideWhenUsed/>
    <w:qFormat/>
    <w:uiPriority w:val="1"/>
  </w:style>
  <w:style w:type="table" w:default="1" w:styleId="7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link w:val="1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semiHidden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9">
    <w:name w:val="Strong"/>
    <w:basedOn w:val="8"/>
    <w:autoRedefine/>
    <w:qFormat/>
    <w:uiPriority w:val="22"/>
    <w:rPr>
      <w:b/>
      <w:bCs/>
    </w:rPr>
  </w:style>
  <w:style w:type="character" w:styleId="10">
    <w:name w:val="FollowedHyperlink"/>
    <w:basedOn w:val="8"/>
    <w:unhideWhenUsed/>
    <w:qFormat/>
    <w:uiPriority w:val="99"/>
    <w:rPr>
      <w:color w:val="337AB7"/>
      <w:u w:val="single"/>
    </w:rPr>
  </w:style>
  <w:style w:type="character" w:styleId="11">
    <w:name w:val="HTML Definition"/>
    <w:basedOn w:val="8"/>
    <w:unhideWhenUsed/>
    <w:qFormat/>
    <w:uiPriority w:val="99"/>
    <w:rPr>
      <w:i/>
    </w:rPr>
  </w:style>
  <w:style w:type="character" w:styleId="12">
    <w:name w:val="Hyperlink"/>
    <w:basedOn w:val="8"/>
    <w:unhideWhenUsed/>
    <w:qFormat/>
    <w:uiPriority w:val="99"/>
    <w:rPr>
      <w:color w:val="337AB7"/>
      <w:u w:val="single"/>
    </w:rPr>
  </w:style>
  <w:style w:type="character" w:styleId="13">
    <w:name w:val="HTML Code"/>
    <w:basedOn w:val="8"/>
    <w:unhideWhenUsed/>
    <w:qFormat/>
    <w:uiPriority w:val="99"/>
    <w:rPr>
      <w:rFonts w:ascii="Menlo" w:hAnsi="Menlo" w:eastAsia="Menlo" w:cs="Menlo"/>
      <w:color w:val="C7254E"/>
      <w:sz w:val="21"/>
      <w:szCs w:val="21"/>
      <w:shd w:val="clear" w:fill="F9F2F4"/>
    </w:rPr>
  </w:style>
  <w:style w:type="character" w:styleId="14">
    <w:name w:val="HTML Keyboard"/>
    <w:basedOn w:val="8"/>
    <w:unhideWhenUsed/>
    <w:qFormat/>
    <w:uiPriority w:val="99"/>
    <w:rPr>
      <w:rFonts w:hint="default" w:ascii="Menlo" w:hAnsi="Menlo" w:eastAsia="Menlo" w:cs="Menlo"/>
      <w:color w:val="FFFFFF"/>
      <w:sz w:val="21"/>
      <w:szCs w:val="21"/>
      <w:shd w:val="clear" w:fill="333333"/>
    </w:rPr>
  </w:style>
  <w:style w:type="character" w:styleId="15">
    <w:name w:val="HTML Sample"/>
    <w:basedOn w:val="8"/>
    <w:unhideWhenUsed/>
    <w:qFormat/>
    <w:uiPriority w:val="99"/>
    <w:rPr>
      <w:rFonts w:hint="default" w:ascii="Menlo" w:hAnsi="Menlo" w:eastAsia="Menlo" w:cs="Menlo"/>
      <w:sz w:val="21"/>
      <w:szCs w:val="21"/>
    </w:rPr>
  </w:style>
  <w:style w:type="character" w:customStyle="1" w:styleId="16">
    <w:name w:val="页眉 字符"/>
    <w:basedOn w:val="8"/>
    <w:link w:val="5"/>
    <w:qFormat/>
    <w:uiPriority w:val="99"/>
    <w:rPr>
      <w:sz w:val="18"/>
      <w:szCs w:val="18"/>
    </w:rPr>
  </w:style>
  <w:style w:type="character" w:customStyle="1" w:styleId="17">
    <w:name w:val="页脚 字符"/>
    <w:basedOn w:val="8"/>
    <w:link w:val="4"/>
    <w:autoRedefine/>
    <w:qFormat/>
    <w:uiPriority w:val="99"/>
    <w:rPr>
      <w:sz w:val="18"/>
      <w:szCs w:val="18"/>
    </w:rPr>
  </w:style>
  <w:style w:type="character" w:customStyle="1" w:styleId="18">
    <w:name w:val="标题 1 字符"/>
    <w:basedOn w:val="8"/>
    <w:link w:val="2"/>
    <w:qFormat/>
    <w:uiPriority w:val="9"/>
    <w:rPr>
      <w:b/>
      <w:bCs/>
      <w:kern w:val="44"/>
      <w:sz w:val="44"/>
      <w:szCs w:val="44"/>
    </w:rPr>
  </w:style>
  <w:style w:type="character" w:customStyle="1" w:styleId="19">
    <w:name w:val="标题 2 字符"/>
    <w:basedOn w:val="8"/>
    <w:link w:val="3"/>
    <w:qFormat/>
    <w:uiPriority w:val="9"/>
    <w:rPr>
      <w:rFonts w:asciiTheme="majorHAnsi" w:hAnsiTheme="majorHAnsi" w:eastAsiaTheme="majorEastAsia" w:cstheme="majorBidi"/>
      <w:b/>
      <w:bCs/>
      <w:sz w:val="32"/>
      <w:szCs w:val="32"/>
    </w:rPr>
  </w:style>
  <w:style w:type="paragraph" w:customStyle="1" w:styleId="20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jpeg"/><Relationship Id="rId8" Type="http://schemas.openxmlformats.org/officeDocument/2006/relationships/image" Target="media/image3.png"/><Relationship Id="rId7" Type="http://schemas.openxmlformats.org/officeDocument/2006/relationships/chart" Target="charts/chart1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7" Type="http://schemas.openxmlformats.org/officeDocument/2006/relationships/fontTable" Target="fontTable.xml"/><Relationship Id="rId16" Type="http://schemas.openxmlformats.org/officeDocument/2006/relationships/numbering" Target="numbering.xml"/><Relationship Id="rId15" Type="http://schemas.openxmlformats.org/officeDocument/2006/relationships/customXml" Target="../customXml/item1.xml"/><Relationship Id="rId14" Type="http://schemas.openxmlformats.org/officeDocument/2006/relationships/image" Target="media/image7.png"/><Relationship Id="rId13" Type="http://schemas.openxmlformats.org/officeDocument/2006/relationships/image" Target="media/image6.png"/><Relationship Id="rId12" Type="http://schemas.openxmlformats.org/officeDocument/2006/relationships/chart" Target="charts/chart3.xml"/><Relationship Id="rId11" Type="http://schemas.openxmlformats.org/officeDocument/2006/relationships/image" Target="media/image5.png"/><Relationship Id="rId10" Type="http://schemas.openxmlformats.org/officeDocument/2006/relationships/chart" Target="charts/chart2.xml"/><Relationship Id="rId1" Type="http://schemas.openxmlformats.org/officeDocument/2006/relationships/styles" Target="styles.xml"/></Relationships>
</file>

<file path=word/charts/_rels/chart1.xml.rels><?xml version="1.0" encoding="UTF-8" standalone="yes"?>
<Relationships xmlns="http://schemas.openxmlformats.org/package/2006/relationships"><Relationship Id="rId3" Type="http://schemas.microsoft.com/office/2011/relationships/chartColorStyle" Target="colors1.xml"/><Relationship Id="rId2" Type="http://schemas.microsoft.com/office/2011/relationships/chartStyle" Target="style1.xml"/><Relationship Id="rId1" Type="http://schemas.openxmlformats.org/officeDocument/2006/relationships/package" Target="../embeddings/Workbook1.xlsx"/></Relationships>
</file>

<file path=word/charts/_rels/chart2.xml.rels><?xml version="1.0" encoding="UTF-8" standalone="yes"?>
<Relationships xmlns="http://schemas.openxmlformats.org/package/2006/relationships"><Relationship Id="rId3" Type="http://schemas.microsoft.com/office/2011/relationships/chartColorStyle" Target="colors3.xml"/><Relationship Id="rId2" Type="http://schemas.microsoft.com/office/2011/relationships/chartStyle" Target="style3.xml"/><Relationship Id="rId1" Type="http://schemas.openxmlformats.org/officeDocument/2006/relationships/package" Target="../embeddings/Workbook3.xlsx"/></Relationships>
</file>

<file path=word/charts/_rels/chart3.xml.rels><?xml version="1.0" encoding="UTF-8" standalone="yes"?>
<Relationships xmlns="http://schemas.openxmlformats.org/package/2006/relationships"><Relationship Id="rId3" Type="http://schemas.microsoft.com/office/2011/relationships/chartColorStyle" Target="colors2.xml"/><Relationship Id="rId2" Type="http://schemas.microsoft.com/office/2011/relationships/chartStyle" Target="style2.xml"/><Relationship Id="rId1" Type="http://schemas.openxmlformats.org/officeDocument/2006/relationships/package" Target="../embeddings/Workbook2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0" vertOverflow="ellipsis" vert="horz" wrap="square" anchor="ctr" anchorCtr="1"/>
          <a:lstStyle/>
          <a:p>
            <a:pPr defTabSz="914400">
              <a:defRPr lang="zh-CN" sz="1800" b="1" i="0" u="none" strike="noStrike" kern="1200" cap="all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sz="1400">
                <a:solidFill>
                  <a:schemeClr val="tx1"/>
                </a:solidFill>
                <a:uFillTx/>
                <a:ea typeface="黑体" panose="02010609060101010101" charset="-122"/>
              </a:rPr>
              <a:t>主动公开情况（渠道和形式）</a:t>
            </a:r>
            <a:endParaRPr sz="1400">
              <a:solidFill>
                <a:schemeClr val="tx1"/>
              </a:solidFill>
              <a:uFillTx/>
              <a:ea typeface="黑体" panose="02010609060101010101" charset="-122"/>
            </a:endParaRPr>
          </a:p>
        </c:rich>
      </c:tx>
      <c:layout/>
      <c:overlay val="0"/>
      <c:spPr>
        <a:noFill/>
        <a:ln>
          <a:noFill/>
        </a:ln>
        <a:effectLst/>
      </c:spPr>
    </c:title>
    <c:autoTitleDeleted val="0"/>
    <c:plotArea>
      <c:layout/>
      <c:pie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主动公开情况（渠道和形式）</c:v>
                </c:pt>
              </c:strCache>
            </c:strRef>
          </c:tx>
          <c:spPr>
            <a:scene3d>
              <a:camera prst="orthographicFront"/>
              <a:lightRig rig="threePt" dir="t"/>
            </a:scene3d>
            <a:sp3d contourW="19050"/>
          </c:spPr>
          <c:explosion val="0"/>
          <c:dPt>
            <c:idx val="0"/>
            <c:bubble3D val="0"/>
            <c:spPr>
              <a:solidFill>
                <a:schemeClr val="accent1">
                  <a:alpha val="90000"/>
                </a:schemeClr>
              </a:solidFill>
              <a:ln w="19050">
                <a:solidFill>
                  <a:schemeClr val="accent1">
                    <a:lumMod val="75000"/>
                  </a:schemeClr>
                </a:solidFill>
              </a:ln>
              <a:effectLst>
                <a:innerShdw blurRad="114300">
                  <a:schemeClr val="accent1">
                    <a:lumMod val="75000"/>
                  </a:schemeClr>
                </a:innerShdw>
              </a:effectLst>
            </c:spPr>
          </c:dPt>
          <c:dPt>
            <c:idx val="1"/>
            <c:bubble3D val="0"/>
            <c:spPr>
              <a:solidFill>
                <a:schemeClr val="accent2">
                  <a:alpha val="90000"/>
                </a:schemeClr>
              </a:solidFill>
              <a:ln w="19050">
                <a:solidFill>
                  <a:schemeClr val="accent2">
                    <a:lumMod val="75000"/>
                  </a:schemeClr>
                </a:solidFill>
              </a:ln>
              <a:effectLst>
                <a:innerShdw blurRad="114300">
                  <a:schemeClr val="accent2">
                    <a:lumMod val="75000"/>
                  </a:schemeClr>
                </a:innerShdw>
              </a:effectLst>
            </c:spPr>
          </c:dPt>
          <c:dPt>
            <c:idx val="2"/>
            <c:bubble3D val="0"/>
            <c:spPr>
              <a:solidFill>
                <a:schemeClr val="accent3">
                  <a:alpha val="90000"/>
                </a:schemeClr>
              </a:solidFill>
              <a:ln w="19050">
                <a:solidFill>
                  <a:schemeClr val="accent3">
                    <a:lumMod val="75000"/>
                  </a:schemeClr>
                </a:solidFill>
              </a:ln>
              <a:effectLst>
                <a:innerShdw blurRad="114300">
                  <a:schemeClr val="accent3">
                    <a:lumMod val="75000"/>
                  </a:schemeClr>
                </a:innerShdw>
              </a:effectLst>
              <a:scene3d>
                <a:camera prst="orthographicFront"/>
                <a:lightRig rig="threePt" dir="t"/>
              </a:scene3d>
              <a:sp3d contourW="19050"/>
            </c:spPr>
          </c:dPt>
          <c:dLbls>
            <c:dLbl>
              <c:idx val="0"/>
              <c:layout/>
              <c:numFmt formatCode="General" sourceLinked="1"/>
              <c:spPr>
                <a:solidFill>
                  <a:schemeClr val="lt1">
                    <a:alpha val="90000"/>
                  </a:schemeClr>
                </a:solidFill>
                <a:ln w="12700" cap="flat" cmpd="sng" algn="ctr">
                  <a:solidFill>
                    <a:schemeClr val="accent1"/>
                  </a:solidFill>
                  <a:round/>
                </a:ln>
                <a:effectLst>
                  <a:outerShdw blurRad="50800" dist="38100" dir="2700000" algn="tl" rotWithShape="0">
                    <a:schemeClr val="accent1">
                      <a:lumMod val="75000"/>
                      <a:alpha val="40000"/>
                    </a:schemeClr>
                  </a:outerShdw>
                </a:effectLst>
              </c:spPr>
              <c:txPr>
                <a:bodyPr rot="0" spcFirstLastPara="1" vertOverflow="clip" horzOverflow="clip" vert="horz" wrap="square" lIns="38100" tIns="19050" rIns="38100" bIns="19050" anchor="ctr" anchorCtr="1">
                  <a:spAutoFit/>
                </a:bodyPr>
                <a:lstStyle/>
                <a:p>
                  <a:pPr>
                    <a:defRPr lang="zh-CN" sz="1000" b="0" i="0" u="none" strike="noStrike" kern="1200" cap="none" spc="0" normalizeH="0" baseline="0">
                      <a:solidFill>
                        <a:schemeClr val="tx1"/>
                      </a:solidFill>
                      <a:effectLst/>
                      <a:uFill>
                        <a:solidFill>
                          <a:schemeClr val="accent1"/>
                        </a:solidFill>
                      </a:uFill>
                      <a:latin typeface="+mn-lt"/>
                      <a:ea typeface="+mn-ea"/>
                      <a:cs typeface="+mn-cs"/>
                    </a:defRPr>
                  </a:pPr>
                </a:p>
              </c:txPr>
              <c:dLblPos val="inEnd"/>
              <c:showLegendKey val="0"/>
              <c:showVal val="0"/>
              <c:showCatName val="1"/>
              <c:showSerName val="0"/>
              <c:showPercent val="1"/>
              <c:showBubbleSize val="0"/>
              <c:separator>
</c:separator>
              <c:extLst>
                <c:ext xmlns:c15="http://schemas.microsoft.com/office/drawing/2012/chart" uri="{CE6537A1-D6FC-4f65-9D91-7224C49458BB}"/>
              </c:extLst>
            </c:dLbl>
            <c:dLbl>
              <c:idx val="1"/>
              <c:layout/>
              <c:numFmt formatCode="General" sourceLinked="1"/>
              <c:spPr>
                <a:solidFill>
                  <a:schemeClr val="lt1">
                    <a:alpha val="90000"/>
                  </a:schemeClr>
                </a:solidFill>
                <a:ln w="12700" cap="flat" cmpd="sng" algn="ctr">
                  <a:solidFill>
                    <a:schemeClr val="accent1"/>
                  </a:solidFill>
                  <a:round/>
                </a:ln>
                <a:effectLst>
                  <a:outerShdw blurRad="50800" dist="38100" dir="2700000" algn="tl" rotWithShape="0">
                    <a:schemeClr val="accent1">
                      <a:lumMod val="75000"/>
                      <a:alpha val="40000"/>
                    </a:schemeClr>
                  </a:outerShdw>
                </a:effectLst>
              </c:spPr>
              <c:txPr>
                <a:bodyPr rot="0" spcFirstLastPara="1" vertOverflow="clip" horzOverflow="clip" vert="horz" wrap="square" lIns="38100" tIns="19050" rIns="38100" bIns="19050" anchor="ctr" anchorCtr="1">
                  <a:spAutoFit/>
                </a:bodyPr>
                <a:lstStyle/>
                <a:p>
                  <a:pPr>
                    <a:defRPr lang="zh-CN" sz="1000" b="0" i="0" u="none" strike="noStrike" kern="1200" cap="none" spc="0" normalizeH="0" baseline="0">
                      <a:solidFill>
                        <a:schemeClr val="tx1"/>
                      </a:solidFill>
                      <a:effectLst/>
                      <a:uFill>
                        <a:solidFill>
                          <a:schemeClr val="accent1"/>
                        </a:solidFill>
                      </a:uFill>
                      <a:latin typeface="+mn-lt"/>
                      <a:ea typeface="+mn-ea"/>
                      <a:cs typeface="+mn-cs"/>
                    </a:defRPr>
                  </a:pPr>
                </a:p>
              </c:txPr>
              <c:dLblPos val="inEnd"/>
              <c:showLegendKey val="0"/>
              <c:showVal val="0"/>
              <c:showCatName val="1"/>
              <c:showSerName val="0"/>
              <c:showPercent val="1"/>
              <c:showBubbleSize val="0"/>
              <c:separator>
</c:separator>
              <c:extLst>
                <c:ext xmlns:c15="http://schemas.microsoft.com/office/drawing/2012/chart" uri="{CE6537A1-D6FC-4f65-9D91-7224C49458BB}"/>
              </c:extLst>
            </c:dLbl>
            <c:dLbl>
              <c:idx val="2"/>
              <c:layout/>
              <c:numFmt formatCode="General" sourceLinked="1"/>
              <c:spPr>
                <a:solidFill>
                  <a:schemeClr val="lt1">
                    <a:alpha val="90000"/>
                  </a:schemeClr>
                </a:solidFill>
                <a:ln w="12700" cap="flat" cmpd="sng" algn="ctr">
                  <a:solidFill>
                    <a:schemeClr val="accent1"/>
                  </a:solidFill>
                  <a:round/>
                </a:ln>
                <a:effectLst>
                  <a:outerShdw blurRad="50800" dist="38100" dir="2700000" algn="tl" rotWithShape="0">
                    <a:schemeClr val="accent1">
                      <a:lumMod val="75000"/>
                      <a:alpha val="40000"/>
                    </a:schemeClr>
                  </a:outerShdw>
                </a:effectLst>
              </c:spPr>
              <c:txPr>
                <a:bodyPr rot="0" spcFirstLastPara="1" vertOverflow="clip" horzOverflow="clip" vert="horz" wrap="square" lIns="38100" tIns="19050" rIns="38100" bIns="19050" anchor="ctr" anchorCtr="1">
                  <a:spAutoFit/>
                </a:bodyPr>
                <a:lstStyle/>
                <a:p>
                  <a:pPr>
                    <a:defRPr lang="zh-CN" sz="1000" b="0" i="0" u="none" strike="noStrike" kern="1200" cap="none" spc="0" normalizeH="0" baseline="0">
                      <a:solidFill>
                        <a:schemeClr val="tx1"/>
                      </a:solidFill>
                      <a:effectLst/>
                      <a:uFill>
                        <a:solidFill>
                          <a:schemeClr val="accent1"/>
                        </a:solidFill>
                      </a:uFill>
                      <a:latin typeface="+mn-lt"/>
                      <a:ea typeface="+mn-ea"/>
                      <a:cs typeface="+mn-cs"/>
                    </a:defRPr>
                  </a:pPr>
                </a:p>
              </c:txPr>
              <c:dLblPos val="inEnd"/>
              <c:showLegendKey val="0"/>
              <c:showVal val="0"/>
              <c:showCatName val="1"/>
              <c:showSerName val="0"/>
              <c:showPercent val="1"/>
              <c:showBubbleSize val="0"/>
              <c:separator>
</c:separator>
              <c:extLst>
                <c:ext xmlns:c15="http://schemas.microsoft.com/office/drawing/2012/chart" uri="{CE6537A1-D6FC-4f65-9D91-7224C49458BB}"/>
              </c:extLst>
            </c:dLbl>
            <c:spPr>
              <a:solidFill>
                <a:schemeClr val="lt1">
                  <a:alpha val="90000"/>
                </a:schemeClr>
              </a:solidFill>
              <a:ln w="12700" cap="flat" cmpd="sng" algn="ctr">
                <a:solidFill>
                  <a:schemeClr val="accent1"/>
                </a:solidFill>
                <a:round/>
              </a:ln>
              <a:effectLst>
                <a:outerShdw blurRad="50800" dist="38100" dir="2700000" algn="tl" rotWithShape="0">
                  <a:schemeClr val="accent1">
                    <a:lumMod val="75000"/>
                    <a:alpha val="40000"/>
                  </a:schemeClr>
                </a:outerShdw>
              </a:effectLst>
            </c:spPr>
            <c:txPr>
              <a:bodyPr rot="0" spcFirstLastPara="1" vertOverflow="clip" horzOverflow="clip" vert="horz" wrap="square" lIns="38100" tIns="19050" rIns="38100" bIns="19050" anchor="ctr" anchorCtr="1">
                <a:spAutoFit/>
              </a:bodyPr>
              <a:lstStyle/>
              <a:p>
                <a:pPr>
                  <a:defRPr lang="zh-CN" sz="1000" b="0" i="0" u="none" strike="noStrike" kern="1200" cap="none" spc="0" normalizeH="0" baseline="0">
                    <a:solidFill>
                      <a:schemeClr val="tx1"/>
                    </a:solidFill>
                    <a:effectLst/>
                    <a:uFill>
                      <a:solidFill>
                        <a:schemeClr val="accent1"/>
                      </a:solidFill>
                    </a:uFill>
                    <a:latin typeface="+mn-lt"/>
                    <a:ea typeface="+mn-ea"/>
                    <a:cs typeface="+mn-cs"/>
                  </a:defRPr>
                </a:pPr>
              </a:p>
            </c:txPr>
            <c:dLblPos val="inEnd"/>
            <c:showLegendKey val="0"/>
            <c:showVal val="0"/>
            <c:showCatName val="1"/>
            <c:showSerName val="0"/>
            <c:showPercent val="1"/>
            <c:showBubbleSize val="0"/>
            <c:showLeaderLines val="1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Sheet1!$A$2:$A$4</c:f>
              <c:strCache>
                <c:ptCount val="3"/>
                <c:pt idx="0">
                  <c:v>文登政府信息公开平台</c:v>
                </c:pt>
                <c:pt idx="1">
                  <c:v>“文登水利”微信公众号</c:v>
                </c:pt>
                <c:pt idx="2">
                  <c:v>其他</c:v>
                </c:pt>
              </c:strCache>
            </c:strRef>
          </c:cat>
          <c:val>
            <c:numRef>
              <c:f>Sheet1!$B$2:$B$4</c:f>
              <c:numCache>
                <c:formatCode>General</c:formatCode>
                <c:ptCount val="3"/>
                <c:pt idx="0">
                  <c:v>267</c:v>
                </c:pt>
                <c:pt idx="1">
                  <c:v>157</c:v>
                </c:pt>
                <c:pt idx="2">
                  <c:v>7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62"/>
      </c:pieChart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lang="zh-CN"/>
      </a:pPr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spPr>
            <a:gradFill>
              <a:gsLst>
                <a:gs pos="0">
                  <a:schemeClr val="accent1"/>
                </a:gs>
                <a:gs pos="100000">
                  <a:schemeClr val="accent1">
                    <a:lumMod val="84000"/>
                  </a:schemeClr>
                </a:gs>
              </a:gsLst>
              <a:lin ang="5400000" scaled="1"/>
            </a:gradFill>
            <a:ln>
              <a:noFill/>
            </a:ln>
            <a:effectLst>
              <a:outerShdw blurRad="76200" dir="18900000" sy="23000" kx="-1200000" algn="bl" rotWithShape="0">
                <a:prstClr val="black">
                  <a:alpha val="20000"/>
                </a:prst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0" vertOverflow="ellipsis" vert="horz" wrap="square" lIns="38100" tIns="19050" rIns="38100" bIns="19050" anchor="ctr" anchorCtr="1"/>
              <a:lstStyle/>
              <a:p>
                <a:pPr>
                  <a:defRPr lang="zh-CN" sz="1000" b="1" i="0" u="none" strike="noStrike" kern="1200" cap="none" spc="0" normalizeH="0" baseline="0">
                    <a:solidFill>
                      <a:schemeClr val="tx1"/>
                    </a:solidFill>
                    <a:uFill>
                      <a:solidFill>
                        <a:schemeClr val="bg1"/>
                      </a:solidFill>
                    </a:uFill>
                    <a:latin typeface="+mn-lt"/>
                    <a:ea typeface="+mn-ea"/>
                    <a:cs typeface="+mn-cs"/>
                  </a:defRPr>
                </a:pPr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Sheet1!$A$1:$A$16</c:f>
              <c:strCache>
                <c:ptCount val="16"/>
                <c:pt idx="0">
                  <c:v>意见征集</c:v>
                </c:pt>
                <c:pt idx="1">
                  <c:v>政策文件专栏</c:v>
                </c:pt>
                <c:pt idx="2">
                  <c:v>财政数据</c:v>
                </c:pt>
                <c:pt idx="3">
                  <c:v>政府开放日</c:v>
                </c:pt>
                <c:pt idx="4">
                  <c:v>公告公示</c:v>
                </c:pt>
                <c:pt idx="5">
                  <c:v>机构职能</c:v>
                </c:pt>
                <c:pt idx="6">
                  <c:v>人事信息</c:v>
                </c:pt>
                <c:pt idx="7">
                  <c:v>工作动态</c:v>
                </c:pt>
                <c:pt idx="8">
                  <c:v>政策文件</c:v>
                </c:pt>
                <c:pt idx="9">
                  <c:v>政策解读</c:v>
                </c:pt>
                <c:pt idx="10">
                  <c:v>重点领域信息公开</c:v>
                </c:pt>
                <c:pt idx="11">
                  <c:v>政务公开组织推进</c:v>
                </c:pt>
                <c:pt idx="12">
                  <c:v>执行公开</c:v>
                </c:pt>
                <c:pt idx="13">
                  <c:v>管理公开</c:v>
                </c:pt>
                <c:pt idx="14">
                  <c:v>服务公开</c:v>
                </c:pt>
                <c:pt idx="15">
                  <c:v>结果公开</c:v>
                </c:pt>
              </c:strCache>
            </c:strRef>
          </c:cat>
          <c:val>
            <c:numRef>
              <c:f>Sheet1!$B$1:$B$16</c:f>
              <c:numCache>
                <c:formatCode>General</c:formatCode>
                <c:ptCount val="16"/>
                <c:pt idx="0">
                  <c:v>1</c:v>
                </c:pt>
                <c:pt idx="1">
                  <c:v>2</c:v>
                </c:pt>
                <c:pt idx="2">
                  <c:v>2</c:v>
                </c:pt>
                <c:pt idx="3">
                  <c:v>1</c:v>
                </c:pt>
                <c:pt idx="4">
                  <c:v>6</c:v>
                </c:pt>
                <c:pt idx="5">
                  <c:v>3</c:v>
                </c:pt>
                <c:pt idx="6">
                  <c:v>1</c:v>
                </c:pt>
                <c:pt idx="7">
                  <c:v>88</c:v>
                </c:pt>
                <c:pt idx="8">
                  <c:v>4</c:v>
                </c:pt>
                <c:pt idx="9">
                  <c:v>7</c:v>
                </c:pt>
                <c:pt idx="10">
                  <c:v>138</c:v>
                </c:pt>
                <c:pt idx="11">
                  <c:v>3</c:v>
                </c:pt>
                <c:pt idx="12">
                  <c:v>3</c:v>
                </c:pt>
                <c:pt idx="13">
                  <c:v>5</c:v>
                </c:pt>
                <c:pt idx="14">
                  <c:v>1</c:v>
                </c:pt>
                <c:pt idx="15">
                  <c:v>4</c:v>
                </c:pt>
              </c:numCache>
            </c:numRef>
          </c:val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41"/>
        <c:overlap val="0"/>
        <c:axId val="554167851"/>
        <c:axId val="231225085"/>
      </c:barChart>
      <c:catAx>
        <c:axId val="554167851"/>
        <c:scaling>
          <c:orientation val="minMax"/>
        </c:scaling>
        <c:delete val="0"/>
        <c:axPos val="b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cap="none" spc="0" normalizeH="0" baseline="0">
                <a:solidFill>
                  <a:schemeClr val="tx1"/>
                </a:solidFill>
                <a:effectLst/>
                <a:uFill>
                  <a:solidFill>
                    <a:schemeClr val="tx1">
                      <a:lumMod val="65000"/>
                      <a:lumOff val="35000"/>
                    </a:schemeClr>
                  </a:solidFill>
                </a:uFill>
                <a:latin typeface="+mn-lt"/>
                <a:ea typeface="黑体" panose="02010609060101010101" charset="-122"/>
                <a:cs typeface="+mn-cs"/>
              </a:defRPr>
            </a:pPr>
          </a:p>
        </c:txPr>
        <c:crossAx val="231225085"/>
        <c:crosses val="autoZero"/>
        <c:auto val="1"/>
        <c:lblAlgn val="ctr"/>
        <c:lblOffset val="100"/>
        <c:noMultiLvlLbl val="0"/>
      </c:catAx>
      <c:valAx>
        <c:axId val="231225085"/>
        <c:scaling>
          <c:orientation val="minMax"/>
        </c:scaling>
        <c:delete val="1"/>
        <c:axPos val="l"/>
        <c:numFmt formatCode="General" sourceLinked="1"/>
        <c:majorTickMark val="none"/>
        <c:minorTickMark val="none"/>
        <c:tickLblPos val="nextTo"/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dk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554167851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gradFill flip="none" rotWithShape="1">
      <a:gsLst>
        <a:gs pos="0">
          <a:schemeClr val="lt1"/>
        </a:gs>
        <a:gs pos="68000">
          <a:schemeClr val="lt1">
            <a:lumMod val="85000"/>
          </a:schemeClr>
        </a:gs>
        <a:gs pos="100000">
          <a:schemeClr val="lt1"/>
        </a:gs>
      </a:gsLst>
      <a:lin ang="5400000" scaled="1"/>
    </a:gradFill>
    <a:ln w="9525" cap="flat" cmpd="sng" algn="ctr">
      <a:solidFill>
        <a:schemeClr val="dk1">
          <a:lumMod val="15000"/>
          <a:lumOff val="85000"/>
        </a:schemeClr>
      </a:solidFill>
      <a:round/>
    </a:ln>
    <a:effectLst/>
  </c:spPr>
  <c:txPr>
    <a:bodyPr/>
    <a:lstStyle/>
    <a:p>
      <a:pPr>
        <a:defRPr lang="zh-CN"/>
      </a:pPr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0" vertOverflow="ellipsis" vert="horz" wrap="square" anchor="ctr" anchorCtr="1"/>
          <a:lstStyle/>
          <a:p>
            <a:pPr defTabSz="914400">
              <a:defRPr lang="zh-CN"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b="1">
                <a:solidFill>
                  <a:schemeClr val="tx1"/>
                </a:solidFill>
                <a:uFillTx/>
                <a:ea typeface="黑体" panose="02010609060101010101" charset="-122"/>
              </a:rPr>
              <a:t>历年依申请公开办理情况</a:t>
            </a:r>
            <a:endParaRPr b="1">
              <a:solidFill>
                <a:schemeClr val="tx1"/>
              </a:solidFill>
              <a:uFillTx/>
              <a:ea typeface="黑体" panose="02010609060101010101" charset="-122"/>
            </a:endParaRPr>
          </a:p>
        </c:rich>
      </c:tx>
      <c:layout/>
      <c:overlay val="0"/>
      <c:spPr>
        <a:noFill/>
        <a:ln>
          <a:noFill/>
        </a:ln>
        <a:effectLst/>
      </c:spPr>
    </c:title>
    <c:autoTitleDeleted val="0"/>
    <c:plotArea>
      <c:layout/>
      <c:lineChart>
        <c:grouping val="standar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系列 1</c:v>
                </c:pt>
              </c:strCache>
            </c:strRef>
          </c:tx>
          <c:spPr>
            <a:ln w="28575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dLbls>
            <c:delete val="1"/>
          </c:dLbls>
          <c:cat>
            <c:strRef>
              <c:f>Sheet1!$A$2:$A$5</c:f>
              <c:strCache>
                <c:ptCount val="4"/>
                <c:pt idx="0">
                  <c:v>2018年</c:v>
                </c:pt>
                <c:pt idx="1">
                  <c:v>2019年</c:v>
                </c:pt>
                <c:pt idx="2">
                  <c:v>2020年</c:v>
                </c:pt>
                <c:pt idx="3">
                  <c:v>2021年</c:v>
                </c:pt>
              </c:strCache>
            </c:strRef>
          </c:cat>
          <c:val>
            <c:numRef>
              <c:f>Sheet1!$B$2:$B$5</c:f>
              <c:numCache>
                <c:formatCode>General</c:formatCode>
                <c:ptCount val="4"/>
                <c:pt idx="0">
                  <c:v>0</c:v>
                </c:pt>
                <c:pt idx="1">
                  <c:v>0</c:v>
                </c:pt>
                <c:pt idx="2">
                  <c:v>2</c:v>
                </c:pt>
                <c:pt idx="3">
                  <c:v>1</c:v>
                </c:pt>
              </c:numCache>
            </c:numRef>
          </c:val>
          <c:smooth val="0"/>
        </c:ser>
        <c:ser>
          <c:idx val="1"/>
          <c:order val="1"/>
          <c:tx>
            <c:strRef>
              <c:f>Sheet1!#REF!</c:f>
              <c:strCache>
                <c:ptCount val="1"/>
                <c:pt idx="0">
                  <c:v/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dLbls>
            <c:delete val="1"/>
          </c:dLbls>
          <c:cat>
            <c:strRef>
              <c:f>Sheet1!$A$2:$A$5</c:f>
              <c:strCache>
                <c:ptCount val="4"/>
                <c:pt idx="0">
                  <c:v>2018年</c:v>
                </c:pt>
                <c:pt idx="1">
                  <c:v>2019年</c:v>
                </c:pt>
                <c:pt idx="2">
                  <c:v>2020年</c:v>
                </c:pt>
                <c:pt idx="3">
                  <c:v>2021年</c:v>
                </c:pt>
              </c:strCache>
            </c:strRef>
          </c:cat>
          <c:val>
            <c:numRef>
              <c:f>Sheet1!#REF!</c:f>
              <c:numCache>
                <c:formatCode>General</c:formatCode>
                <c:ptCount val="1"/>
                <c:pt idx="0">
                  <c:v>1</c:v>
                </c:pt>
              </c:numCache>
            </c:numRef>
          </c:val>
          <c:smooth val="0"/>
        </c:ser>
        <c:ser>
          <c:idx val="2"/>
          <c:order val="2"/>
          <c:tx>
            <c:strRef>
              <c:f>Sheet1!#REF!</c:f>
              <c:strCache>
                <c:ptCount val="1"/>
                <c:pt idx="0">
                  <c:v/>
                </c:pt>
              </c:strCache>
            </c:strRef>
          </c:tx>
          <c:spPr>
            <a:ln w="28575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dLbls>
            <c:delete val="1"/>
          </c:dLbls>
          <c:cat>
            <c:strRef>
              <c:f>Sheet1!$A$2:$A$5</c:f>
              <c:strCache>
                <c:ptCount val="4"/>
                <c:pt idx="0">
                  <c:v>2018年</c:v>
                </c:pt>
                <c:pt idx="1">
                  <c:v>2019年</c:v>
                </c:pt>
                <c:pt idx="2">
                  <c:v>2020年</c:v>
                </c:pt>
                <c:pt idx="3">
                  <c:v>2021年</c:v>
                </c:pt>
              </c:strCache>
            </c:strRef>
          </c:cat>
          <c:val>
            <c:numRef>
              <c:f>Sheet1!#REF!</c:f>
              <c:numCache>
                <c:formatCode>General</c:formatCode>
                <c:ptCount val="1"/>
                <c:pt idx="0">
                  <c:v>1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0"/>
        <c:smooth val="0"/>
        <c:axId val="16320589"/>
        <c:axId val="242814028"/>
      </c:lineChart>
      <c:catAx>
        <c:axId val="16320589"/>
        <c:scaling>
          <c:orientation val="minMax"/>
        </c:scaling>
        <c:delete val="0"/>
        <c:axPos val="b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1000" b="0" i="0" u="none" strike="noStrike" kern="1200" cap="none" spc="0" normalizeH="0" baseline="0">
                <a:solidFill>
                  <a:schemeClr val="tx1"/>
                </a:solidFill>
                <a:uFill>
                  <a:solidFill>
                    <a:schemeClr val="tx1">
                      <a:lumMod val="65000"/>
                      <a:lumOff val="35000"/>
                    </a:schemeClr>
                  </a:solidFill>
                </a:uFill>
                <a:latin typeface="+mn-lt"/>
                <a:ea typeface="黑体" panose="02010609060101010101" charset="-122"/>
                <a:cs typeface="+mn-cs"/>
              </a:defRPr>
            </a:pPr>
          </a:p>
        </c:txPr>
        <c:crossAx val="242814028"/>
        <c:crosses val="autoZero"/>
        <c:auto val="1"/>
        <c:lblAlgn val="ctr"/>
        <c:lblOffset val="100"/>
        <c:noMultiLvlLbl val="0"/>
      </c:catAx>
      <c:valAx>
        <c:axId val="24281402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16320589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lang="zh-CN"/>
      </a:pPr>
    </a:p>
  </c:txPr>
  <c:externalData r:id="rId1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63">
  <cs:axisTitle>
    <cs:lnRef idx="0"/>
    <cs:fillRef idx="0"/>
    <cs:effectRef idx="0"/>
    <cs:fontRef idx="minor">
      <a:schemeClr val="tx1">
        <a:lumMod val="50000"/>
        <a:lumOff val="50000"/>
      </a:schemeClr>
    </cs:fontRef>
    <cs:defRPr sz="9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1587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>
      <cs:styleClr val="auto"/>
    </cs:lnRef>
    <cs:fillRef idx="0"/>
    <cs:effectRef idx="0">
      <cs:styleClr val="auto"/>
    </cs:effectRef>
    <cs:fontRef idx="minor">
      <cs:styleClr val="auto"/>
    </cs:fontRef>
    <cs:spPr>
      <a:solidFill>
        <a:schemeClr val="lt1">
          <a:alpha val="90000"/>
        </a:schemeClr>
      </a:solidFill>
      <a:ln w="12700" cap="flat" cmpd="sng" algn="ctr">
        <a:solidFill>
          <a:schemeClr val="phClr"/>
        </a:solidFill>
        <a:round/>
      </a:ln>
      <a:effectLst>
        <a:outerShdw blurRad="50800" dist="38100" dir="2700000" algn="tl" rotWithShape="0">
          <a:schemeClr val="phClr">
            <a:lumMod val="75000"/>
            <a:alpha val="40000"/>
          </a:schemeClr>
        </a:outerShdw>
      </a:effectLst>
    </cs:spPr>
    <cs:defRPr sz="1000" b="0" i="0" u="none" strike="noStrike" kern="1200" baseline="0">
      <a:effectLst/>
    </cs:defRPr>
    <cs:bodyPr rot="0" spcFirstLastPara="1" vertOverflow="clip" horzOverflow="clip" vert="horz" wrap="square" lIns="38100" tIns="19050" rIns="38100" bIns="19050" anchor="ctr" anchorCtr="1">
      <a:spAutoFit/>
    </cs:bodyPr>
  </cs:dataLabel>
  <cs:dataLabelCallout>
    <cs:lnRef idx="0">
      <cs:styleClr val="auto"/>
    </cs:lnRef>
    <cs:fillRef idx="0"/>
    <cs:effectRef idx="0">
      <cs:styleClr val="auto"/>
    </cs:effectRef>
    <cs:fontRef idx="minor">
      <cs:styleClr val="auto"/>
    </cs:fontRef>
    <cs:spPr>
      <a:solidFill>
        <a:schemeClr val="lt1">
          <a:alpha val="90000"/>
        </a:schemeClr>
      </a:solidFill>
      <a:ln w="12700" cap="flat" cmpd="sng" algn="ctr">
        <a:solidFill>
          <a:schemeClr val="phClr"/>
        </a:solidFill>
        <a:round/>
      </a:ln>
      <a:effectLst>
        <a:outerShdw blurRad="50800" dist="38100" dir="2700000" algn="tl" rotWithShape="0">
          <a:schemeClr val="phClr">
            <a:lumMod val="75000"/>
            <a:alpha val="40000"/>
          </a:schemeClr>
        </a:outerShdw>
      </a:effectLst>
    </cs:spPr>
    <cs:defRPr sz="1000" b="0" i="0" u="none" strike="noStrike" kern="1200" baseline="0">
      <a:effectLst/>
    </cs:defRPr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tx1"/>
    </cs:fontRef>
    <cs:spPr>
      <a:solidFill>
        <a:schemeClr val="phClr">
          <a:alpha val="70000"/>
        </a:schemeClr>
      </a:solidFill>
    </cs:spPr>
  </cs:dataPoint>
  <cs:dataPoint3D>
    <cs:lnRef idx="0">
      <cs:styleClr val="auto"/>
    </cs:lnRef>
    <cs:fillRef idx="0">
      <cs:styleClr val="auto"/>
    </cs:fillRef>
    <cs:effectRef idx="0">
      <cs:styleClr val="auto"/>
    </cs:effectRef>
    <cs:fontRef idx="minor">
      <a:schemeClr val="tx1"/>
    </cs:fontRef>
    <cs:spPr>
      <a:solidFill>
        <a:schemeClr val="phClr">
          <a:alpha val="90000"/>
        </a:schemeClr>
      </a:solidFill>
      <a:ln w="19050">
        <a:solidFill>
          <a:schemeClr val="phClr">
            <a:lumMod val="75000"/>
          </a:schemeClr>
        </a:solidFill>
      </a:ln>
      <a:effectLst>
        <a:innerShdw blurRad="114300">
          <a:schemeClr val="phClr">
            <a:lumMod val="75000"/>
          </a:schemeClr>
        </a:innerShdw>
      </a:effectLst>
      <a:scene3d>
        <a:camera prst="orthographicFront"/>
        <a:lightRig rig="threePt" dir="t"/>
      </a:scene3d>
      <a:sp3d contourW="19050" prstMaterial="flat">
        <a:contourClr>
          <a:schemeClr val="accent4">
            <a:lumMod val="75000"/>
          </a:schemeClr>
        </a:contourClr>
      </a:sp3d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tx1"/>
    </cs:fontRef>
    <cs:spPr>
      <a:solidFill>
        <a:schemeClr val="phClr"/>
      </a:solidFill>
      <a:ln w="9525">
        <a:solidFill>
          <a:schemeClr val="lt1"/>
        </a:solidFill>
      </a:ln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ln w="9525">
        <a:solidFill>
          <a:schemeClr val="tx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75000"/>
          <a:lumOff val="2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solidFill>
          <a:schemeClr val="tx1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1">
        <a:lumMod val="50000"/>
        <a:lumOff val="50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800" b="1" kern="1200" cap="all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5875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 spc="20" baseline="0"/>
  </cs:valueAxis>
  <cs:wall>
    <cs:lnRef idx="0"/>
    <cs:fillRef idx="0"/>
    <cs:effectRef idx="0"/>
    <cs:fontRef idx="minor">
      <a:schemeClr val="dk1"/>
    </cs:fontRef>
  </cs:wall>
</cs:chartStyle>
</file>

<file path=word/charts/style2.xml><?xml version="1.0" encoding="utf-8"?>
<cs:chartStyle xmlns:cs="http://schemas.microsoft.com/office/drawing/2012/chartStyle" xmlns:a="http://schemas.openxmlformats.org/drawingml/2006/main" id="22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solidFill>
        <a:schemeClr val="phClr"/>
      </a:solidFill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04">
  <cs:axisTitle>
    <cs:lnRef idx="0"/>
    <cs:fillRef idx="0"/>
    <cs:effectRef idx="0"/>
    <cs:fontRef idx="minor">
      <a:schemeClr val="dk1">
        <a:lumMod val="65000"/>
        <a:lumOff val="3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65000"/>
        <a:lumOff val="35000"/>
      </a:schemeClr>
    </cs:fontRef>
    <cs:defRPr sz="900" kern="1200">
      <a:effectLst/>
    </cs:defRPr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68000">
            <a:schemeClr val="lt1">
              <a:lumMod val="85000"/>
            </a:schemeClr>
          </a:gs>
          <a:gs pos="100000">
            <a:schemeClr val="lt1"/>
          </a:gs>
        </a:gsLst>
        <a:lin ang="5400000" scaled="1"/>
      </a:gradFill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lt1"/>
    </cs:fontRef>
    <cs:defRPr sz="10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solidFill>
        <a:schemeClr val="dk1">
          <a:lumMod val="65000"/>
          <a:lumOff val="35000"/>
          <a:alpha val="75000"/>
        </a:schemeClr>
      </a:solidFill>
    </cs:spPr>
    <cs:defRPr sz="1000" b="1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>
      <cs:styleClr val="auto"/>
    </cs:lnRef>
    <cs:fillRef idx="0">
      <cs:styleClr val="auto"/>
    </cs:fillRef>
    <cs:effectRef idx="0"/>
    <cs:fontRef idx="minor">
      <a:schemeClr val="dk1"/>
    </cs:fontRef>
    <cs:spPr>
      <a:gradFill>
        <a:gsLst>
          <a:gs pos="0">
            <a:schemeClr val="phClr"/>
          </a:gs>
          <a:gs pos="100000">
            <a:schemeClr val="phClr">
              <a:lumMod val="84000"/>
            </a:schemeClr>
          </a:gs>
        </a:gsLst>
        <a:lin ang="5400000" scaled="1"/>
      </a:gradFill>
      <a:effectLst>
        <a:outerShdw blurRad="76200" dir="18900000" sy="23000" kx="-1200000" algn="bl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gradFill>
        <a:gsLst>
          <a:gs pos="0">
            <a:schemeClr val="phClr"/>
          </a:gs>
          <a:gs pos="100000">
            <a:schemeClr val="phClr">
              <a:lumMod val="84000"/>
            </a:schemeClr>
          </a:gs>
        </a:gsLst>
        <a:lin ang="5400000" scaled="1"/>
      </a:gradFill>
      <a:effectLst>
        <a:outerShdw blurRad="76200" dir="18900000" sy="23000" kx="-1200000" algn="bl" rotWithShape="0">
          <a:prstClr val="black">
            <a:alpha val="20000"/>
          </a:prstClr>
        </a:out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8575" cap="rnd">
        <a:gradFill>
          <a:gsLst>
            <a:gs pos="0">
              <a:schemeClr val="phClr"/>
            </a:gs>
            <a:gs pos="100000">
              <a:schemeClr val="phClr">
                <a:lumMod val="84000"/>
              </a:schemeClr>
            </a:gs>
          </a:gsLst>
          <a:lin ang="5400000" scaled="1"/>
        </a:gra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gradFill>
        <a:gsLst>
          <a:gs pos="0">
            <a:schemeClr val="phClr"/>
          </a:gs>
          <a:gs pos="100000">
            <a:schemeClr val="phClr">
              <a:lumMod val="84000"/>
            </a:schemeClr>
          </a:gs>
        </a:gsLst>
        <a:lin ang="5400000" scaled="1"/>
      </a:gradFill>
      <a:effectLst>
        <a:outerShdw blurRad="76200" dir="18900000" sy="23000" kx="-1200000" algn="bl" rotWithShape="0">
          <a:prstClr val="black">
            <a:alpha val="20000"/>
          </a:prstClr>
        </a:outerShdw>
      </a:effectLst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65000"/>
        <a:lumOff val="35000"/>
      </a:schemeClr>
    </cs:fontRef>
    <cs:spPr>
      <a:ln w="9525">
        <a:solidFill>
          <a:schemeClr val="dk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35000"/>
          <a:lumOff val="65000"/>
        </a:schemeClr>
      </a:solidFill>
      <a:ln w="9525">
        <a:solidFill>
          <a:schemeClr val="dk1">
            <a:lumMod val="50000"/>
            <a:lumOff val="50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solidFill>
          <a:schemeClr val="dk1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65000"/>
        <a:lumOff val="35000"/>
      </a:schemeClr>
    </cs:fontRef>
    <cs:spPr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65000"/>
        <a:lumOff val="35000"/>
      </a:schemeClr>
    </cs:fontRef>
    <cs:defRPr kern="1200">
      <a:effectLst/>
    </cs:defRPr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>
          <a:lumMod val="95000"/>
        </a:schemeClr>
      </a:solidFill>
      <a:ln w="9525">
        <a:solidFill>
          <a:schemeClr val="dk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1584</Words>
  <Characters>9030</Characters>
  <Lines>75</Lines>
  <Paragraphs>21</Paragraphs>
  <TotalTime>19</TotalTime>
  <ScaleCrop>false</ScaleCrop>
  <LinksUpToDate>false</LinksUpToDate>
  <CharactersWithSpaces>10593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2021-09-03T15:57:00Z</dcterms:created>
  <dc:creator>qiyuanhua0168@163.com</dc:creator>
  <cp:lastModifiedBy>孙宇凡</cp:lastModifiedBy>
  <cp:lastPrinted>2022-01-24T02:02:00Z</cp:lastPrinted>
  <dcterms:modified xsi:type="dcterms:W3CDTF">2024-02-28T01:14:24Z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BB34D1C091894C9CB704505A443B8A6E</vt:lpwstr>
  </property>
</Properties>
</file>