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8F6CC8">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45"/>
        <w:jc w:val="center"/>
        <w:textAlignment w:val="auto"/>
        <w:rPr>
          <w:rFonts w:hint="eastAsia" w:ascii="Times New Roman" w:hAnsi="Times New Roman" w:eastAsia="方正小标宋简体" w:cs="方正小标宋简体"/>
          <w:sz w:val="44"/>
          <w:szCs w:val="44"/>
        </w:rPr>
      </w:pPr>
      <w:r>
        <w:rPr>
          <w:rFonts w:hint="eastAsia" w:ascii="Times New Roman" w:hAnsi="Times New Roman" w:eastAsia="方正小标宋简体" w:cs="方正小标宋简体"/>
          <w:sz w:val="44"/>
          <w:szCs w:val="44"/>
        </w:rPr>
        <w:t>威海市文登区民政局2019年度政府信息公开工作报告</w:t>
      </w:r>
    </w:p>
    <w:p w14:paraId="3DE09A78">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45"/>
        <w:textAlignment w:val="auto"/>
        <w:rPr>
          <w:rFonts w:ascii="Times New Roman" w:hAnsi="Times New Roman"/>
          <w:sz w:val="21"/>
          <w:szCs w:val="21"/>
        </w:rPr>
      </w:pPr>
      <w:r>
        <w:rPr>
          <w:rFonts w:ascii="Times New Roman" w:hAnsi="Times New Roman" w:eastAsia="黑体" w:cs="黑体"/>
          <w:sz w:val="31"/>
          <w:szCs w:val="31"/>
        </w:rPr>
        <w:t>一、</w:t>
      </w:r>
      <w:r>
        <w:rPr>
          <w:rFonts w:hint="eastAsia" w:ascii="Times New Roman" w:hAnsi="Times New Roman" w:eastAsia="黑体" w:cs="黑体"/>
          <w:sz w:val="31"/>
          <w:szCs w:val="31"/>
        </w:rPr>
        <w:t>总体情况</w:t>
      </w:r>
    </w:p>
    <w:p w14:paraId="7DB70DB6">
      <w:pPr>
        <w:pStyle w:val="2"/>
        <w:keepNext w:val="0"/>
        <w:keepLines w:val="0"/>
        <w:pageBreakBefore w:val="0"/>
        <w:widowControl/>
        <w:suppressLineNumbers w:val="0"/>
        <w:kinsoku/>
        <w:wordWrap/>
        <w:overflowPunct/>
        <w:topLinePunct w:val="0"/>
        <w:autoSpaceDE/>
        <w:autoSpaceDN/>
        <w:bidi w:val="0"/>
        <w:adjustRightInd/>
        <w:snapToGrid/>
        <w:spacing w:after="75" w:afterAutospacing="0" w:line="560" w:lineRule="exact"/>
        <w:ind w:left="0" w:firstLine="645"/>
        <w:textAlignment w:val="auto"/>
        <w:rPr>
          <w:rFonts w:ascii="Times New Roman" w:hAnsi="Times New Roman"/>
          <w:sz w:val="21"/>
          <w:szCs w:val="21"/>
        </w:rPr>
      </w:pPr>
      <w:r>
        <w:rPr>
          <w:rFonts w:ascii="Times New Roman" w:hAnsi="Times New Roman" w:eastAsia="仿宋_GB2312" w:cs="仿宋_GB2312"/>
          <w:sz w:val="31"/>
          <w:szCs w:val="31"/>
        </w:rPr>
        <w:t>2019</w:t>
      </w:r>
      <w:r>
        <w:rPr>
          <w:rFonts w:hint="eastAsia" w:ascii="Times New Roman" w:hAnsi="Times New Roman" w:eastAsia="仿宋_GB2312" w:cs="仿宋_GB2312"/>
          <w:sz w:val="31"/>
          <w:szCs w:val="31"/>
        </w:rPr>
        <w:t>年，文登区民政局认真贯彻落实《中华人民共和国政府信息公开条例》和《山东省政府信息公开办法》的规定，在区委、区政府的正确领导下，紧密围绕民政中心工作，不断建立和完善政府信息公开制度、深化政府信息公开内容、规范政府信息公开流程、拓展政府信息公开形式，政府信息公开工作取得显著成绩。积极拓展政府信息公开渠道，依托互联网、媒体、业务办事大厅等载体，建立完善信息发布与政府信息公开于一体的服务平台；在政府信息公开方面，主动公开与群众咨询公开相结合，不断提高政府机关行政透明度和办事效率；制度建设上，继续完善各种制度规章，依法、按时公开各种政府信息，促进政府机关依法行政，全面接受社会监督。全年，通过政府信息公开网站民政专栏、文登发布、新闻发布会、新闻媒体、报纸报刊、公告栏、电子显示屏、微信公众号、政务微博等多种形式，发布各类惠民政策、办事指南、政策解读、工作动态等服务信息</w:t>
      </w:r>
      <w:r>
        <w:rPr>
          <w:rFonts w:hint="eastAsia" w:ascii="Times New Roman" w:hAnsi="Times New Roman" w:eastAsia="仿宋_GB2312" w:cs="仿宋_GB2312"/>
          <w:sz w:val="31"/>
          <w:szCs w:val="31"/>
          <w:lang w:val="en-US" w:eastAsia="zh-CN"/>
        </w:rPr>
        <w:t>300</w:t>
      </w:r>
      <w:r>
        <w:rPr>
          <w:rFonts w:hint="eastAsia" w:ascii="Times New Roman" w:hAnsi="Times New Roman" w:eastAsia="仿宋_GB2312" w:cs="仿宋_GB2312"/>
          <w:sz w:val="31"/>
          <w:szCs w:val="31"/>
        </w:rPr>
        <w:t>多条，及时、全面公开政府信息，积极受理和回复政府信息公开申请，为公众提供了比较好的政府信息公开服务。</w:t>
      </w:r>
    </w:p>
    <w:p w14:paraId="28916302">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ascii="Times New Roman" w:hAnsi="Times New Roman" w:eastAsia="楷体_GB2312" w:cs="楷体_GB2312"/>
          <w:sz w:val="31"/>
          <w:szCs w:val="31"/>
        </w:rPr>
        <w:t>（一）</w:t>
      </w:r>
      <w:r>
        <w:rPr>
          <w:rFonts w:hint="eastAsia" w:ascii="Times New Roman" w:hAnsi="Times New Roman" w:eastAsia="楷体_GB2312" w:cs="楷体_GB2312"/>
          <w:sz w:val="31"/>
          <w:szCs w:val="31"/>
        </w:rPr>
        <w:t>组织领导和制度建设情况。</w:t>
      </w:r>
      <w:r>
        <w:rPr>
          <w:rFonts w:hint="eastAsia" w:ascii="Times New Roman" w:hAnsi="Times New Roman" w:eastAsia="仿宋_GB2312" w:cs="仿宋_GB2312"/>
          <w:sz w:val="31"/>
          <w:szCs w:val="31"/>
        </w:rPr>
        <w:t>一是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为改进和完善政府信息公开工作提供参考和基础保障。二是完善制度管理机制。完善依申请公开、限时公开、申请受理、考核监督、保密审查、社会评议、责任追究等工作机制。严格按照区政府下发的文件要求，进一步规范工作流程和工作标准，确保政府信息公开工作安全、有效、有序进行。</w:t>
      </w:r>
    </w:p>
    <w:p w14:paraId="46C7B39B">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hint="eastAsia" w:ascii="Times New Roman" w:hAnsi="Times New Roman" w:eastAsia="楷体_GB2312" w:cs="楷体_GB2312"/>
          <w:sz w:val="31"/>
          <w:szCs w:val="31"/>
        </w:rPr>
        <w:t>（二）发布解读、回应社会关切以及互动交流情况。</w:t>
      </w:r>
      <w:r>
        <w:rPr>
          <w:rFonts w:hint="eastAsia" w:ascii="Times New Roman" w:hAnsi="Times New Roman" w:eastAsia="仿宋_GB2312" w:cs="仿宋_GB2312"/>
          <w:sz w:val="31"/>
          <w:szCs w:val="31"/>
        </w:rPr>
        <w:t>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地科学解读。通过办理市长公开电话、区长公开电话、群众来信来访等途径，对办理中统计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行风热线2次，新闻发布会4次、文登发布10余次，对群众所关心不解的问题给予具体回应。通过政府信息公开政策解读专栏发布政策解读8篇。</w:t>
      </w:r>
    </w:p>
    <w:p w14:paraId="2FD3CCF9">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hint="eastAsia" w:ascii="Times New Roman" w:hAnsi="Times New Roman" w:eastAsia="楷体_GB2312" w:cs="楷体_GB2312"/>
          <w:sz w:val="31"/>
          <w:szCs w:val="31"/>
        </w:rPr>
        <w:t>（三）重点领域政府信息公开工作推进情况。</w:t>
      </w:r>
      <w:r>
        <w:rPr>
          <w:rFonts w:hint="eastAsia" w:ascii="Times New Roman" w:hAnsi="Times New Roman" w:eastAsia="仿宋_GB2312" w:cs="仿宋_GB2312"/>
          <w:sz w:val="31"/>
          <w:szCs w:val="31"/>
        </w:rPr>
        <w:t>一是切实推进行政执法信息公开。在政府网站设置行政执法栏目，将行政执法及服务指南等信息向社会公开。二是积极推进财政资金信息公开。已在政府信息公开网站重点领域信息公开专栏的政府部门预决算栏目中公开财政预决算执行情况和其他财政收支审计情况，大力压缩“三公”经费支出，及时在文登公共资源交易网公开局招标、采购等信息，确保各项信息及时、透明、公开发布。三是加强社会关切信息公开。全面落实城乡低保、特困人员供养、临时救助等社会救助信息公开，加大社会救助对象人数、救助标准及救助资金数额等信息公开力度。</w:t>
      </w:r>
    </w:p>
    <w:p w14:paraId="7C2B54FD">
      <w:pPr>
        <w:pStyle w:val="2"/>
        <w:keepNext w:val="0"/>
        <w:keepLines w:val="0"/>
        <w:pageBreakBefore w:val="0"/>
        <w:widowControl/>
        <w:suppressLineNumbers w:val="0"/>
        <w:kinsoku/>
        <w:wordWrap/>
        <w:overflowPunct/>
        <w:topLinePunct w:val="0"/>
        <w:autoSpaceDE/>
        <w:autoSpaceDN/>
        <w:bidi w:val="0"/>
        <w:adjustRightInd/>
        <w:snapToGrid/>
        <w:spacing w:line="560" w:lineRule="exact"/>
        <w:textAlignment w:val="auto"/>
        <w:rPr>
          <w:rFonts w:ascii="Times New Roman" w:hAnsi="Times New Roman"/>
          <w:sz w:val="21"/>
          <w:szCs w:val="21"/>
        </w:rPr>
      </w:pPr>
      <w:r>
        <w:rPr>
          <w:rFonts w:hint="eastAsia" w:ascii="Times New Roman" w:hAnsi="Times New Roman" w:eastAsia="楷体_GB2312" w:cs="楷体_GB2312"/>
          <w:sz w:val="31"/>
          <w:szCs w:val="31"/>
        </w:rPr>
        <w:t>    （四）人大建议和政协提案办理情况。</w:t>
      </w:r>
      <w:r>
        <w:rPr>
          <w:rFonts w:hint="default" w:ascii="Times New Roman" w:hAnsi="Times New Roman" w:cs="Times New Roman"/>
          <w:sz w:val="31"/>
          <w:szCs w:val="31"/>
        </w:rPr>
        <w:t>2019</w:t>
      </w:r>
      <w:r>
        <w:rPr>
          <w:rFonts w:hint="eastAsia" w:ascii="Times New Roman" w:hAnsi="Times New Roman" w:eastAsia="仿宋_GB2312" w:cs="仿宋_GB2312"/>
          <w:sz w:val="31"/>
          <w:szCs w:val="31"/>
        </w:rPr>
        <w:t>年度办理区政协提案</w:t>
      </w:r>
      <w:r>
        <w:rPr>
          <w:rFonts w:hint="default" w:ascii="Times New Roman" w:hAnsi="Times New Roman" w:cs="Times New Roman"/>
          <w:sz w:val="31"/>
          <w:szCs w:val="31"/>
        </w:rPr>
        <w:t>8</w:t>
      </w:r>
      <w:r>
        <w:rPr>
          <w:rFonts w:hint="eastAsia" w:ascii="Times New Roman" w:hAnsi="Times New Roman" w:eastAsia="仿宋_GB2312" w:cs="仿宋_GB2312"/>
          <w:sz w:val="31"/>
          <w:szCs w:val="31"/>
        </w:rPr>
        <w:t>件，委员反馈满意率为</w:t>
      </w:r>
      <w:r>
        <w:rPr>
          <w:rFonts w:hint="default" w:ascii="Times New Roman" w:hAnsi="Times New Roman" w:cs="Times New Roman"/>
          <w:sz w:val="31"/>
          <w:szCs w:val="31"/>
        </w:rPr>
        <w:t>100%</w:t>
      </w:r>
      <w:r>
        <w:rPr>
          <w:rFonts w:hint="eastAsia" w:ascii="Times New Roman" w:hAnsi="Times New Roman" w:eastAsia="仿宋_GB2312" w:cs="仿宋_GB2312"/>
          <w:sz w:val="31"/>
          <w:szCs w:val="31"/>
        </w:rPr>
        <w:t>，均通过政府网站专栏主动公开。</w:t>
      </w:r>
    </w:p>
    <w:p w14:paraId="10B40E02">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jc w:val="both"/>
        <w:textAlignment w:val="auto"/>
        <w:rPr>
          <w:rFonts w:ascii="Times New Roman" w:hAnsi="Times New Roman"/>
          <w:sz w:val="21"/>
          <w:szCs w:val="21"/>
        </w:rPr>
      </w:pPr>
      <w:r>
        <w:rPr>
          <w:rFonts w:hint="eastAsia" w:ascii="Times New Roman" w:hAnsi="Times New Roman" w:eastAsia="楷体_GB2312" w:cs="楷体_GB2312"/>
          <w:sz w:val="31"/>
          <w:szCs w:val="31"/>
        </w:rPr>
        <w:t>（五）主动公开政府信息情况以及公开平台建设情况。</w:t>
      </w:r>
      <w:r>
        <w:rPr>
          <w:rFonts w:hint="eastAsia" w:ascii="Times New Roman" w:hAnsi="Times New Roman" w:eastAsia="仿宋_GB2312" w:cs="仿宋_GB2312"/>
          <w:sz w:val="31"/>
          <w:szCs w:val="31"/>
        </w:rPr>
        <w:t>一是加大了主动公开政府信息工作力度。2019年，文登区民政局共主动公开政府信息</w:t>
      </w:r>
      <w:r>
        <w:rPr>
          <w:rFonts w:hint="eastAsia" w:ascii="Times New Roman" w:hAnsi="Times New Roman" w:eastAsia="仿宋_GB2312" w:cs="仿宋_GB2312"/>
          <w:sz w:val="31"/>
          <w:szCs w:val="31"/>
          <w:lang w:val="en-US" w:eastAsia="zh-CN"/>
        </w:rPr>
        <w:t>300</w:t>
      </w:r>
      <w:r>
        <w:rPr>
          <w:rFonts w:hint="eastAsia" w:ascii="Times New Roman" w:hAnsi="Times New Roman" w:eastAsia="仿宋_GB2312" w:cs="仿宋_GB2312"/>
          <w:sz w:val="31"/>
          <w:szCs w:val="31"/>
        </w:rPr>
        <w:t>余条。二是强化了政府信息公开平台建设。充分依托政府网站民政专栏信息公开平台开展信息公开工作，加大公开力度，为群众了解民政信息提供方便。并依托各类媒体，进一步扩大社会各界获取信息的渠道。主动适应网络和新媒体快速发展的形势，利用政务微博开展政府信息公开，及时播发群众关注度高的政策法规。专门在各单位业务大厅、服务窗口前设置信息公开栏，向前来办理各种业务的居民提供政策信息。同时与民政专栏形成联动关系，同步公开，同步公示，方便群众更大范围了解公开内容。另外编印各类惠民政策、倡议书、政策宣传挂历、政策解读明白纸4万多份，进一步宣传民政热点政策。</w:t>
      </w:r>
    </w:p>
    <w:p w14:paraId="6ACFDE69">
      <w:pPr>
        <w:pStyle w:val="2"/>
        <w:keepNext w:val="0"/>
        <w:keepLines w:val="0"/>
        <w:pageBreakBefore w:val="0"/>
        <w:widowControl/>
        <w:suppressLineNumbers w:val="0"/>
        <w:kinsoku/>
        <w:wordWrap/>
        <w:overflowPunct/>
        <w:topLinePunct w:val="0"/>
        <w:autoSpaceDE/>
        <w:autoSpaceDN/>
        <w:bidi w:val="0"/>
        <w:adjustRightInd/>
        <w:snapToGrid/>
        <w:spacing w:line="560" w:lineRule="exact"/>
        <w:textAlignment w:val="auto"/>
        <w:rPr>
          <w:rFonts w:ascii="Times New Roman" w:hAnsi="Times New Roman"/>
        </w:rPr>
      </w:pPr>
      <w:r>
        <w:rPr>
          <w:rFonts w:ascii="Times New Roman" w:hAnsi="Times New Roman"/>
        </w:rPr>
        <w:t> </w:t>
      </w:r>
    </w:p>
    <w:p w14:paraId="43B7F0C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ascii="Times New Roman" w:hAnsi="Times New Roman"/>
        </w:rPr>
      </w:pPr>
      <w:r>
        <w:rPr>
          <w:rFonts w:hint="eastAsia" w:ascii="Times New Roman" w:hAnsi="Times New Roman" w:eastAsia="黑体" w:cs="黑体"/>
          <w:color w:val="333333"/>
          <w:sz w:val="31"/>
          <w:szCs w:val="31"/>
          <w:shd w:val="clear" w:fill="FFFFFF"/>
        </w:rPr>
        <w:t> 二、主动公开政府信息情况</w:t>
      </w:r>
    </w:p>
    <w:p w14:paraId="1A3E798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both"/>
        <w:textAlignment w:val="auto"/>
        <w:rPr>
          <w:rFonts w:ascii="Times New Roman" w:hAnsi="Times New Roman"/>
        </w:rPr>
      </w:pPr>
      <w:r>
        <w:rPr>
          <w:rFonts w:ascii="Times New Roman" w:hAnsi="Times New Roman" w:cs="Calibri"/>
          <w:sz w:val="31"/>
          <w:szCs w:val="31"/>
        </w:rPr>
        <w:t> </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20"/>
        <w:gridCol w:w="1875"/>
        <w:gridCol w:w="1275"/>
        <w:gridCol w:w="1890"/>
      </w:tblGrid>
      <w:tr w14:paraId="43AFF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60"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DC3937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第二十条第（一）项</w:t>
            </w:r>
          </w:p>
        </w:tc>
      </w:tr>
      <w:tr w14:paraId="26C81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F63309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2C2D4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本年新</w:t>
            </w:r>
          </w:p>
          <w:p w14:paraId="76680513">
            <w:pPr>
              <w:pStyle w:val="2"/>
              <w:keepNext w:val="0"/>
              <w:keepLines w:val="0"/>
              <w:pageBreakBefore w:val="0"/>
              <w:widowControl/>
              <w:suppressLineNumbers w:val="0"/>
              <w:kinsoku/>
              <w:wordWrap/>
              <w:overflowPunct/>
              <w:topLinePunct w:val="0"/>
              <w:autoSpaceDE/>
              <w:autoSpaceDN/>
              <w:bidi w:val="0"/>
              <w:adjustRightInd/>
              <w:snapToGrid/>
              <w:spacing w:line="560" w:lineRule="exact"/>
              <w:textAlignment w:val="auto"/>
              <w:rPr>
                <w:rFonts w:ascii="Times New Roman" w:hAnsi="Times New Roman"/>
              </w:rPr>
            </w:pPr>
            <w:r>
              <w:rPr>
                <w:rFonts w:hint="eastAsia" w:ascii="Times New Roman" w:hAnsi="Times New Roman" w:eastAsia="仿宋_GB2312" w:cs="仿宋_GB2312"/>
                <w:sz w:val="28"/>
                <w:szCs w:val="28"/>
              </w:rPr>
              <w:t>制作数量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8E940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本年新</w:t>
            </w:r>
          </w:p>
          <w:p w14:paraId="0FA5689E">
            <w:pPr>
              <w:pStyle w:val="2"/>
              <w:keepNext w:val="0"/>
              <w:keepLines w:val="0"/>
              <w:pageBreakBefore w:val="0"/>
              <w:widowControl/>
              <w:suppressLineNumbers w:val="0"/>
              <w:kinsoku/>
              <w:wordWrap/>
              <w:overflowPunct/>
              <w:topLinePunct w:val="0"/>
              <w:autoSpaceDE/>
              <w:autoSpaceDN/>
              <w:bidi w:val="0"/>
              <w:adjustRightInd/>
              <w:snapToGrid/>
              <w:spacing w:line="560" w:lineRule="exact"/>
              <w:textAlignment w:val="auto"/>
              <w:rPr>
                <w:rFonts w:ascii="Times New Roman" w:hAnsi="Times New Roman"/>
              </w:rPr>
            </w:pPr>
            <w:r>
              <w:rPr>
                <w:rFonts w:hint="eastAsia" w:ascii="Times New Roman" w:hAnsi="Times New Roman" w:eastAsia="仿宋_GB2312" w:cs="仿宋_GB2312"/>
                <w:sz w:val="28"/>
                <w:szCs w:val="28"/>
              </w:rPr>
              <w:t>公开数量</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8B9BA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对外公开总数量</w:t>
            </w:r>
          </w:p>
        </w:tc>
      </w:tr>
      <w:tr w14:paraId="65C82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50343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规章</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95729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8C910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8C301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07773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5E028D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规范性文件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2121E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A16BD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438DF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Times New Roman" w:hAnsi="Times New Roman" w:eastAsiaTheme="minorEastAsia"/>
                <w:lang w:eastAsia="zh-CN"/>
              </w:rPr>
            </w:pPr>
            <w:r>
              <w:rPr>
                <w:rFonts w:hint="eastAsia" w:ascii="Times New Roman" w:hAnsi="Times New Roman" w:eastAsia="宋体" w:cs="Calibri"/>
                <w:sz w:val="21"/>
                <w:szCs w:val="21"/>
                <w:lang w:val="en-US" w:eastAsia="zh-CN"/>
              </w:rPr>
              <w:t>3</w:t>
            </w:r>
          </w:p>
        </w:tc>
      </w:tr>
      <w:tr w14:paraId="5834E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64A450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第二十条第（五）项</w:t>
            </w:r>
          </w:p>
        </w:tc>
      </w:tr>
      <w:tr w14:paraId="77D8D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076FD0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20616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5417F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本年增/减</w:t>
            </w:r>
          </w:p>
        </w:tc>
        <w:tc>
          <w:tcPr>
            <w:tcW w:w="18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F2113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处理决定数量</w:t>
            </w:r>
          </w:p>
        </w:tc>
      </w:tr>
      <w:tr w14:paraId="51E3A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E8D911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行政许可</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08DD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71</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9E748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-17</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B7882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17</w:t>
            </w:r>
          </w:p>
        </w:tc>
      </w:tr>
      <w:tr w14:paraId="77A2D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8A472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2BD67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B3851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530ED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432878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10E9B3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第二十条第（六）项</w:t>
            </w:r>
          </w:p>
        </w:tc>
      </w:tr>
      <w:tr w14:paraId="5D529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2A2B67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信息内容</w:t>
            </w:r>
          </w:p>
        </w:tc>
        <w:tc>
          <w:tcPr>
            <w:tcW w:w="18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EA87D1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上一年项目数量</w:t>
            </w:r>
          </w:p>
        </w:tc>
        <w:tc>
          <w:tcPr>
            <w:tcW w:w="12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38D41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本年增</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8A20C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处理决定数量</w:t>
            </w:r>
          </w:p>
        </w:tc>
      </w:tr>
      <w:tr w14:paraId="20B9B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0C285F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行政处罚</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0940C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6C2EA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7AD1C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0BE9B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8D80D2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行政强制</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A8817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2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E3FE8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18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A6EA44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35567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979017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第二十条第（八）项</w:t>
            </w:r>
          </w:p>
        </w:tc>
      </w:tr>
      <w:tr w14:paraId="2EC14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0A714A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1680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上一年项目数量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4A36A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本年增/减</w:t>
            </w:r>
          </w:p>
        </w:tc>
      </w:tr>
      <w:tr w14:paraId="69953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8498BA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行政事业性收费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97FE4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A230C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7463A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60" w:type="dxa"/>
            <w:gridSpan w:val="4"/>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13F29B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第二十条第（九）项</w:t>
            </w:r>
          </w:p>
        </w:tc>
      </w:tr>
      <w:tr w14:paraId="17399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544AA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信息内容</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842AD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采购项目数量</w:t>
            </w:r>
          </w:p>
        </w:tc>
        <w:tc>
          <w:tcPr>
            <w:tcW w:w="3165" w:type="dxa"/>
            <w:gridSpan w:val="2"/>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780D6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采购总金额</w:t>
            </w:r>
          </w:p>
        </w:tc>
      </w:tr>
      <w:tr w14:paraId="06E4D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33ECFC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政府集中采购</w:t>
            </w:r>
          </w:p>
        </w:tc>
        <w:tc>
          <w:tcPr>
            <w:tcW w:w="18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24F33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316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061AA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bl>
    <w:p w14:paraId="0E79598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仿宋_GB2312" w:cs="仿宋_GB2312"/>
          <w:sz w:val="31"/>
          <w:szCs w:val="31"/>
        </w:rPr>
        <w:t> </w:t>
      </w:r>
    </w:p>
    <w:p w14:paraId="2D6E9EF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仿宋_GB2312" w:cs="仿宋_GB2312"/>
          <w:color w:val="333333"/>
          <w:sz w:val="31"/>
          <w:szCs w:val="31"/>
        </w:rPr>
        <w:t>    三、收到和处理政府信息公开申请情况</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770"/>
        <w:gridCol w:w="1050"/>
        <w:gridCol w:w="1876"/>
        <w:gridCol w:w="581"/>
        <w:gridCol w:w="680"/>
        <w:gridCol w:w="681"/>
        <w:gridCol w:w="725"/>
        <w:gridCol w:w="846"/>
        <w:gridCol w:w="659"/>
        <w:gridCol w:w="648"/>
      </w:tblGrid>
      <w:tr w14:paraId="1CFB862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0" w:hRule="atLeast"/>
          <w:jc w:val="center"/>
        </w:trPr>
        <w:tc>
          <w:tcPr>
            <w:tcW w:w="3750"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DCB56A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（本列数据的勾稽关系为：第一项加第二项之和，等于第三项加第四项之和）</w:t>
            </w:r>
          </w:p>
        </w:tc>
        <w:tc>
          <w:tcPr>
            <w:tcW w:w="531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95D0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申请人情况</w:t>
            </w:r>
          </w:p>
        </w:tc>
      </w:tr>
      <w:tr w14:paraId="1DE1B3A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C21066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1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0CC56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自然人</w:t>
            </w:r>
          </w:p>
        </w:tc>
        <w:tc>
          <w:tcPr>
            <w:tcW w:w="400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7147E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法人或其他组织</w:t>
            </w:r>
          </w:p>
        </w:tc>
        <w:tc>
          <w:tcPr>
            <w:tcW w:w="69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8A74C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总计</w:t>
            </w:r>
          </w:p>
        </w:tc>
      </w:tr>
      <w:tr w14:paraId="181B7DF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930" w:hRule="atLeast"/>
          <w:jc w:val="center"/>
        </w:trPr>
        <w:tc>
          <w:tcPr>
            <w:tcW w:w="3750"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97AF516">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1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02B7E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A72EF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商业企业</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A598E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科研机构</w:t>
            </w:r>
          </w:p>
        </w:tc>
        <w:tc>
          <w:tcPr>
            <w:tcW w:w="81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450D7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社会公益组织</w:t>
            </w:r>
          </w:p>
        </w:tc>
        <w:tc>
          <w:tcPr>
            <w:tcW w:w="9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736F4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法律服务机构</w:t>
            </w:r>
          </w:p>
        </w:tc>
        <w:tc>
          <w:tcPr>
            <w:tcW w:w="7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B2C08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其他</w:t>
            </w:r>
          </w:p>
        </w:tc>
        <w:tc>
          <w:tcPr>
            <w:tcW w:w="69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EEFDA4">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r>
      <w:tr w14:paraId="65DFC5B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DFD8A8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一、本年新收政府信息公开申请数量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133D0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eastAsia" w:ascii="Times New Roman" w:hAnsi="Times New Roman" w:eastAsia="宋体" w:cs="宋体"/>
                <w:sz w:val="21"/>
                <w:szCs w:val="21"/>
              </w:rPr>
              <w:t> </w:t>
            </w:r>
            <w:r>
              <w:rPr>
                <w:rFonts w:hint="default" w:ascii="Times New Roman" w:hAnsi="Times New Roman" w:eastAsia="宋体" w:cs="Calibri"/>
                <w:sz w:val="21"/>
                <w:szCs w:val="21"/>
              </w:rPr>
              <w:t>1</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A2D1C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8080B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E061CD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17F75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417BB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A554E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1</w:t>
            </w:r>
          </w:p>
        </w:tc>
      </w:tr>
      <w:tr w14:paraId="274ABE8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8F88C8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二、上年结转政府信息公开申请数量</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D2CDD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eastAsia" w:ascii="Times New Roman" w:hAnsi="Times New Roman" w:eastAsia="宋体" w:cs="宋体"/>
                <w:sz w:val="21"/>
                <w:szCs w:val="21"/>
              </w:rPr>
              <w:t> </w:t>
            </w: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EC18D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8864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DE34C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9ED44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B4007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C0A83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Times New Roman" w:hAnsi="Times New Roman" w:eastAsia="宋体"/>
                <w:lang w:eastAsia="zh-CN"/>
              </w:rPr>
            </w:pPr>
            <w:r>
              <w:rPr>
                <w:rFonts w:hint="eastAsia" w:ascii="Times New Roman" w:hAnsi="Times New Roman" w:eastAsia="宋体" w:cs="宋体"/>
                <w:sz w:val="21"/>
                <w:szCs w:val="21"/>
              </w:rPr>
              <w:t> </w:t>
            </w:r>
            <w:r>
              <w:rPr>
                <w:rFonts w:hint="eastAsia" w:ascii="Times New Roman" w:hAnsi="Times New Roman" w:eastAsia="宋体" w:cs="Calibri"/>
                <w:sz w:val="21"/>
                <w:szCs w:val="21"/>
                <w:lang w:val="en-US" w:eastAsia="zh-CN"/>
              </w:rPr>
              <w:t>0</w:t>
            </w:r>
            <w:bookmarkStart w:id="0" w:name="_GoBack"/>
            <w:bookmarkEnd w:id="0"/>
          </w:p>
        </w:tc>
      </w:tr>
      <w:tr w14:paraId="243E0A6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87F959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三、本年度办理结果</w:t>
            </w: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3C323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（一）予以公开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F38CB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eastAsia" w:ascii="Times New Roman" w:hAnsi="Times New Roman" w:eastAsia="宋体" w:cs="宋体"/>
                <w:sz w:val="21"/>
                <w:szCs w:val="21"/>
              </w:rPr>
              <w:t> </w:t>
            </w:r>
            <w:r>
              <w:rPr>
                <w:rFonts w:hint="default" w:ascii="Times New Roman" w:hAnsi="Times New Roman" w:eastAsia="宋体" w:cs="Calibri"/>
                <w:sz w:val="21"/>
                <w:szCs w:val="21"/>
              </w:rPr>
              <w:t>1</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373C5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69E3E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CEBE3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882F9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CEB64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A85D1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1</w:t>
            </w:r>
            <w:r>
              <w:rPr>
                <w:rFonts w:hint="eastAsia" w:ascii="Times New Roman" w:hAnsi="Times New Roman" w:eastAsia="宋体" w:cs="宋体"/>
                <w:sz w:val="21"/>
                <w:szCs w:val="21"/>
              </w:rPr>
              <w:t> </w:t>
            </w:r>
          </w:p>
        </w:tc>
      </w:tr>
      <w:tr w14:paraId="0E66C3A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32667F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F7511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（二）部分公开（区分处理的，只计这一情形，不计其他情形）</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9B3D0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C1A23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A7E54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082694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E3450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8AF5C6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0BBD8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7BDA039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437C26B">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0DF100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（三）不予</w:t>
            </w:r>
          </w:p>
          <w:p w14:paraId="093B36E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公开</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CCF094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1.属于国家秘密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86B40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F4FDB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BAB6F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9A561B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10F4D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B3D26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4317B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63B01D9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CC4670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F4A63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613A6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2.其他法律行政法规禁止公开</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24BA9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A408B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0B4E0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64376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11B09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10476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C2715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364158C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D7ECB0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4F518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8421F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3.危及“三安全一稳定”</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41D56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028D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074CE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8624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93FB3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B93ED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4379F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227DDCF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D6616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387C9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66E32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4.保护第三方合法权益</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3567C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87F9B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36B2E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F35E1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1C785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3BA5E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860CE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6EDEA40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385E2E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BC8D0B">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B376D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5.属于三类内部事务信息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9FE8A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54823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9C67A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E4977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E2BB9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CBDF1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60155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6CC94B9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3D7D8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0ADBD5">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693F8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6.属于四类过程性信息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547B0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4B0A4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84F97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E507B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91EBD0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995CA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382AD0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2D1B63D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8E2060D">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C0FCB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9A15A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7.属于行政执法案卷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621D0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CA3CD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99B0B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31C1D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159B4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1AD41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022D9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04BD94B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802230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8ADB3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6B198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8.属于行政查询事项</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18416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74229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2E93A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7EABF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D4F4A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5EE61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3470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178BED8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6BFFAE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8A6B7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（四）无法</w:t>
            </w:r>
          </w:p>
          <w:p w14:paraId="33B39A4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提供</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0039F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1.本机关不掌握相关政府信息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1B97B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73F93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A9311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5F661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F9266C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1758C5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902B4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63E7196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D236AB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4FCDA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94804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2.没有现成信息需要另行制作</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22E60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87E8A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61195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293CE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AAE7B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4EBD3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5D34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621543F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98AA2D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E94E7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91371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3.补正后申请内容仍不明确</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02C0B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9A4CB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B758F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D6E50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1FFA8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2737A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57C4A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238C31B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BBBFD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CD8DF2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（五）不予</w:t>
            </w:r>
          </w:p>
          <w:p w14:paraId="787A8F9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处理</w:t>
            </w: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33571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1.信访举报投诉类申请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6FFEE9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AF829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7A4E9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A182C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05E8B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279F3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A5589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2F80A54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B117BC6">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3121D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3A5D2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2.重复申请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FA03E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4A100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A679A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2E6DE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1C2EEB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CB005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41B02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32A8688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CB524D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A6E72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63913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3.要求提供公开出版物</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553784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75C63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AC9728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2F643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93F4D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00836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5E413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3F90A4F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42A4E7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F124EA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9203E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4.无正当理由大量反复申请</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24203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8FB70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21C87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03FD2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532F2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AE4ED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59D46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1104B9D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57FE4A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85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4A6B632">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228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D5CA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5.要求行政机关确认或重新出具已获取信息</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83416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B392E4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2480A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E8706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9551A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584C8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04D41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077237D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7366AD8">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785DB9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（六）其他处理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CA861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FFF52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2895C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3EA4C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B6C47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32D8A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74036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r w14:paraId="028E582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4BC724D">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3135"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0734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（七）总计</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CC9C8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Times New Roman" w:hAnsi="Times New Roman" w:eastAsiaTheme="minorEastAsia"/>
                <w:lang w:eastAsia="zh-CN"/>
              </w:rPr>
            </w:pPr>
            <w:r>
              <w:rPr>
                <w:rFonts w:hint="eastAsia" w:ascii="Times New Roman" w:hAnsi="Times New Roman" w:eastAsia="宋体" w:cs="Calibri"/>
                <w:sz w:val="21"/>
                <w:szCs w:val="21"/>
                <w:lang w:val="en-US" w:eastAsia="zh-CN"/>
              </w:rPr>
              <w:t>1</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3F4F1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882AA1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C5CDC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543D5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20E30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8155F9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Times New Roman" w:hAnsi="Times New Roman" w:eastAsiaTheme="minorEastAsia"/>
                <w:lang w:val="en-US" w:eastAsia="zh-CN"/>
              </w:rPr>
            </w:pPr>
            <w:r>
              <w:rPr>
                <w:rFonts w:hint="eastAsia" w:ascii="Times New Roman" w:hAnsi="Times New Roman"/>
                <w:lang w:val="en-US" w:eastAsia="zh-CN"/>
              </w:rPr>
              <w:t>1</w:t>
            </w:r>
          </w:p>
        </w:tc>
      </w:tr>
      <w:tr w14:paraId="4E2BE4B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750"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C3F36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四、结转下年度继续办理</w:t>
            </w:r>
          </w:p>
        </w:tc>
        <w:tc>
          <w:tcPr>
            <w:tcW w:w="61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005F1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476980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BCD18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2963D0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9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EE295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8AD158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c>
          <w:tcPr>
            <w:tcW w:w="69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04F8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ascii="Times New Roman" w:hAnsi="Times New Roman"/>
              </w:rPr>
            </w:pPr>
            <w:r>
              <w:rPr>
                <w:rFonts w:hint="default" w:ascii="Times New Roman" w:hAnsi="Times New Roman" w:eastAsia="宋体" w:cs="Calibri"/>
                <w:sz w:val="21"/>
                <w:szCs w:val="21"/>
              </w:rPr>
              <w:t>0</w:t>
            </w:r>
          </w:p>
        </w:tc>
      </w:tr>
    </w:tbl>
    <w:p w14:paraId="18220A6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仿宋_GB2312" w:cs="仿宋_GB2312"/>
          <w:sz w:val="31"/>
          <w:szCs w:val="31"/>
        </w:rPr>
        <w:t> </w:t>
      </w:r>
    </w:p>
    <w:p w14:paraId="5B92948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仿宋_GB2312" w:cs="仿宋_GB2312"/>
          <w:color w:val="333333"/>
          <w:sz w:val="31"/>
          <w:szCs w:val="31"/>
          <w:shd w:val="clear" w:fill="FFFFFF"/>
        </w:rPr>
        <w:t>    四、政府信息公开行政复议、行政诉讼情况</w:t>
      </w:r>
    </w:p>
    <w:p w14:paraId="4B98F09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Style w:val="5"/>
          <w:rFonts w:hint="eastAsia" w:ascii="Times New Roman" w:hAnsi="Times New Roman" w:eastAsia="仿宋_GB2312" w:cs="仿宋_GB2312"/>
          <w:color w:val="333333"/>
          <w:sz w:val="31"/>
          <w:szCs w:val="31"/>
          <w:shd w:val="clear" w:fill="FFFFFF"/>
        </w:rPr>
        <w:t> </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555"/>
        <w:gridCol w:w="626"/>
        <w:gridCol w:w="626"/>
        <w:gridCol w:w="657"/>
        <w:gridCol w:w="579"/>
        <w:gridCol w:w="524"/>
        <w:gridCol w:w="547"/>
        <w:gridCol w:w="547"/>
        <w:gridCol w:w="547"/>
        <w:gridCol w:w="555"/>
        <w:gridCol w:w="547"/>
        <w:gridCol w:w="547"/>
        <w:gridCol w:w="547"/>
        <w:gridCol w:w="548"/>
        <w:gridCol w:w="564"/>
      </w:tblGrid>
      <w:tr w14:paraId="6AA5B05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5681D0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26FCB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行政诉讼</w:t>
            </w:r>
          </w:p>
        </w:tc>
      </w:tr>
      <w:tr w14:paraId="1A6121C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E98F71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结果维持</w:t>
            </w:r>
          </w:p>
        </w:tc>
        <w:tc>
          <w:tcPr>
            <w:tcW w:w="60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9CEE7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结果纠正</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D24772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其他结果</w:t>
            </w:r>
          </w:p>
        </w:tc>
        <w:tc>
          <w:tcPr>
            <w:tcW w:w="60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6A193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尚未审结</w:t>
            </w:r>
          </w:p>
        </w:tc>
        <w:tc>
          <w:tcPr>
            <w:tcW w:w="66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850A4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总计</w:t>
            </w:r>
          </w:p>
        </w:tc>
        <w:tc>
          <w:tcPr>
            <w:tcW w:w="297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645A4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未经复议直接起诉</w:t>
            </w:r>
          </w:p>
        </w:tc>
        <w:tc>
          <w:tcPr>
            <w:tcW w:w="303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45CD0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复议后起诉</w:t>
            </w:r>
          </w:p>
        </w:tc>
      </w:tr>
      <w:tr w14:paraId="79DD7AD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81961C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0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094C034">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1807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0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CC94A8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66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084A2C">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sans-serif" w:cs="sans-serif"/>
                <w:sz w:val="24"/>
                <w:szCs w:val="24"/>
              </w:rPr>
            </w:pP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2B65AC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结果维持</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5AC60C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8A59D1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16F79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47DAD8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总计</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647ECE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结果维持</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D139B5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结果纠正</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165E6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其他结果</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BC079D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尚未审结</w:t>
            </w:r>
          </w:p>
        </w:tc>
        <w:tc>
          <w:tcPr>
            <w:tcW w:w="6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232BF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150" w:afterAutospacing="0" w:line="560" w:lineRule="exact"/>
              <w:ind w:left="0" w:right="0"/>
              <w:jc w:val="center"/>
              <w:textAlignment w:val="auto"/>
              <w:rPr>
                <w:rFonts w:ascii="Times New Roman" w:hAnsi="Times New Roman"/>
              </w:rPr>
            </w:pPr>
            <w:r>
              <w:rPr>
                <w:rFonts w:hint="eastAsia" w:ascii="Times New Roman" w:hAnsi="Times New Roman" w:eastAsia="仿宋_GB2312" w:cs="仿宋_GB2312"/>
                <w:sz w:val="28"/>
                <w:szCs w:val="28"/>
              </w:rPr>
              <w:t>总计</w:t>
            </w:r>
          </w:p>
        </w:tc>
      </w:tr>
      <w:tr w14:paraId="22053F2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15"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3BD2B2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C2F50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BA662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81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A8E92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09994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宋体" w:cs="宋体"/>
                <w:sz w:val="24"/>
                <w:szCs w:val="24"/>
              </w:rPr>
              <w:t> </w:t>
            </w:r>
            <w:r>
              <w:rPr>
                <w:rFonts w:hint="default" w:ascii="Times New Roman" w:hAnsi="Times New Roman" w:eastAsia="宋体" w:cs="Calibri"/>
                <w:sz w:val="24"/>
                <w:szCs w:val="24"/>
              </w:rPr>
              <w:t>0</w:t>
            </w:r>
          </w:p>
        </w:tc>
        <w:tc>
          <w:tcPr>
            <w:tcW w:w="5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2B295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宋体" w:cs="宋体"/>
                <w:sz w:val="24"/>
                <w:szCs w:val="24"/>
              </w:rPr>
              <w:t> </w:t>
            </w: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2613E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2224B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566E9A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F1DFD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r>
              <w:rPr>
                <w:rFonts w:hint="eastAsia" w:ascii="Times New Roman" w:hAnsi="Times New Roman" w:eastAsia="宋体" w:cs="宋体"/>
                <w:sz w:val="24"/>
                <w:szCs w:val="24"/>
              </w:rPr>
              <w:t> </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40FA2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DC2DE7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39B26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A4F70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c>
          <w:tcPr>
            <w:tcW w:w="6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C0C1F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default" w:ascii="Times New Roman" w:hAnsi="Times New Roman" w:eastAsia="宋体" w:cs="Calibri"/>
                <w:sz w:val="24"/>
                <w:szCs w:val="24"/>
              </w:rPr>
              <w:t>0</w:t>
            </w:r>
          </w:p>
        </w:tc>
      </w:tr>
    </w:tbl>
    <w:p w14:paraId="113ACF5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rPr>
          <w:rFonts w:ascii="Times New Roman" w:hAnsi="Times New Roman"/>
        </w:rPr>
      </w:pPr>
      <w:r>
        <w:rPr>
          <w:rFonts w:hint="eastAsia" w:ascii="Times New Roman" w:hAnsi="Times New Roman" w:eastAsia="宋体" w:cs="宋体"/>
          <w:sz w:val="31"/>
          <w:szCs w:val="31"/>
        </w:rPr>
        <w:t> </w:t>
      </w:r>
    </w:p>
    <w:p w14:paraId="51BB8C1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45"/>
        <w:jc w:val="both"/>
        <w:textAlignment w:val="auto"/>
        <w:rPr>
          <w:rFonts w:ascii="Times New Roman" w:hAnsi="Times New Roman"/>
        </w:rPr>
      </w:pPr>
      <w:r>
        <w:rPr>
          <w:rFonts w:hint="eastAsia" w:ascii="Times New Roman" w:hAnsi="Times New Roman" w:eastAsia="黑体" w:cs="黑体"/>
          <w:color w:val="333333"/>
          <w:sz w:val="31"/>
          <w:szCs w:val="31"/>
          <w:shd w:val="clear" w:fill="FFFFFF"/>
        </w:rPr>
        <w:t>五、存在的主要问题及改进情况</w:t>
      </w:r>
    </w:p>
    <w:p w14:paraId="62AF2285">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hint="eastAsia" w:ascii="Times New Roman" w:hAnsi="Times New Roman" w:eastAsia="仿宋_GB2312" w:cs="仿宋_GB2312"/>
          <w:sz w:val="31"/>
          <w:szCs w:val="31"/>
        </w:rPr>
        <w:t>2019年，文登区民政局在加强政府信息公开工作方面取得了新的进展，新系统的更换使得信息公开分类更加清晰，但由于个别部门科室业务工作人员公示意识不到位，我局政务信息公开工作目前还存在信息收集渠道不够顺畅、协调工作不够到位、信息传递慢等问题。</w:t>
      </w:r>
    </w:p>
    <w:p w14:paraId="1350B840">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hint="eastAsia" w:ascii="Times New Roman" w:hAnsi="Times New Roman" w:eastAsia="仿宋_GB2312" w:cs="仿宋_GB2312"/>
          <w:sz w:val="31"/>
          <w:szCs w:val="31"/>
        </w:rPr>
        <w:t>2020年，我局将继续加大工作力度，创新工作方法，完善配套制度，努力提高政府信息公开工作水平。 一是加强信息联络人与各业务科室之间的沟通衔接，由业务科室定期报送信息，将信息收集与公开同步进行，确保信息公开准确、及时；二是加强对业务科室的培训，着力提高全局工作人员信息公开意识和信息的总结编辑能力</w:t>
      </w:r>
    </w:p>
    <w:p w14:paraId="5FCEAA55">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45"/>
        <w:textAlignment w:val="auto"/>
        <w:rPr>
          <w:rFonts w:ascii="Times New Roman" w:hAnsi="Times New Roman"/>
          <w:sz w:val="21"/>
          <w:szCs w:val="21"/>
        </w:rPr>
      </w:pPr>
      <w:r>
        <w:rPr>
          <w:rFonts w:hint="eastAsia" w:ascii="Times New Roman" w:hAnsi="Times New Roman" w:eastAsia="黑体" w:cs="黑体"/>
          <w:sz w:val="31"/>
          <w:szCs w:val="31"/>
        </w:rPr>
        <w:t>六、其他需要报告的事项</w:t>
      </w:r>
    </w:p>
    <w:p w14:paraId="2CCA281F">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textAlignment w:val="auto"/>
        <w:rPr>
          <w:rFonts w:ascii="Times New Roman" w:hAnsi="Times New Roman"/>
          <w:sz w:val="21"/>
          <w:szCs w:val="21"/>
        </w:rPr>
      </w:pPr>
      <w:r>
        <w:rPr>
          <w:rFonts w:hint="eastAsia" w:ascii="Times New Roman" w:hAnsi="Times New Roman" w:eastAsia="仿宋_GB2312" w:cs="仿宋_GB2312"/>
          <w:sz w:val="31"/>
          <w:szCs w:val="31"/>
        </w:rPr>
        <w:t>本报告中所列数据的统计时限自2019年1月1日起至2019年12月31日止。本报告的电子版可在</w:t>
      </w:r>
      <w:r>
        <w:rPr>
          <w:rFonts w:hint="eastAsia" w:ascii="Times New Roman" w:hAnsi="Times New Roman" w:eastAsia="仿宋_GB2312" w:cs="仿宋_GB2312"/>
          <w:color w:val="3D3D3D"/>
          <w:sz w:val="31"/>
          <w:szCs w:val="31"/>
        </w:rPr>
        <w:t>威海市文登区人民政府网站（http://www.wendeng.gov.cn/）信息公开专栏查阅</w:t>
      </w:r>
      <w:r>
        <w:rPr>
          <w:rFonts w:hint="eastAsia" w:ascii="Times New Roman" w:hAnsi="Times New Roman" w:eastAsia="仿宋_GB2312" w:cs="仿宋_GB2312"/>
          <w:sz w:val="31"/>
          <w:szCs w:val="31"/>
        </w:rPr>
        <w:t>。如对本报告有疑问，请与文登区民政局办公室联系（地址：文登区世纪大道84号，邮编：264400，电话：0631—8452292）。</w:t>
      </w:r>
    </w:p>
    <w:p w14:paraId="74996F3D">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textAlignment w:val="auto"/>
        <w:rPr>
          <w:rFonts w:ascii="Times New Roman" w:hAnsi="Times New Roman"/>
          <w:sz w:val="21"/>
          <w:szCs w:val="21"/>
        </w:rPr>
      </w:pPr>
      <w:r>
        <w:rPr>
          <w:rFonts w:ascii="Times New Roman" w:hAnsi="Times New Roman" w:cs="Arial"/>
          <w:sz w:val="24"/>
          <w:szCs w:val="24"/>
        </w:rPr>
        <w:t> </w:t>
      </w:r>
    </w:p>
    <w:p w14:paraId="2A1128C8">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jc w:val="right"/>
        <w:textAlignment w:val="auto"/>
        <w:rPr>
          <w:rFonts w:ascii="Times New Roman" w:hAnsi="Times New Roman"/>
          <w:sz w:val="21"/>
          <w:szCs w:val="21"/>
        </w:rPr>
      </w:pPr>
      <w:r>
        <w:rPr>
          <w:rFonts w:hint="default" w:ascii="Times New Roman" w:hAnsi="Times New Roman" w:cs="Arial"/>
          <w:sz w:val="24"/>
          <w:szCs w:val="24"/>
        </w:rPr>
        <w:t> </w:t>
      </w:r>
      <w:r>
        <w:rPr>
          <w:rFonts w:hint="eastAsia" w:ascii="Times New Roman" w:hAnsi="Times New Roman" w:eastAsia="仿宋_GB2312" w:cs="仿宋_GB2312"/>
          <w:sz w:val="31"/>
          <w:szCs w:val="31"/>
        </w:rPr>
        <w:t>威海市文登区民政局</w:t>
      </w:r>
    </w:p>
    <w:p w14:paraId="4846F469">
      <w:pPr>
        <w:pStyle w:val="2"/>
        <w:keepNext w:val="0"/>
        <w:keepLines w:val="0"/>
        <w:pageBreakBefore w:val="0"/>
        <w:widowControl/>
        <w:suppressLineNumbers w:val="0"/>
        <w:kinsoku/>
        <w:wordWrap/>
        <w:overflowPunct/>
        <w:topLinePunct w:val="0"/>
        <w:autoSpaceDE/>
        <w:autoSpaceDN/>
        <w:bidi w:val="0"/>
        <w:adjustRightInd/>
        <w:snapToGrid/>
        <w:spacing w:before="75" w:beforeAutospacing="0" w:after="75" w:afterAutospacing="0" w:line="560" w:lineRule="exact"/>
        <w:ind w:left="0" w:firstLine="645"/>
        <w:jc w:val="right"/>
        <w:textAlignment w:val="auto"/>
        <w:rPr>
          <w:rFonts w:ascii="Times New Roman" w:hAnsi="Times New Roman"/>
          <w:sz w:val="21"/>
          <w:szCs w:val="21"/>
        </w:rPr>
      </w:pPr>
      <w:r>
        <w:rPr>
          <w:rFonts w:hint="eastAsia" w:ascii="Times New Roman" w:hAnsi="Times New Roman" w:eastAsia="仿宋_GB2312" w:cs="仿宋_GB2312"/>
          <w:sz w:val="31"/>
          <w:szCs w:val="31"/>
        </w:rPr>
        <w:t>2020年1月13日 </w:t>
      </w:r>
      <w:r>
        <w:rPr>
          <w:rFonts w:hint="eastAsia" w:ascii="Times New Roman" w:hAnsi="Times New Roman" w:eastAsia="宋体" w:cs="宋体"/>
          <w:sz w:val="21"/>
          <w:szCs w:val="21"/>
        </w:rPr>
        <w:t> </w:t>
      </w:r>
    </w:p>
    <w:p w14:paraId="22CE6A10">
      <w:pPr>
        <w:pStyle w:val="2"/>
        <w:keepNext w:val="0"/>
        <w:keepLines w:val="0"/>
        <w:pageBreakBefore w:val="0"/>
        <w:widowControl/>
        <w:suppressLineNumbers w:val="0"/>
        <w:kinsoku/>
        <w:wordWrap/>
        <w:overflowPunct/>
        <w:topLinePunct w:val="0"/>
        <w:autoSpaceDE/>
        <w:autoSpaceDN/>
        <w:bidi w:val="0"/>
        <w:adjustRightInd/>
        <w:snapToGrid/>
        <w:spacing w:line="560" w:lineRule="exact"/>
        <w:textAlignment w:val="auto"/>
        <w:rPr>
          <w:rFonts w:ascii="Times New Roman" w:hAnsi="Times New Roman"/>
        </w:rPr>
      </w:pPr>
    </w:p>
    <w:p w14:paraId="10EBD4F0">
      <w:pPr>
        <w:keepNext w:val="0"/>
        <w:keepLines w:val="0"/>
        <w:pageBreakBefore w:val="0"/>
        <w:kinsoku/>
        <w:wordWrap/>
        <w:overflowPunct/>
        <w:topLinePunct w:val="0"/>
        <w:autoSpaceDE/>
        <w:autoSpaceDN/>
        <w:bidi w:val="0"/>
        <w:adjustRightInd/>
        <w:snapToGrid/>
        <w:spacing w:line="560" w:lineRule="exact"/>
        <w:textAlignment w:val="auto"/>
        <w:rPr>
          <w:rFonts w:ascii="Times New Roman" w:hAnsi="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125B8F"/>
    <w:rsid w:val="47E33827"/>
    <w:rsid w:val="581063DD"/>
    <w:rsid w:val="604E0550"/>
    <w:rsid w:val="718F3F9D"/>
    <w:rsid w:val="7EFC4C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qFormat/>
    <w:uiPriority w:val="0"/>
    <w:rPr>
      <w:color w:val="800080"/>
      <w:u w:val="single"/>
    </w:rPr>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2076</Words>
  <Characters>2100</Characters>
  <Lines>0</Lines>
  <Paragraphs>0</Paragraphs>
  <TotalTime>2</TotalTime>
  <ScaleCrop>false</ScaleCrop>
  <LinksUpToDate>false</LinksUpToDate>
  <CharactersWithSpaces>2112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sunny</cp:lastModifiedBy>
  <dcterms:modified xsi:type="dcterms:W3CDTF">2026-06-08T08:30:50Z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9089101E6EEC406786139C317FB625A0_13</vt:lpwstr>
  </property>
  <property fmtid="{D5CDD505-2E9C-101B-9397-08002B2CF9AE}" pid="4" name="KSOTemplateDocerSaveRecord">
    <vt:lpwstr>eyJoZGlkIjoiZWNlM2EyMTZlNjM2NzhmMWMyNTE2ODkzMWE3NjA0MDMiLCJ1c2VySWQiOiIyNzI4MDc3MjUifQ==</vt:lpwstr>
  </property>
</Properties>
</file>