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B0488C">
      <w:pPr>
        <w:keepNext w:val="0"/>
        <w:keepLines w:val="0"/>
        <w:pageBreakBefore w:val="0"/>
        <w:widowControl w:val="0"/>
        <w:kinsoku/>
        <w:overflowPunct/>
        <w:topLinePunct w:val="0"/>
        <w:autoSpaceDE/>
        <w:autoSpaceDN/>
        <w:bidi w:val="0"/>
        <w:adjustRightInd/>
        <w:spacing w:line="560" w:lineRule="exact"/>
        <w:jc w:val="both"/>
        <w:rPr>
          <w:rFonts w:hint="eastAsia" w:ascii="Times New Roman" w:hAnsi="Times New Roman" w:cs="Times New Roman" w:eastAsiaTheme="minorEastAsia"/>
          <w:sz w:val="32"/>
          <w:szCs w:val="32"/>
          <w:lang w:eastAsia="zh-CN"/>
        </w:rPr>
      </w:pPr>
      <w:r>
        <w:rPr>
          <w:rFonts w:hint="default" w:ascii="Times New Roman" w:hAnsi="Times New Roman" w:cs="Times New Roman"/>
          <w:sz w:val="32"/>
          <w:szCs w:val="32"/>
        </w:rPr>
        <w:t>WDDR</w:t>
      </w:r>
      <w:r>
        <w:rPr>
          <w:rFonts w:hint="eastAsia" w:ascii="Times New Roman" w:hAnsi="Times New Roman" w:cs="Times New Roman"/>
          <w:sz w:val="32"/>
          <w:szCs w:val="32"/>
          <w:lang w:eastAsia="zh-CN"/>
        </w:rPr>
        <w:t>—</w:t>
      </w:r>
      <w:r>
        <w:rPr>
          <w:rFonts w:hint="default" w:ascii="Times New Roman" w:hAnsi="Times New Roman" w:cs="Times New Roman"/>
          <w:sz w:val="32"/>
          <w:szCs w:val="32"/>
        </w:rPr>
        <w:t>2025</w:t>
      </w:r>
      <w:r>
        <w:rPr>
          <w:rFonts w:hint="eastAsia" w:ascii="Times New Roman" w:hAnsi="Times New Roman" w:cs="Times New Roman"/>
          <w:sz w:val="32"/>
          <w:szCs w:val="32"/>
          <w:lang w:eastAsia="zh-CN"/>
        </w:rPr>
        <w:t>—</w:t>
      </w:r>
      <w:r>
        <w:rPr>
          <w:rFonts w:hint="eastAsia" w:ascii="Times New Roman" w:hAnsi="Times New Roman" w:cs="Times New Roman"/>
          <w:sz w:val="32"/>
          <w:szCs w:val="32"/>
          <w:lang w:val="en-US" w:eastAsia="zh-CN"/>
        </w:rPr>
        <w:t>0010002</w:t>
      </w:r>
    </w:p>
    <w:p w14:paraId="04A40DAF">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rPr>
          <w:rFonts w:hint="default" w:ascii="Times New Roman" w:hAnsi="Times New Roman" w:eastAsia="方正小标宋简体" w:cs="Times New Roman"/>
          <w:sz w:val="44"/>
          <w:szCs w:val="44"/>
          <w:lang w:val="en-US" w:eastAsia="zh-CN"/>
        </w:rPr>
      </w:pPr>
      <w:bookmarkStart w:id="0" w:name="_GoBack"/>
      <w:r>
        <w:rPr>
          <w:rFonts w:hint="default" w:ascii="Times New Roman" w:hAnsi="Times New Roman" w:eastAsia="方正小标宋简体" w:cs="Times New Roman"/>
          <w:sz w:val="44"/>
          <w:szCs w:val="44"/>
        </w:rPr>
        <w:t>威海市文登区人民政府</w:t>
      </w:r>
    </w:p>
    <w:p w14:paraId="02B4F2D5">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关于森林防火期内严禁实施易引发森林火灾</w:t>
      </w:r>
    </w:p>
    <w:p w14:paraId="34D9C354">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cs="Times New Roman"/>
          <w:bCs w:val="0"/>
          <w:color w:val="auto"/>
          <w:sz w:val="44"/>
          <w:szCs w:val="44"/>
          <w:highlight w:val="none"/>
          <w:lang w:val="en-US"/>
        </w:rPr>
      </w:pPr>
      <w:r>
        <w:rPr>
          <w:rFonts w:hint="default" w:ascii="Times New Roman" w:hAnsi="Times New Roman" w:eastAsia="方正小标宋简体" w:cs="Times New Roman"/>
          <w:sz w:val="44"/>
          <w:szCs w:val="44"/>
          <w:lang w:val="en-US" w:eastAsia="zh-CN"/>
        </w:rPr>
        <w:t>行为的通告</w:t>
      </w:r>
    </w:p>
    <w:bookmarkEnd w:id="0"/>
    <w:p w14:paraId="659F0000">
      <w:pPr>
        <w:keepNext w:val="0"/>
        <w:keepLines w:val="0"/>
        <w:pageBreakBefore w:val="0"/>
        <w:widowControl w:val="0"/>
        <w:kinsoku/>
        <w:overflowPunct/>
        <w:topLinePunct w:val="0"/>
        <w:autoSpaceDE/>
        <w:autoSpaceDN/>
        <w:bidi w:val="0"/>
        <w:adjustRightInd/>
        <w:spacing w:line="560" w:lineRule="exact"/>
        <w:ind w:firstLine="0" w:firstLineChars="0"/>
        <w:jc w:val="center"/>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威文政</w:t>
      </w:r>
      <w:r>
        <w:rPr>
          <w:rFonts w:hint="default" w:ascii="Times New Roman" w:hAnsi="Times New Roman" w:eastAsia="仿宋_GB2312" w:cs="Times New Roman"/>
          <w:sz w:val="32"/>
          <w:szCs w:val="32"/>
          <w:lang w:val="en-US" w:eastAsia="zh-CN"/>
        </w:rPr>
        <w:t>发</w:t>
      </w:r>
      <w:r>
        <w:rPr>
          <w:rFonts w:hint="default" w:ascii="Times New Roman" w:hAnsi="Times New Roman" w:eastAsia="仿宋_GB2312" w:cs="Times New Roman"/>
          <w:sz w:val="32"/>
          <w:szCs w:val="32"/>
        </w:rPr>
        <w:t>〔202</w:t>
      </w:r>
      <w:r>
        <w:rPr>
          <w:rFonts w:hint="default" w:ascii="Times New Roman" w:hAnsi="Times New Roman" w:cs="Times New Roman"/>
          <w:sz w:val="32"/>
          <w:szCs w:val="32"/>
          <w:lang w:val="en-US" w:eastAsia="zh-CN"/>
        </w:rPr>
        <w:t>5</w:t>
      </w:r>
      <w:r>
        <w:rPr>
          <w:rFonts w:hint="default" w:ascii="Times New Roman" w:hAnsi="Times New Roman" w:eastAsia="仿宋_GB2312" w:cs="Times New Roman"/>
          <w:sz w:val="32"/>
          <w:szCs w:val="32"/>
        </w:rPr>
        <w:t>〕</w:t>
      </w:r>
      <w:r>
        <w:rPr>
          <w:rFonts w:hint="eastAsia" w:ascii="Times New Roman" w:hAnsi="Times New Roman" w:cs="Times New Roman"/>
          <w:sz w:val="32"/>
          <w:szCs w:val="32"/>
          <w:lang w:val="en-US" w:eastAsia="zh-CN"/>
        </w:rPr>
        <w:t>10</w:t>
      </w:r>
      <w:r>
        <w:rPr>
          <w:rFonts w:hint="default" w:ascii="Times New Roman" w:hAnsi="Times New Roman" w:eastAsia="仿宋_GB2312" w:cs="Times New Roman"/>
          <w:sz w:val="32"/>
          <w:szCs w:val="32"/>
        </w:rPr>
        <w:t>号</w:t>
      </w:r>
    </w:p>
    <w:p w14:paraId="5E985556">
      <w:pPr>
        <w:keepNext w:val="0"/>
        <w:keepLines w:val="0"/>
        <w:pageBreakBefore w:val="0"/>
        <w:widowControl w:val="0"/>
        <w:kinsoku/>
        <w:wordWrap/>
        <w:overflowPunct/>
        <w:topLinePunct w:val="0"/>
        <w:autoSpaceDE/>
        <w:autoSpaceDN/>
        <w:bidi w:val="0"/>
        <w:adjustRightInd/>
        <w:snapToGrid w:val="0"/>
        <w:spacing w:line="560" w:lineRule="exact"/>
        <w:ind w:firstLine="640"/>
        <w:textAlignment w:val="baseline"/>
        <w:rPr>
          <w:rFonts w:hint="default" w:ascii="Times New Roman" w:hAnsi="Times New Roman" w:eastAsia="宋体" w:cs="Times New Roman"/>
          <w:color w:val="auto"/>
          <w:sz w:val="32"/>
          <w:szCs w:val="32"/>
          <w:highlight w:val="none"/>
        </w:rPr>
      </w:pPr>
    </w:p>
    <w:p w14:paraId="42B6BA45">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为预防和遏制森林火灾发生，保护森林资源和生态环境，保障人民群众生命和财产安全，根据《中华人民共和国森林法》《中华人民共和国治安管理处罚法》《中华人民共和国消防法》等法律法规，制定本通告。</w:t>
      </w:r>
    </w:p>
    <w:p w14:paraId="16E09F14">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一、每年的11月1日至次年的5月31日为森林防火期，全区境内所有森林及其周边500米范围为森林防火区。</w:t>
      </w:r>
    </w:p>
    <w:p w14:paraId="7713E482">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在森林防火期内，承担森林防火责任的单位可在进入森林防火区主要路口设置森林防火检查站，依法开展森林防火宣传教育，实施森林防火检查。</w:t>
      </w:r>
    </w:p>
    <w:p w14:paraId="66B41C1B">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在森林防火期内，除森林防灭火指挥机构批准的计划用火外，任何单位和个人不得在森林防火区内实施下列行为：</w:t>
      </w:r>
    </w:p>
    <w:p w14:paraId="4937199F">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烧荒、焚烧农作物废弃物料；</w:t>
      </w:r>
    </w:p>
    <w:p w14:paraId="718040F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燃放烟花爆竹、吸烟、野炊、祭祀用火；</w:t>
      </w:r>
    </w:p>
    <w:p w14:paraId="12B6D4EF">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投放空中移动火源；</w:t>
      </w:r>
    </w:p>
    <w:p w14:paraId="593526F7">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开山爆破等工程用火；</w:t>
      </w:r>
    </w:p>
    <w:p w14:paraId="1DA82F3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其他易引发森林火灾的行为。</w:t>
      </w:r>
    </w:p>
    <w:p w14:paraId="0E918480">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二、每年的3月1日至5月31日为森林高火险期，森林防火区均为森林高火险区。在森林高火险期内，严禁在森林高火险区内实施下列行为：</w:t>
      </w:r>
    </w:p>
    <w:p w14:paraId="44187C4F">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烧荒烧地堰、串火连、焚烧秸秆、焚烧垃圾、祭祀等野外用火行为；</w:t>
      </w:r>
    </w:p>
    <w:p w14:paraId="5A9BEF6E">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未经批准携带火种进入森林高火险区；</w:t>
      </w:r>
    </w:p>
    <w:p w14:paraId="6AE0A1FB">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未经批准的生产生活性野外用火的行为。</w:t>
      </w:r>
    </w:p>
    <w:p w14:paraId="57F58345">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三、违反本通告的，依照《中华人民共和国森林法》《中华人民共和国治安管理处罚法》《中华人民共和国消防法》等有关法律法规予以处罚；涉嫌犯罪的，依法追究刑事责任。</w:t>
      </w:r>
    </w:p>
    <w:p w14:paraId="226B8A39">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四、森林防火，人人有责。任何单位和个人一旦发现森林火情或森林防火期内野外违规用火行为，立即拨打119、110进行举报或报警。</w:t>
      </w:r>
    </w:p>
    <w:p w14:paraId="2B94E4A4">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本通告自2026年1月1日起执行。</w:t>
      </w:r>
    </w:p>
    <w:p w14:paraId="5BAEC7E1">
      <w:pPr>
        <w:keepNext w:val="0"/>
        <w:keepLines w:val="0"/>
        <w:pageBreakBefore w:val="0"/>
        <w:widowControl w:val="0"/>
        <w:kinsoku/>
        <w:wordWrap/>
        <w:overflowPunct/>
        <w:topLinePunct w:val="0"/>
        <w:autoSpaceDE/>
        <w:autoSpaceDN/>
        <w:bidi w:val="0"/>
        <w:adjustRightInd/>
        <w:snapToGrid w:val="0"/>
        <w:spacing w:line="560" w:lineRule="exact"/>
        <w:textAlignment w:val="auto"/>
        <w:rPr>
          <w:rFonts w:hint="eastAsia" w:ascii="Times New Roman" w:hAnsi="Times New Roman" w:eastAsia="仿宋_GB2312" w:cs="Times New Roman"/>
          <w:sz w:val="32"/>
          <w:szCs w:val="32"/>
          <w:lang w:val="en-US" w:eastAsia="zh-CN"/>
        </w:rPr>
      </w:pPr>
    </w:p>
    <w:p w14:paraId="75846EB2">
      <w:pPr>
        <w:keepNext w:val="0"/>
        <w:keepLines w:val="0"/>
        <w:pageBreakBefore w:val="0"/>
        <w:widowControl w:val="0"/>
        <w:kinsoku/>
        <w:wordWrap/>
        <w:overflowPunct/>
        <w:topLinePunct w:val="0"/>
        <w:autoSpaceDE/>
        <w:autoSpaceDN/>
        <w:bidi w:val="0"/>
        <w:adjustRightInd/>
        <w:snapToGrid w:val="0"/>
        <w:spacing w:line="560" w:lineRule="exact"/>
        <w:textAlignment w:val="auto"/>
        <w:rPr>
          <w:rFonts w:hint="eastAsia" w:ascii="Times New Roman" w:hAnsi="Times New Roman" w:eastAsia="仿宋_GB2312" w:cs="Times New Roman"/>
          <w:sz w:val="32"/>
          <w:szCs w:val="32"/>
          <w:lang w:val="en-US" w:eastAsia="zh-CN"/>
        </w:rPr>
      </w:pPr>
    </w:p>
    <w:p w14:paraId="1EF406FC">
      <w:pPr>
        <w:keepNext w:val="0"/>
        <w:keepLines w:val="0"/>
        <w:pageBreakBefore w:val="0"/>
        <w:widowControl w:val="0"/>
        <w:kinsoku/>
        <w:wordWrap/>
        <w:overflowPunct/>
        <w:topLinePunct w:val="0"/>
        <w:autoSpaceDE/>
        <w:autoSpaceDN/>
        <w:bidi w:val="0"/>
        <w:adjustRightInd/>
        <w:snapToGrid w:val="0"/>
        <w:spacing w:line="560" w:lineRule="exact"/>
        <w:textAlignment w:val="auto"/>
        <w:rPr>
          <w:rFonts w:hint="eastAsia" w:ascii="Times New Roman" w:hAnsi="Times New Roman" w:eastAsia="仿宋_GB2312" w:cs="Times New Roman"/>
          <w:sz w:val="32"/>
          <w:szCs w:val="32"/>
          <w:lang w:val="en-US" w:eastAsia="zh-CN"/>
        </w:rPr>
      </w:pPr>
    </w:p>
    <w:p w14:paraId="289FE6D0">
      <w:pPr>
        <w:keepNext w:val="0"/>
        <w:keepLines w:val="0"/>
        <w:pageBreakBefore w:val="0"/>
        <w:widowControl w:val="0"/>
        <w:kinsoku/>
        <w:wordWrap w:val="0"/>
        <w:overflowPunct/>
        <w:topLinePunct w:val="0"/>
        <w:autoSpaceDE/>
        <w:autoSpaceDN/>
        <w:bidi w:val="0"/>
        <w:adjustRightInd/>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威海市文登区人民政府    </w:t>
      </w:r>
    </w:p>
    <w:p w14:paraId="5455FA7D">
      <w:pPr>
        <w:keepNext w:val="0"/>
        <w:keepLines w:val="0"/>
        <w:pageBreakBefore w:val="0"/>
        <w:widowControl w:val="0"/>
        <w:kinsoku/>
        <w:wordWrap w:val="0"/>
        <w:overflowPunct/>
        <w:topLinePunct w:val="0"/>
        <w:autoSpaceDE/>
        <w:autoSpaceDN/>
        <w:bidi w:val="0"/>
        <w:adjustRightInd/>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2025年11月30日      </w:t>
      </w:r>
    </w:p>
    <w:p w14:paraId="68C48500">
      <w:pPr>
        <w:keepNext w:val="0"/>
        <w:keepLines w:val="0"/>
        <w:pageBreakBefore w:val="0"/>
        <w:widowControl w:val="0"/>
        <w:kinsoku/>
        <w:wordWrap/>
        <w:overflowPunct/>
        <w:topLinePunct w:val="0"/>
        <w:autoSpaceDE/>
        <w:autoSpaceDN/>
        <w:bidi w:val="0"/>
        <w:adjustRightInd/>
        <w:snapToGrid/>
        <w:spacing w:line="560" w:lineRule="exact"/>
        <w:ind w:firstLine="0" w:firstLineChars="0"/>
        <w:textAlignment w:val="auto"/>
        <w:rPr>
          <w:rFonts w:hint="default" w:ascii="Times New Roman" w:hAnsi="Times New Roman" w:eastAsia="仿宋_GB2312" w:cs="Times New Roman"/>
          <w:color w:val="auto"/>
          <w:sz w:val="32"/>
          <w:szCs w:val="32"/>
          <w:highlight w:val="none"/>
          <w:lang w:val="en-US" w:eastAsia="zh-CN"/>
        </w:rPr>
      </w:pPr>
    </w:p>
    <w:sectPr>
      <w:footerReference r:id="rId3" w:type="default"/>
      <w:pgSz w:w="11906" w:h="16838"/>
      <w:pgMar w:top="2098" w:right="1531" w:bottom="1984" w:left="1531" w:header="851" w:footer="1531" w:gutter="0"/>
      <w:pgNumType w:fmt="decimal"/>
      <w:cols w:space="0" w:num="1"/>
      <w:rtlGutter w:val="0"/>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PMingLiU">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123338">
    <w:pPr>
      <w:pStyle w:val="7"/>
      <w:spacing w:line="14" w:lineRule="auto"/>
      <w:rPr>
        <w:sz w:val="20"/>
      </w:rP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ge">
                <wp:posOffset>9529445</wp:posOffset>
              </wp:positionV>
              <wp:extent cx="636905" cy="184785"/>
              <wp:effectExtent l="0" t="0" r="0" b="0"/>
              <wp:wrapNone/>
              <wp:docPr id="68" name="文本框 3"/>
              <wp:cNvGraphicFramePr/>
              <a:graphic xmlns:a="http://schemas.openxmlformats.org/drawingml/2006/main">
                <a:graphicData uri="http://schemas.microsoft.com/office/word/2010/wordprocessingShape">
                  <wps:wsp>
                    <wps:cNvSpPr txBox="1"/>
                    <wps:spPr>
                      <a:xfrm>
                        <a:off x="0" y="0"/>
                        <a:ext cx="636905" cy="184785"/>
                      </a:xfrm>
                      <a:prstGeom prst="rect">
                        <a:avLst/>
                      </a:prstGeom>
                      <a:noFill/>
                      <a:ln w="9525">
                        <a:noFill/>
                      </a:ln>
                    </wps:spPr>
                    <wps:txbx>
                      <w:txbxContent>
                        <w:p w14:paraId="7D62DAAB">
                          <w:pPr>
                            <w:spacing w:before="0" w:line="321" w:lineRule="exact"/>
                            <w:ind w:left="20" w:right="0" w:firstLine="0"/>
                            <w:jc w:val="left"/>
                            <w:rPr>
                              <w:rFonts w:hint="eastAsia" w:ascii="宋体" w:eastAsiaTheme="minorEastAsia"/>
                              <w:sz w:val="28"/>
                              <w:szCs w:val="28"/>
                              <w:lang w:eastAsia="zh-CN"/>
                            </w:rPr>
                          </w:pPr>
                          <w:r>
                            <w:rPr>
                              <w:rFonts w:hint="eastAsia"/>
                              <w:sz w:val="28"/>
                              <w:szCs w:val="28"/>
                              <w:lang w:eastAsia="zh-CN"/>
                            </w:rPr>
                            <w:t>—</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29</w:t>
                          </w:r>
                          <w:r>
                            <w:rPr>
                              <w:rFonts w:hint="default" w:ascii="Times New Roman" w:hAnsi="Times New Roman" w:cs="Times New Roman"/>
                              <w:sz w:val="28"/>
                              <w:szCs w:val="28"/>
                            </w:rPr>
                            <w:fldChar w:fldCharType="end"/>
                          </w:r>
                          <w:r>
                            <w:rPr>
                              <w:rFonts w:hint="eastAsia"/>
                              <w:sz w:val="28"/>
                              <w:szCs w:val="28"/>
                              <w:lang w:eastAsia="zh-CN"/>
                            </w:rPr>
                            <w:t>—</w:t>
                          </w:r>
                        </w:p>
                      </w:txbxContent>
                    </wps:txbx>
                    <wps:bodyPr lIns="0" tIns="0" rIns="0" bIns="0" upright="1"/>
                  </wps:wsp>
                </a:graphicData>
              </a:graphic>
            </wp:anchor>
          </w:drawing>
        </mc:Choice>
        <mc:Fallback>
          <w:pict>
            <v:shape id="文本框 3" o:spid="_x0000_s1026" o:spt="202" type="#_x0000_t202" style="position:absolute;left:0pt;margin-top:750.35pt;height:14.55pt;width:50.15pt;mso-position-horizontal:outside;mso-position-horizontal-relative:margin;mso-position-vertical-relative:page;z-index:251659264;mso-width-relative:page;mso-height-relative:page;" filled="f" stroked="f" coordsize="21600,21600" o:gfxdata="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B1iITTXAAAACgEAAA8AAAAAAAAAAQAgAAAAIgAAAGRycy9kb3ducmV2&#10;LnhtbFBLAQIUABQAAAAIAIdO4kDrvKiMxAEAAHsDAAAOAAAAAAAAAAEAIAAAACYBAABkcnMvZTJv&#10;RG9jLnhtbFBLBQYAAAAABgAGAFkBAABcBQAAAAA=&#10;">
              <v:fill on="f" focussize="0,0"/>
              <v:stroke on="f"/>
              <v:imagedata o:title=""/>
              <o:lock v:ext="edit" aspectratio="f"/>
              <v:textbox inset="0mm,0mm,0mm,0mm">
                <w:txbxContent>
                  <w:p w14:paraId="7D62DAAB">
                    <w:pPr>
                      <w:spacing w:before="0" w:line="321" w:lineRule="exact"/>
                      <w:ind w:left="20" w:right="0" w:firstLine="0"/>
                      <w:jc w:val="left"/>
                      <w:rPr>
                        <w:rFonts w:hint="eastAsia" w:ascii="宋体" w:eastAsiaTheme="minorEastAsia"/>
                        <w:sz w:val="28"/>
                        <w:szCs w:val="28"/>
                        <w:lang w:eastAsia="zh-CN"/>
                      </w:rPr>
                    </w:pPr>
                    <w:r>
                      <w:rPr>
                        <w:rFonts w:hint="eastAsia"/>
                        <w:sz w:val="28"/>
                        <w:szCs w:val="28"/>
                        <w:lang w:eastAsia="zh-CN"/>
                      </w:rPr>
                      <w:t>—</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29</w:t>
                    </w:r>
                    <w:r>
                      <w:rPr>
                        <w:rFonts w:hint="default" w:ascii="Times New Roman" w:hAnsi="Times New Roman" w:cs="Times New Roman"/>
                        <w:sz w:val="28"/>
                        <w:szCs w:val="28"/>
                      </w:rPr>
                      <w:fldChar w:fldCharType="end"/>
                    </w:r>
                    <w:r>
                      <w:rPr>
                        <w:rFonts w:hint="eastAsia"/>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8"/>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BiNmI0ZmUyMTUyZDM3M2MxNzZlZWY2MWY5NmZiY2EifQ=="/>
  </w:docVars>
  <w:rsids>
    <w:rsidRoot w:val="14DA30BB"/>
    <w:rsid w:val="001703DC"/>
    <w:rsid w:val="01006B33"/>
    <w:rsid w:val="02BA62DA"/>
    <w:rsid w:val="03636030"/>
    <w:rsid w:val="03C845C6"/>
    <w:rsid w:val="06EE3CFF"/>
    <w:rsid w:val="074306D6"/>
    <w:rsid w:val="084501F4"/>
    <w:rsid w:val="088F199B"/>
    <w:rsid w:val="08E208B0"/>
    <w:rsid w:val="0B184235"/>
    <w:rsid w:val="0B836540"/>
    <w:rsid w:val="0D525E56"/>
    <w:rsid w:val="10DC698D"/>
    <w:rsid w:val="10DD3C68"/>
    <w:rsid w:val="119B2BC7"/>
    <w:rsid w:val="11FE0013"/>
    <w:rsid w:val="12602B8E"/>
    <w:rsid w:val="131E5EEC"/>
    <w:rsid w:val="13826718"/>
    <w:rsid w:val="13D17D58"/>
    <w:rsid w:val="13ED0CC4"/>
    <w:rsid w:val="14DA30BB"/>
    <w:rsid w:val="15167775"/>
    <w:rsid w:val="15533DE8"/>
    <w:rsid w:val="16457311"/>
    <w:rsid w:val="16B70FAC"/>
    <w:rsid w:val="17485310"/>
    <w:rsid w:val="175E6914"/>
    <w:rsid w:val="19464BC6"/>
    <w:rsid w:val="1A873C9D"/>
    <w:rsid w:val="1BEC4103"/>
    <w:rsid w:val="1C342C06"/>
    <w:rsid w:val="1DE11401"/>
    <w:rsid w:val="1EF931A9"/>
    <w:rsid w:val="217C46CF"/>
    <w:rsid w:val="23455E11"/>
    <w:rsid w:val="2389299D"/>
    <w:rsid w:val="238B58B0"/>
    <w:rsid w:val="23BD32D3"/>
    <w:rsid w:val="2B432A70"/>
    <w:rsid w:val="2C411A58"/>
    <w:rsid w:val="2DBF6AB0"/>
    <w:rsid w:val="2DFF62D3"/>
    <w:rsid w:val="2EE601F9"/>
    <w:rsid w:val="2F6C322B"/>
    <w:rsid w:val="317271EF"/>
    <w:rsid w:val="363C77F9"/>
    <w:rsid w:val="390E1C8A"/>
    <w:rsid w:val="395F3D7C"/>
    <w:rsid w:val="3A087329"/>
    <w:rsid w:val="3AE37707"/>
    <w:rsid w:val="3AFC497B"/>
    <w:rsid w:val="3B4D4259"/>
    <w:rsid w:val="3CBE3ED0"/>
    <w:rsid w:val="3E2308CA"/>
    <w:rsid w:val="3EBC307E"/>
    <w:rsid w:val="40BA61C6"/>
    <w:rsid w:val="41D5398F"/>
    <w:rsid w:val="42C243B4"/>
    <w:rsid w:val="43F8256D"/>
    <w:rsid w:val="45327DDA"/>
    <w:rsid w:val="46804C64"/>
    <w:rsid w:val="47264263"/>
    <w:rsid w:val="48912645"/>
    <w:rsid w:val="48BA68BB"/>
    <w:rsid w:val="49AE366E"/>
    <w:rsid w:val="4B4E311B"/>
    <w:rsid w:val="4BB14A62"/>
    <w:rsid w:val="4D5F4801"/>
    <w:rsid w:val="4E1825EF"/>
    <w:rsid w:val="4EEA6751"/>
    <w:rsid w:val="516A739F"/>
    <w:rsid w:val="53E72A34"/>
    <w:rsid w:val="54BA12F8"/>
    <w:rsid w:val="55136B8B"/>
    <w:rsid w:val="56AF76DF"/>
    <w:rsid w:val="57292F69"/>
    <w:rsid w:val="588A5E94"/>
    <w:rsid w:val="59FD1096"/>
    <w:rsid w:val="5BBD2B3F"/>
    <w:rsid w:val="5C913C48"/>
    <w:rsid w:val="5D204CD5"/>
    <w:rsid w:val="5D5564AA"/>
    <w:rsid w:val="5D9E66E9"/>
    <w:rsid w:val="5E8172BF"/>
    <w:rsid w:val="60593B91"/>
    <w:rsid w:val="60DF27DC"/>
    <w:rsid w:val="631F303A"/>
    <w:rsid w:val="633F0DB1"/>
    <w:rsid w:val="63D941DD"/>
    <w:rsid w:val="64500D4E"/>
    <w:rsid w:val="6514075C"/>
    <w:rsid w:val="68814E80"/>
    <w:rsid w:val="6A492965"/>
    <w:rsid w:val="6CBD0CB1"/>
    <w:rsid w:val="6E7E394D"/>
    <w:rsid w:val="6F692E55"/>
    <w:rsid w:val="70075B40"/>
    <w:rsid w:val="70904B2E"/>
    <w:rsid w:val="70CF3EE4"/>
    <w:rsid w:val="712D24F1"/>
    <w:rsid w:val="71430487"/>
    <w:rsid w:val="71835C9B"/>
    <w:rsid w:val="728776EE"/>
    <w:rsid w:val="73940C9A"/>
    <w:rsid w:val="76330BBC"/>
    <w:rsid w:val="768E13C5"/>
    <w:rsid w:val="76B25789"/>
    <w:rsid w:val="76D05FFC"/>
    <w:rsid w:val="776B0E89"/>
    <w:rsid w:val="78EA1969"/>
    <w:rsid w:val="79430E74"/>
    <w:rsid w:val="7D4A38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43"/>
      <w:ind w:left="459"/>
      <w:outlineLvl w:val="1"/>
    </w:pPr>
    <w:rPr>
      <w:rFonts w:ascii="PMingLiU" w:hAnsi="PMingLiU" w:eastAsia="PMingLiU" w:cs="PMingLiU"/>
      <w:sz w:val="44"/>
      <w:szCs w:val="44"/>
      <w:lang w:val="zh-CN" w:eastAsia="zh-CN" w:bidi="zh-CN"/>
    </w:rPr>
  </w:style>
  <w:style w:type="paragraph" w:styleId="3">
    <w:name w:val="heading 2"/>
    <w:basedOn w:val="1"/>
    <w:next w:val="1"/>
    <w:unhideWhenUsed/>
    <w:qFormat/>
    <w:uiPriority w:val="0"/>
    <w:pPr>
      <w:ind w:left="459"/>
      <w:outlineLvl w:val="2"/>
    </w:pPr>
    <w:rPr>
      <w:rFonts w:ascii="PMingLiU" w:hAnsi="PMingLiU" w:eastAsia="PMingLiU" w:cs="PMingLiU"/>
      <w:sz w:val="36"/>
      <w:szCs w:val="36"/>
      <w:lang w:val="zh-CN" w:eastAsia="zh-CN" w:bidi="zh-CN"/>
    </w:rPr>
  </w:style>
  <w:style w:type="paragraph" w:styleId="4">
    <w:name w:val="heading 3"/>
    <w:next w:val="1"/>
    <w:unhideWhenUsed/>
    <w:qFormat/>
    <w:uiPriority w:val="0"/>
    <w:pPr>
      <w:keepNext/>
      <w:keepLines/>
      <w:widowControl w:val="0"/>
      <w:spacing w:before="260" w:after="260" w:line="416" w:lineRule="auto"/>
      <w:jc w:val="both"/>
      <w:outlineLvl w:val="2"/>
    </w:pPr>
    <w:rPr>
      <w:rFonts w:ascii="Calibri" w:hAnsi="Calibri" w:eastAsia="宋体" w:cs="Times New Roman"/>
      <w:b/>
      <w:bCs/>
      <w:kern w:val="2"/>
      <w:sz w:val="32"/>
      <w:szCs w:val="32"/>
      <w:lang w:val="en-US" w:eastAsia="zh-CN" w:bidi="ar-SA"/>
    </w:rPr>
  </w:style>
  <w:style w:type="character" w:default="1" w:styleId="17">
    <w:name w:val="Default Paragraph Font"/>
    <w:semiHidden/>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5">
    <w:name w:val="Normal Indent"/>
    <w:basedOn w:val="1"/>
    <w:qFormat/>
    <w:uiPriority w:val="0"/>
    <w:pPr>
      <w:ind w:firstLine="420" w:firstLineChars="200"/>
    </w:pPr>
    <w:rPr>
      <w:rFonts w:eastAsia="仿宋"/>
    </w:rPr>
  </w:style>
  <w:style w:type="paragraph" w:styleId="6">
    <w:name w:val="annotation text"/>
    <w:basedOn w:val="1"/>
    <w:qFormat/>
    <w:uiPriority w:val="0"/>
    <w:pPr>
      <w:jc w:val="left"/>
    </w:pPr>
  </w:style>
  <w:style w:type="paragraph" w:styleId="7">
    <w:name w:val="Body Text"/>
    <w:basedOn w:val="1"/>
    <w:next w:val="8"/>
    <w:qFormat/>
    <w:uiPriority w:val="0"/>
    <w:rPr>
      <w:rFonts w:ascii="仿宋" w:hAnsi="仿宋" w:eastAsia="仿宋" w:cs="仿宋"/>
      <w:sz w:val="32"/>
      <w:szCs w:val="32"/>
      <w:lang w:val="zh-CN" w:eastAsia="zh-CN" w:bidi="zh-CN"/>
    </w:rPr>
  </w:style>
  <w:style w:type="paragraph" w:styleId="8">
    <w:name w:val="Body Text 2"/>
    <w:basedOn w:val="1"/>
    <w:qFormat/>
    <w:uiPriority w:val="0"/>
    <w:pPr>
      <w:widowControl w:val="0"/>
      <w:spacing w:after="120" w:line="480" w:lineRule="auto"/>
      <w:jc w:val="both"/>
    </w:pPr>
    <w:rPr>
      <w:rFonts w:ascii="Calibri" w:hAnsi="Calibri" w:eastAsia="宋体" w:cs="宋体"/>
      <w:kern w:val="2"/>
      <w:sz w:val="21"/>
      <w:szCs w:val="22"/>
      <w:lang w:val="en-US" w:eastAsia="zh-CN" w:bidi="ar-SA"/>
    </w:rPr>
  </w:style>
  <w:style w:type="paragraph" w:styleId="9">
    <w:name w:val="Body Text Indent"/>
    <w:basedOn w:val="1"/>
    <w:next w:val="5"/>
    <w:qFormat/>
    <w:uiPriority w:val="0"/>
    <w:pPr>
      <w:spacing w:after="120"/>
      <w:ind w:left="420" w:leftChars="200"/>
    </w:pPr>
  </w:style>
  <w:style w:type="paragraph" w:styleId="10">
    <w:name w:val="Body Text Indent 2"/>
    <w:basedOn w:val="1"/>
    <w:qFormat/>
    <w:uiPriority w:val="0"/>
    <w:pPr>
      <w:spacing w:after="120" w:line="480" w:lineRule="auto"/>
      <w:ind w:left="420" w:leftChars="200"/>
    </w:pPr>
  </w:style>
  <w:style w:type="paragraph" w:styleId="11">
    <w:name w:val="footer"/>
    <w:basedOn w:val="1"/>
    <w:qFormat/>
    <w:uiPriority w:val="0"/>
    <w:pPr>
      <w:tabs>
        <w:tab w:val="center" w:pos="4153"/>
        <w:tab w:val="right" w:pos="8306"/>
      </w:tabs>
      <w:snapToGrid w:val="0"/>
      <w:jc w:val="left"/>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3">
    <w:name w:val="Normal (Web)"/>
    <w:basedOn w:val="1"/>
    <w:qFormat/>
    <w:uiPriority w:val="0"/>
    <w:pPr>
      <w:spacing w:afterAutospacing="1"/>
      <w:jc w:val="left"/>
    </w:pPr>
    <w:rPr>
      <w:kern w:val="0"/>
      <w:sz w:val="24"/>
    </w:rPr>
  </w:style>
  <w:style w:type="paragraph" w:styleId="14">
    <w:name w:val="Body Text First Indent 2"/>
    <w:basedOn w:val="1"/>
    <w:qFormat/>
    <w:uiPriority w:val="0"/>
    <w:pPr>
      <w:spacing w:after="0"/>
      <w:ind w:firstLine="420" w:firstLineChars="200"/>
    </w:p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qFormat/>
    <w:uiPriority w:val="0"/>
    <w:rPr>
      <w:b/>
    </w:rPr>
  </w:style>
  <w:style w:type="paragraph" w:customStyle="1" w:styleId="19">
    <w:name w:val="TOC1"/>
    <w:basedOn w:val="1"/>
    <w:next w:val="1"/>
    <w:qFormat/>
    <w:uiPriority w:val="0"/>
    <w:pPr>
      <w:jc w:val="both"/>
      <w:textAlignment w:val="baseline"/>
    </w:pPr>
  </w:style>
  <w:style w:type="paragraph" w:customStyle="1" w:styleId="20">
    <w:name w:val="List Paragraph"/>
    <w:basedOn w:val="1"/>
    <w:qFormat/>
    <w:uiPriority w:val="1"/>
    <w:pPr>
      <w:spacing w:before="214"/>
      <w:ind w:left="1422" w:hanging="321"/>
    </w:pPr>
    <w:rPr>
      <w:rFonts w:ascii="仿宋" w:hAnsi="仿宋" w:eastAsia="仿宋" w:cs="仿宋"/>
      <w:lang w:val="zh-CN" w:eastAsia="zh-CN" w:bidi="zh-CN"/>
    </w:rPr>
  </w:style>
  <w:style w:type="paragraph" w:customStyle="1" w:styleId="21">
    <w:name w:val="Table Paragraph"/>
    <w:basedOn w:val="1"/>
    <w:autoRedefine/>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0c4ca2e0-56b3-4442-9a00-07350bba8af0</errorID>
      <errorWord>委</errorWord>
      <group>L1_Word</group>
      <groupName>字词问题</groupName>
      <ability>L2_Typo</ability>
      <abilityName>字词错误</abilityName>
      <candidateList>
        <item>委会</item>
      </candidateList>
      <explain/>
      <paraID>3D8AE882</paraID>
      <start>23</start>
      <end>24</end>
      <status>unmodified</status>
      <modifiedWord/>
      <trackRevisions>false</trackRevisions>
    </reviewItem>
    <reviewItem>
      <errorID>c5e51981-dd3e-4443-8150-da8d0ea6f47e</errorID>
      <errorWord>房</errorWord>
      <group>L1_Word</group>
      <groupName>字词问题</groupName>
      <ability>L2_Typo</ability>
      <abilityName>字词错误</abilityName>
      <candidateList>
        <item>房和</item>
      </candidateList>
      <explain/>
      <paraID>2EF312F5</paraID>
      <start>137</start>
      <end>138</end>
      <status>unmodified</status>
      <modifiedWord/>
      <trackRevisions>false</trackRevisions>
    </reviewItem>
    <reviewItem>
      <errorID>2028678a-8985-421c-8172-ecae94068628</errorID>
      <errorWord>房</errorWord>
      <group>L1_Word</group>
      <groupName>字词问题</groupName>
      <ability>L2_Typo</ability>
      <abilityName>字词错误</abilityName>
      <candidateList>
        <item>房和</item>
      </candidateList>
      <explain/>
      <paraID>2EF312F5</paraID>
      <start>188</start>
      <end>189</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388d4f9-0d08-4b9e-842f-f8ba7b6917e5}">
  <ds:schemaRefs/>
</ds:datastoreItem>
</file>

<file path=docProps/app.xml><?xml version="1.0" encoding="utf-8"?>
<Properties xmlns="http://schemas.openxmlformats.org/officeDocument/2006/extended-properties" xmlns:vt="http://schemas.openxmlformats.org/officeDocument/2006/docPropsVTypes">
  <Template>Normal.dotm</Template>
  <Pages>2</Pages>
  <Words>666</Words>
  <Characters>707</Characters>
  <Lines>0</Lines>
  <Paragraphs>0</Paragraphs>
  <TotalTime>12</TotalTime>
  <ScaleCrop>false</ScaleCrop>
  <LinksUpToDate>false</LinksUpToDate>
  <CharactersWithSpaces>725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2021-05-14T05:49:00Z</dcterms:created>
  <dc:creator>Administrator</dc:creator>
  <cp:lastModifiedBy>sunny</cp:lastModifiedBy>
  <cp:lastPrinted>2023-05-08T05:55:00Z</cp:lastPrinted>
  <dcterms:modified xsi:type="dcterms:W3CDTF">2025-12-19T02:05:01Z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45FEE9B8962842FB99711340EF6260F8_13</vt:lpwstr>
  </property>
  <property fmtid="{D5CDD505-2E9C-101B-9397-08002B2CF9AE}" pid="4" name="KSOTemplateDocerSaveRecord">
    <vt:lpwstr>eyJoZGlkIjoiZWNlM2EyMTZlNjM2NzhmMWMyNTE2ODkzMWE3NjA0MDMiLCJ1c2VySWQiOiIyNzI4MDc3MjUifQ==</vt:lpwstr>
  </property>
</Properties>
</file>