
<file path=[Content_Types].xml><?xml version="1.0" encoding="utf-8"?>
<Types xmlns="http://schemas.openxmlformats.org/package/2006/content-types">
  <Default Extension="xlsx" ContentType="application/vnd.openxmlformats-officedocument.spreadsheetml.sheet"/>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EA4CDA">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威海市文登区高村镇</w:t>
      </w:r>
      <w:r>
        <w:rPr>
          <w:rFonts w:hint="eastAsia" w:ascii="方正小标宋简体" w:hAnsi="方正小标宋简体" w:eastAsia="方正小标宋简体" w:cs="方正小标宋简体"/>
          <w:sz w:val="44"/>
          <w:szCs w:val="44"/>
          <w:lang w:eastAsia="zh-CN"/>
        </w:rPr>
        <w:t>人民政府</w:t>
      </w:r>
    </w:p>
    <w:p w14:paraId="2D0282D9">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1</w:t>
      </w:r>
      <w:r>
        <w:rPr>
          <w:rFonts w:hint="eastAsia" w:ascii="方正小标宋简体" w:hAnsi="方正小标宋简体" w:eastAsia="方正小标宋简体" w:cs="方正小标宋简体"/>
          <w:sz w:val="44"/>
          <w:szCs w:val="44"/>
        </w:rPr>
        <w:t>年政府信息公开工作年度报告</w:t>
      </w:r>
    </w:p>
    <w:p w14:paraId="197A26E6">
      <w:pPr>
        <w:pStyle w:val="2"/>
      </w:pPr>
    </w:p>
    <w:p w14:paraId="0F59709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eastAsia" w:ascii="Times New Roman" w:hAnsi="Times New Roman" w:eastAsia="仿宋_GB2312" w:cs="Times New Roman"/>
          <w:i w:val="0"/>
          <w:iCs w:val="0"/>
          <w:caps w:val="0"/>
          <w:color w:val="000000"/>
          <w:spacing w:val="0"/>
          <w:sz w:val="32"/>
          <w:szCs w:val="32"/>
        </w:rPr>
      </w:pPr>
      <w:r>
        <w:rPr>
          <w:rFonts w:hint="eastAsia" w:ascii="Times New Roman" w:hAnsi="Times New Roman" w:eastAsia="仿宋_GB2312" w:cs="Times New Roman"/>
          <w:i w:val="0"/>
          <w:iCs w:val="0"/>
          <w:caps w:val="0"/>
          <w:color w:val="000000"/>
          <w:spacing w:val="0"/>
          <w:sz w:val="32"/>
          <w:szCs w:val="32"/>
        </w:rPr>
        <w:t>根据《中华人民共和国政府信息公开条例》（以下简称《条例》）的规定要求，现公布威海市文登区高村镇人民政府202</w:t>
      </w:r>
      <w:r>
        <w:rPr>
          <w:rFonts w:hint="eastAsia" w:ascii="Times New Roman" w:hAnsi="Times New Roman" w:eastAsia="仿宋_GB2312" w:cs="Times New Roman"/>
          <w:i w:val="0"/>
          <w:iCs w:val="0"/>
          <w:caps w:val="0"/>
          <w:color w:val="000000"/>
          <w:spacing w:val="0"/>
          <w:sz w:val="32"/>
          <w:szCs w:val="32"/>
          <w:lang w:val="en-US" w:eastAsia="zh-CN"/>
        </w:rPr>
        <w:t>1</w:t>
      </w:r>
      <w:r>
        <w:rPr>
          <w:rFonts w:hint="eastAsia" w:ascii="Times New Roman" w:hAnsi="Times New Roman" w:eastAsia="仿宋_GB2312" w:cs="Times New Roman"/>
          <w:i w:val="0"/>
          <w:iCs w:val="0"/>
          <w:caps w:val="0"/>
          <w:color w:val="000000"/>
          <w:spacing w:val="0"/>
          <w:sz w:val="32"/>
          <w:szCs w:val="32"/>
        </w:rPr>
        <w:t>年度政府信息公开工作报告。</w:t>
      </w:r>
    </w:p>
    <w:p w14:paraId="0674966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eastAsia" w:ascii="Times New Roman" w:hAnsi="Times New Roman" w:eastAsia="仿宋_GB2312" w:cs="Times New Roman"/>
          <w:i w:val="0"/>
          <w:iCs w:val="0"/>
          <w:caps w:val="0"/>
          <w:color w:val="000000"/>
          <w:spacing w:val="0"/>
          <w:sz w:val="32"/>
          <w:szCs w:val="32"/>
        </w:rPr>
      </w:pPr>
      <w:r>
        <w:rPr>
          <w:rFonts w:hint="eastAsia" w:ascii="Times New Roman" w:hAnsi="Times New Roman" w:eastAsia="仿宋_GB2312" w:cs="Times New Roman"/>
          <w:i w:val="0"/>
          <w:iCs w:val="0"/>
          <w:caps w:val="0"/>
          <w:color w:val="000000"/>
          <w:spacing w:val="0"/>
          <w:sz w:val="32"/>
          <w:szCs w:val="32"/>
        </w:rPr>
        <w:t>本报告由总体情况、主动公开政府信息情况、收到和处理政府信息公开申请的情况、政府信息公开行政复议、行政诉讼情况、其他需要报告的事项等部分组成。本报告中所列数据的统计时限自202</w:t>
      </w:r>
      <w:r>
        <w:rPr>
          <w:rFonts w:hint="eastAsia" w:ascii="Times New Roman" w:hAnsi="Times New Roman" w:eastAsia="仿宋_GB2312" w:cs="Times New Roman"/>
          <w:i w:val="0"/>
          <w:iCs w:val="0"/>
          <w:caps w:val="0"/>
          <w:color w:val="000000"/>
          <w:spacing w:val="0"/>
          <w:sz w:val="32"/>
          <w:szCs w:val="32"/>
          <w:lang w:val="en-US" w:eastAsia="zh-CN"/>
        </w:rPr>
        <w:t>1</w:t>
      </w:r>
      <w:r>
        <w:rPr>
          <w:rFonts w:hint="eastAsia" w:ascii="Times New Roman" w:hAnsi="Times New Roman" w:eastAsia="仿宋_GB2312" w:cs="Times New Roman"/>
          <w:i w:val="0"/>
          <w:iCs w:val="0"/>
          <w:caps w:val="0"/>
          <w:color w:val="000000"/>
          <w:spacing w:val="0"/>
          <w:sz w:val="32"/>
          <w:szCs w:val="32"/>
        </w:rPr>
        <w:t>年1月1日起至202</w:t>
      </w:r>
      <w:r>
        <w:rPr>
          <w:rFonts w:hint="eastAsia" w:ascii="Times New Roman" w:hAnsi="Times New Roman" w:eastAsia="仿宋_GB2312" w:cs="Times New Roman"/>
          <w:i w:val="0"/>
          <w:iCs w:val="0"/>
          <w:caps w:val="0"/>
          <w:color w:val="000000"/>
          <w:spacing w:val="0"/>
          <w:sz w:val="32"/>
          <w:szCs w:val="32"/>
          <w:lang w:val="en-US" w:eastAsia="zh-CN"/>
        </w:rPr>
        <w:t>1</w:t>
      </w:r>
      <w:r>
        <w:rPr>
          <w:rFonts w:hint="eastAsia" w:ascii="Times New Roman" w:hAnsi="Times New Roman" w:eastAsia="仿宋_GB2312" w:cs="Times New Roman"/>
          <w:i w:val="0"/>
          <w:iCs w:val="0"/>
          <w:caps w:val="0"/>
          <w:color w:val="000000"/>
          <w:spacing w:val="0"/>
          <w:sz w:val="32"/>
          <w:szCs w:val="32"/>
        </w:rPr>
        <w:t>年12月31日止。</w:t>
      </w:r>
    </w:p>
    <w:p w14:paraId="2282470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eastAsia" w:ascii="仿宋_GB2312" w:hAnsi="仿宋_GB2312" w:eastAsia="仿宋_GB2312" w:cs="仿宋_GB2312"/>
          <w:i w:val="0"/>
          <w:iCs w:val="0"/>
          <w:caps w:val="0"/>
          <w:color w:val="3D3D3D"/>
          <w:spacing w:val="0"/>
          <w:sz w:val="32"/>
          <w:szCs w:val="32"/>
        </w:rPr>
      </w:pPr>
      <w:r>
        <w:rPr>
          <w:rFonts w:hint="eastAsia" w:ascii="Times New Roman" w:hAnsi="Times New Roman" w:eastAsia="仿宋_GB2312" w:cs="Times New Roman"/>
          <w:i w:val="0"/>
          <w:iCs w:val="0"/>
          <w:caps w:val="0"/>
          <w:color w:val="000000"/>
          <w:spacing w:val="0"/>
          <w:sz w:val="32"/>
          <w:szCs w:val="32"/>
        </w:rPr>
        <w:t>本报告的电子版可在威海市文登区人民政府门户网站“威海市文登区人民政府”（http://www.wendeng.gov.cn）</w:t>
      </w:r>
      <w:r>
        <w:rPr>
          <w:rFonts w:hint="eastAsia" w:ascii="Times New Roman" w:hAnsi="Times New Roman" w:eastAsia="仿宋_GB2312" w:cs="Times New Roman"/>
          <w:kern w:val="2"/>
          <w:sz w:val="32"/>
          <w:szCs w:val="21"/>
          <w:lang w:val="en-US" w:eastAsia="zh-CN" w:bidi="ar-SA"/>
        </w:rPr>
        <w:t>政府</w:t>
      </w:r>
      <w:r>
        <w:rPr>
          <w:rFonts w:hint="default" w:ascii="Times New Roman" w:hAnsi="Times New Roman" w:eastAsia="仿宋_GB2312" w:cs="Times New Roman"/>
          <w:kern w:val="2"/>
          <w:sz w:val="32"/>
          <w:szCs w:val="21"/>
          <w:lang w:val="en-US" w:eastAsia="zh-CN" w:bidi="ar-SA"/>
        </w:rPr>
        <w:t>信息公开专栏查阅</w:t>
      </w:r>
      <w:r>
        <w:rPr>
          <w:rFonts w:hint="eastAsia" w:ascii="Times New Roman" w:hAnsi="Times New Roman" w:eastAsia="仿宋_GB2312" w:cs="Times New Roman"/>
          <w:kern w:val="2"/>
          <w:sz w:val="32"/>
          <w:szCs w:val="21"/>
          <w:lang w:val="en-US" w:eastAsia="zh-CN" w:bidi="ar-SA"/>
        </w:rPr>
        <w:t>。</w:t>
      </w:r>
      <w:r>
        <w:rPr>
          <w:rFonts w:hint="eastAsia" w:ascii="Times New Roman" w:hAnsi="Times New Roman" w:eastAsia="仿宋_GB2312" w:cs="Times New Roman"/>
          <w:i w:val="0"/>
          <w:iCs w:val="0"/>
          <w:caps w:val="0"/>
          <w:color w:val="000000"/>
          <w:spacing w:val="0"/>
          <w:sz w:val="32"/>
          <w:szCs w:val="32"/>
        </w:rPr>
        <w:t>如对本报告有疑问，请与威海市文登区高村镇办公室联系（地址：威海市文登区高村镇兴高路41号；邮编：264400；电话：0631-8761088）。</w:t>
      </w:r>
    </w:p>
    <w:p w14:paraId="656A17E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20" w:firstLineChars="200"/>
        <w:jc w:val="both"/>
        <w:textAlignment w:val="auto"/>
        <w:rPr>
          <w:rFonts w:hint="default" w:ascii="sans-serif" w:hAnsi="sans-serif" w:eastAsia="sans-serif" w:cs="sans-serif"/>
          <w:i w:val="0"/>
          <w:iCs w:val="0"/>
          <w:caps w:val="0"/>
          <w:color w:val="000000"/>
          <w:spacing w:val="0"/>
          <w:sz w:val="24"/>
          <w:szCs w:val="24"/>
        </w:rPr>
      </w:pPr>
      <w:r>
        <w:rPr>
          <w:rFonts w:ascii="黑体" w:hAnsi="宋体" w:eastAsia="黑体" w:cs="黑体"/>
          <w:i w:val="0"/>
          <w:iCs w:val="0"/>
          <w:caps w:val="0"/>
          <w:color w:val="000000"/>
          <w:spacing w:val="0"/>
          <w:sz w:val="31"/>
          <w:szCs w:val="31"/>
        </w:rPr>
        <w:t>一、总体情况</w:t>
      </w:r>
    </w:p>
    <w:p w14:paraId="06FBBF2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540" w:firstLineChars="200"/>
        <w:jc w:val="both"/>
        <w:textAlignment w:val="auto"/>
        <w:rPr>
          <w:rFonts w:hint="default" w:ascii="Times New Roman" w:hAnsi="Times New Roman" w:eastAsia="仿宋_GB2312" w:cs="Times New Roman"/>
          <w:i w:val="0"/>
          <w:iCs w:val="0"/>
          <w:caps w:val="0"/>
          <w:color w:val="000000"/>
          <w:spacing w:val="0"/>
          <w:sz w:val="32"/>
          <w:szCs w:val="32"/>
        </w:rPr>
      </w:pPr>
      <w:r>
        <w:rPr>
          <w:rFonts w:hint="eastAsia" w:ascii="微软雅黑" w:hAnsi="微软雅黑" w:eastAsia="微软雅黑" w:cs="微软雅黑"/>
          <w:i w:val="0"/>
          <w:iCs w:val="0"/>
          <w:caps w:val="0"/>
          <w:color w:val="333333"/>
          <w:spacing w:val="0"/>
          <w:sz w:val="27"/>
          <w:szCs w:val="27"/>
          <w:shd w:val="clear" w:fill="FFFFFF"/>
        </w:rPr>
        <w:t> </w:t>
      </w:r>
      <w:r>
        <w:rPr>
          <w:rFonts w:hint="eastAsia" w:ascii="Times New Roman" w:hAnsi="Times New Roman" w:eastAsia="仿宋_GB2312" w:cs="Times New Roman"/>
          <w:i w:val="0"/>
          <w:iCs w:val="0"/>
          <w:caps w:val="0"/>
          <w:color w:val="000000"/>
          <w:spacing w:val="0"/>
          <w:sz w:val="32"/>
          <w:szCs w:val="32"/>
        </w:rPr>
        <w:t>202</w:t>
      </w:r>
      <w:r>
        <w:rPr>
          <w:rFonts w:hint="eastAsia" w:ascii="Times New Roman" w:hAnsi="Times New Roman" w:eastAsia="仿宋_GB2312" w:cs="Times New Roman"/>
          <w:i w:val="0"/>
          <w:iCs w:val="0"/>
          <w:caps w:val="0"/>
          <w:color w:val="000000"/>
          <w:spacing w:val="0"/>
          <w:sz w:val="32"/>
          <w:szCs w:val="32"/>
          <w:lang w:val="en-US" w:eastAsia="zh-CN"/>
        </w:rPr>
        <w:t>1</w:t>
      </w:r>
      <w:r>
        <w:rPr>
          <w:rFonts w:hint="eastAsia" w:ascii="Times New Roman" w:hAnsi="Times New Roman" w:eastAsia="仿宋_GB2312" w:cs="Times New Roman"/>
          <w:i w:val="0"/>
          <w:iCs w:val="0"/>
          <w:caps w:val="0"/>
          <w:color w:val="000000"/>
          <w:spacing w:val="0"/>
          <w:sz w:val="32"/>
          <w:szCs w:val="32"/>
        </w:rPr>
        <w:t>年，威</w:t>
      </w:r>
      <w:r>
        <w:rPr>
          <w:rFonts w:hint="eastAsia" w:ascii="仿宋_GB2312" w:hAnsi="仿宋_GB2312" w:eastAsia="仿宋_GB2312" w:cs="仿宋_GB2312"/>
          <w:i w:val="0"/>
          <w:iCs w:val="0"/>
          <w:caps w:val="0"/>
          <w:color w:val="000000"/>
          <w:spacing w:val="0"/>
          <w:sz w:val="32"/>
          <w:szCs w:val="32"/>
        </w:rPr>
        <w:t>海市文登区高村镇</w:t>
      </w:r>
      <w:r>
        <w:rPr>
          <w:rFonts w:hint="eastAsia" w:ascii="Times New Roman" w:hAnsi="Times New Roman" w:eastAsia="仿宋_GB2312" w:cs="Times New Roman"/>
          <w:i w:val="0"/>
          <w:iCs w:val="0"/>
          <w:caps w:val="0"/>
          <w:color w:val="000000"/>
          <w:spacing w:val="0"/>
          <w:sz w:val="32"/>
          <w:szCs w:val="32"/>
        </w:rPr>
        <w:t>认真贯彻落实国家、省、市的部署要求</w:t>
      </w:r>
      <w:r>
        <w:rPr>
          <w:rFonts w:hint="eastAsia" w:ascii="Times New Roman" w:hAnsi="Times New Roman" w:eastAsia="仿宋_GB2312" w:cs="Times New Roman"/>
          <w:i w:val="0"/>
          <w:iCs w:val="0"/>
          <w:caps w:val="0"/>
          <w:color w:val="000000"/>
          <w:spacing w:val="0"/>
          <w:sz w:val="32"/>
          <w:szCs w:val="32"/>
          <w:lang w:eastAsia="zh-CN"/>
        </w:rPr>
        <w:t>，</w:t>
      </w:r>
      <w:r>
        <w:rPr>
          <w:rFonts w:hint="eastAsia" w:ascii="Times New Roman" w:hAnsi="Times New Roman" w:eastAsia="仿宋_GB2312" w:cs="Times New Roman"/>
          <w:i w:val="0"/>
          <w:iCs w:val="0"/>
          <w:caps w:val="0"/>
          <w:color w:val="000000"/>
          <w:spacing w:val="0"/>
          <w:sz w:val="32"/>
          <w:szCs w:val="32"/>
        </w:rPr>
        <w:t>严格按照《中华人民共和国政府信息公开条例》等文件</w:t>
      </w:r>
      <w:r>
        <w:rPr>
          <w:rFonts w:hint="eastAsia" w:ascii="Times New Roman" w:hAnsi="Times New Roman" w:eastAsia="仿宋_GB2312" w:cs="Times New Roman"/>
          <w:i w:val="0"/>
          <w:iCs w:val="0"/>
          <w:caps w:val="0"/>
          <w:color w:val="000000"/>
          <w:spacing w:val="0"/>
          <w:sz w:val="32"/>
          <w:szCs w:val="32"/>
          <w:lang w:val="en-US" w:eastAsia="zh-CN"/>
        </w:rPr>
        <w:t>的要求</w:t>
      </w:r>
      <w:r>
        <w:rPr>
          <w:rFonts w:hint="eastAsia" w:ascii="Times New Roman" w:hAnsi="Times New Roman" w:eastAsia="仿宋_GB2312" w:cs="Times New Roman"/>
          <w:i w:val="0"/>
          <w:iCs w:val="0"/>
          <w:caps w:val="0"/>
          <w:color w:val="000000"/>
          <w:spacing w:val="0"/>
          <w:sz w:val="32"/>
          <w:szCs w:val="32"/>
        </w:rPr>
        <w:t>，进一步强化组织领导，完善工作制度，全面、及时、准确向全社会公开工作动态、政策法规、通知公告等信息，政务公开工作的覆盖面进一步拓展，信息公开工作积极、稳妥、有序推进</w:t>
      </w:r>
      <w:r>
        <w:rPr>
          <w:rFonts w:hint="eastAsia" w:ascii="Times New Roman" w:hAnsi="Times New Roman" w:eastAsia="仿宋_GB2312" w:cs="Times New Roman"/>
          <w:i w:val="0"/>
          <w:iCs w:val="0"/>
          <w:caps w:val="0"/>
          <w:color w:val="000000"/>
          <w:spacing w:val="0"/>
          <w:sz w:val="32"/>
          <w:szCs w:val="32"/>
          <w:lang w:eastAsia="zh-CN"/>
        </w:rPr>
        <w:t>，</w:t>
      </w:r>
      <w:r>
        <w:rPr>
          <w:rFonts w:hint="eastAsia" w:ascii="Times New Roman" w:hAnsi="Times New Roman" w:eastAsia="仿宋_GB2312" w:cs="Times New Roman"/>
          <w:i w:val="0"/>
          <w:iCs w:val="0"/>
          <w:caps w:val="0"/>
          <w:color w:val="000000"/>
          <w:spacing w:val="0"/>
          <w:sz w:val="32"/>
          <w:szCs w:val="32"/>
        </w:rPr>
        <w:t>人民在政务公开方面的互动体验明显增强。</w:t>
      </w:r>
    </w:p>
    <w:p w14:paraId="078D97D6">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20" w:firstLineChars="200"/>
        <w:jc w:val="both"/>
        <w:textAlignment w:val="auto"/>
        <w:rPr>
          <w:rFonts w:hint="eastAsia" w:ascii="楷体_GB2312" w:hAnsi="楷体_GB2312" w:eastAsia="楷体_GB2312" w:cs="楷体_GB2312"/>
          <w:i w:val="0"/>
          <w:iCs w:val="0"/>
          <w:caps w:val="0"/>
          <w:color w:val="000000"/>
          <w:spacing w:val="0"/>
          <w:sz w:val="24"/>
          <w:szCs w:val="24"/>
        </w:rPr>
      </w:pPr>
      <w:r>
        <w:rPr>
          <w:rFonts w:hint="eastAsia" w:ascii="楷体_GB2312" w:hAnsi="楷体_GB2312" w:eastAsia="楷体_GB2312" w:cs="楷体_GB2312"/>
          <w:i w:val="0"/>
          <w:iCs w:val="0"/>
          <w:caps w:val="0"/>
          <w:color w:val="000000"/>
          <w:spacing w:val="0"/>
          <w:sz w:val="31"/>
          <w:szCs w:val="31"/>
        </w:rPr>
        <w:t>（一）主动公开工作情况</w:t>
      </w:r>
    </w:p>
    <w:p w14:paraId="65B38D5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rPr>
      </w:pPr>
      <w:r>
        <w:rPr>
          <w:rFonts w:hint="eastAsia" w:ascii="Times New Roman" w:hAnsi="Times New Roman" w:eastAsia="仿宋_GB2312" w:cs="Times New Roman"/>
          <w:i w:val="0"/>
          <w:iCs w:val="0"/>
          <w:caps w:val="0"/>
          <w:color w:val="000000"/>
          <w:spacing w:val="0"/>
          <w:sz w:val="32"/>
          <w:szCs w:val="32"/>
        </w:rPr>
        <w:t>政府机构改革工作完成后，在“威海市文登区人民政府”网站政务公开栏目及时公布我镇机构职能、办公地址、联系方式、负责人姓名、工作动态等需要主动公开的政务信息。</w:t>
      </w:r>
    </w:p>
    <w:p w14:paraId="0F89C44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eastAsia" w:ascii="Times New Roman" w:hAnsi="Times New Roman" w:eastAsia="仿宋_GB2312" w:cs="Times New Roman"/>
          <w:i w:val="0"/>
          <w:iCs w:val="0"/>
          <w:caps w:val="0"/>
          <w:color w:val="000000"/>
          <w:spacing w:val="0"/>
          <w:sz w:val="32"/>
          <w:szCs w:val="32"/>
          <w:lang w:eastAsia="zh-CN"/>
        </w:rPr>
      </w:pPr>
      <w:r>
        <w:rPr>
          <w:rFonts w:hint="eastAsia" w:ascii="Times New Roman" w:hAnsi="Times New Roman" w:eastAsia="仿宋_GB2312" w:cs="Times New Roman"/>
          <w:i w:val="0"/>
          <w:iCs w:val="0"/>
          <w:caps w:val="0"/>
          <w:color w:val="000000"/>
          <w:spacing w:val="0"/>
          <w:sz w:val="32"/>
          <w:szCs w:val="32"/>
        </w:rPr>
        <w:t>在发布解读、回应社会关切以及互动交流情况方面，充分发挥政务网站、微信公众号等重要载体的作用，开设政策解读专栏，统筹运用文字解读、古镇高村公众号等多种形式，主动、及时、准确发布政策解读，回应社会各界关切。202</w:t>
      </w:r>
      <w:r>
        <w:rPr>
          <w:rFonts w:hint="eastAsia" w:ascii="Times New Roman" w:hAnsi="Times New Roman" w:eastAsia="仿宋_GB2312" w:cs="Times New Roman"/>
          <w:i w:val="0"/>
          <w:iCs w:val="0"/>
          <w:caps w:val="0"/>
          <w:color w:val="000000"/>
          <w:spacing w:val="0"/>
          <w:sz w:val="32"/>
          <w:szCs w:val="32"/>
          <w:lang w:val="en-US" w:eastAsia="zh-CN"/>
        </w:rPr>
        <w:t>1</w:t>
      </w:r>
      <w:r>
        <w:rPr>
          <w:rFonts w:hint="eastAsia" w:ascii="Times New Roman" w:hAnsi="Times New Roman" w:eastAsia="仿宋_GB2312" w:cs="Times New Roman"/>
          <w:i w:val="0"/>
          <w:iCs w:val="0"/>
          <w:caps w:val="0"/>
          <w:color w:val="000000"/>
          <w:spacing w:val="0"/>
          <w:sz w:val="32"/>
          <w:szCs w:val="32"/>
        </w:rPr>
        <w:t>年度通过各类媒体</w:t>
      </w:r>
      <w:r>
        <w:rPr>
          <w:rFonts w:hint="eastAsia" w:ascii="Times New Roman" w:hAnsi="Times New Roman" w:eastAsia="仿宋_GB2312" w:cs="Times New Roman"/>
          <w:i w:val="0"/>
          <w:iCs w:val="0"/>
          <w:caps w:val="0"/>
          <w:color w:val="auto"/>
          <w:spacing w:val="0"/>
          <w:sz w:val="32"/>
          <w:szCs w:val="32"/>
        </w:rPr>
        <w:t>渠道公开政府信息</w:t>
      </w:r>
      <w:r>
        <w:rPr>
          <w:rFonts w:hint="eastAsia" w:ascii="Times New Roman" w:hAnsi="Times New Roman" w:eastAsia="仿宋_GB2312" w:cs="Times New Roman"/>
          <w:i w:val="0"/>
          <w:iCs w:val="0"/>
          <w:caps w:val="0"/>
          <w:color w:val="auto"/>
          <w:spacing w:val="0"/>
          <w:sz w:val="32"/>
          <w:szCs w:val="32"/>
          <w:lang w:val="en-US" w:eastAsia="zh-CN"/>
        </w:rPr>
        <w:t>202</w:t>
      </w:r>
      <w:r>
        <w:rPr>
          <w:rFonts w:hint="eastAsia" w:ascii="Times New Roman" w:hAnsi="Times New Roman" w:eastAsia="仿宋_GB2312" w:cs="Times New Roman"/>
          <w:i w:val="0"/>
          <w:iCs w:val="0"/>
          <w:caps w:val="0"/>
          <w:color w:val="auto"/>
          <w:spacing w:val="0"/>
          <w:sz w:val="32"/>
          <w:szCs w:val="32"/>
        </w:rPr>
        <w:t>条，其中通过“古镇高村”微信公众号发布消息</w:t>
      </w:r>
      <w:r>
        <w:rPr>
          <w:rFonts w:hint="eastAsia" w:ascii="Times New Roman" w:hAnsi="Times New Roman" w:eastAsia="仿宋_GB2312" w:cs="Times New Roman"/>
          <w:i w:val="0"/>
          <w:iCs w:val="0"/>
          <w:caps w:val="0"/>
          <w:color w:val="auto"/>
          <w:spacing w:val="0"/>
          <w:sz w:val="32"/>
          <w:szCs w:val="32"/>
          <w:lang w:val="en-US" w:eastAsia="zh-CN"/>
        </w:rPr>
        <w:t>168</w:t>
      </w:r>
      <w:r>
        <w:rPr>
          <w:rFonts w:hint="eastAsia" w:ascii="Times New Roman" w:hAnsi="Times New Roman" w:eastAsia="仿宋_GB2312" w:cs="Times New Roman"/>
          <w:i w:val="0"/>
          <w:iCs w:val="0"/>
          <w:caps w:val="0"/>
          <w:color w:val="auto"/>
          <w:spacing w:val="0"/>
          <w:sz w:val="32"/>
          <w:szCs w:val="32"/>
        </w:rPr>
        <w:t>条，通过政务网站发布各类政务信息共计</w:t>
      </w:r>
      <w:r>
        <w:rPr>
          <w:rFonts w:hint="eastAsia" w:ascii="Times New Roman" w:hAnsi="Times New Roman" w:eastAsia="仿宋_GB2312" w:cs="Times New Roman"/>
          <w:i w:val="0"/>
          <w:iCs w:val="0"/>
          <w:caps w:val="0"/>
          <w:color w:val="auto"/>
          <w:spacing w:val="0"/>
          <w:sz w:val="32"/>
          <w:szCs w:val="32"/>
          <w:lang w:val="en-US" w:eastAsia="zh-CN"/>
        </w:rPr>
        <w:t>34</w:t>
      </w:r>
      <w:r>
        <w:rPr>
          <w:rFonts w:hint="eastAsia" w:ascii="Times New Roman" w:hAnsi="Times New Roman" w:eastAsia="仿宋_GB2312" w:cs="Times New Roman"/>
          <w:i w:val="0"/>
          <w:iCs w:val="0"/>
          <w:caps w:val="0"/>
          <w:color w:val="auto"/>
          <w:spacing w:val="0"/>
          <w:sz w:val="32"/>
          <w:szCs w:val="32"/>
        </w:rPr>
        <w:t>条，包括工作动态25条，政策文件及政策解读4条，重点领域信息公开</w:t>
      </w:r>
      <w:r>
        <w:rPr>
          <w:rFonts w:hint="eastAsia" w:ascii="Times New Roman" w:hAnsi="Times New Roman" w:eastAsia="仿宋_GB2312" w:cs="Times New Roman"/>
          <w:i w:val="0"/>
          <w:iCs w:val="0"/>
          <w:caps w:val="0"/>
          <w:color w:val="auto"/>
          <w:spacing w:val="0"/>
          <w:sz w:val="32"/>
          <w:szCs w:val="32"/>
          <w:lang w:val="en-US" w:eastAsia="zh-CN"/>
        </w:rPr>
        <w:t>5</w:t>
      </w:r>
      <w:r>
        <w:rPr>
          <w:rFonts w:hint="eastAsia" w:ascii="Times New Roman" w:hAnsi="Times New Roman" w:eastAsia="仿宋_GB2312" w:cs="Times New Roman"/>
          <w:i w:val="0"/>
          <w:iCs w:val="0"/>
          <w:caps w:val="0"/>
          <w:color w:val="auto"/>
          <w:spacing w:val="0"/>
          <w:sz w:val="32"/>
          <w:szCs w:val="32"/>
        </w:rPr>
        <w:t>条。</w:t>
      </w:r>
    </w:p>
    <w:p w14:paraId="6DE9FE3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i w:val="0"/>
          <w:iCs w:val="0"/>
          <w:caps w:val="0"/>
          <w:color w:val="000000"/>
          <w:spacing w:val="0"/>
          <w:sz w:val="31"/>
          <w:szCs w:val="31"/>
        </w:rPr>
      </w:pPr>
      <w:r>
        <w:rPr>
          <w:rFonts w:hint="eastAsia" w:ascii="Times New Roman" w:hAnsi="Times New Roman" w:eastAsia="仿宋_GB2312" w:cs="Times New Roman"/>
          <w:i w:val="0"/>
          <w:iCs w:val="0"/>
          <w:caps w:val="0"/>
          <w:color w:val="000000"/>
          <w:spacing w:val="0"/>
          <w:sz w:val="32"/>
          <w:szCs w:val="32"/>
          <w:lang w:eastAsia="zh-CN"/>
        </w:rPr>
        <w:drawing>
          <wp:anchor distT="0" distB="0" distL="114300" distR="114300" simplePos="0" relativeHeight="251659264" behindDoc="0" locked="0" layoutInCell="1" allowOverlap="1">
            <wp:simplePos x="0" y="0"/>
            <wp:positionH relativeFrom="column">
              <wp:posOffset>514985</wp:posOffset>
            </wp:positionH>
            <wp:positionV relativeFrom="paragraph">
              <wp:posOffset>37465</wp:posOffset>
            </wp:positionV>
            <wp:extent cx="4785995" cy="2886710"/>
            <wp:effectExtent l="4445" t="4445" r="10160" b="23495"/>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anchor>
        </w:drawing>
      </w:r>
    </w:p>
    <w:p w14:paraId="36EAD7C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both"/>
        <w:textAlignment w:val="auto"/>
        <w:rPr>
          <w:rFonts w:hint="eastAsia" w:ascii="楷体_GB2312" w:hAnsi="楷体_GB2312" w:eastAsia="楷体_GB2312" w:cs="楷体_GB2312"/>
          <w:i w:val="0"/>
          <w:iCs w:val="0"/>
          <w:caps w:val="0"/>
          <w:color w:val="000000"/>
          <w:spacing w:val="0"/>
          <w:sz w:val="31"/>
          <w:szCs w:val="31"/>
          <w:lang w:eastAsia="zh-CN"/>
        </w:rPr>
      </w:pPr>
      <w:r>
        <w:rPr>
          <w:rFonts w:hint="eastAsia" w:ascii="楷体_GB2312" w:hAnsi="楷体_GB2312" w:eastAsia="楷体_GB2312" w:cs="楷体_GB2312"/>
          <w:i w:val="0"/>
          <w:iCs w:val="0"/>
          <w:caps w:val="0"/>
          <w:color w:val="000000"/>
          <w:spacing w:val="0"/>
          <w:sz w:val="31"/>
          <w:szCs w:val="31"/>
          <w:lang w:val="en-US" w:eastAsia="zh-CN"/>
        </w:rPr>
        <w:t xml:space="preserve">    </w:t>
      </w:r>
      <w:r>
        <w:rPr>
          <w:rFonts w:hint="eastAsia" w:ascii="楷体_GB2312" w:hAnsi="楷体_GB2312" w:eastAsia="楷体_GB2312" w:cs="楷体_GB2312"/>
          <w:i w:val="0"/>
          <w:iCs w:val="0"/>
          <w:caps w:val="0"/>
          <w:color w:val="000000"/>
          <w:spacing w:val="0"/>
          <w:sz w:val="31"/>
          <w:szCs w:val="31"/>
          <w:lang w:eastAsia="zh-CN"/>
        </w:rPr>
        <w:drawing>
          <wp:inline distT="0" distB="0" distL="114300" distR="114300">
            <wp:extent cx="4858385" cy="4309745"/>
            <wp:effectExtent l="0" t="0" r="18415" b="14605"/>
            <wp:docPr id="10" name="图片 10" descr="16430802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643080269(1)"/>
                    <pic:cNvPicPr>
                      <a:picLocks noChangeAspect="1"/>
                    </pic:cNvPicPr>
                  </pic:nvPicPr>
                  <pic:blipFill>
                    <a:blip r:embed="rId5"/>
                    <a:srcRect t="5799" r="-418" b="13906"/>
                    <a:stretch>
                      <a:fillRect/>
                    </a:stretch>
                  </pic:blipFill>
                  <pic:spPr>
                    <a:xfrm>
                      <a:off x="0" y="0"/>
                      <a:ext cx="4858385" cy="4309745"/>
                    </a:xfrm>
                    <a:prstGeom prst="rect">
                      <a:avLst/>
                    </a:prstGeom>
                  </pic:spPr>
                </pic:pic>
              </a:graphicData>
            </a:graphic>
          </wp:inline>
        </w:drawing>
      </w:r>
    </w:p>
    <w:p w14:paraId="6C19791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eastAsia" w:ascii="楷体_GB2312" w:hAnsi="楷体_GB2312" w:eastAsia="楷体_GB2312" w:cs="楷体_GB2312"/>
          <w:i w:val="0"/>
          <w:iCs w:val="0"/>
          <w:caps w:val="0"/>
          <w:color w:val="000000"/>
          <w:spacing w:val="0"/>
          <w:sz w:val="31"/>
          <w:szCs w:val="31"/>
          <w:lang w:eastAsia="zh-CN"/>
        </w:rPr>
      </w:pPr>
      <w:r>
        <w:rPr>
          <w:rFonts w:hint="eastAsia" w:ascii="楷体_GB2312" w:hAnsi="楷体_GB2312" w:eastAsia="楷体_GB2312" w:cs="楷体_GB2312"/>
          <w:i w:val="0"/>
          <w:iCs w:val="0"/>
          <w:caps w:val="0"/>
          <w:color w:val="000000"/>
          <w:spacing w:val="0"/>
          <w:sz w:val="31"/>
          <w:szCs w:val="31"/>
          <w:lang w:eastAsia="zh-CN"/>
        </w:rPr>
        <w:drawing>
          <wp:inline distT="0" distB="0" distL="114300" distR="114300">
            <wp:extent cx="4914900" cy="2756535"/>
            <wp:effectExtent l="0" t="0" r="0" b="5715"/>
            <wp:docPr id="11" name="图片 11" descr="16430805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643080503(1)"/>
                    <pic:cNvPicPr>
                      <a:picLocks noChangeAspect="1"/>
                    </pic:cNvPicPr>
                  </pic:nvPicPr>
                  <pic:blipFill>
                    <a:blip r:embed="rId6"/>
                    <a:stretch>
                      <a:fillRect/>
                    </a:stretch>
                  </pic:blipFill>
                  <pic:spPr>
                    <a:xfrm>
                      <a:off x="0" y="0"/>
                      <a:ext cx="4914900" cy="2756535"/>
                    </a:xfrm>
                    <a:prstGeom prst="rect">
                      <a:avLst/>
                    </a:prstGeom>
                  </pic:spPr>
                </pic:pic>
              </a:graphicData>
            </a:graphic>
          </wp:inline>
        </w:drawing>
      </w:r>
    </w:p>
    <w:p w14:paraId="7E39720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20" w:firstLineChars="200"/>
        <w:jc w:val="both"/>
        <w:textAlignment w:val="auto"/>
        <w:rPr>
          <w:rFonts w:hint="default" w:ascii="楷体_GB2312" w:hAnsi="楷体_GB2312" w:eastAsia="楷体_GB2312" w:cs="楷体_GB2312"/>
          <w:i w:val="0"/>
          <w:iCs w:val="0"/>
          <w:caps w:val="0"/>
          <w:color w:val="000000"/>
          <w:spacing w:val="0"/>
          <w:sz w:val="31"/>
          <w:szCs w:val="31"/>
        </w:rPr>
      </w:pPr>
      <w:r>
        <w:rPr>
          <w:rFonts w:hint="eastAsia" w:ascii="楷体_GB2312" w:hAnsi="楷体_GB2312" w:eastAsia="楷体_GB2312" w:cs="楷体_GB2312"/>
          <w:i w:val="0"/>
          <w:iCs w:val="0"/>
          <w:caps w:val="0"/>
          <w:color w:val="000000"/>
          <w:spacing w:val="0"/>
          <w:sz w:val="31"/>
          <w:szCs w:val="31"/>
        </w:rPr>
        <w:t>（二）依申请公开工作情况</w:t>
      </w:r>
    </w:p>
    <w:p w14:paraId="7B573D9F">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50" w:lineRule="exact"/>
        <w:ind w:firstLine="640" w:firstLineChars="200"/>
        <w:jc w:val="both"/>
        <w:textAlignment w:val="auto"/>
        <w:rPr>
          <w:rFonts w:hint="default" w:ascii="Times New Roman" w:hAnsi="Times New Roman" w:eastAsia="仿宋_GB2312" w:cs="Times New Roman"/>
          <w:color w:val="0000FF"/>
          <w:kern w:val="2"/>
          <w:sz w:val="32"/>
          <w:szCs w:val="21"/>
          <w:lang w:val="en-US" w:eastAsia="zh-CN" w:bidi="ar-SA"/>
        </w:rPr>
      </w:pPr>
      <w:r>
        <w:rPr>
          <w:rFonts w:hint="eastAsia" w:ascii="Times New Roman" w:hAnsi="Times New Roman" w:eastAsia="仿宋_GB2312" w:cs="Times New Roman"/>
          <w:kern w:val="2"/>
          <w:sz w:val="32"/>
          <w:szCs w:val="21"/>
          <w:lang w:val="en-US" w:eastAsia="zh-CN" w:bidi="ar-SA"/>
        </w:rPr>
        <w:t>2021年共收到并按时答复政府信息公开申请1件，涉及土地征收相关信息，因公开信息非本机关制作或保存，本机关不掌握，已向申请人告知。本年度未</w:t>
      </w:r>
      <w:r>
        <w:rPr>
          <w:rFonts w:hint="eastAsia" w:ascii="Times New Roman" w:hAnsi="Times New Roman" w:eastAsia="仿宋_GB2312" w:cs="Times New Roman"/>
          <w:i w:val="0"/>
          <w:iCs w:val="0"/>
          <w:caps w:val="0"/>
          <w:color w:val="000000"/>
          <w:spacing w:val="0"/>
          <w:sz w:val="32"/>
          <w:szCs w:val="32"/>
          <w:lang w:eastAsia="zh-CN"/>
        </w:rPr>
        <w:t>收取信息处理费。</w:t>
      </w:r>
    </w:p>
    <w:p w14:paraId="385A6A2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20" w:firstLineChars="200"/>
        <w:jc w:val="both"/>
        <w:textAlignment w:val="auto"/>
        <w:rPr>
          <w:rFonts w:hint="default" w:ascii="楷体_GB2312" w:hAnsi="楷体_GB2312" w:eastAsia="楷体_GB2312" w:cs="楷体_GB2312"/>
          <w:i w:val="0"/>
          <w:iCs w:val="0"/>
          <w:caps w:val="0"/>
          <w:color w:val="000000"/>
          <w:spacing w:val="0"/>
          <w:sz w:val="31"/>
          <w:szCs w:val="31"/>
        </w:rPr>
      </w:pPr>
      <w:r>
        <w:rPr>
          <w:rFonts w:hint="eastAsia" w:ascii="楷体_GB2312" w:hAnsi="楷体_GB2312" w:eastAsia="楷体_GB2312" w:cs="楷体_GB2312"/>
          <w:i w:val="0"/>
          <w:iCs w:val="0"/>
          <w:caps w:val="0"/>
          <w:color w:val="000000"/>
          <w:spacing w:val="0"/>
          <w:sz w:val="31"/>
          <w:szCs w:val="31"/>
        </w:rPr>
        <w:t>（三）政府信息管理情况</w:t>
      </w:r>
    </w:p>
    <w:p w14:paraId="1496E63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rPr>
      </w:pPr>
      <w:r>
        <w:rPr>
          <w:rFonts w:hint="eastAsia" w:ascii="Times New Roman" w:hAnsi="Times New Roman" w:eastAsia="仿宋_GB2312" w:cs="Times New Roman"/>
          <w:i w:val="0"/>
          <w:iCs w:val="0"/>
          <w:caps w:val="0"/>
          <w:color w:val="000000"/>
          <w:spacing w:val="0"/>
          <w:sz w:val="32"/>
          <w:szCs w:val="32"/>
        </w:rPr>
        <w:t>结合我镇实际，配齐信息公开所需的办公设备，规范整理信息公开各类文件资料，安排1名工作人员负责政府信息公开工作，全镇政务公开工作制度向制度化、规范化方向发展。</w:t>
      </w:r>
    </w:p>
    <w:p w14:paraId="5DEB3266">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仿宋_GB2312" w:cs="Times New Roman"/>
          <w:i w:val="0"/>
          <w:iCs w:val="0"/>
          <w:caps w:val="0"/>
          <w:color w:val="000000"/>
          <w:spacing w:val="0"/>
          <w:sz w:val="32"/>
          <w:szCs w:val="32"/>
        </w:rPr>
      </w:pPr>
      <w:r>
        <w:rPr>
          <w:rFonts w:hint="eastAsia" w:ascii="Times New Roman" w:hAnsi="Times New Roman" w:eastAsia="仿宋_GB2312" w:cs="Times New Roman"/>
          <w:i w:val="0"/>
          <w:iCs w:val="0"/>
          <w:caps w:val="0"/>
          <w:color w:val="000000"/>
          <w:spacing w:val="0"/>
          <w:sz w:val="32"/>
          <w:szCs w:val="32"/>
        </w:rPr>
        <w:t>建立健全政府信息公开保密审查制度和责任追究制度，成立了保密审查领导小组，规范审查程序，严格</w:t>
      </w:r>
      <w:bookmarkStart w:id="10" w:name="_GoBack"/>
      <w:bookmarkEnd w:id="10"/>
      <w:r>
        <w:rPr>
          <w:rFonts w:hint="eastAsia" w:ascii="Times New Roman" w:hAnsi="Times New Roman" w:eastAsia="仿宋_GB2312" w:cs="Times New Roman"/>
          <w:i w:val="0"/>
          <w:iCs w:val="0"/>
          <w:caps w:val="0"/>
          <w:color w:val="000000"/>
          <w:spacing w:val="0"/>
          <w:sz w:val="32"/>
          <w:szCs w:val="32"/>
        </w:rPr>
        <w:t>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p>
    <w:p w14:paraId="1D00A1C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20" w:firstLineChars="200"/>
        <w:jc w:val="both"/>
        <w:textAlignment w:val="auto"/>
        <w:rPr>
          <w:rFonts w:hint="eastAsia" w:ascii="楷体_GB2312" w:hAnsi="楷体_GB2312" w:eastAsia="楷体_GB2312" w:cs="楷体_GB2312"/>
          <w:i w:val="0"/>
          <w:iCs w:val="0"/>
          <w:caps w:val="0"/>
          <w:color w:val="000000"/>
          <w:spacing w:val="0"/>
          <w:sz w:val="31"/>
          <w:szCs w:val="31"/>
        </w:rPr>
      </w:pPr>
      <w:r>
        <w:rPr>
          <w:rFonts w:hint="eastAsia" w:ascii="楷体_GB2312" w:hAnsi="楷体_GB2312" w:eastAsia="楷体_GB2312" w:cs="楷体_GB2312"/>
          <w:i w:val="0"/>
          <w:iCs w:val="0"/>
          <w:caps w:val="0"/>
          <w:color w:val="000000"/>
          <w:spacing w:val="0"/>
          <w:sz w:val="31"/>
          <w:szCs w:val="31"/>
        </w:rPr>
        <w:t>（四）平台建设情况</w:t>
      </w:r>
    </w:p>
    <w:p w14:paraId="67E91A0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eastAsia" w:ascii="sans-serif" w:hAnsi="sans-serif" w:eastAsia="仿宋_GB2312" w:cs="sans-serif"/>
          <w:i w:val="0"/>
          <w:iCs w:val="0"/>
          <w:caps w:val="0"/>
          <w:color w:val="000000"/>
          <w:spacing w:val="0"/>
          <w:sz w:val="24"/>
          <w:szCs w:val="24"/>
          <w:lang w:val="en-US" w:eastAsia="zh-CN"/>
        </w:rPr>
      </w:pPr>
      <w:r>
        <w:rPr>
          <w:rFonts w:hint="eastAsia" w:ascii="Times New Roman" w:hAnsi="Times New Roman" w:eastAsia="仿宋_GB2312" w:cs="Times New Roman"/>
          <w:i w:val="0"/>
          <w:iCs w:val="0"/>
          <w:caps w:val="0"/>
          <w:color w:val="000000"/>
          <w:spacing w:val="0"/>
          <w:sz w:val="32"/>
          <w:szCs w:val="32"/>
        </w:rPr>
        <w:t>依托威海市文登区人民政府官网，建立和完善了信息发布与政务公开平台，</w:t>
      </w:r>
      <w:r>
        <w:rPr>
          <w:rFonts w:hint="eastAsia" w:ascii="Times New Roman" w:hAnsi="Times New Roman" w:eastAsia="仿宋_GB2312" w:cs="Times New Roman"/>
          <w:i w:val="0"/>
          <w:iCs w:val="0"/>
          <w:caps w:val="0"/>
          <w:color w:val="000000"/>
          <w:spacing w:val="0"/>
          <w:sz w:val="32"/>
          <w:szCs w:val="32"/>
          <w:lang w:val="en-US" w:eastAsia="zh-CN"/>
        </w:rPr>
        <w:t>开设“古镇高村”线上公众号，</w:t>
      </w:r>
      <w:r>
        <w:rPr>
          <w:rFonts w:hint="eastAsia" w:ascii="Times New Roman" w:hAnsi="Times New Roman" w:eastAsia="仿宋_GB2312" w:cs="Times New Roman"/>
          <w:i w:val="0"/>
          <w:iCs w:val="0"/>
          <w:caps w:val="0"/>
          <w:color w:val="000000"/>
          <w:spacing w:val="0"/>
          <w:sz w:val="32"/>
          <w:szCs w:val="32"/>
        </w:rPr>
        <w:t>定期发布全镇工作动态</w:t>
      </w:r>
      <w:r>
        <w:rPr>
          <w:rFonts w:hint="eastAsia" w:ascii="Times New Roman" w:hAnsi="Times New Roman" w:eastAsia="仿宋_GB2312" w:cs="Times New Roman"/>
          <w:i w:val="0"/>
          <w:iCs w:val="0"/>
          <w:caps w:val="0"/>
          <w:color w:val="000000"/>
          <w:spacing w:val="0"/>
          <w:sz w:val="32"/>
          <w:szCs w:val="32"/>
          <w:lang w:eastAsia="zh-CN"/>
        </w:rPr>
        <w:t>，</w:t>
      </w:r>
      <w:r>
        <w:rPr>
          <w:rFonts w:hint="eastAsia" w:ascii="Times New Roman" w:hAnsi="Times New Roman" w:eastAsia="仿宋_GB2312" w:cs="Times New Roman"/>
          <w:i w:val="0"/>
          <w:iCs w:val="0"/>
          <w:caps w:val="0"/>
          <w:color w:val="000000"/>
          <w:spacing w:val="0"/>
          <w:sz w:val="32"/>
          <w:szCs w:val="32"/>
          <w:lang w:val="en-US" w:eastAsia="zh-CN"/>
        </w:rPr>
        <w:t>更新镇情</w:t>
      </w:r>
      <w:r>
        <w:rPr>
          <w:rFonts w:hint="eastAsia" w:ascii="Times New Roman" w:hAnsi="Times New Roman" w:eastAsia="仿宋_GB2312" w:cs="Times New Roman"/>
          <w:i w:val="0"/>
          <w:iCs w:val="0"/>
          <w:caps w:val="0"/>
          <w:color w:val="000000"/>
          <w:spacing w:val="0"/>
          <w:sz w:val="32"/>
          <w:szCs w:val="32"/>
        </w:rPr>
        <w:t>。同时，</w:t>
      </w:r>
      <w:r>
        <w:rPr>
          <w:rFonts w:hint="eastAsia" w:ascii="Times New Roman" w:hAnsi="Times New Roman" w:eastAsia="仿宋_GB2312" w:cs="Times New Roman"/>
          <w:i w:val="0"/>
          <w:iCs w:val="0"/>
          <w:caps w:val="0"/>
          <w:color w:val="000000"/>
          <w:spacing w:val="0"/>
          <w:sz w:val="32"/>
          <w:szCs w:val="32"/>
          <w:lang w:val="en-US" w:eastAsia="zh-CN"/>
        </w:rPr>
        <w:t>定期在政府大厅及便民服务大厅公开政府相关信息，将</w:t>
      </w:r>
      <w:r>
        <w:rPr>
          <w:rFonts w:hint="eastAsia" w:ascii="Times New Roman" w:hAnsi="Times New Roman" w:eastAsia="仿宋_GB2312" w:cs="Times New Roman"/>
          <w:i w:val="0"/>
          <w:iCs w:val="0"/>
          <w:caps w:val="0"/>
          <w:color w:val="000000"/>
          <w:spacing w:val="0"/>
          <w:sz w:val="32"/>
          <w:szCs w:val="32"/>
        </w:rPr>
        <w:t>主动公开与群众咨询公开相结合，着力提高行政透明度和办事效率</w:t>
      </w:r>
      <w:r>
        <w:rPr>
          <w:rFonts w:hint="eastAsia" w:ascii="Times New Roman" w:hAnsi="Times New Roman" w:eastAsia="仿宋_GB2312" w:cs="Times New Roman"/>
          <w:i w:val="0"/>
          <w:iCs w:val="0"/>
          <w:caps w:val="0"/>
          <w:color w:val="000000"/>
          <w:spacing w:val="0"/>
          <w:sz w:val="32"/>
          <w:szCs w:val="32"/>
          <w:lang w:eastAsia="zh-CN"/>
        </w:rPr>
        <w:t>。</w:t>
      </w:r>
    </w:p>
    <w:p w14:paraId="2773564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15"/>
        <w:jc w:val="both"/>
        <w:textAlignment w:val="auto"/>
        <w:rPr>
          <w:rFonts w:hint="default" w:ascii="楷体_GB2312" w:hAnsi="楷体_GB2312" w:eastAsia="楷体_GB2312" w:cs="楷体_GB2312"/>
          <w:i w:val="0"/>
          <w:iCs w:val="0"/>
          <w:caps w:val="0"/>
          <w:color w:val="000000"/>
          <w:spacing w:val="0"/>
          <w:sz w:val="31"/>
          <w:szCs w:val="31"/>
        </w:rPr>
      </w:pPr>
      <w:r>
        <w:rPr>
          <w:rFonts w:hint="eastAsia" w:ascii="楷体_GB2312" w:hAnsi="楷体_GB2312" w:eastAsia="楷体_GB2312" w:cs="楷体_GB2312"/>
          <w:i w:val="0"/>
          <w:iCs w:val="0"/>
          <w:caps w:val="0"/>
          <w:color w:val="000000"/>
          <w:spacing w:val="0"/>
          <w:sz w:val="31"/>
          <w:szCs w:val="31"/>
        </w:rPr>
        <w:t>（五）监督保障情况</w:t>
      </w:r>
    </w:p>
    <w:p w14:paraId="373F8C7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eastAsia" w:ascii="sans-serif" w:hAnsi="sans-serif" w:eastAsia="仿宋_GB2312" w:cs="sans-serif"/>
          <w:i w:val="0"/>
          <w:iCs w:val="0"/>
          <w:caps w:val="0"/>
          <w:color w:val="000000"/>
          <w:spacing w:val="0"/>
          <w:sz w:val="24"/>
          <w:szCs w:val="24"/>
          <w:lang w:val="en-US" w:eastAsia="zh-CN"/>
        </w:rPr>
      </w:pPr>
      <w:r>
        <w:rPr>
          <w:rFonts w:hint="default" w:ascii="Times New Roman" w:hAnsi="Times New Roman" w:eastAsia="仿宋_GB2312" w:cs="Times New Roman"/>
          <w:i w:val="0"/>
          <w:iCs w:val="0"/>
          <w:caps w:val="0"/>
          <w:color w:val="000000"/>
          <w:spacing w:val="0"/>
          <w:sz w:val="32"/>
          <w:szCs w:val="32"/>
        </w:rPr>
        <w:t>为切实做好政务公开工作，深化主动公开内容，我镇逐步健全政府信息公开工作机制，根据工作开展情况，进一步修改完善了关于发布审核、保密管理、社会评议、考核评比和责任追究制度等</w:t>
      </w:r>
      <w:r>
        <w:rPr>
          <w:rFonts w:hint="eastAsia"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iCs w:val="0"/>
          <w:caps w:val="0"/>
          <w:color w:val="000000"/>
          <w:spacing w:val="0"/>
          <w:sz w:val="32"/>
          <w:szCs w:val="32"/>
        </w:rPr>
        <w:t>切实加强对信息公开工作的监督检查</w:t>
      </w:r>
      <w:r>
        <w:rPr>
          <w:rFonts w:hint="eastAsia" w:ascii="Times New Roman" w:hAnsi="Times New Roman" w:eastAsia="仿宋_GB2312" w:cs="Times New Roman"/>
          <w:i w:val="0"/>
          <w:iCs w:val="0"/>
          <w:caps w:val="0"/>
          <w:color w:val="000000"/>
          <w:spacing w:val="0"/>
          <w:sz w:val="32"/>
          <w:szCs w:val="32"/>
          <w:lang w:eastAsia="zh-CN"/>
        </w:rPr>
        <w:t>。</w:t>
      </w:r>
      <w:r>
        <w:rPr>
          <w:rFonts w:hint="eastAsia" w:ascii="Times New Roman" w:hAnsi="Times New Roman" w:eastAsia="仿宋_GB2312" w:cs="Times New Roman"/>
          <w:i w:val="0"/>
          <w:iCs w:val="0"/>
          <w:caps w:val="0"/>
          <w:color w:val="000000"/>
          <w:spacing w:val="0"/>
          <w:sz w:val="32"/>
          <w:szCs w:val="32"/>
          <w:lang w:val="en-US" w:eastAsia="zh-CN"/>
        </w:rPr>
        <w:t>设立专人负责政务公开工作，积极参加上级组织的培训学习，同时组织各部门对政务公开工作流程及考核管理等要求进行统一学习，</w:t>
      </w:r>
      <w:r>
        <w:rPr>
          <w:rFonts w:hint="default" w:ascii="Times New Roman" w:hAnsi="Times New Roman" w:eastAsia="仿宋_GB2312" w:cs="Times New Roman"/>
          <w:i w:val="0"/>
          <w:iCs w:val="0"/>
          <w:caps w:val="0"/>
          <w:color w:val="000000"/>
          <w:spacing w:val="0"/>
          <w:sz w:val="32"/>
          <w:szCs w:val="32"/>
          <w:lang w:val="en-US" w:eastAsia="zh-CN"/>
        </w:rPr>
        <w:t>规范信息采集、审核和报送工作流程</w:t>
      </w:r>
      <w:r>
        <w:rPr>
          <w:rFonts w:hint="eastAsia" w:ascii="Times New Roman" w:hAnsi="Times New Roman" w:eastAsia="仿宋_GB2312" w:cs="Times New Roman"/>
          <w:i w:val="0"/>
          <w:iCs w:val="0"/>
          <w:caps w:val="0"/>
          <w:color w:val="000000"/>
          <w:spacing w:val="0"/>
          <w:sz w:val="32"/>
          <w:szCs w:val="32"/>
          <w:lang w:val="en-US" w:eastAsia="zh-CN"/>
        </w:rPr>
        <w:t>，</w:t>
      </w:r>
      <w:r>
        <w:rPr>
          <w:rFonts w:hint="default" w:ascii="Times New Roman" w:hAnsi="Times New Roman" w:eastAsia="仿宋_GB2312" w:cs="Times New Roman"/>
          <w:i w:val="0"/>
          <w:iCs w:val="0"/>
          <w:caps w:val="0"/>
          <w:color w:val="000000"/>
          <w:spacing w:val="0"/>
          <w:sz w:val="32"/>
          <w:szCs w:val="32"/>
          <w:lang w:val="en-US" w:eastAsia="zh-CN"/>
        </w:rPr>
        <w:t>加强对</w:t>
      </w:r>
      <w:r>
        <w:rPr>
          <w:rFonts w:hint="eastAsia" w:ascii="Times New Roman" w:hAnsi="Times New Roman" w:eastAsia="仿宋_GB2312" w:cs="Times New Roman"/>
          <w:i w:val="0"/>
          <w:iCs w:val="0"/>
          <w:caps w:val="0"/>
          <w:color w:val="000000"/>
          <w:spacing w:val="0"/>
          <w:sz w:val="32"/>
          <w:szCs w:val="32"/>
          <w:lang w:val="en-US" w:eastAsia="zh-CN"/>
        </w:rPr>
        <w:t>部门</w:t>
      </w:r>
      <w:r>
        <w:rPr>
          <w:rFonts w:hint="default" w:ascii="Times New Roman" w:hAnsi="Times New Roman" w:eastAsia="仿宋_GB2312" w:cs="Times New Roman"/>
          <w:i w:val="0"/>
          <w:iCs w:val="0"/>
          <w:caps w:val="0"/>
          <w:color w:val="000000"/>
          <w:spacing w:val="0"/>
          <w:sz w:val="32"/>
          <w:szCs w:val="32"/>
          <w:lang w:val="en-US" w:eastAsia="zh-CN"/>
        </w:rPr>
        <w:t>信息公开工作的监督和考核，对各</w:t>
      </w:r>
      <w:r>
        <w:rPr>
          <w:rFonts w:hint="eastAsia" w:ascii="Times New Roman" w:hAnsi="Times New Roman" w:eastAsia="仿宋_GB2312" w:cs="Times New Roman"/>
          <w:i w:val="0"/>
          <w:iCs w:val="0"/>
          <w:caps w:val="0"/>
          <w:color w:val="000000"/>
          <w:spacing w:val="0"/>
          <w:sz w:val="32"/>
          <w:szCs w:val="32"/>
          <w:lang w:val="en-US" w:eastAsia="zh-CN"/>
        </w:rPr>
        <w:t>部门</w:t>
      </w:r>
      <w:r>
        <w:rPr>
          <w:rFonts w:hint="default" w:ascii="Times New Roman" w:hAnsi="Times New Roman" w:eastAsia="仿宋_GB2312" w:cs="Times New Roman"/>
          <w:i w:val="0"/>
          <w:iCs w:val="0"/>
          <w:caps w:val="0"/>
          <w:color w:val="000000"/>
          <w:spacing w:val="0"/>
          <w:sz w:val="32"/>
          <w:szCs w:val="32"/>
          <w:lang w:val="en-US" w:eastAsia="zh-CN"/>
        </w:rPr>
        <w:t>信息公开工作落实情况开展不定期督查通报</w:t>
      </w:r>
      <w:r>
        <w:rPr>
          <w:rFonts w:hint="eastAsia" w:ascii="Times New Roman" w:hAnsi="Times New Roman" w:eastAsia="仿宋_GB2312" w:cs="Times New Roman"/>
          <w:i w:val="0"/>
          <w:iCs w:val="0"/>
          <w:caps w:val="0"/>
          <w:color w:val="000000"/>
          <w:spacing w:val="0"/>
          <w:sz w:val="32"/>
          <w:szCs w:val="32"/>
          <w:lang w:val="en-US" w:eastAsia="zh-CN"/>
        </w:rPr>
        <w:t>。</w:t>
      </w:r>
    </w:p>
    <w:p w14:paraId="4337ADD3">
      <w:pPr>
        <w:pStyle w:val="3"/>
        <w:keepNext w:val="0"/>
        <w:keepLines w:val="0"/>
        <w:pageBreakBefore w:val="0"/>
        <w:widowControl/>
        <w:numPr>
          <w:ilvl w:val="0"/>
          <w:numId w:val="0"/>
        </w:numPr>
        <w:suppressLineNumbers w:val="0"/>
        <w:kinsoku/>
        <w:overflowPunct/>
        <w:topLinePunct w:val="0"/>
        <w:autoSpaceDE/>
        <w:autoSpaceDN/>
        <w:bidi w:val="0"/>
        <w:adjustRightInd/>
        <w:snapToGrid/>
        <w:spacing w:before="0" w:beforeAutospacing="0" w:after="0" w:afterAutospacing="0" w:line="560" w:lineRule="exact"/>
        <w:ind w:left="0" w:leftChars="0" w:right="0" w:rightChars="0" w:firstLine="615" w:firstLineChars="0"/>
        <w:textAlignment w:val="auto"/>
        <w:rPr>
          <w:rFonts w:hint="eastAsia" w:ascii="黑体" w:hAnsi="宋体" w:eastAsia="黑体" w:cs="黑体"/>
          <w:i w:val="0"/>
          <w:iCs w:val="0"/>
          <w:caps w:val="0"/>
          <w:color w:val="000000"/>
          <w:spacing w:val="0"/>
          <w:sz w:val="31"/>
          <w:szCs w:val="31"/>
        </w:rPr>
      </w:pPr>
      <w:r>
        <w:rPr>
          <w:rFonts w:hint="eastAsia" w:ascii="黑体" w:hAnsi="宋体" w:eastAsia="黑体" w:cs="黑体"/>
          <w:i w:val="0"/>
          <w:iCs w:val="0"/>
          <w:caps w:val="0"/>
          <w:color w:val="000000"/>
          <w:spacing w:val="0"/>
          <w:kern w:val="0"/>
          <w:sz w:val="31"/>
          <w:szCs w:val="31"/>
          <w:lang w:val="en-US" w:eastAsia="zh-CN" w:bidi="ar"/>
        </w:rPr>
        <w:t>二、</w:t>
      </w:r>
      <w:r>
        <w:rPr>
          <w:rFonts w:hint="eastAsia" w:ascii="黑体" w:hAnsi="宋体" w:eastAsia="黑体" w:cs="黑体"/>
          <w:i w:val="0"/>
          <w:iCs w:val="0"/>
          <w:caps w:val="0"/>
          <w:color w:val="000000"/>
          <w:spacing w:val="0"/>
          <w:sz w:val="31"/>
          <w:szCs w:val="31"/>
        </w:rPr>
        <w:t>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14:paraId="7C73803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1F443D6">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782F3ED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55EBAD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2AFDA87C">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383D52C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493FB93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6A804A1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47F3D6D">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087CC2B3">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201D9A0">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6B9E55C8">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14:paraId="29B2C54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BC05587">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703CF13B">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E5299CC">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6B678C0C">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14:paraId="1AE3517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F247E16">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6E27F6F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B70CF9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6F9098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66DC23F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B0FF169">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9C19884">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14:paraId="21A68CE7">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BF8341F">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50A675F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9C8B85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F317D7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31D1D15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1A518DB">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34209DE">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14:paraId="0E2F072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1EA3FF9">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DADC1DF">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14:paraId="05E5E773">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45D8EB6">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705B275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4" w:space="0"/>
              <w:right w:val="single" w:color="auto" w:sz="8" w:space="0"/>
            </w:tcBorders>
            <w:shd w:val="clear" w:color="auto" w:fill="auto"/>
            <w:vAlign w:val="center"/>
          </w:tcPr>
          <w:p w14:paraId="43A8006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5D00300">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2BE17AF9">
        <w:tblPrEx>
          <w:tblCellMar>
            <w:top w:w="0" w:type="dxa"/>
            <w:left w:w="108" w:type="dxa"/>
            <w:bottom w:w="0" w:type="dxa"/>
            <w:right w:w="108" w:type="dxa"/>
          </w:tblCellMar>
        </w:tblPrEx>
        <w:trPr>
          <w:trHeight w:val="567" w:hRule="atLeast"/>
        </w:trPr>
        <w:tc>
          <w:tcPr>
            <w:tcW w:w="2206" w:type="dxa"/>
            <w:tcBorders>
              <w:top w:val="single" w:color="auto" w:sz="4" w:space="0"/>
              <w:left w:val="single" w:color="auto" w:sz="4" w:space="0"/>
              <w:bottom w:val="single" w:color="auto" w:sz="4" w:space="0"/>
              <w:right w:val="single" w:color="auto" w:sz="4" w:space="0"/>
            </w:tcBorders>
            <w:shd w:val="clear" w:color="auto" w:fill="auto"/>
            <w:vAlign w:val="center"/>
          </w:tcPr>
          <w:p w14:paraId="29042AE5">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single" w:color="auto" w:sz="4" w:space="0"/>
              <w:bottom w:val="single" w:color="auto" w:sz="8" w:space="0"/>
              <w:right w:val="single" w:color="000000" w:sz="8" w:space="0"/>
            </w:tcBorders>
            <w:shd w:val="clear" w:color="auto" w:fill="auto"/>
            <w:vAlign w:val="center"/>
          </w:tcPr>
          <w:p w14:paraId="1DDEB075">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bl>
    <w:p w14:paraId="1F9B8C1D">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15" w:firstLineChars="0"/>
        <w:textAlignment w:val="auto"/>
        <w:rPr>
          <w:rFonts w:hint="eastAsia" w:ascii="黑体" w:hAnsi="宋体" w:eastAsia="黑体" w:cs="黑体"/>
          <w:i w:val="0"/>
          <w:iCs w:val="0"/>
          <w:caps w:val="0"/>
          <w:color w:val="000000"/>
          <w:spacing w:val="0"/>
          <w:sz w:val="31"/>
          <w:szCs w:val="31"/>
        </w:rPr>
      </w:pPr>
    </w:p>
    <w:p w14:paraId="24BD9328">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15" w:firstLineChars="0"/>
        <w:textAlignment w:val="auto"/>
        <w:rPr>
          <w:rFonts w:hint="eastAsia" w:ascii="黑体" w:hAnsi="宋体" w:eastAsia="黑体" w:cs="黑体"/>
          <w:i w:val="0"/>
          <w:iCs w:val="0"/>
          <w:caps w:val="0"/>
          <w:color w:val="000000"/>
          <w:spacing w:val="0"/>
          <w:sz w:val="31"/>
          <w:szCs w:val="31"/>
        </w:rPr>
      </w:pPr>
    </w:p>
    <w:p w14:paraId="0C9C7F52">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15" w:firstLineChars="0"/>
        <w:textAlignment w:val="auto"/>
        <w:rPr>
          <w:rFonts w:hint="eastAsia" w:ascii="黑体" w:hAnsi="宋体" w:eastAsia="黑体" w:cs="黑体"/>
          <w:i w:val="0"/>
          <w:iCs w:val="0"/>
          <w:caps w:val="0"/>
          <w:color w:val="000000"/>
          <w:spacing w:val="0"/>
          <w:sz w:val="31"/>
          <w:szCs w:val="31"/>
        </w:rPr>
      </w:pPr>
      <w:r>
        <w:rPr>
          <w:rFonts w:hint="eastAsia" w:ascii="黑体" w:hAnsi="宋体" w:eastAsia="黑体" w:cs="黑体"/>
          <w:i w:val="0"/>
          <w:iCs w:val="0"/>
          <w:caps w:val="0"/>
          <w:color w:val="000000"/>
          <w:spacing w:val="0"/>
          <w:kern w:val="0"/>
          <w:sz w:val="31"/>
          <w:szCs w:val="31"/>
          <w:lang w:val="en-US" w:eastAsia="zh-CN" w:bidi="ar"/>
        </w:rPr>
        <w:t>三、</w:t>
      </w:r>
      <w:r>
        <w:rPr>
          <w:rFonts w:hint="eastAsia" w:ascii="黑体" w:hAnsi="宋体" w:eastAsia="黑体" w:cs="黑体"/>
          <w:i w:val="0"/>
          <w:iCs w:val="0"/>
          <w:caps w:val="0"/>
          <w:color w:val="000000"/>
          <w:spacing w:val="0"/>
          <w:sz w:val="31"/>
          <w:szCs w:val="31"/>
        </w:rPr>
        <w:t>收到和处理政府信息公开申请情况</w:t>
      </w:r>
    </w:p>
    <w:tbl>
      <w:tblPr>
        <w:tblStyle w:val="4"/>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7EA9DC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1314162E">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62906B3E">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820" w:type="dxa"/>
            <w:gridSpan w:val="7"/>
            <w:shd w:val="clear" w:color="auto" w:fill="auto"/>
            <w:tcMar>
              <w:left w:w="108" w:type="dxa"/>
              <w:right w:w="108" w:type="dxa"/>
            </w:tcMar>
            <w:vAlign w:val="center"/>
          </w:tcPr>
          <w:p w14:paraId="71FE5E20">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44DF8B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35D47657">
            <w:pPr>
              <w:jc w:val="center"/>
              <w:rPr>
                <w:rFonts w:ascii="仿宋_GB2312" w:hAnsi="Times New Roman" w:eastAsia="仿宋_GB2312"/>
                <w:szCs w:val="21"/>
              </w:rPr>
            </w:pPr>
          </w:p>
        </w:tc>
        <w:tc>
          <w:tcPr>
            <w:tcW w:w="829" w:type="dxa"/>
            <w:vMerge w:val="restart"/>
            <w:shd w:val="clear" w:color="auto" w:fill="auto"/>
            <w:tcMar>
              <w:left w:w="108" w:type="dxa"/>
              <w:right w:w="108" w:type="dxa"/>
            </w:tcMar>
            <w:vAlign w:val="center"/>
          </w:tcPr>
          <w:p w14:paraId="42888812">
            <w:pPr>
              <w:widowControl/>
              <w:jc w:val="center"/>
              <w:rPr>
                <w:rFonts w:ascii="黑体" w:hAnsi="黑体" w:eastAsia="黑体"/>
                <w:szCs w:val="21"/>
              </w:rPr>
            </w:pPr>
            <w:r>
              <w:rPr>
                <w:rFonts w:hint="eastAsia" w:ascii="黑体" w:hAnsi="黑体" w:eastAsia="黑体"/>
                <w:kern w:val="0"/>
                <w:szCs w:val="21"/>
              </w:rPr>
              <w:t>自然人</w:t>
            </w:r>
          </w:p>
        </w:tc>
        <w:tc>
          <w:tcPr>
            <w:tcW w:w="3140" w:type="dxa"/>
            <w:gridSpan w:val="5"/>
            <w:shd w:val="clear" w:color="auto" w:fill="auto"/>
            <w:tcMar>
              <w:left w:w="108" w:type="dxa"/>
              <w:right w:w="108" w:type="dxa"/>
            </w:tcMar>
            <w:vAlign w:val="center"/>
          </w:tcPr>
          <w:p w14:paraId="0B014FF3">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851" w:type="dxa"/>
            <w:vMerge w:val="restart"/>
            <w:shd w:val="clear" w:color="auto" w:fill="auto"/>
            <w:tcMar>
              <w:left w:w="108" w:type="dxa"/>
              <w:right w:w="108" w:type="dxa"/>
            </w:tcMar>
            <w:vAlign w:val="center"/>
          </w:tcPr>
          <w:p w14:paraId="199AFB80">
            <w:pPr>
              <w:widowControl/>
              <w:jc w:val="center"/>
              <w:rPr>
                <w:rFonts w:ascii="黑体" w:hAnsi="黑体" w:eastAsia="黑体"/>
                <w:szCs w:val="21"/>
              </w:rPr>
            </w:pPr>
            <w:r>
              <w:rPr>
                <w:rFonts w:hint="eastAsia" w:ascii="黑体" w:hAnsi="黑体" w:eastAsia="黑体"/>
                <w:kern w:val="0"/>
                <w:szCs w:val="21"/>
              </w:rPr>
              <w:t>总计</w:t>
            </w:r>
          </w:p>
        </w:tc>
      </w:tr>
      <w:tr w14:paraId="3923C8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02BD0D41">
            <w:pPr>
              <w:jc w:val="center"/>
              <w:rPr>
                <w:rFonts w:ascii="仿宋_GB2312" w:hAnsi="Times New Roman" w:eastAsia="仿宋_GB2312"/>
                <w:szCs w:val="21"/>
              </w:rPr>
            </w:pPr>
          </w:p>
        </w:tc>
        <w:tc>
          <w:tcPr>
            <w:tcW w:w="829" w:type="dxa"/>
            <w:vMerge w:val="continue"/>
            <w:shd w:val="clear" w:color="auto" w:fill="auto"/>
            <w:tcMar>
              <w:left w:w="108" w:type="dxa"/>
              <w:right w:w="108" w:type="dxa"/>
            </w:tcMar>
            <w:vAlign w:val="center"/>
          </w:tcPr>
          <w:p w14:paraId="2A7CA185">
            <w:pPr>
              <w:jc w:val="center"/>
              <w:rPr>
                <w:rFonts w:ascii="黑体" w:hAnsi="黑体" w:eastAsia="黑体"/>
                <w:szCs w:val="21"/>
              </w:rPr>
            </w:pPr>
          </w:p>
        </w:tc>
        <w:tc>
          <w:tcPr>
            <w:tcW w:w="567" w:type="dxa"/>
            <w:shd w:val="clear" w:color="auto" w:fill="auto"/>
            <w:tcMar>
              <w:left w:w="108" w:type="dxa"/>
              <w:right w:w="108" w:type="dxa"/>
            </w:tcMar>
            <w:vAlign w:val="center"/>
          </w:tcPr>
          <w:p w14:paraId="42ECE46C">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67" w:type="dxa"/>
            <w:shd w:val="clear" w:color="auto" w:fill="auto"/>
            <w:tcMar>
              <w:left w:w="108" w:type="dxa"/>
              <w:right w:w="108" w:type="dxa"/>
            </w:tcMar>
            <w:vAlign w:val="center"/>
          </w:tcPr>
          <w:p w14:paraId="0A64C9F1">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31" w:type="dxa"/>
            <w:shd w:val="clear" w:color="auto" w:fill="auto"/>
            <w:tcMar>
              <w:left w:w="108" w:type="dxa"/>
              <w:right w:w="108" w:type="dxa"/>
            </w:tcMar>
            <w:vAlign w:val="center"/>
          </w:tcPr>
          <w:p w14:paraId="43D60668">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708" w:type="dxa"/>
            <w:shd w:val="clear" w:color="auto" w:fill="auto"/>
            <w:tcMar>
              <w:left w:w="108" w:type="dxa"/>
              <w:right w:w="108" w:type="dxa"/>
            </w:tcMar>
            <w:vAlign w:val="center"/>
          </w:tcPr>
          <w:p w14:paraId="354F8A6B">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67" w:type="dxa"/>
            <w:shd w:val="clear" w:color="auto" w:fill="auto"/>
            <w:tcMar>
              <w:left w:w="108" w:type="dxa"/>
              <w:right w:w="108" w:type="dxa"/>
            </w:tcMar>
            <w:vAlign w:val="center"/>
          </w:tcPr>
          <w:p w14:paraId="3313F6D6">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851" w:type="dxa"/>
            <w:vMerge w:val="continue"/>
            <w:shd w:val="clear" w:color="auto" w:fill="auto"/>
            <w:tcMar>
              <w:left w:w="108" w:type="dxa"/>
              <w:right w:w="108" w:type="dxa"/>
            </w:tcMar>
            <w:vAlign w:val="center"/>
          </w:tcPr>
          <w:p w14:paraId="5623E9D8">
            <w:pPr>
              <w:jc w:val="center"/>
              <w:rPr>
                <w:rFonts w:ascii="仿宋_GB2312" w:hAnsi="Times New Roman" w:eastAsia="仿宋_GB2312"/>
                <w:szCs w:val="21"/>
              </w:rPr>
            </w:pPr>
          </w:p>
        </w:tc>
      </w:tr>
      <w:tr w14:paraId="032EE8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48C8DA6C">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829" w:type="dxa"/>
            <w:shd w:val="clear" w:color="auto" w:fill="auto"/>
            <w:tcMar>
              <w:left w:w="108" w:type="dxa"/>
              <w:right w:w="108" w:type="dxa"/>
            </w:tcMar>
            <w:vAlign w:val="center"/>
          </w:tcPr>
          <w:p w14:paraId="0B92F4BF">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14:paraId="72FB9775">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0D84D566">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11A5414E">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2F1E9CA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414776E">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61B3752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1</w:t>
            </w:r>
          </w:p>
        </w:tc>
      </w:tr>
      <w:tr w14:paraId="434B44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E271333">
            <w:pPr>
              <w:widowControl/>
              <w:rPr>
                <w:rFonts w:ascii="黑体" w:hAnsi="黑体" w:eastAsia="黑体"/>
                <w:szCs w:val="21"/>
              </w:rPr>
            </w:pPr>
            <w:r>
              <w:rPr>
                <w:rFonts w:hint="eastAsia" w:ascii="黑体" w:hAnsi="黑体" w:eastAsia="黑体"/>
                <w:kern w:val="0"/>
                <w:szCs w:val="21"/>
              </w:rPr>
              <w:t>二、上年结转政府信息公开申请数量</w:t>
            </w:r>
          </w:p>
        </w:tc>
        <w:tc>
          <w:tcPr>
            <w:tcW w:w="829" w:type="dxa"/>
            <w:shd w:val="clear" w:color="auto" w:fill="auto"/>
            <w:tcMar>
              <w:left w:w="108" w:type="dxa"/>
              <w:right w:w="108" w:type="dxa"/>
            </w:tcMar>
            <w:vAlign w:val="center"/>
          </w:tcPr>
          <w:p w14:paraId="6C634A29">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755CF72B">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CD07B63">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432B90E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07FD756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4B41480">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534B8EF8">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467D45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467AF8DC">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14:paraId="2664D197">
            <w:pPr>
              <w:widowControl/>
              <w:rPr>
                <w:rFonts w:ascii="黑体" w:hAnsi="黑体" w:eastAsia="黑体"/>
                <w:szCs w:val="21"/>
              </w:rPr>
            </w:pPr>
            <w:r>
              <w:rPr>
                <w:rFonts w:hint="eastAsia" w:ascii="黑体" w:hAnsi="黑体" w:eastAsia="黑体"/>
                <w:kern w:val="0"/>
                <w:szCs w:val="21"/>
              </w:rPr>
              <w:t>（一）予以公开</w:t>
            </w:r>
          </w:p>
        </w:tc>
        <w:tc>
          <w:tcPr>
            <w:tcW w:w="829" w:type="dxa"/>
            <w:shd w:val="clear" w:color="auto" w:fill="auto"/>
            <w:tcMar>
              <w:left w:w="108" w:type="dxa"/>
              <w:right w:w="108" w:type="dxa"/>
            </w:tcMar>
            <w:vAlign w:val="center"/>
          </w:tcPr>
          <w:p w14:paraId="79F96149">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33D060E">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3F31D2E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4E1BD97E">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28DB477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292C8E9">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6F7B87C7">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11AFE4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5E8F282">
            <w:pPr>
              <w:rPr>
                <w:rFonts w:ascii="黑体" w:hAnsi="黑体" w:eastAsia="黑体"/>
                <w:szCs w:val="21"/>
              </w:rPr>
            </w:pPr>
          </w:p>
        </w:tc>
        <w:tc>
          <w:tcPr>
            <w:tcW w:w="4677" w:type="dxa"/>
            <w:gridSpan w:val="2"/>
            <w:shd w:val="clear" w:color="auto" w:fill="auto"/>
            <w:tcMar>
              <w:left w:w="108" w:type="dxa"/>
              <w:right w:w="108" w:type="dxa"/>
            </w:tcMar>
            <w:vAlign w:val="center"/>
          </w:tcPr>
          <w:p w14:paraId="743B2367">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829" w:type="dxa"/>
            <w:shd w:val="clear" w:color="auto" w:fill="auto"/>
            <w:tcMar>
              <w:left w:w="108" w:type="dxa"/>
              <w:right w:w="108" w:type="dxa"/>
            </w:tcMar>
            <w:vAlign w:val="center"/>
          </w:tcPr>
          <w:p w14:paraId="48FFC17F">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5057305">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0F18569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5A8F689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13CC543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5D791B8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744AA8D9">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28B1A4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B3CCC62">
            <w:pPr>
              <w:rPr>
                <w:rFonts w:ascii="黑体" w:hAnsi="黑体" w:eastAsia="黑体"/>
                <w:szCs w:val="21"/>
              </w:rPr>
            </w:pPr>
          </w:p>
        </w:tc>
        <w:tc>
          <w:tcPr>
            <w:tcW w:w="1701" w:type="dxa"/>
            <w:vMerge w:val="restart"/>
            <w:shd w:val="clear" w:color="auto" w:fill="auto"/>
            <w:tcMar>
              <w:left w:w="108" w:type="dxa"/>
              <w:right w:w="108" w:type="dxa"/>
            </w:tcMar>
            <w:vAlign w:val="center"/>
          </w:tcPr>
          <w:p w14:paraId="08A2B543">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29DE7E44">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829" w:type="dxa"/>
            <w:shd w:val="clear" w:color="auto" w:fill="auto"/>
            <w:tcMar>
              <w:left w:w="108" w:type="dxa"/>
              <w:right w:w="108" w:type="dxa"/>
            </w:tcMar>
            <w:vAlign w:val="center"/>
          </w:tcPr>
          <w:p w14:paraId="2ADB1F53">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F071422">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96AADF5">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5128D996">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1DF60A9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D95FD00">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02E4446B">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14:paraId="344634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02094A5">
            <w:pPr>
              <w:rPr>
                <w:rFonts w:ascii="黑体" w:hAnsi="黑体" w:eastAsia="黑体"/>
                <w:szCs w:val="21"/>
              </w:rPr>
            </w:pPr>
          </w:p>
        </w:tc>
        <w:tc>
          <w:tcPr>
            <w:tcW w:w="1701" w:type="dxa"/>
            <w:vMerge w:val="continue"/>
            <w:shd w:val="clear" w:color="auto" w:fill="auto"/>
            <w:tcMar>
              <w:left w:w="108" w:type="dxa"/>
              <w:right w:w="108" w:type="dxa"/>
            </w:tcMar>
            <w:vAlign w:val="center"/>
          </w:tcPr>
          <w:p w14:paraId="4D1E64A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B68C5F5">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829" w:type="dxa"/>
            <w:shd w:val="clear" w:color="auto" w:fill="auto"/>
            <w:tcMar>
              <w:left w:w="108" w:type="dxa"/>
              <w:right w:w="108" w:type="dxa"/>
            </w:tcMar>
            <w:vAlign w:val="center"/>
          </w:tcPr>
          <w:p w14:paraId="7732A7AD">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269B1D6">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95DCA0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3CB485F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7920DA2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508BB61B">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56B7868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65BB04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4A773B2">
            <w:pPr>
              <w:rPr>
                <w:rFonts w:ascii="黑体" w:hAnsi="黑体" w:eastAsia="黑体"/>
                <w:szCs w:val="21"/>
              </w:rPr>
            </w:pPr>
          </w:p>
        </w:tc>
        <w:tc>
          <w:tcPr>
            <w:tcW w:w="1701" w:type="dxa"/>
            <w:vMerge w:val="continue"/>
            <w:shd w:val="clear" w:color="auto" w:fill="auto"/>
            <w:tcMar>
              <w:left w:w="108" w:type="dxa"/>
              <w:right w:w="108" w:type="dxa"/>
            </w:tcMar>
            <w:vAlign w:val="center"/>
          </w:tcPr>
          <w:p w14:paraId="285E04E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05FCDD6">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829" w:type="dxa"/>
            <w:shd w:val="clear" w:color="auto" w:fill="auto"/>
            <w:tcMar>
              <w:left w:w="108" w:type="dxa"/>
              <w:right w:w="108" w:type="dxa"/>
            </w:tcMar>
            <w:vAlign w:val="center"/>
          </w:tcPr>
          <w:p w14:paraId="60BC9EB4">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4B0F131">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8B403A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7CA4547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32B2FC3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7CC3FE65">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2FB6195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75A21E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53278DD">
            <w:pPr>
              <w:rPr>
                <w:rFonts w:ascii="黑体" w:hAnsi="黑体" w:eastAsia="黑体"/>
                <w:szCs w:val="21"/>
              </w:rPr>
            </w:pPr>
          </w:p>
        </w:tc>
        <w:tc>
          <w:tcPr>
            <w:tcW w:w="1701" w:type="dxa"/>
            <w:vMerge w:val="continue"/>
            <w:shd w:val="clear" w:color="auto" w:fill="auto"/>
            <w:tcMar>
              <w:left w:w="108" w:type="dxa"/>
              <w:right w:w="108" w:type="dxa"/>
            </w:tcMar>
            <w:vAlign w:val="center"/>
          </w:tcPr>
          <w:p w14:paraId="2422889D">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F45CF24">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829" w:type="dxa"/>
            <w:shd w:val="clear" w:color="auto" w:fill="auto"/>
            <w:tcMar>
              <w:left w:w="108" w:type="dxa"/>
              <w:right w:w="108" w:type="dxa"/>
            </w:tcMar>
            <w:vAlign w:val="center"/>
          </w:tcPr>
          <w:p w14:paraId="4E6A43D1">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49EF0B5">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5E7B8960">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43DCD4B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7CBA250C">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1A47B07">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62802C59">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6BAB91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BF9BBEF">
            <w:pPr>
              <w:rPr>
                <w:rFonts w:ascii="黑体" w:hAnsi="黑体" w:eastAsia="黑体"/>
                <w:szCs w:val="21"/>
              </w:rPr>
            </w:pPr>
          </w:p>
        </w:tc>
        <w:tc>
          <w:tcPr>
            <w:tcW w:w="1701" w:type="dxa"/>
            <w:vMerge w:val="continue"/>
            <w:shd w:val="clear" w:color="auto" w:fill="auto"/>
            <w:tcMar>
              <w:left w:w="108" w:type="dxa"/>
              <w:right w:w="108" w:type="dxa"/>
            </w:tcMar>
            <w:vAlign w:val="center"/>
          </w:tcPr>
          <w:p w14:paraId="35D3A5D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7B3DE84">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829" w:type="dxa"/>
            <w:shd w:val="clear" w:color="auto" w:fill="auto"/>
            <w:tcMar>
              <w:left w:w="108" w:type="dxa"/>
              <w:right w:w="108" w:type="dxa"/>
            </w:tcMar>
            <w:vAlign w:val="center"/>
          </w:tcPr>
          <w:p w14:paraId="6303CF0A">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3338689B">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AABDCF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11440402">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3193272E">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2ECEE7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1BD3564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0607A4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CB390B4">
            <w:pPr>
              <w:rPr>
                <w:rFonts w:ascii="黑体" w:hAnsi="黑体" w:eastAsia="黑体"/>
                <w:szCs w:val="21"/>
              </w:rPr>
            </w:pPr>
          </w:p>
        </w:tc>
        <w:tc>
          <w:tcPr>
            <w:tcW w:w="1701" w:type="dxa"/>
            <w:vMerge w:val="continue"/>
            <w:shd w:val="clear" w:color="auto" w:fill="auto"/>
            <w:tcMar>
              <w:left w:w="108" w:type="dxa"/>
              <w:right w:w="108" w:type="dxa"/>
            </w:tcMar>
            <w:vAlign w:val="center"/>
          </w:tcPr>
          <w:p w14:paraId="6262C0C8">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896CCAB">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829" w:type="dxa"/>
            <w:shd w:val="clear" w:color="auto" w:fill="auto"/>
            <w:tcMar>
              <w:left w:w="108" w:type="dxa"/>
              <w:right w:w="108" w:type="dxa"/>
            </w:tcMar>
            <w:vAlign w:val="center"/>
          </w:tcPr>
          <w:p w14:paraId="642F09FB">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7D91B51">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8EC48AC">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7F3E20AC">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1942FD1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294846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102D4C49">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1B020D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51DD6A9">
            <w:pPr>
              <w:rPr>
                <w:rFonts w:ascii="黑体" w:hAnsi="黑体" w:eastAsia="黑体"/>
                <w:szCs w:val="21"/>
              </w:rPr>
            </w:pPr>
          </w:p>
        </w:tc>
        <w:tc>
          <w:tcPr>
            <w:tcW w:w="1701" w:type="dxa"/>
            <w:vMerge w:val="continue"/>
            <w:shd w:val="clear" w:color="auto" w:fill="auto"/>
            <w:tcMar>
              <w:left w:w="108" w:type="dxa"/>
              <w:right w:w="108" w:type="dxa"/>
            </w:tcMar>
            <w:vAlign w:val="center"/>
          </w:tcPr>
          <w:p w14:paraId="573AAB7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FDD72C0">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829" w:type="dxa"/>
            <w:shd w:val="clear" w:color="auto" w:fill="auto"/>
            <w:tcMar>
              <w:left w:w="108" w:type="dxa"/>
              <w:right w:w="108" w:type="dxa"/>
            </w:tcMar>
            <w:vAlign w:val="center"/>
          </w:tcPr>
          <w:p w14:paraId="36F00773">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0E85B59D">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A69ABD6">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3E3ADEC6">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29D48B0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7DD388B">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50D3ADE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3EF86E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37FC757">
            <w:pPr>
              <w:rPr>
                <w:rFonts w:ascii="黑体" w:hAnsi="黑体" w:eastAsia="黑体"/>
                <w:szCs w:val="21"/>
              </w:rPr>
            </w:pPr>
          </w:p>
        </w:tc>
        <w:tc>
          <w:tcPr>
            <w:tcW w:w="1701" w:type="dxa"/>
            <w:vMerge w:val="continue"/>
            <w:shd w:val="clear" w:color="auto" w:fill="auto"/>
            <w:tcMar>
              <w:left w:w="108" w:type="dxa"/>
              <w:right w:w="108" w:type="dxa"/>
            </w:tcMar>
            <w:vAlign w:val="center"/>
          </w:tcPr>
          <w:p w14:paraId="582D4846">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B05233A">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829" w:type="dxa"/>
            <w:shd w:val="clear" w:color="auto" w:fill="auto"/>
            <w:tcMar>
              <w:left w:w="108" w:type="dxa"/>
              <w:right w:w="108" w:type="dxa"/>
            </w:tcMar>
            <w:vAlign w:val="center"/>
          </w:tcPr>
          <w:p w14:paraId="0B38C2FC">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9C7936E">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59CD202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459B618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4AA82C16">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60FCB19">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21A72756">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0DEA20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756B684">
            <w:pPr>
              <w:rPr>
                <w:rFonts w:ascii="黑体" w:hAnsi="黑体" w:eastAsia="黑体"/>
                <w:szCs w:val="21"/>
              </w:rPr>
            </w:pPr>
          </w:p>
        </w:tc>
        <w:tc>
          <w:tcPr>
            <w:tcW w:w="1701" w:type="dxa"/>
            <w:vMerge w:val="restart"/>
            <w:shd w:val="clear" w:color="auto" w:fill="auto"/>
            <w:tcMar>
              <w:left w:w="108" w:type="dxa"/>
              <w:right w:w="108" w:type="dxa"/>
            </w:tcMar>
            <w:vAlign w:val="center"/>
          </w:tcPr>
          <w:p w14:paraId="43307979">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3BEC15E9">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829" w:type="dxa"/>
            <w:shd w:val="clear" w:color="auto" w:fill="auto"/>
            <w:tcMar>
              <w:left w:w="108" w:type="dxa"/>
              <w:right w:w="108" w:type="dxa"/>
            </w:tcMar>
            <w:vAlign w:val="center"/>
          </w:tcPr>
          <w:p w14:paraId="64C88356">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14:paraId="0A63BFED">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05FED24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442BC877">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0AD0A1F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DC4520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5221B045">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1</w:t>
            </w:r>
          </w:p>
        </w:tc>
      </w:tr>
      <w:tr w14:paraId="25D662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0709445">
            <w:pPr>
              <w:rPr>
                <w:rFonts w:ascii="黑体" w:hAnsi="黑体" w:eastAsia="黑体"/>
                <w:szCs w:val="21"/>
              </w:rPr>
            </w:pPr>
          </w:p>
        </w:tc>
        <w:tc>
          <w:tcPr>
            <w:tcW w:w="1701" w:type="dxa"/>
            <w:vMerge w:val="continue"/>
            <w:shd w:val="clear" w:color="auto" w:fill="auto"/>
            <w:tcMar>
              <w:left w:w="108" w:type="dxa"/>
              <w:right w:w="108" w:type="dxa"/>
            </w:tcMar>
            <w:vAlign w:val="center"/>
          </w:tcPr>
          <w:p w14:paraId="33B2B9BA">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4299A8E0">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829" w:type="dxa"/>
            <w:shd w:val="clear" w:color="auto" w:fill="auto"/>
            <w:tcMar>
              <w:left w:w="108" w:type="dxa"/>
              <w:right w:w="108" w:type="dxa"/>
            </w:tcMar>
            <w:vAlign w:val="center"/>
          </w:tcPr>
          <w:p w14:paraId="2564C16E">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02972230">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EF5E59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48A222D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13BCCFE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55D2E3B">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5377FBB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62678F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AE0F3E1">
            <w:pPr>
              <w:rPr>
                <w:rFonts w:ascii="黑体" w:hAnsi="黑体" w:eastAsia="黑体"/>
                <w:szCs w:val="21"/>
              </w:rPr>
            </w:pPr>
          </w:p>
        </w:tc>
        <w:tc>
          <w:tcPr>
            <w:tcW w:w="1701" w:type="dxa"/>
            <w:vMerge w:val="continue"/>
            <w:shd w:val="clear" w:color="auto" w:fill="auto"/>
            <w:tcMar>
              <w:left w:w="108" w:type="dxa"/>
              <w:right w:w="108" w:type="dxa"/>
            </w:tcMar>
            <w:vAlign w:val="center"/>
          </w:tcPr>
          <w:p w14:paraId="73C7B433">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1E6A0237">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829" w:type="dxa"/>
            <w:shd w:val="clear" w:color="auto" w:fill="auto"/>
            <w:tcMar>
              <w:left w:w="108" w:type="dxa"/>
              <w:right w:w="108" w:type="dxa"/>
            </w:tcMar>
            <w:vAlign w:val="center"/>
          </w:tcPr>
          <w:p w14:paraId="24387B78">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0E2FD61C">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579965B0">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57EC94D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2F502CF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A824128">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48D9B52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54B3E7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2034DBF">
            <w:pPr>
              <w:rPr>
                <w:rFonts w:ascii="黑体" w:hAnsi="黑体" w:eastAsia="黑体"/>
                <w:szCs w:val="21"/>
              </w:rPr>
            </w:pPr>
          </w:p>
        </w:tc>
        <w:tc>
          <w:tcPr>
            <w:tcW w:w="1701" w:type="dxa"/>
            <w:vMerge w:val="restart"/>
            <w:shd w:val="clear" w:color="auto" w:fill="auto"/>
            <w:tcMar>
              <w:left w:w="108" w:type="dxa"/>
              <w:right w:w="108" w:type="dxa"/>
            </w:tcMar>
            <w:vAlign w:val="center"/>
          </w:tcPr>
          <w:p w14:paraId="4A358EB5">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712CDAAF">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829" w:type="dxa"/>
            <w:shd w:val="clear" w:color="auto" w:fill="auto"/>
            <w:tcMar>
              <w:left w:w="108" w:type="dxa"/>
              <w:right w:w="108" w:type="dxa"/>
            </w:tcMar>
            <w:vAlign w:val="center"/>
          </w:tcPr>
          <w:p w14:paraId="6237DAC7">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CF9D6B4">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C42619C">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08027CF5">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0FE99549">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8BBD6F6">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203CBC65">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3443C0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BCDEF0C">
            <w:pPr>
              <w:rPr>
                <w:rFonts w:ascii="黑体" w:hAnsi="黑体" w:eastAsia="黑体"/>
                <w:szCs w:val="21"/>
              </w:rPr>
            </w:pPr>
          </w:p>
        </w:tc>
        <w:tc>
          <w:tcPr>
            <w:tcW w:w="1701" w:type="dxa"/>
            <w:vMerge w:val="continue"/>
            <w:shd w:val="clear" w:color="auto" w:fill="auto"/>
            <w:tcMar>
              <w:left w:w="108" w:type="dxa"/>
              <w:right w:w="108" w:type="dxa"/>
            </w:tcMar>
            <w:vAlign w:val="center"/>
          </w:tcPr>
          <w:p w14:paraId="1ABB24A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454FE93">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829" w:type="dxa"/>
            <w:shd w:val="clear" w:color="auto" w:fill="auto"/>
            <w:tcMar>
              <w:left w:w="108" w:type="dxa"/>
              <w:right w:w="108" w:type="dxa"/>
            </w:tcMar>
            <w:vAlign w:val="center"/>
          </w:tcPr>
          <w:p w14:paraId="283DE6F1">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DDF5514">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13F5338">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1E822DA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3194223B">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786F2BB0">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2FA72412">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4BB98B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CB6A917">
            <w:pPr>
              <w:rPr>
                <w:rFonts w:ascii="黑体" w:hAnsi="黑体" w:eastAsia="黑体"/>
                <w:szCs w:val="21"/>
              </w:rPr>
            </w:pPr>
          </w:p>
        </w:tc>
        <w:tc>
          <w:tcPr>
            <w:tcW w:w="1701" w:type="dxa"/>
            <w:vMerge w:val="continue"/>
            <w:shd w:val="clear" w:color="auto" w:fill="auto"/>
            <w:tcMar>
              <w:left w:w="108" w:type="dxa"/>
              <w:right w:w="108" w:type="dxa"/>
            </w:tcMar>
            <w:vAlign w:val="center"/>
          </w:tcPr>
          <w:p w14:paraId="4310FCA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20B71AA">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829" w:type="dxa"/>
            <w:shd w:val="clear" w:color="auto" w:fill="auto"/>
            <w:tcMar>
              <w:left w:w="108" w:type="dxa"/>
              <w:right w:w="108" w:type="dxa"/>
            </w:tcMar>
            <w:vAlign w:val="center"/>
          </w:tcPr>
          <w:p w14:paraId="368D03AB">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C129FE3">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5902019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52B1AE1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7F4E32F7">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7CB65517">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7BFA1F89">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6C9F7F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3F2B036">
            <w:pPr>
              <w:rPr>
                <w:rFonts w:ascii="黑体" w:hAnsi="黑体" w:eastAsia="黑体"/>
                <w:szCs w:val="21"/>
              </w:rPr>
            </w:pPr>
          </w:p>
        </w:tc>
        <w:tc>
          <w:tcPr>
            <w:tcW w:w="1701" w:type="dxa"/>
            <w:vMerge w:val="continue"/>
            <w:shd w:val="clear" w:color="auto" w:fill="auto"/>
            <w:tcMar>
              <w:left w:w="108" w:type="dxa"/>
              <w:right w:w="108" w:type="dxa"/>
            </w:tcMar>
            <w:vAlign w:val="center"/>
          </w:tcPr>
          <w:p w14:paraId="1442A9B3">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18606DA">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829" w:type="dxa"/>
            <w:shd w:val="clear" w:color="auto" w:fill="auto"/>
            <w:tcMar>
              <w:left w:w="108" w:type="dxa"/>
              <w:right w:w="108" w:type="dxa"/>
            </w:tcMar>
            <w:vAlign w:val="center"/>
          </w:tcPr>
          <w:p w14:paraId="30582E28">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4B499DC">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39A9A6E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0548C07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163E4F02">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584278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0A570C9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61DC1D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D86AEE5">
            <w:pPr>
              <w:rPr>
                <w:rFonts w:ascii="黑体" w:hAnsi="黑体" w:eastAsia="黑体"/>
                <w:szCs w:val="21"/>
              </w:rPr>
            </w:pPr>
          </w:p>
        </w:tc>
        <w:tc>
          <w:tcPr>
            <w:tcW w:w="1701" w:type="dxa"/>
            <w:vMerge w:val="continue"/>
            <w:shd w:val="clear" w:color="auto" w:fill="auto"/>
            <w:tcMar>
              <w:left w:w="108" w:type="dxa"/>
              <w:right w:w="108" w:type="dxa"/>
            </w:tcMar>
            <w:vAlign w:val="center"/>
          </w:tcPr>
          <w:p w14:paraId="024B882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31DC9B0">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501085EB">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829" w:type="dxa"/>
            <w:shd w:val="clear" w:color="auto" w:fill="auto"/>
            <w:tcMar>
              <w:left w:w="108" w:type="dxa"/>
              <w:right w:w="108" w:type="dxa"/>
            </w:tcMar>
            <w:vAlign w:val="center"/>
          </w:tcPr>
          <w:p w14:paraId="520332E3">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7A024DF2">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36847B8">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30C3BEB0">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39E24B2B">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5C43775E">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37F35C4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516C5C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0D6C6C8">
            <w:pPr>
              <w:rPr>
                <w:rFonts w:ascii="黑体" w:hAnsi="黑体" w:eastAsia="黑体"/>
                <w:szCs w:val="21"/>
              </w:rPr>
            </w:pPr>
          </w:p>
        </w:tc>
        <w:tc>
          <w:tcPr>
            <w:tcW w:w="1701" w:type="dxa"/>
            <w:vMerge w:val="restart"/>
            <w:shd w:val="clear" w:color="auto" w:fill="auto"/>
            <w:tcMar>
              <w:left w:w="108" w:type="dxa"/>
              <w:right w:w="108" w:type="dxa"/>
            </w:tcMar>
            <w:vAlign w:val="center"/>
          </w:tcPr>
          <w:p w14:paraId="43F59B72">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03B6EDDB">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829" w:type="dxa"/>
            <w:shd w:val="clear" w:color="auto" w:fill="auto"/>
            <w:tcMar>
              <w:left w:w="108" w:type="dxa"/>
              <w:right w:w="108" w:type="dxa"/>
            </w:tcMar>
            <w:vAlign w:val="center"/>
          </w:tcPr>
          <w:p w14:paraId="13E1A722">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D1C8AE1">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2F34B13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59501EF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1AB7F91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3B44D9A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68AE07B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058D34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F387DD1">
            <w:pPr>
              <w:rPr>
                <w:rFonts w:ascii="黑体" w:hAnsi="黑体" w:eastAsia="黑体"/>
                <w:szCs w:val="21"/>
              </w:rPr>
            </w:pPr>
          </w:p>
        </w:tc>
        <w:tc>
          <w:tcPr>
            <w:tcW w:w="1701" w:type="dxa"/>
            <w:vMerge w:val="continue"/>
            <w:shd w:val="clear" w:color="auto" w:fill="auto"/>
            <w:tcMar>
              <w:left w:w="108" w:type="dxa"/>
              <w:right w:w="108" w:type="dxa"/>
            </w:tcMar>
            <w:vAlign w:val="center"/>
          </w:tcPr>
          <w:p w14:paraId="0E6799BD">
            <w:pPr>
              <w:widowControl/>
              <w:spacing w:line="300" w:lineRule="exact"/>
              <w:rPr>
                <w:rFonts w:ascii="黑体" w:hAnsi="黑体" w:eastAsia="黑体"/>
                <w:kern w:val="0"/>
                <w:szCs w:val="21"/>
              </w:rPr>
            </w:pPr>
          </w:p>
        </w:tc>
        <w:tc>
          <w:tcPr>
            <w:tcW w:w="2976" w:type="dxa"/>
            <w:shd w:val="clear" w:color="auto" w:fill="auto"/>
            <w:vAlign w:val="center"/>
          </w:tcPr>
          <w:p w14:paraId="7EB2C648">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829" w:type="dxa"/>
            <w:shd w:val="clear" w:color="auto" w:fill="auto"/>
            <w:tcMar>
              <w:left w:w="108" w:type="dxa"/>
              <w:right w:w="108" w:type="dxa"/>
            </w:tcMar>
            <w:vAlign w:val="center"/>
          </w:tcPr>
          <w:p w14:paraId="0F633911">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766748D5">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339DE13F">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70F6AAB9">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465E8F97">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F5CC4B3">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27AEC58C">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761F97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F827C60">
            <w:pPr>
              <w:rPr>
                <w:rFonts w:ascii="黑体" w:hAnsi="黑体" w:eastAsia="黑体"/>
                <w:szCs w:val="21"/>
              </w:rPr>
            </w:pPr>
          </w:p>
        </w:tc>
        <w:tc>
          <w:tcPr>
            <w:tcW w:w="1701" w:type="dxa"/>
            <w:vMerge w:val="continue"/>
            <w:shd w:val="clear" w:color="auto" w:fill="auto"/>
            <w:tcMar>
              <w:left w:w="108" w:type="dxa"/>
              <w:right w:w="108" w:type="dxa"/>
            </w:tcMar>
            <w:vAlign w:val="center"/>
          </w:tcPr>
          <w:p w14:paraId="7593A77A">
            <w:pPr>
              <w:widowControl/>
              <w:spacing w:line="300" w:lineRule="exact"/>
              <w:rPr>
                <w:rFonts w:ascii="黑体" w:hAnsi="黑体" w:eastAsia="黑体"/>
                <w:kern w:val="0"/>
                <w:szCs w:val="21"/>
              </w:rPr>
            </w:pPr>
          </w:p>
        </w:tc>
        <w:tc>
          <w:tcPr>
            <w:tcW w:w="2976" w:type="dxa"/>
            <w:shd w:val="clear" w:color="auto" w:fill="auto"/>
            <w:vAlign w:val="center"/>
          </w:tcPr>
          <w:p w14:paraId="26217F58">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829" w:type="dxa"/>
            <w:shd w:val="clear" w:color="auto" w:fill="auto"/>
            <w:tcMar>
              <w:left w:w="108" w:type="dxa"/>
              <w:right w:w="108" w:type="dxa"/>
            </w:tcMar>
            <w:vAlign w:val="center"/>
          </w:tcPr>
          <w:p w14:paraId="7A5B32E2">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FE6595D">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52355A0">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144857E7">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2D3C7D90">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C7BD102">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783CA10D">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14:paraId="6C383E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BC30481">
            <w:pPr>
              <w:rPr>
                <w:rFonts w:ascii="黑体" w:hAnsi="黑体" w:eastAsia="黑体"/>
                <w:szCs w:val="21"/>
              </w:rPr>
            </w:pPr>
          </w:p>
        </w:tc>
        <w:tc>
          <w:tcPr>
            <w:tcW w:w="4677" w:type="dxa"/>
            <w:gridSpan w:val="2"/>
            <w:shd w:val="clear" w:color="auto" w:fill="auto"/>
            <w:tcMar>
              <w:left w:w="108" w:type="dxa"/>
              <w:right w:w="108" w:type="dxa"/>
            </w:tcMar>
            <w:vAlign w:val="center"/>
          </w:tcPr>
          <w:p w14:paraId="3C56A240">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829" w:type="dxa"/>
            <w:shd w:val="clear" w:color="auto" w:fill="auto"/>
            <w:tcMar>
              <w:left w:w="108" w:type="dxa"/>
              <w:right w:w="108" w:type="dxa"/>
            </w:tcMar>
            <w:vAlign w:val="center"/>
          </w:tcPr>
          <w:p w14:paraId="59A24054">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1</w:t>
            </w:r>
          </w:p>
        </w:tc>
        <w:tc>
          <w:tcPr>
            <w:tcW w:w="567" w:type="dxa"/>
            <w:shd w:val="clear" w:color="auto" w:fill="auto"/>
            <w:tcMar>
              <w:left w:w="108" w:type="dxa"/>
              <w:right w:w="108" w:type="dxa"/>
            </w:tcMar>
            <w:vAlign w:val="center"/>
          </w:tcPr>
          <w:p w14:paraId="46FEF1F5">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6543C1B2">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66B9D865">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71F9B646">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F8A0F31">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619ED494">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1</w:t>
            </w:r>
          </w:p>
        </w:tc>
      </w:tr>
      <w:tr w14:paraId="4B6DFE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0617F687">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829" w:type="dxa"/>
            <w:shd w:val="clear" w:color="auto" w:fill="auto"/>
            <w:tcMar>
              <w:left w:w="108" w:type="dxa"/>
              <w:right w:w="108" w:type="dxa"/>
            </w:tcMar>
            <w:vAlign w:val="center"/>
          </w:tcPr>
          <w:p w14:paraId="7651B444">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EC117E4">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4EC7F0B8">
            <w:pPr>
              <w:widowControl/>
              <w:spacing w:after="180"/>
              <w:jc w:val="center"/>
              <w:rPr>
                <w:rFonts w:hint="default" w:ascii="仿宋_GB2312" w:hAnsi="Times New Roman" w:eastAsia="仿宋_GB2312"/>
                <w:szCs w:val="21"/>
                <w:lang w:val="en-US"/>
              </w:rPr>
            </w:pPr>
            <w:r>
              <w:rPr>
                <w:rFonts w:hint="eastAsia" w:ascii="仿宋_GB2312" w:hAnsi="Times New Roman" w:eastAsia="仿宋_GB2312"/>
                <w:szCs w:val="21"/>
                <w:lang w:val="en-US" w:eastAsia="zh-CN"/>
              </w:rPr>
              <w:t>0</w:t>
            </w:r>
          </w:p>
        </w:tc>
        <w:tc>
          <w:tcPr>
            <w:tcW w:w="731" w:type="dxa"/>
            <w:shd w:val="clear" w:color="auto" w:fill="auto"/>
            <w:tcMar>
              <w:left w:w="108" w:type="dxa"/>
              <w:right w:w="108" w:type="dxa"/>
            </w:tcMar>
            <w:vAlign w:val="center"/>
          </w:tcPr>
          <w:p w14:paraId="4EF88FA2">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708" w:type="dxa"/>
            <w:shd w:val="clear" w:color="auto" w:fill="auto"/>
            <w:tcMar>
              <w:left w:w="108" w:type="dxa"/>
              <w:right w:w="108" w:type="dxa"/>
            </w:tcMar>
            <w:vAlign w:val="center"/>
          </w:tcPr>
          <w:p w14:paraId="50D4EA3E">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567" w:type="dxa"/>
            <w:shd w:val="clear" w:color="auto" w:fill="auto"/>
            <w:tcMar>
              <w:left w:w="108" w:type="dxa"/>
              <w:right w:w="108" w:type="dxa"/>
            </w:tcMar>
            <w:vAlign w:val="center"/>
          </w:tcPr>
          <w:p w14:paraId="1CB08B8A">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851" w:type="dxa"/>
            <w:shd w:val="clear" w:color="auto" w:fill="auto"/>
            <w:tcMar>
              <w:left w:w="108" w:type="dxa"/>
              <w:right w:w="108" w:type="dxa"/>
            </w:tcMar>
            <w:vAlign w:val="center"/>
          </w:tcPr>
          <w:p w14:paraId="50DF2035">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bl>
    <w:p w14:paraId="0C87D79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20" w:firstLineChars="200"/>
        <w:textAlignment w:val="auto"/>
        <w:rPr>
          <w:rFonts w:hint="default" w:ascii="sans-serif" w:hAnsi="sans-serif" w:eastAsia="sans-serif" w:cs="sans-serif"/>
          <w:i w:val="0"/>
          <w:iCs w:val="0"/>
          <w:caps w:val="0"/>
          <w:color w:val="000000"/>
          <w:spacing w:val="0"/>
          <w:sz w:val="24"/>
          <w:szCs w:val="24"/>
        </w:rPr>
      </w:pPr>
      <w:r>
        <w:rPr>
          <w:rFonts w:hint="eastAsia" w:ascii="黑体" w:hAnsi="宋体" w:eastAsia="黑体" w:cs="黑体"/>
          <w:i w:val="0"/>
          <w:iCs w:val="0"/>
          <w:caps w:val="0"/>
          <w:color w:val="000000"/>
          <w:spacing w:val="0"/>
          <w:sz w:val="31"/>
          <w:szCs w:val="31"/>
        </w:rPr>
        <w:t>四、因政府信息公开工作被申请行政复议提起行政诉讼情况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A29D1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526A27D">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1DA8C01">
            <w:pPr>
              <w:widowControl/>
              <w:jc w:val="center"/>
              <w:rPr>
                <w:rFonts w:ascii="黑体" w:hAnsi="黑体" w:eastAsia="黑体"/>
              </w:rPr>
            </w:pPr>
            <w:r>
              <w:rPr>
                <w:rFonts w:ascii="黑体" w:hAnsi="黑体" w:eastAsia="黑体"/>
                <w:kern w:val="0"/>
                <w:sz w:val="20"/>
                <w:szCs w:val="20"/>
              </w:rPr>
              <w:t>行政诉讼</w:t>
            </w:r>
          </w:p>
        </w:tc>
      </w:tr>
      <w:tr w14:paraId="565335E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single" w:color="auto" w:sz="4" w:space="0"/>
              <w:left w:val="single" w:color="auto" w:sz="4" w:space="0"/>
              <w:bottom w:val="single" w:color="auto" w:sz="4" w:space="0"/>
              <w:right w:val="single" w:color="auto" w:sz="8" w:space="0"/>
            </w:tcBorders>
            <w:shd w:val="clear" w:color="auto" w:fill="auto"/>
            <w:tcMar>
              <w:left w:w="108" w:type="dxa"/>
              <w:right w:w="108" w:type="dxa"/>
            </w:tcMar>
            <w:vAlign w:val="center"/>
          </w:tcPr>
          <w:p w14:paraId="4C223169">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1AE910D8">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single" w:color="auto" w:sz="4" w:space="0"/>
              <w:left w:val="nil"/>
              <w:bottom w:val="single" w:color="auto" w:sz="4" w:space="0"/>
              <w:right w:val="single" w:color="auto" w:sz="4" w:space="0"/>
            </w:tcBorders>
            <w:shd w:val="clear" w:color="auto" w:fill="auto"/>
            <w:tcMar>
              <w:left w:w="108" w:type="dxa"/>
              <w:right w:w="108" w:type="dxa"/>
            </w:tcMar>
            <w:vAlign w:val="center"/>
          </w:tcPr>
          <w:p w14:paraId="6546F824">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single" w:color="auto" w:sz="4" w:space="0"/>
              <w:bottom w:val="single" w:color="auto" w:sz="8" w:space="0"/>
              <w:right w:val="single" w:color="auto" w:sz="8" w:space="0"/>
            </w:tcBorders>
            <w:shd w:val="clear" w:color="auto" w:fill="auto"/>
            <w:tcMar>
              <w:left w:w="108" w:type="dxa"/>
              <w:right w:w="108" w:type="dxa"/>
            </w:tcMar>
            <w:vAlign w:val="center"/>
          </w:tcPr>
          <w:p w14:paraId="7B182C48">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75BC3DF">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392165B8">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411D087">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4F4FC60B">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5E753C9">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3747E14">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6E8476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single" w:color="auto" w:sz="4" w:space="0"/>
              <w:left w:val="single" w:color="auto" w:sz="4" w:space="0"/>
              <w:bottom w:val="single" w:color="auto" w:sz="4" w:space="0"/>
              <w:right w:val="single" w:color="auto" w:sz="8" w:space="0"/>
            </w:tcBorders>
            <w:shd w:val="clear" w:color="auto" w:fill="auto"/>
            <w:tcMar>
              <w:left w:w="108" w:type="dxa"/>
              <w:right w:w="108" w:type="dxa"/>
            </w:tcMar>
            <w:vAlign w:val="center"/>
          </w:tcPr>
          <w:p w14:paraId="053684D5">
            <w:pPr>
              <w:rPr>
                <w:rFonts w:ascii="黑体" w:hAnsi="黑体" w:eastAsia="黑体"/>
                <w:sz w:val="24"/>
              </w:rPr>
            </w:pPr>
          </w:p>
        </w:tc>
        <w:tc>
          <w:tcPr>
            <w:tcW w:w="604" w:type="dxa"/>
            <w:vMerge w:val="continue"/>
            <w:tcBorders>
              <w:top w:val="single" w:color="auto" w:sz="4" w:space="0"/>
              <w:left w:val="nil"/>
              <w:bottom w:val="single" w:color="auto" w:sz="4" w:space="0"/>
              <w:right w:val="single" w:color="auto" w:sz="4" w:space="0"/>
            </w:tcBorders>
            <w:shd w:val="clear" w:color="auto" w:fill="auto"/>
            <w:tcMar>
              <w:left w:w="108" w:type="dxa"/>
              <w:right w:w="108" w:type="dxa"/>
            </w:tcMar>
            <w:vAlign w:val="center"/>
          </w:tcPr>
          <w:p w14:paraId="47B352E9">
            <w:pPr>
              <w:rPr>
                <w:rFonts w:ascii="黑体" w:hAnsi="黑体" w:eastAsia="黑体"/>
                <w:sz w:val="24"/>
              </w:rPr>
            </w:pPr>
          </w:p>
        </w:tc>
        <w:tc>
          <w:tcPr>
            <w:tcW w:w="604" w:type="dxa"/>
            <w:vMerge w:val="continue"/>
            <w:tcBorders>
              <w:top w:val="single" w:color="auto" w:sz="8" w:space="0"/>
              <w:left w:val="single" w:color="auto" w:sz="4" w:space="0"/>
              <w:bottom w:val="single" w:color="auto" w:sz="8" w:space="0"/>
              <w:right w:val="single" w:color="auto" w:sz="8" w:space="0"/>
            </w:tcBorders>
            <w:shd w:val="clear" w:color="auto" w:fill="auto"/>
            <w:tcMar>
              <w:left w:w="108" w:type="dxa"/>
              <w:right w:w="108" w:type="dxa"/>
            </w:tcMar>
            <w:vAlign w:val="center"/>
          </w:tcPr>
          <w:p w14:paraId="4D30ACA8">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A339904">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4" w:space="0"/>
            </w:tcBorders>
            <w:shd w:val="clear" w:color="auto" w:fill="auto"/>
            <w:tcMar>
              <w:left w:w="108" w:type="dxa"/>
              <w:right w:w="108" w:type="dxa"/>
            </w:tcMar>
            <w:vAlign w:val="center"/>
          </w:tcPr>
          <w:p w14:paraId="5E693B26">
            <w:pPr>
              <w:rPr>
                <w:rFonts w:ascii="黑体" w:hAnsi="黑体" w:eastAsia="黑体"/>
                <w:sz w:val="24"/>
              </w:rPr>
            </w:pPr>
          </w:p>
        </w:tc>
        <w:tc>
          <w:tcPr>
            <w:tcW w:w="550" w:type="dxa"/>
            <w:tcBorders>
              <w:top w:val="single" w:color="auto" w:sz="4" w:space="0"/>
              <w:left w:val="single" w:color="auto" w:sz="4" w:space="0"/>
              <w:bottom w:val="single" w:color="auto" w:sz="4" w:space="0"/>
              <w:right w:val="single" w:color="auto" w:sz="8" w:space="0"/>
            </w:tcBorders>
            <w:shd w:val="clear" w:color="auto" w:fill="auto"/>
            <w:tcMar>
              <w:left w:w="108" w:type="dxa"/>
              <w:right w:w="108" w:type="dxa"/>
            </w:tcMar>
            <w:vAlign w:val="center"/>
          </w:tcPr>
          <w:p w14:paraId="6DF7D633">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single" w:color="auto" w:sz="4" w:space="0"/>
              <w:left w:val="nil"/>
              <w:bottom w:val="single" w:color="auto" w:sz="4" w:space="0"/>
              <w:right w:val="single" w:color="auto" w:sz="4" w:space="0"/>
            </w:tcBorders>
            <w:shd w:val="clear" w:color="auto" w:fill="auto"/>
            <w:tcMar>
              <w:left w:w="108" w:type="dxa"/>
              <w:right w:w="108" w:type="dxa"/>
            </w:tcMar>
            <w:vAlign w:val="center"/>
          </w:tcPr>
          <w:p w14:paraId="66EFCCA4">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single" w:color="auto" w:sz="4" w:space="0"/>
              <w:bottom w:val="single" w:color="auto" w:sz="8" w:space="0"/>
              <w:right w:val="single" w:color="auto" w:sz="8" w:space="0"/>
            </w:tcBorders>
            <w:shd w:val="clear" w:color="auto" w:fill="auto"/>
            <w:tcMar>
              <w:left w:w="108" w:type="dxa"/>
              <w:right w:w="108" w:type="dxa"/>
            </w:tcMar>
            <w:vAlign w:val="center"/>
          </w:tcPr>
          <w:p w14:paraId="45033E0A">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6EA8AF39">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6D2B69E">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73EAD1D0">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2E1A5B6">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DE49ABD">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530CAE1">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14699522">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8C54172">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6966CF8C">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72830B2">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E0C3933">
            <w:pPr>
              <w:widowControl/>
              <w:jc w:val="center"/>
              <w:rPr>
                <w:rFonts w:ascii="黑体" w:hAnsi="黑体" w:eastAsia="黑体"/>
              </w:rPr>
            </w:pPr>
            <w:r>
              <w:rPr>
                <w:rFonts w:ascii="黑体" w:hAnsi="黑体" w:eastAsia="黑体"/>
                <w:kern w:val="0"/>
                <w:sz w:val="20"/>
                <w:szCs w:val="20"/>
              </w:rPr>
              <w:t>总计</w:t>
            </w:r>
          </w:p>
        </w:tc>
      </w:tr>
      <w:tr w14:paraId="310EFF6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single" w:color="auto" w:sz="4" w:space="0"/>
              <w:left w:val="single" w:color="auto" w:sz="8" w:space="0"/>
              <w:bottom w:val="single" w:color="auto" w:sz="8" w:space="0"/>
              <w:right w:val="single" w:color="auto" w:sz="8" w:space="0"/>
            </w:tcBorders>
            <w:shd w:val="clear" w:color="auto" w:fill="auto"/>
            <w:tcMar>
              <w:left w:w="108" w:type="dxa"/>
              <w:right w:w="108" w:type="dxa"/>
            </w:tcMar>
            <w:vAlign w:val="center"/>
          </w:tcPr>
          <w:p w14:paraId="68B0EAB6">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single" w:color="auto" w:sz="4" w:space="0"/>
              <w:left w:val="nil"/>
              <w:bottom w:val="single" w:color="auto" w:sz="8" w:space="0"/>
              <w:right w:val="single" w:color="auto" w:sz="8" w:space="0"/>
            </w:tcBorders>
            <w:shd w:val="clear" w:color="auto" w:fill="auto"/>
            <w:tcMar>
              <w:left w:w="108" w:type="dxa"/>
              <w:right w:w="108" w:type="dxa"/>
            </w:tcMar>
            <w:vAlign w:val="center"/>
          </w:tcPr>
          <w:p w14:paraId="53143E77">
            <w:pPr>
              <w:widowControl/>
              <w:spacing w:after="180"/>
              <w:jc w:val="center"/>
              <w:rPr>
                <w:rFonts w:ascii="Times New Roman" w:hAnsi="Times New Roma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27CD160">
            <w:pPr>
              <w:widowControl/>
              <w:spacing w:after="180"/>
              <w:jc w:val="center"/>
              <w:rPr>
                <w:rFonts w:ascii="Times New Roman" w:hAnsi="Times New Roma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4E14C212">
            <w:pPr>
              <w:widowControl/>
              <w:spacing w:after="180"/>
              <w:jc w:val="center"/>
              <w:rPr>
                <w:rFonts w:ascii="Times New Roman" w:hAnsi="Times New Roma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2B4761F5">
            <w:pPr>
              <w:widowControl/>
              <w:spacing w:after="180"/>
              <w:jc w:val="center"/>
              <w:rPr>
                <w:rFonts w:ascii="Times New Roman" w:hAnsi="Times New Roman"/>
              </w:rPr>
            </w:pPr>
            <w:r>
              <w:rPr>
                <w:rFonts w:hint="eastAsia" w:ascii="Times New Roman" w:hAnsi="Times New Roman"/>
                <w:lang w:val="en-US" w:eastAsia="zh-CN"/>
              </w:rPr>
              <w:t>0</w:t>
            </w:r>
          </w:p>
        </w:tc>
        <w:tc>
          <w:tcPr>
            <w:tcW w:w="550" w:type="dxa"/>
            <w:tcBorders>
              <w:top w:val="single" w:color="auto" w:sz="4" w:space="0"/>
              <w:left w:val="nil"/>
              <w:bottom w:val="single" w:color="auto" w:sz="8" w:space="0"/>
              <w:right w:val="single" w:color="auto" w:sz="8" w:space="0"/>
            </w:tcBorders>
            <w:shd w:val="clear" w:color="auto" w:fill="auto"/>
            <w:tcMar>
              <w:left w:w="108" w:type="dxa"/>
              <w:right w:w="108" w:type="dxa"/>
            </w:tcMar>
            <w:vAlign w:val="center"/>
          </w:tcPr>
          <w:p w14:paraId="370FDA46">
            <w:pPr>
              <w:widowControl/>
              <w:spacing w:after="180"/>
              <w:jc w:val="center"/>
              <w:rPr>
                <w:rFonts w:ascii="Times New Roman" w:hAnsi="Times New Roman"/>
              </w:rPr>
            </w:pPr>
            <w:r>
              <w:rPr>
                <w:rFonts w:hint="eastAsia" w:ascii="Times New Roman" w:hAnsi="Times New Roman"/>
                <w:lang w:val="en-US" w:eastAsia="zh-CN"/>
              </w:rPr>
              <w:t>0</w:t>
            </w:r>
          </w:p>
        </w:tc>
        <w:tc>
          <w:tcPr>
            <w:tcW w:w="605" w:type="dxa"/>
            <w:tcBorders>
              <w:top w:val="single" w:color="auto" w:sz="4" w:space="0"/>
              <w:left w:val="nil"/>
              <w:bottom w:val="single" w:color="auto" w:sz="8" w:space="0"/>
              <w:right w:val="single" w:color="auto" w:sz="8" w:space="0"/>
            </w:tcBorders>
            <w:shd w:val="clear" w:color="auto" w:fill="auto"/>
            <w:tcMar>
              <w:left w:w="108" w:type="dxa"/>
              <w:right w:w="108" w:type="dxa"/>
            </w:tcMar>
            <w:vAlign w:val="center"/>
          </w:tcPr>
          <w:p w14:paraId="0C02D67D">
            <w:pPr>
              <w:widowControl/>
              <w:spacing w:after="180"/>
              <w:jc w:val="center"/>
              <w:rPr>
                <w:rFonts w:ascii="Times New Roman" w:hAnsi="Times New Roma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5255827">
            <w:pPr>
              <w:widowControl/>
              <w:spacing w:after="180"/>
              <w:jc w:val="center"/>
              <w:rPr>
                <w:rFonts w:ascii="Times New Roman" w:hAnsi="Times New Roma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21C8E59">
            <w:pPr>
              <w:widowControl/>
              <w:spacing w:after="180"/>
              <w:jc w:val="center"/>
              <w:rPr>
                <w:rFonts w:ascii="Times New Roman" w:hAnsi="Times New Roma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63D47A9">
            <w:pPr>
              <w:widowControl/>
              <w:spacing w:after="180"/>
              <w:jc w:val="center"/>
              <w:rPr>
                <w:rFonts w:ascii="Times New Roman" w:hAnsi="Times New Roma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E5C9A32">
            <w:pPr>
              <w:widowControl/>
              <w:spacing w:after="180"/>
              <w:rPr>
                <w:rFonts w:ascii="Times New Roman" w:hAnsi="Times New Roma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E535812">
            <w:pPr>
              <w:widowControl/>
              <w:spacing w:after="180"/>
              <w:jc w:val="center"/>
              <w:rPr>
                <w:rFonts w:ascii="Times New Roman" w:hAnsi="Times New Roma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39B2D3F">
            <w:pPr>
              <w:widowControl/>
              <w:spacing w:after="180"/>
              <w:jc w:val="center"/>
              <w:rPr>
                <w:rFonts w:ascii="Times New Roman" w:hAnsi="Times New Roma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7FAECF8">
            <w:pPr>
              <w:widowControl/>
              <w:spacing w:after="180"/>
              <w:jc w:val="center"/>
              <w:rPr>
                <w:rFonts w:ascii="Times New Roman" w:hAnsi="Times New Roma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B727ED3">
            <w:pPr>
              <w:widowControl/>
              <w:spacing w:after="180"/>
              <w:jc w:val="center"/>
              <w:rPr>
                <w:rFonts w:ascii="Times New Roman" w:hAnsi="Times New Roman"/>
              </w:rPr>
            </w:pPr>
            <w:r>
              <w:rPr>
                <w:rFonts w:hint="eastAsia" w:ascii="Times New Roman" w:hAnsi="Times New Roman"/>
                <w:lang w:val="en-US" w:eastAsia="zh-CN"/>
              </w:rPr>
              <w:t>0</w:t>
            </w:r>
          </w:p>
        </w:tc>
      </w:tr>
    </w:tbl>
    <w:tbl>
      <w:tblPr>
        <w:tblStyle w:val="5"/>
        <w:tblpPr w:leftFromText="180" w:rightFromText="180" w:vertAnchor="text" w:tblpX="10483" w:tblpY="-2727"/>
        <w:tblOverlap w:val="never"/>
        <w:tblW w:w="29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52"/>
      </w:tblGrid>
      <w:tr w14:paraId="561FB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2952" w:type="dxa"/>
          </w:tcPr>
          <w:p w14:paraId="45206ED6">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textAlignment w:val="auto"/>
              <w:rPr>
                <w:rFonts w:hint="eastAsia" w:ascii="黑体" w:hAnsi="宋体" w:eastAsia="黑体" w:cs="黑体"/>
                <w:i w:val="0"/>
                <w:iCs w:val="0"/>
                <w:caps w:val="0"/>
                <w:color w:val="000000"/>
                <w:spacing w:val="0"/>
                <w:sz w:val="31"/>
                <w:szCs w:val="31"/>
                <w:vertAlign w:val="baseline"/>
              </w:rPr>
            </w:pPr>
          </w:p>
        </w:tc>
      </w:tr>
    </w:tbl>
    <w:p w14:paraId="7268BEA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right="0" w:firstLine="620" w:firstLineChars="200"/>
        <w:jc w:val="both"/>
        <w:textAlignment w:val="auto"/>
        <w:rPr>
          <w:rFonts w:hint="eastAsia" w:ascii="sans-serif" w:hAnsi="sans-serif" w:eastAsia="黑体" w:cs="sans-serif"/>
          <w:i w:val="0"/>
          <w:iCs w:val="0"/>
          <w:caps w:val="0"/>
          <w:color w:val="auto"/>
          <w:spacing w:val="0"/>
          <w:sz w:val="24"/>
          <w:szCs w:val="24"/>
          <w:lang w:eastAsia="zh-CN"/>
        </w:rPr>
      </w:pPr>
      <w:r>
        <w:rPr>
          <w:rFonts w:hint="eastAsia" w:ascii="黑体" w:hAnsi="宋体" w:eastAsia="黑体" w:cs="黑体"/>
          <w:i w:val="0"/>
          <w:iCs w:val="0"/>
          <w:caps w:val="0"/>
          <w:color w:val="auto"/>
          <w:spacing w:val="0"/>
          <w:sz w:val="31"/>
          <w:szCs w:val="31"/>
        </w:rPr>
        <w:t>五、政府信息公开工作存在的主要问题及改进情况</w:t>
      </w:r>
    </w:p>
    <w:p w14:paraId="49AFA6E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lang w:val="en-US" w:eastAsia="zh-CN"/>
        </w:rPr>
      </w:pPr>
      <w:r>
        <w:rPr>
          <w:rFonts w:hint="eastAsia" w:ascii="Times New Roman" w:hAnsi="Times New Roman" w:eastAsia="仿宋_GB2312" w:cs="Times New Roman"/>
          <w:i w:val="0"/>
          <w:iCs w:val="0"/>
          <w:caps w:val="0"/>
          <w:color w:val="auto"/>
          <w:spacing w:val="0"/>
          <w:sz w:val="32"/>
          <w:szCs w:val="32"/>
        </w:rPr>
        <w:t>总结我镇一年来政府信息公开工作，虽然取得一定成绩，但仍存在一些不足：一是</w:t>
      </w:r>
      <w:r>
        <w:rPr>
          <w:rFonts w:hint="eastAsia" w:ascii="Times New Roman" w:hAnsi="Times New Roman" w:eastAsia="仿宋_GB2312" w:cs="Times New Roman"/>
          <w:i w:val="0"/>
          <w:iCs w:val="0"/>
          <w:caps w:val="0"/>
          <w:color w:val="auto"/>
          <w:spacing w:val="0"/>
          <w:sz w:val="32"/>
          <w:szCs w:val="32"/>
          <w:lang w:val="en-US" w:eastAsia="zh-CN"/>
        </w:rPr>
        <w:t>信息公开范围不够广泛，公开方式的多样性和创新性不够；二是政策解读工作有待进一步加强；三是政务公开工作业务水平不高，在信息公开方面工作不到位。</w:t>
      </w:r>
    </w:p>
    <w:p w14:paraId="08707F3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40" w:firstLineChars="200"/>
        <w:jc w:val="both"/>
        <w:textAlignment w:val="auto"/>
        <w:rPr>
          <w:rFonts w:hint="default" w:ascii="仿宋_GB2312" w:hAnsi="sans-serif" w:eastAsia="仿宋_GB2312" w:cs="仿宋_GB2312"/>
          <w:i w:val="0"/>
          <w:iCs w:val="0"/>
          <w:caps w:val="0"/>
          <w:color w:val="auto"/>
          <w:spacing w:val="0"/>
          <w:sz w:val="31"/>
          <w:szCs w:val="31"/>
          <w:lang w:val="en-US" w:eastAsia="zh-CN"/>
        </w:rPr>
      </w:pPr>
      <w:r>
        <w:rPr>
          <w:rFonts w:hint="eastAsia" w:ascii="Times New Roman" w:hAnsi="Times New Roman" w:eastAsia="仿宋_GB2312" w:cs="Times New Roman"/>
          <w:i w:val="0"/>
          <w:iCs w:val="0"/>
          <w:caps w:val="0"/>
          <w:color w:val="auto"/>
          <w:spacing w:val="0"/>
          <w:sz w:val="32"/>
          <w:szCs w:val="32"/>
        </w:rPr>
        <w:t>在今后的工作中，我们将做好以下三个方面的工作：一是推进</w:t>
      </w:r>
      <w:r>
        <w:rPr>
          <w:rFonts w:hint="eastAsia" w:ascii="Times New Roman" w:hAnsi="Times New Roman" w:eastAsia="仿宋_GB2312" w:cs="Times New Roman"/>
          <w:i w:val="0"/>
          <w:iCs w:val="0"/>
          <w:caps w:val="0"/>
          <w:color w:val="auto"/>
          <w:spacing w:val="0"/>
          <w:sz w:val="32"/>
          <w:szCs w:val="32"/>
          <w:lang w:val="en-US" w:eastAsia="zh-CN"/>
        </w:rPr>
        <w:t>政府</w:t>
      </w:r>
      <w:r>
        <w:rPr>
          <w:rFonts w:hint="eastAsia" w:ascii="Times New Roman" w:hAnsi="Times New Roman" w:eastAsia="仿宋_GB2312" w:cs="Times New Roman"/>
          <w:i w:val="0"/>
          <w:iCs w:val="0"/>
          <w:caps w:val="0"/>
          <w:color w:val="auto"/>
          <w:spacing w:val="0"/>
          <w:sz w:val="32"/>
          <w:szCs w:val="32"/>
        </w:rPr>
        <w:t>网站、政务新媒体、在线政务服务平台的信息数据互融互通，实现各公开平台形式、资源、服务的深度融合；二是强化政策解读。明确解读要素、解读形式对专业性较强的政策内容，多运用群众喜闻乐见的方式进行形象化、口语化、多元化解读，使群众听得懂、记得牢、用得上；三是加强</w:t>
      </w:r>
      <w:r>
        <w:rPr>
          <w:rFonts w:hint="eastAsia" w:ascii="Times New Roman" w:hAnsi="Times New Roman" w:eastAsia="仿宋_GB2312" w:cs="Times New Roman"/>
          <w:i w:val="0"/>
          <w:iCs w:val="0"/>
          <w:caps w:val="0"/>
          <w:color w:val="auto"/>
          <w:spacing w:val="0"/>
          <w:sz w:val="32"/>
          <w:szCs w:val="32"/>
          <w:lang w:val="en-US" w:eastAsia="zh-CN"/>
        </w:rPr>
        <w:t>对</w:t>
      </w:r>
      <w:r>
        <w:rPr>
          <w:rFonts w:hint="eastAsia" w:ascii="Times New Roman" w:hAnsi="Times New Roman" w:eastAsia="仿宋_GB2312" w:cs="Times New Roman"/>
          <w:i w:val="0"/>
          <w:iCs w:val="0"/>
          <w:caps w:val="0"/>
          <w:color w:val="auto"/>
          <w:spacing w:val="0"/>
          <w:sz w:val="32"/>
          <w:szCs w:val="32"/>
        </w:rPr>
        <w:t>政务公开工作人员</w:t>
      </w:r>
      <w:r>
        <w:rPr>
          <w:rFonts w:hint="eastAsia" w:ascii="Times New Roman" w:hAnsi="Times New Roman" w:eastAsia="仿宋_GB2312" w:cs="Times New Roman"/>
          <w:i w:val="0"/>
          <w:iCs w:val="0"/>
          <w:caps w:val="0"/>
          <w:color w:val="auto"/>
          <w:spacing w:val="0"/>
          <w:sz w:val="32"/>
          <w:szCs w:val="32"/>
          <w:lang w:val="en-US" w:eastAsia="zh-CN"/>
        </w:rPr>
        <w:t>的</w:t>
      </w:r>
      <w:r>
        <w:rPr>
          <w:rFonts w:hint="eastAsia" w:ascii="Times New Roman" w:hAnsi="Times New Roman" w:eastAsia="仿宋_GB2312" w:cs="Times New Roman"/>
          <w:i w:val="0"/>
          <w:iCs w:val="0"/>
          <w:caps w:val="0"/>
          <w:color w:val="auto"/>
          <w:spacing w:val="0"/>
          <w:sz w:val="32"/>
          <w:szCs w:val="32"/>
        </w:rPr>
        <w:t>学习培训，具体承办人员要</w:t>
      </w:r>
      <w:r>
        <w:rPr>
          <w:rFonts w:hint="eastAsia" w:ascii="Times New Roman" w:hAnsi="Times New Roman" w:eastAsia="仿宋_GB2312" w:cs="Times New Roman"/>
          <w:i w:val="0"/>
          <w:iCs w:val="0"/>
          <w:caps w:val="0"/>
          <w:color w:val="auto"/>
          <w:spacing w:val="0"/>
          <w:sz w:val="32"/>
          <w:szCs w:val="32"/>
          <w:lang w:val="en-US" w:eastAsia="zh-CN"/>
        </w:rPr>
        <w:t>熟练掌握政务公开操作流程</w:t>
      </w:r>
      <w:r>
        <w:rPr>
          <w:rFonts w:hint="eastAsia" w:ascii="Times New Roman" w:hAnsi="Times New Roman" w:eastAsia="仿宋_GB2312" w:cs="Times New Roman"/>
          <w:i w:val="0"/>
          <w:iCs w:val="0"/>
          <w:caps w:val="0"/>
          <w:color w:val="auto"/>
          <w:spacing w:val="0"/>
          <w:sz w:val="32"/>
          <w:szCs w:val="32"/>
        </w:rPr>
        <w:t>，</w:t>
      </w:r>
      <w:r>
        <w:rPr>
          <w:rFonts w:hint="eastAsia" w:ascii="仿宋_GB2312" w:hAnsi="仿宋_GB2312" w:eastAsia="仿宋_GB2312" w:cs="仿宋_GB2312"/>
          <w:i w:val="0"/>
          <w:color w:val="auto"/>
          <w:sz w:val="32"/>
          <w:szCs w:val="32"/>
          <w:shd w:val="clear" w:color="auto" w:fill="FFFFFF"/>
        </w:rPr>
        <w:t>依法依规做好依申请公开受理、处理和答复等各项功能</w:t>
      </w:r>
      <w:r>
        <w:rPr>
          <w:rFonts w:hint="eastAsia" w:ascii="仿宋_GB2312" w:hAnsi="仿宋_GB2312" w:eastAsia="仿宋_GB2312" w:cs="仿宋_GB2312"/>
          <w:i w:val="0"/>
          <w:color w:val="auto"/>
          <w:sz w:val="32"/>
          <w:szCs w:val="32"/>
          <w:shd w:val="clear" w:color="auto" w:fill="FFFFFF"/>
          <w:lang w:eastAsia="zh-CN"/>
        </w:rPr>
        <w:t>，</w:t>
      </w:r>
      <w:r>
        <w:rPr>
          <w:rFonts w:hint="eastAsia" w:ascii="仿宋_GB2312" w:hAnsi="仿宋_GB2312" w:eastAsia="仿宋_GB2312" w:cs="仿宋_GB2312"/>
          <w:i w:val="0"/>
          <w:color w:val="auto"/>
          <w:sz w:val="32"/>
          <w:szCs w:val="32"/>
          <w:shd w:val="clear" w:color="auto" w:fill="FFFFFF"/>
          <w:lang w:val="en-US" w:eastAsia="zh-CN"/>
        </w:rPr>
        <w:t>提升政务公开水平。</w:t>
      </w:r>
    </w:p>
    <w:p w14:paraId="6C2F270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15"/>
        <w:jc w:val="both"/>
        <w:textAlignment w:val="auto"/>
        <w:rPr>
          <w:rFonts w:hint="default" w:ascii="sans-serif" w:hAnsi="sans-serif" w:eastAsia="sans-serif" w:cs="sans-serif"/>
          <w:i w:val="0"/>
          <w:iCs w:val="0"/>
          <w:caps w:val="0"/>
          <w:color w:val="000000"/>
          <w:spacing w:val="0"/>
          <w:sz w:val="24"/>
          <w:szCs w:val="24"/>
        </w:rPr>
      </w:pPr>
      <w:r>
        <w:rPr>
          <w:rFonts w:hint="eastAsia" w:ascii="黑体" w:hAnsi="宋体" w:eastAsia="黑体" w:cs="黑体"/>
          <w:i w:val="0"/>
          <w:iCs w:val="0"/>
          <w:caps w:val="0"/>
          <w:color w:val="000000"/>
          <w:spacing w:val="0"/>
          <w:sz w:val="31"/>
          <w:szCs w:val="31"/>
          <w:lang w:val="en-US" w:eastAsia="zh-CN"/>
        </w:rPr>
        <w:t>六、</w:t>
      </w:r>
      <w:r>
        <w:rPr>
          <w:rFonts w:hint="eastAsia" w:ascii="黑体" w:hAnsi="宋体" w:eastAsia="黑体" w:cs="黑体"/>
          <w:i w:val="0"/>
          <w:iCs w:val="0"/>
          <w:caps w:val="0"/>
          <w:color w:val="000000"/>
          <w:spacing w:val="0"/>
          <w:sz w:val="31"/>
          <w:szCs w:val="31"/>
        </w:rPr>
        <w:t>其他需要报告的事项</w:t>
      </w:r>
    </w:p>
    <w:p w14:paraId="2FC5BEAA">
      <w:pPr>
        <w:keepNext w:val="0"/>
        <w:keepLines w:val="0"/>
        <w:pageBreakBefore w:val="0"/>
        <w:kinsoku/>
        <w:wordWrap/>
        <w:overflowPunct/>
        <w:topLinePunct w:val="0"/>
        <w:autoSpaceDE/>
        <w:autoSpaceDN/>
        <w:bidi w:val="0"/>
        <w:adjustRightInd/>
        <w:snapToGrid/>
        <w:spacing w:line="550" w:lineRule="exact"/>
        <w:ind w:firstLine="640" w:firstLineChars="200"/>
        <w:jc w:val="both"/>
        <w:textAlignment w:val="auto"/>
        <w:rPr>
          <w:rFonts w:ascii="仿宋_GB2312" w:eastAsia="仿宋_GB2312"/>
          <w:color w:val="FF0000"/>
          <w:sz w:val="32"/>
          <w:szCs w:val="32"/>
        </w:rPr>
      </w:pPr>
      <w:r>
        <w:rPr>
          <w:rFonts w:hint="default" w:ascii="Times New Roman" w:hAnsi="Times New Roman" w:eastAsia="仿宋_GB2312" w:cs="Times New Roman"/>
          <w:color w:val="auto"/>
          <w:sz w:val="32"/>
          <w:szCs w:val="32"/>
          <w:lang w:val="en-US" w:eastAsia="zh-CN"/>
        </w:rPr>
        <w:t>1</w:t>
      </w:r>
      <w:r>
        <w:rPr>
          <w:rFonts w:hint="eastAsia" w:ascii="仿宋_GB2312" w:eastAsia="仿宋_GB2312"/>
          <w:color w:val="auto"/>
          <w:sz w:val="32"/>
          <w:szCs w:val="32"/>
          <w:lang w:val="en-US" w:eastAsia="zh-CN"/>
        </w:rPr>
        <w:t>.</w:t>
      </w:r>
      <w:r>
        <w:rPr>
          <w:rFonts w:hint="eastAsia" w:ascii="Times New Roman" w:hAnsi="Times New Roman" w:eastAsia="仿宋_GB2312" w:cs="Times New Roman"/>
          <w:i w:val="0"/>
          <w:iCs w:val="0"/>
          <w:caps w:val="0"/>
          <w:color w:val="000000"/>
          <w:spacing w:val="0"/>
          <w:sz w:val="32"/>
          <w:szCs w:val="32"/>
          <w:lang w:val="en-US" w:eastAsia="zh-CN"/>
        </w:rPr>
        <w:t>依</w:t>
      </w:r>
      <w:r>
        <w:rPr>
          <w:rFonts w:hint="eastAsia" w:ascii="Times New Roman" w:hAnsi="Times New Roman" w:eastAsia="仿宋_GB2312" w:cs="Times New Roman"/>
          <w:i w:val="0"/>
          <w:iCs w:val="0"/>
          <w:caps w:val="0"/>
          <w:color w:val="000000"/>
          <w:spacing w:val="0"/>
          <w:sz w:val="32"/>
          <w:szCs w:val="32"/>
          <w:lang w:eastAsia="zh-CN"/>
        </w:rPr>
        <w:t>据《政府信息公开信息处理费管理办法》，</w:t>
      </w:r>
      <w:r>
        <w:rPr>
          <w:rFonts w:hint="default" w:ascii="Times New Roman" w:hAnsi="Times New Roman" w:eastAsia="仿宋_GB2312" w:cs="Times New Roman"/>
          <w:i w:val="0"/>
          <w:iCs w:val="0"/>
          <w:caps w:val="0"/>
          <w:color w:val="000000"/>
          <w:spacing w:val="0"/>
          <w:sz w:val="32"/>
          <w:szCs w:val="32"/>
        </w:rPr>
        <w:t>202</w:t>
      </w:r>
      <w:r>
        <w:rPr>
          <w:rFonts w:hint="eastAsia" w:ascii="Times New Roman" w:hAnsi="Times New Roman" w:eastAsia="仿宋_GB2312" w:cs="Times New Roman"/>
          <w:i w:val="0"/>
          <w:iCs w:val="0"/>
          <w:caps w:val="0"/>
          <w:color w:val="000000"/>
          <w:spacing w:val="0"/>
          <w:sz w:val="32"/>
          <w:szCs w:val="32"/>
          <w:lang w:val="en-US" w:eastAsia="zh-CN"/>
        </w:rPr>
        <w:t>1年</w:t>
      </w:r>
      <w:r>
        <w:rPr>
          <w:rFonts w:hint="default" w:ascii="Times New Roman" w:hAnsi="Times New Roman" w:eastAsia="仿宋_GB2312" w:cs="Times New Roman"/>
          <w:i w:val="0"/>
          <w:iCs w:val="0"/>
          <w:caps w:val="0"/>
          <w:color w:val="000000"/>
          <w:spacing w:val="0"/>
          <w:sz w:val="32"/>
          <w:szCs w:val="32"/>
        </w:rPr>
        <w:t>我单位</w:t>
      </w:r>
      <w:r>
        <w:rPr>
          <w:rFonts w:hint="eastAsia" w:ascii="Times New Roman" w:hAnsi="Times New Roman" w:eastAsia="仿宋_GB2312" w:cs="Times New Roman"/>
          <w:i w:val="0"/>
          <w:iCs w:val="0"/>
          <w:caps w:val="0"/>
          <w:color w:val="000000"/>
          <w:spacing w:val="0"/>
          <w:sz w:val="32"/>
          <w:szCs w:val="32"/>
          <w:lang w:eastAsia="zh-CN"/>
        </w:rPr>
        <w:t>无收取信息处理费的情况。</w:t>
      </w:r>
    </w:p>
    <w:p w14:paraId="770558B7">
      <w:pPr>
        <w:keepNext w:val="0"/>
        <w:keepLines w:val="0"/>
        <w:pageBreakBefore w:val="0"/>
        <w:kinsoku/>
        <w:wordWrap/>
        <w:overflowPunct/>
        <w:topLinePunct w:val="0"/>
        <w:autoSpaceDE/>
        <w:autoSpaceDN/>
        <w:bidi w:val="0"/>
        <w:adjustRightInd/>
        <w:snapToGrid/>
        <w:spacing w:line="550" w:lineRule="exact"/>
        <w:ind w:firstLine="640" w:firstLineChars="200"/>
        <w:jc w:val="both"/>
        <w:textAlignment w:val="auto"/>
        <w:rPr>
          <w:rFonts w:hint="eastAsia" w:ascii="Times New Roman" w:hAnsi="Times New Roman" w:eastAsia="仿宋_GB2312" w:cs="Times New Roman"/>
          <w:color w:val="auto"/>
          <w:kern w:val="2"/>
          <w:sz w:val="32"/>
          <w:szCs w:val="21"/>
          <w:lang w:val="en-US" w:eastAsia="zh-CN" w:bidi="ar-SA"/>
        </w:rPr>
      </w:pPr>
      <w:r>
        <w:rPr>
          <w:rFonts w:hint="default" w:ascii="Times New Roman" w:hAnsi="Times New Roman" w:eastAsia="仿宋_GB2312" w:cs="Times New Roman"/>
          <w:color w:val="auto"/>
          <w:sz w:val="32"/>
          <w:szCs w:val="32"/>
        </w:rPr>
        <w:t>2.</w:t>
      </w:r>
      <w:r>
        <w:rPr>
          <w:rFonts w:hint="eastAsia" w:ascii="Times New Roman" w:hAnsi="Times New Roman" w:eastAsia="仿宋_GB2312" w:cs="Times New Roman"/>
          <w:color w:val="auto"/>
          <w:kern w:val="2"/>
          <w:sz w:val="32"/>
          <w:szCs w:val="21"/>
          <w:lang w:val="en-US" w:eastAsia="zh-CN" w:bidi="ar-SA"/>
        </w:rPr>
        <w:t>2021年，我镇按上级年度政务公开工作要点，落实政务公开工作的各项决策部署，</w:t>
      </w:r>
      <w:r>
        <w:rPr>
          <w:rFonts w:hint="eastAsia" w:ascii="Times New Roman" w:hAnsi="Times New Roman" w:eastAsia="仿宋_GB2312" w:cs="Times New Roman"/>
          <w:i w:val="0"/>
          <w:iCs w:val="0"/>
          <w:caps w:val="0"/>
          <w:color w:val="000000"/>
          <w:spacing w:val="0"/>
          <w:kern w:val="0"/>
          <w:sz w:val="32"/>
          <w:szCs w:val="32"/>
          <w:u w:val="none"/>
          <w:shd w:val="clear" w:color="auto" w:fill="auto"/>
          <w:lang w:val="en-US" w:eastAsia="zh-CN" w:bidi="ar"/>
        </w:rPr>
        <w:t>着力推进政务公开规范、透明，加强政府信息公开申请办理工作，不断加强政务公开平台建设管理，努力建设服务型政府。</w:t>
      </w:r>
    </w:p>
    <w:p w14:paraId="1BDCFFB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15"/>
        <w:jc w:val="both"/>
        <w:textAlignment w:val="auto"/>
        <w:rPr>
          <w:rFonts w:hint="default" w:ascii="仿宋_GB2312" w:eastAsia="仿宋_GB2312"/>
          <w:color w:val="FF0000"/>
          <w:sz w:val="32"/>
          <w:szCs w:val="32"/>
          <w:lang w:val="en-US" w:eastAsia="zh-CN"/>
        </w:rPr>
      </w:pP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i w:val="0"/>
          <w:iCs w:val="0"/>
          <w:caps w:val="0"/>
          <w:color w:val="auto"/>
          <w:spacing w:val="0"/>
          <w:sz w:val="31"/>
          <w:szCs w:val="31"/>
          <w:lang w:val="en-US" w:eastAsia="zh-CN"/>
        </w:rPr>
        <w:t>2021</w:t>
      </w:r>
      <w:r>
        <w:rPr>
          <w:rFonts w:hint="eastAsia" w:ascii="仿宋_GB2312" w:hAnsi="sans-serif" w:eastAsia="仿宋_GB2312" w:cs="仿宋_GB2312"/>
          <w:i w:val="0"/>
          <w:iCs w:val="0"/>
          <w:caps w:val="0"/>
          <w:color w:val="auto"/>
          <w:spacing w:val="0"/>
          <w:sz w:val="31"/>
          <w:szCs w:val="31"/>
          <w:lang w:val="en-US" w:eastAsia="zh-CN"/>
        </w:rPr>
        <w:t>年我单位未承办过人大代表建议办理。</w:t>
      </w:r>
      <w:r>
        <w:rPr>
          <w:rFonts w:hint="default" w:ascii="Times New Roman" w:hAnsi="Times New Roman" w:eastAsia="仿宋_GB2312" w:cs="Times New Roman"/>
          <w:i w:val="0"/>
          <w:iCs w:val="0"/>
          <w:caps w:val="0"/>
          <w:color w:val="auto"/>
          <w:spacing w:val="0"/>
          <w:sz w:val="31"/>
          <w:szCs w:val="31"/>
          <w:lang w:val="en-US" w:eastAsia="zh-CN"/>
        </w:rPr>
        <w:t>2021</w:t>
      </w:r>
      <w:r>
        <w:rPr>
          <w:rFonts w:hint="eastAsia" w:ascii="仿宋_GB2312" w:hAnsi="sans-serif" w:eastAsia="仿宋_GB2312" w:cs="仿宋_GB2312"/>
          <w:i w:val="0"/>
          <w:iCs w:val="0"/>
          <w:caps w:val="0"/>
          <w:color w:val="auto"/>
          <w:spacing w:val="0"/>
          <w:sz w:val="31"/>
          <w:szCs w:val="31"/>
          <w:lang w:val="en-US" w:eastAsia="zh-CN"/>
        </w:rPr>
        <w:t>年</w:t>
      </w:r>
      <w:r>
        <w:rPr>
          <w:rFonts w:hint="default" w:ascii="Times New Roman" w:hAnsi="Times New Roman" w:eastAsia="仿宋_GB2312" w:cs="Times New Roman"/>
          <w:i w:val="0"/>
          <w:iCs w:val="0"/>
          <w:caps w:val="0"/>
          <w:color w:val="auto"/>
          <w:spacing w:val="0"/>
          <w:sz w:val="31"/>
          <w:szCs w:val="31"/>
          <w:lang w:val="en-US" w:eastAsia="zh-CN"/>
        </w:rPr>
        <w:t>8</w:t>
      </w:r>
      <w:r>
        <w:rPr>
          <w:rFonts w:hint="eastAsia" w:ascii="仿宋_GB2312" w:hAnsi="sans-serif" w:eastAsia="仿宋_GB2312" w:cs="仿宋_GB2312"/>
          <w:i w:val="0"/>
          <w:iCs w:val="0"/>
          <w:caps w:val="0"/>
          <w:color w:val="auto"/>
          <w:spacing w:val="0"/>
          <w:sz w:val="31"/>
          <w:szCs w:val="31"/>
          <w:lang w:val="en-US" w:eastAsia="zh-CN"/>
        </w:rPr>
        <w:t>月承办于进凤委员提出的关于加强道呼线道路安全管理的建议提案的办理。</w:t>
      </w:r>
    </w:p>
    <w:p w14:paraId="3C32B82E">
      <w:pPr>
        <w:keepNext w:val="0"/>
        <w:keepLines w:val="0"/>
        <w:pageBreakBefore w:val="0"/>
        <w:kinsoku/>
        <w:wordWrap/>
        <w:overflowPunct/>
        <w:topLinePunct w:val="0"/>
        <w:autoSpaceDE/>
        <w:autoSpaceDN/>
        <w:bidi w:val="0"/>
        <w:adjustRightInd/>
        <w:snapToGrid/>
        <w:spacing w:line="550" w:lineRule="exact"/>
        <w:ind w:firstLine="640" w:firstLineChars="200"/>
        <w:jc w:val="both"/>
        <w:textAlignment w:val="auto"/>
        <w:rPr>
          <w:rFonts w:hint="eastAsia" w:ascii="仿宋_GB2312" w:eastAsia="仿宋_GB2312"/>
          <w:color w:val="auto"/>
          <w:sz w:val="32"/>
          <w:szCs w:val="32"/>
          <w:lang w:val="en-US" w:eastAsia="zh-CN"/>
        </w:rPr>
      </w:pPr>
      <w:r>
        <w:rPr>
          <w:rFonts w:hint="default" w:ascii="Times New Roman" w:hAnsi="Times New Roman" w:eastAsia="仿宋_GB2312" w:cs="Times New Roman"/>
          <w:color w:val="auto"/>
          <w:sz w:val="32"/>
          <w:szCs w:val="32"/>
        </w:rPr>
        <w:t>4.</w:t>
      </w:r>
      <w:r>
        <w:rPr>
          <w:rFonts w:hint="default" w:ascii="Times New Roman" w:hAnsi="Times New Roman" w:eastAsia="仿宋_GB2312" w:cs="Times New Roman"/>
          <w:color w:val="auto"/>
          <w:sz w:val="32"/>
          <w:szCs w:val="32"/>
          <w:lang w:val="en-US" w:eastAsia="zh-CN"/>
        </w:rPr>
        <w:t>2021</w:t>
      </w:r>
      <w:r>
        <w:rPr>
          <w:rFonts w:hint="eastAsia" w:ascii="仿宋_GB2312" w:eastAsia="仿宋_GB2312"/>
          <w:color w:val="auto"/>
          <w:sz w:val="32"/>
          <w:szCs w:val="32"/>
          <w:lang w:val="en-US" w:eastAsia="zh-CN"/>
        </w:rPr>
        <w:t>年，在政务公开工作创新方面，我单位组织进行全员大走访，深入基层，机关干部入户发放便民联系卡，开通镇级热线，开辟了政务公开和政民互动的新渠道。</w:t>
      </w:r>
    </w:p>
    <w:p w14:paraId="7D338DC4">
      <w:pPr>
        <w:keepNext w:val="0"/>
        <w:keepLines w:val="0"/>
        <w:pageBreakBefore w:val="0"/>
        <w:kinsoku/>
        <w:wordWrap/>
        <w:overflowPunct/>
        <w:topLinePunct w:val="0"/>
        <w:autoSpaceDE/>
        <w:autoSpaceDN/>
        <w:bidi w:val="0"/>
        <w:adjustRightInd/>
        <w:snapToGrid/>
        <w:spacing w:line="550" w:lineRule="exact"/>
        <w:ind w:firstLine="640" w:firstLineChars="200"/>
        <w:jc w:val="both"/>
        <w:textAlignment w:val="auto"/>
        <w:rPr>
          <w:rFonts w:hint="eastAsia" w:ascii="仿宋_GB2312" w:eastAsia="仿宋_GB2312"/>
          <w:color w:val="auto"/>
          <w:sz w:val="32"/>
          <w:szCs w:val="32"/>
          <w:lang w:eastAsia="zh-CN"/>
        </w:rPr>
      </w:pPr>
      <w:r>
        <w:rPr>
          <w:rFonts w:hint="default" w:ascii="Times New Roman" w:hAnsi="Times New Roman" w:eastAsia="仿宋_GB2312" w:cs="Times New Roman"/>
          <w:color w:val="auto"/>
          <w:sz w:val="32"/>
          <w:szCs w:val="32"/>
        </w:rPr>
        <w:t>5.</w:t>
      </w:r>
      <w:r>
        <w:rPr>
          <w:rFonts w:hint="default" w:ascii="Times New Roman" w:hAnsi="Times New Roman" w:eastAsia="仿宋_GB2312" w:cs="Times New Roman"/>
          <w:color w:val="auto"/>
          <w:sz w:val="32"/>
          <w:szCs w:val="32"/>
          <w:lang w:val="en-US" w:eastAsia="zh-CN"/>
        </w:rPr>
        <w:t>2021</w:t>
      </w:r>
      <w:r>
        <w:rPr>
          <w:rFonts w:hint="eastAsia" w:ascii="仿宋_GB2312" w:eastAsia="仿宋_GB2312"/>
          <w:color w:val="auto"/>
          <w:sz w:val="32"/>
          <w:szCs w:val="32"/>
          <w:lang w:val="en-US" w:eastAsia="zh-CN"/>
        </w:rPr>
        <w:t>年本单位</w:t>
      </w:r>
      <w:r>
        <w:rPr>
          <w:rFonts w:ascii="仿宋_GB2312" w:eastAsia="仿宋_GB2312"/>
          <w:color w:val="auto"/>
          <w:sz w:val="32"/>
          <w:szCs w:val="32"/>
        </w:rPr>
        <w:t>政府信息公开工作年度报告数据统计</w:t>
      </w:r>
      <w:r>
        <w:rPr>
          <w:rFonts w:hint="eastAsia" w:ascii="仿宋_GB2312" w:eastAsia="仿宋_GB2312"/>
          <w:color w:val="auto"/>
          <w:sz w:val="32"/>
          <w:szCs w:val="32"/>
          <w:lang w:val="en-US" w:eastAsia="zh-CN"/>
        </w:rPr>
        <w:t>没有</w:t>
      </w:r>
      <w:r>
        <w:rPr>
          <w:rFonts w:ascii="仿宋_GB2312" w:eastAsia="仿宋_GB2312"/>
          <w:color w:val="auto"/>
          <w:sz w:val="32"/>
          <w:szCs w:val="32"/>
        </w:rPr>
        <w:t>需要说明的事项</w:t>
      </w:r>
      <w:r>
        <w:rPr>
          <w:rFonts w:hint="eastAsia" w:ascii="仿宋_GB2312" w:eastAsia="仿宋_GB2312"/>
          <w:color w:val="auto"/>
          <w:sz w:val="32"/>
          <w:szCs w:val="32"/>
          <w:lang w:eastAsia="zh-CN"/>
        </w:rPr>
        <w:t>。</w:t>
      </w:r>
    </w:p>
    <w:p w14:paraId="29835464">
      <w:pPr>
        <w:keepNext w:val="0"/>
        <w:keepLines w:val="0"/>
        <w:pageBreakBefore w:val="0"/>
        <w:kinsoku/>
        <w:wordWrap/>
        <w:overflowPunct/>
        <w:topLinePunct w:val="0"/>
        <w:autoSpaceDE/>
        <w:autoSpaceDN/>
        <w:bidi w:val="0"/>
        <w:adjustRightInd/>
        <w:snapToGrid/>
        <w:spacing w:line="550" w:lineRule="exact"/>
        <w:ind w:firstLine="640" w:firstLineChars="200"/>
        <w:jc w:val="both"/>
        <w:textAlignment w:val="auto"/>
        <w:rPr>
          <w:rFonts w:hint="eastAsia" w:ascii="仿宋_GB2312" w:eastAsia="仿宋_GB2312"/>
          <w:color w:val="auto"/>
          <w:sz w:val="32"/>
          <w:szCs w:val="32"/>
          <w:lang w:eastAsia="zh-CN"/>
        </w:rPr>
      </w:pPr>
      <w:r>
        <w:rPr>
          <w:rFonts w:hint="default" w:ascii="Times New Roman" w:hAnsi="Times New Roman" w:eastAsia="仿宋_GB2312" w:cs="Times New Roman"/>
          <w:color w:val="auto"/>
          <w:sz w:val="32"/>
          <w:szCs w:val="32"/>
        </w:rPr>
        <w:t>6.</w:t>
      </w:r>
      <w:r>
        <w:rPr>
          <w:rFonts w:hint="eastAsia" w:ascii="仿宋_GB2312" w:eastAsia="仿宋_GB2312"/>
          <w:color w:val="auto"/>
          <w:sz w:val="32"/>
          <w:szCs w:val="32"/>
          <w:lang w:val="en-US" w:eastAsia="zh-CN"/>
        </w:rPr>
        <w:t>没有</w:t>
      </w:r>
      <w:r>
        <w:rPr>
          <w:rFonts w:ascii="仿宋_GB2312" w:eastAsia="仿宋_GB2312"/>
          <w:color w:val="auto"/>
          <w:sz w:val="32"/>
          <w:szCs w:val="32"/>
        </w:rPr>
        <w:t>需要报告的其他事项</w:t>
      </w:r>
      <w:r>
        <w:rPr>
          <w:rFonts w:hint="eastAsia" w:ascii="仿宋_GB2312" w:eastAsia="仿宋_GB2312"/>
          <w:color w:val="auto"/>
          <w:sz w:val="32"/>
          <w:szCs w:val="32"/>
          <w:lang w:eastAsia="zh-CN"/>
        </w:rPr>
        <w:t>。</w:t>
      </w:r>
    </w:p>
    <w:p w14:paraId="442021FC">
      <w:pPr>
        <w:keepNext w:val="0"/>
        <w:keepLines w:val="0"/>
        <w:pageBreakBefore w:val="0"/>
        <w:kinsoku/>
        <w:wordWrap/>
        <w:overflowPunct/>
        <w:topLinePunct w:val="0"/>
        <w:autoSpaceDE/>
        <w:autoSpaceDN/>
        <w:bidi w:val="0"/>
        <w:adjustRightInd/>
        <w:snapToGrid/>
        <w:spacing w:line="550" w:lineRule="exact"/>
        <w:ind w:firstLine="640" w:firstLineChars="200"/>
        <w:jc w:val="both"/>
        <w:textAlignment w:val="auto"/>
        <w:rPr>
          <w:rFonts w:ascii="仿宋_GB2312" w:eastAsia="仿宋_GB2312"/>
          <w:color w:val="FF0000"/>
          <w:sz w:val="32"/>
          <w:szCs w:val="32"/>
        </w:rPr>
      </w:pPr>
      <w:r>
        <w:rPr>
          <w:rFonts w:hint="default" w:ascii="Times New Roman" w:hAnsi="Times New Roman" w:eastAsia="仿宋_GB2312" w:cs="Times New Roman"/>
          <w:color w:val="auto"/>
          <w:sz w:val="32"/>
          <w:szCs w:val="32"/>
        </w:rPr>
        <w:t>7.</w:t>
      </w:r>
      <w:r>
        <w:rPr>
          <w:rFonts w:hint="eastAsia" w:ascii="Times New Roman" w:hAnsi="Times New Roman" w:eastAsia="仿宋_GB2312" w:cs="Times New Roman"/>
          <w:color w:val="auto"/>
          <w:sz w:val="32"/>
          <w:szCs w:val="32"/>
          <w:lang w:val="en-US" w:eastAsia="zh-CN"/>
        </w:rPr>
        <w:t>没有</w:t>
      </w:r>
      <w:r>
        <w:rPr>
          <w:rFonts w:ascii="仿宋_GB2312" w:eastAsia="仿宋_GB2312"/>
          <w:color w:val="auto"/>
          <w:sz w:val="32"/>
          <w:szCs w:val="32"/>
        </w:rPr>
        <w:t>其他有关文件专门要求通过政府信息公开工作年度报告予以报告的事项。</w:t>
      </w:r>
    </w:p>
    <w:p w14:paraId="1668737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right="0"/>
        <w:textAlignment w:val="auto"/>
        <w:rPr>
          <w:rFonts w:hint="eastAsia" w:ascii="仿宋_GB2312" w:hAnsi="sans-serif" w:eastAsia="仿宋_GB2312" w:cs="仿宋_GB2312"/>
          <w:i w:val="0"/>
          <w:iCs w:val="0"/>
          <w:caps w:val="0"/>
          <w:color w:val="000000"/>
          <w:spacing w:val="0"/>
          <w:sz w:val="31"/>
          <w:szCs w:val="31"/>
          <w:lang w:eastAsia="zh-CN"/>
        </w:rPr>
      </w:pPr>
    </w:p>
    <w:p w14:paraId="441583D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15"/>
        <w:jc w:val="center"/>
        <w:textAlignment w:val="auto"/>
        <w:rPr>
          <w:rFonts w:hint="default" w:ascii="sans-serif" w:hAnsi="sans-serif" w:eastAsia="sans-serif" w:cs="sans-serif"/>
          <w:i w:val="0"/>
          <w:iCs w:val="0"/>
          <w:caps w:val="0"/>
          <w:color w:val="000000"/>
          <w:spacing w:val="0"/>
          <w:sz w:val="24"/>
          <w:szCs w:val="24"/>
        </w:rPr>
      </w:pPr>
      <w:r>
        <w:rPr>
          <w:rFonts w:hint="eastAsia" w:ascii="仿宋_GB2312" w:hAnsi="sans-serif" w:eastAsia="仿宋_GB2312" w:cs="仿宋_GB2312"/>
          <w:i w:val="0"/>
          <w:iCs w:val="0"/>
          <w:caps w:val="0"/>
          <w:color w:val="000000"/>
          <w:spacing w:val="0"/>
          <w:sz w:val="31"/>
          <w:szCs w:val="31"/>
          <w:lang w:val="en-US" w:eastAsia="zh-CN"/>
        </w:rPr>
        <w:t xml:space="preserve">                    </w:t>
      </w:r>
      <w:r>
        <w:rPr>
          <w:rFonts w:hint="eastAsia" w:ascii="仿宋_GB2312" w:hAnsi="sans-serif" w:eastAsia="仿宋_GB2312" w:cs="仿宋_GB2312"/>
          <w:i w:val="0"/>
          <w:iCs w:val="0"/>
          <w:caps w:val="0"/>
          <w:color w:val="000000"/>
          <w:spacing w:val="0"/>
          <w:sz w:val="31"/>
          <w:szCs w:val="31"/>
        </w:rPr>
        <w:t>威海市文登区高村镇人民政府</w:t>
      </w:r>
    </w:p>
    <w:p w14:paraId="1A9CFC9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50" w:lineRule="exact"/>
        <w:ind w:left="0" w:right="0" w:firstLine="615"/>
        <w:jc w:val="center"/>
        <w:textAlignment w:val="auto"/>
        <w:rPr>
          <w:rFonts w:hint="eastAsia"/>
        </w:rPr>
      </w:pPr>
      <w:r>
        <w:rPr>
          <w:rFonts w:hint="eastAsia" w:ascii="仿宋_GB2312" w:hAnsi="sans-serif" w:eastAsia="仿宋_GB2312" w:cs="仿宋_GB2312"/>
          <w:i w:val="0"/>
          <w:iCs w:val="0"/>
          <w:caps w:val="0"/>
          <w:color w:val="000000"/>
          <w:spacing w:val="0"/>
          <w:sz w:val="31"/>
          <w:szCs w:val="31"/>
        </w:rPr>
        <w:t>                   </w:t>
      </w:r>
      <w:r>
        <w:rPr>
          <w:rFonts w:hint="eastAsia" w:ascii="仿宋_GB2312" w:hAnsi="sans-serif" w:eastAsia="仿宋_GB2312" w:cs="仿宋_GB2312"/>
          <w:i w:val="0"/>
          <w:iCs w:val="0"/>
          <w:caps w:val="0"/>
          <w:color w:val="000000"/>
          <w:spacing w:val="0"/>
          <w:sz w:val="31"/>
          <w:szCs w:val="31"/>
          <w:lang w:val="en-US" w:eastAsia="zh-CN"/>
        </w:rPr>
        <w:t xml:space="preserve"> </w:t>
      </w:r>
      <w:r>
        <w:rPr>
          <w:rFonts w:hint="eastAsia" w:ascii="仿宋_GB2312" w:hAnsi="sans-serif" w:eastAsia="仿宋_GB2312" w:cs="仿宋_GB2312"/>
          <w:i w:val="0"/>
          <w:iCs w:val="0"/>
          <w:caps w:val="0"/>
          <w:color w:val="000000"/>
          <w:spacing w:val="0"/>
          <w:sz w:val="31"/>
          <w:szCs w:val="31"/>
        </w:rPr>
        <w:t>202</w:t>
      </w:r>
      <w:r>
        <w:rPr>
          <w:rFonts w:hint="eastAsia" w:ascii="仿宋_GB2312" w:hAnsi="sans-serif" w:eastAsia="仿宋_GB2312" w:cs="仿宋_GB2312"/>
          <w:i w:val="0"/>
          <w:iCs w:val="0"/>
          <w:caps w:val="0"/>
          <w:color w:val="000000"/>
          <w:spacing w:val="0"/>
          <w:sz w:val="31"/>
          <w:szCs w:val="31"/>
          <w:lang w:val="en-US" w:eastAsia="zh-CN"/>
        </w:rPr>
        <w:t>2</w:t>
      </w:r>
      <w:r>
        <w:rPr>
          <w:rFonts w:hint="eastAsia" w:ascii="仿宋_GB2312" w:hAnsi="sans-serif" w:eastAsia="仿宋_GB2312" w:cs="仿宋_GB2312"/>
          <w:i w:val="0"/>
          <w:iCs w:val="0"/>
          <w:caps w:val="0"/>
          <w:color w:val="000000"/>
          <w:spacing w:val="0"/>
          <w:sz w:val="31"/>
          <w:szCs w:val="31"/>
        </w:rPr>
        <w:t>年1月</w:t>
      </w:r>
      <w:r>
        <w:rPr>
          <w:rFonts w:hint="eastAsia" w:ascii="仿宋_GB2312" w:hAnsi="sans-serif" w:eastAsia="仿宋_GB2312" w:cs="仿宋_GB2312"/>
          <w:i w:val="0"/>
          <w:iCs w:val="0"/>
          <w:caps w:val="0"/>
          <w:color w:val="000000"/>
          <w:spacing w:val="0"/>
          <w:sz w:val="31"/>
          <w:szCs w:val="31"/>
          <w:lang w:val="en-US" w:eastAsia="zh-CN"/>
        </w:rPr>
        <w:t>28</w:t>
      </w:r>
      <w:r>
        <w:rPr>
          <w:rFonts w:hint="eastAsia" w:ascii="仿宋_GB2312" w:hAnsi="sans-serif" w:eastAsia="仿宋_GB2312" w:cs="仿宋_GB2312"/>
          <w:i w:val="0"/>
          <w:iCs w:val="0"/>
          <w:caps w:val="0"/>
          <w:color w:val="000000"/>
          <w:spacing w:val="0"/>
          <w:sz w:val="31"/>
          <w:szCs w:val="31"/>
        </w:rPr>
        <w:t>日</w:t>
      </w:r>
    </w:p>
    <w:sectPr>
      <w:pgSz w:w="11906" w:h="16838"/>
      <w:pgMar w:top="2211"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6D33CE"/>
    <w:rsid w:val="028B5457"/>
    <w:rsid w:val="1A236CC5"/>
    <w:rsid w:val="23774F30"/>
    <w:rsid w:val="296E61B4"/>
    <w:rsid w:val="2DF53172"/>
    <w:rsid w:val="31AF5206"/>
    <w:rsid w:val="32250CEB"/>
    <w:rsid w:val="384360C2"/>
    <w:rsid w:val="42562A1B"/>
    <w:rsid w:val="4DCD2C1E"/>
    <w:rsid w:val="4E762439"/>
    <w:rsid w:val="501409BE"/>
    <w:rsid w:val="50474892"/>
    <w:rsid w:val="522B3163"/>
    <w:rsid w:val="57824750"/>
    <w:rsid w:val="5C722F9A"/>
    <w:rsid w:val="5F2E3552"/>
    <w:rsid w:val="6A1D0DC2"/>
    <w:rsid w:val="7A6D33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600">
                <a:latin typeface="黑体" panose="02010609060101010101" charset="-122"/>
                <a:ea typeface="黑体" panose="02010609060101010101" charset="-122"/>
              </a:rPr>
              <a:t>主动公开政府信息情况</a:t>
            </a:r>
            <a:endParaRPr sz="1600">
              <a:latin typeface="黑体" panose="02010609060101010101" charset="-122"/>
              <a:ea typeface="黑体" panose="02010609060101010101" charset="-122"/>
            </a:endParaRPr>
          </a:p>
        </c:rich>
      </c:tx>
      <c:layout/>
      <c:overlay val="0"/>
      <c:spPr>
        <a:noFill/>
        <a:ln>
          <a:noFill/>
        </a:ln>
        <a:effectLst/>
      </c:spPr>
    </c:title>
    <c:autoTitleDeleted val="0"/>
    <c:plotArea>
      <c:layout/>
      <c:barChart>
        <c:barDir val="bar"/>
        <c:grouping val="clustered"/>
        <c:varyColors val="0"/>
        <c:ser>
          <c:idx val="0"/>
          <c:order val="0"/>
          <c:tx>
            <c:strRef>
              <c:f>Sheet1!$B$1</c:f>
              <c:strCache>
                <c:ptCount val="1"/>
                <c:pt idx="0">
                  <c:v>2020</c:v>
                </c:pt>
              </c:strCache>
            </c:strRef>
          </c:tx>
          <c:spPr>
            <a:solidFill>
              <a:schemeClr val="accent1"/>
            </a:solidFill>
            <a:ln>
              <a:noFill/>
            </a:ln>
            <a:effectLst/>
          </c:spPr>
          <c:invertIfNegative val="0"/>
          <c:dLbls>
            <c:delete val="1"/>
          </c:dLbls>
          <c:cat>
            <c:strRef>
              <c:f>Sheet1!$A$2:$A$3</c:f>
              <c:strCache>
                <c:ptCount val="2"/>
                <c:pt idx="0">
                  <c:v>公众号</c:v>
                </c:pt>
                <c:pt idx="1">
                  <c:v>政府网站</c:v>
                </c:pt>
              </c:strCache>
            </c:strRef>
          </c:cat>
          <c:val>
            <c:numRef>
              <c:f>Sheet1!$B$2:$B$3</c:f>
              <c:numCache>
                <c:formatCode>General</c:formatCode>
                <c:ptCount val="2"/>
                <c:pt idx="0">
                  <c:v>197</c:v>
                </c:pt>
                <c:pt idx="1">
                  <c:v>38</c:v>
                </c:pt>
              </c:numCache>
            </c:numRef>
          </c:val>
        </c:ser>
        <c:ser>
          <c:idx val="1"/>
          <c:order val="1"/>
          <c:tx>
            <c:strRef>
              <c:f>Sheet1!$C$1</c:f>
              <c:strCache>
                <c:ptCount val="1"/>
                <c:pt idx="0">
                  <c:v>2021</c:v>
                </c:pt>
              </c:strCache>
            </c:strRef>
          </c:tx>
          <c:spPr>
            <a:solidFill>
              <a:schemeClr val="accent2"/>
            </a:solidFill>
            <a:ln>
              <a:noFill/>
            </a:ln>
            <a:effectLst/>
          </c:spPr>
          <c:invertIfNegative val="0"/>
          <c:dLbls>
            <c:delete val="1"/>
          </c:dLbls>
          <c:cat>
            <c:strRef>
              <c:f>Sheet1!$A$2:$A$3</c:f>
              <c:strCache>
                <c:ptCount val="2"/>
                <c:pt idx="0">
                  <c:v>公众号</c:v>
                </c:pt>
                <c:pt idx="1">
                  <c:v>政府网站</c:v>
                </c:pt>
              </c:strCache>
            </c:strRef>
          </c:cat>
          <c:val>
            <c:numRef>
              <c:f>Sheet1!$C$2:$C$3</c:f>
              <c:numCache>
                <c:formatCode>General</c:formatCode>
                <c:ptCount val="2"/>
                <c:pt idx="0">
                  <c:v>168</c:v>
                </c:pt>
                <c:pt idx="1">
                  <c:v>34</c:v>
                </c:pt>
              </c:numCache>
            </c:numRef>
          </c:val>
        </c:ser>
        <c:dLbls>
          <c:showLegendKey val="0"/>
          <c:showVal val="0"/>
          <c:showCatName val="0"/>
          <c:showSerName val="0"/>
          <c:showPercent val="0"/>
          <c:showBubbleSize val="0"/>
        </c:dLbls>
        <c:gapWidth val="182"/>
        <c:overlap val="0"/>
        <c:axId val="783693935"/>
        <c:axId val="249080911"/>
      </c:barChart>
      <c:catAx>
        <c:axId val="783693935"/>
        <c:scaling>
          <c:orientation val="minMax"/>
        </c:scaling>
        <c:delete val="0"/>
        <c:axPos val="l"/>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9080911"/>
        <c:crosses val="autoZero"/>
        <c:auto val="1"/>
        <c:lblAlgn val="ctr"/>
        <c:lblOffset val="100"/>
        <c:noMultiLvlLbl val="0"/>
      </c:catAx>
      <c:valAx>
        <c:axId val="249080911"/>
        <c:scaling>
          <c:orientation val="minMax"/>
          <c:max val="250"/>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369393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2b3363a-3fab-4c33-bef3-5799986d507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2182</Words>
  <Characters>2271</Characters>
  <Lines>0</Lines>
  <Paragraphs>0</Paragraphs>
  <TotalTime>11</TotalTime>
  <ScaleCrop>false</ScaleCrop>
  <LinksUpToDate>false</LinksUpToDate>
  <CharactersWithSpaces>2276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2021-05-13T05:41:00Z</dcterms:created>
  <dc:creator>Y</dc:creator>
  <cp:lastModifiedBy>sunny</cp:lastModifiedBy>
  <cp:lastPrinted>2025-04-02T08:15:52Z</cp:lastPrinted>
  <dcterms:modified xsi:type="dcterms:W3CDTF">2025-04-02T08:26:27Z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B99F302D3126442F833E949BE3601B8E</vt:lpwstr>
  </property>
  <property fmtid="{D5CDD505-2E9C-101B-9397-08002B2CF9AE}" pid="4" name="KSOTemplateDocerSaveRecord">
    <vt:lpwstr>eyJoZGlkIjoiZWNlM2EyMTZlNjM2NzhmMWMyNTE2ODkzMWE3NjA0MDMiLCJ1c2VySWQiOiIyNzI4MDc3MjUifQ==</vt:lpwstr>
  </property>
</Properties>
</file>