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ind w:firstLine="883" w:firstLineChars="200"/>
        <w:jc w:val="center"/>
        <w:rPr>
          <w:rFonts w:hint="eastAsia" w:ascii="方正小标宋简体" w:hAnsi="方正小标宋简体" w:eastAsia="方正小标宋简体" w:cs="方正小标宋简体"/>
          <w:b/>
          <w:bCs/>
          <w:i w:val="0"/>
          <w:caps w:val="0"/>
          <w:color w:val="3D3D3D"/>
          <w:spacing w:val="0"/>
          <w:kern w:val="0"/>
          <w:sz w:val="44"/>
          <w:szCs w:val="44"/>
          <w:shd w:val="clear" w:fill="FFFFFF"/>
          <w:lang w:val="en-US" w:eastAsia="zh-CN" w:bidi="ar"/>
        </w:rPr>
      </w:pPr>
      <w:r>
        <w:rPr>
          <w:rFonts w:hint="eastAsia" w:ascii="方正小标宋简体" w:hAnsi="方正小标宋简体" w:eastAsia="方正小标宋简体" w:cs="方正小标宋简体"/>
          <w:b/>
          <w:bCs/>
          <w:i w:val="0"/>
          <w:caps w:val="0"/>
          <w:color w:val="3D3D3D"/>
          <w:spacing w:val="0"/>
          <w:kern w:val="0"/>
          <w:sz w:val="44"/>
          <w:szCs w:val="44"/>
          <w:shd w:val="clear" w:fill="FFFFFF"/>
          <w:lang w:val="en-US" w:eastAsia="zh-CN" w:bidi="ar"/>
        </w:rPr>
        <w:t>威海市文登区发展和改革局2020年度</w:t>
      </w:r>
    </w:p>
    <w:p>
      <w:pPr>
        <w:spacing w:line="560" w:lineRule="exact"/>
        <w:ind w:firstLine="883" w:firstLineChars="200"/>
        <w:jc w:val="center"/>
        <w:rPr>
          <w:rFonts w:hint="eastAsia" w:ascii="方正小标宋简体" w:hAnsi="方正小标宋简体" w:eastAsia="方正小标宋简体" w:cs="方正小标宋简体"/>
          <w:b/>
          <w:bCs/>
          <w:i w:val="0"/>
          <w:caps w:val="0"/>
          <w:color w:val="3D3D3D"/>
          <w:spacing w:val="0"/>
          <w:kern w:val="0"/>
          <w:sz w:val="44"/>
          <w:szCs w:val="44"/>
          <w:shd w:val="clear" w:fill="FFFFFF"/>
          <w:lang w:val="en-US" w:eastAsia="zh-CN" w:bidi="ar"/>
        </w:rPr>
      </w:pPr>
      <w:r>
        <w:rPr>
          <w:rFonts w:hint="eastAsia" w:ascii="方正小标宋简体" w:hAnsi="方正小标宋简体" w:eastAsia="方正小标宋简体" w:cs="方正小标宋简体"/>
          <w:b/>
          <w:bCs/>
          <w:i w:val="0"/>
          <w:caps w:val="0"/>
          <w:color w:val="3D3D3D"/>
          <w:spacing w:val="0"/>
          <w:kern w:val="0"/>
          <w:sz w:val="44"/>
          <w:szCs w:val="44"/>
          <w:shd w:val="clear" w:fill="FFFFFF"/>
          <w:lang w:val="en-US" w:eastAsia="zh-CN" w:bidi="ar"/>
        </w:rPr>
        <w:t>政府信息公开工作报告</w:t>
      </w:r>
    </w:p>
    <w:p>
      <w:pPr>
        <w:spacing w:line="560" w:lineRule="exact"/>
        <w:ind w:firstLine="640" w:firstLineChars="200"/>
        <w:rPr>
          <w:rFonts w:hint="eastAsia" w:ascii="仿宋_GB2312" w:hAnsi="仿宋_GB2312" w:eastAsia="仿宋_GB2312" w:cs="仿宋_GB2312"/>
          <w:i w:val="0"/>
          <w:caps w:val="0"/>
          <w:color w:val="3D3D3D"/>
          <w:spacing w:val="0"/>
          <w:kern w:val="0"/>
          <w:sz w:val="32"/>
          <w:szCs w:val="32"/>
          <w:shd w:val="clear" w:fill="FFFFFF"/>
          <w:lang w:val="en-US" w:eastAsia="zh-CN" w:bidi="ar"/>
        </w:rPr>
      </w:pPr>
    </w:p>
    <w:p>
      <w:pPr>
        <w:spacing w:line="560" w:lineRule="exact"/>
        <w:ind w:firstLine="640" w:firstLineChars="200"/>
        <w:rPr>
          <w:rFonts w:hint="eastAsia" w:ascii="Times New Roman" w:hAnsi="Times New Roman" w:eastAsia="仿宋_GB2312" w:cs="仿宋_GB2312"/>
          <w:kern w:val="0"/>
          <w:sz w:val="32"/>
          <w:szCs w:val="32"/>
        </w:rPr>
      </w:pPr>
      <w:r>
        <w:rPr>
          <w:rFonts w:hint="eastAsia" w:ascii="Times New Roman" w:hAnsi="Times New Roman" w:eastAsia="仿宋_GB2312" w:cs="仿宋_GB2312"/>
          <w:kern w:val="0"/>
          <w:sz w:val="32"/>
          <w:szCs w:val="32"/>
          <w:lang w:val="en-US" w:eastAsia="zh-CN"/>
        </w:rPr>
        <w:t>根据《中华人民共和国政府信息公开条例》（以下简称《条例》）和《山东省政府信息公开办法》（以下简称《办法》）的规定要求，现公布威海市文登区发展和改革局2020年度政府信息公开工作报告。</w:t>
      </w:r>
    </w:p>
    <w:p>
      <w:pPr>
        <w:spacing w:line="560" w:lineRule="exact"/>
        <w:ind w:firstLine="640" w:firstLineChars="200"/>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本报告由总体情况，主动公开政府信息情况，收到和处理政府信息公开申请情况，政府信息公开行政复议、行政诉讼情况，存在的主要问题及改进措施</w:t>
      </w:r>
      <w:r>
        <w:rPr>
          <w:rFonts w:hint="eastAsia" w:eastAsia="仿宋_GB2312" w:cs="仿宋_GB2312"/>
          <w:kern w:val="0"/>
          <w:sz w:val="32"/>
          <w:szCs w:val="32"/>
          <w:lang w:val="en-US" w:eastAsia="zh-CN"/>
        </w:rPr>
        <w:t>，</w:t>
      </w:r>
      <w:r>
        <w:rPr>
          <w:rFonts w:hint="eastAsia" w:ascii="Times New Roman" w:hAnsi="Times New Roman" w:eastAsia="仿宋_GB2312" w:cs="仿宋_GB2312"/>
          <w:kern w:val="0"/>
          <w:sz w:val="32"/>
          <w:szCs w:val="32"/>
          <w:lang w:val="en-US" w:eastAsia="zh-CN"/>
        </w:rPr>
        <w:t>其他需要报告的事项共</w:t>
      </w:r>
      <w:r>
        <w:rPr>
          <w:rFonts w:hint="eastAsia" w:eastAsia="仿宋_GB2312" w:cs="仿宋_GB2312"/>
          <w:kern w:val="0"/>
          <w:sz w:val="32"/>
          <w:szCs w:val="32"/>
          <w:lang w:val="en-US" w:eastAsia="zh-CN"/>
        </w:rPr>
        <w:t>6</w:t>
      </w:r>
      <w:r>
        <w:rPr>
          <w:rFonts w:hint="eastAsia" w:ascii="Times New Roman" w:hAnsi="Times New Roman" w:eastAsia="仿宋_GB2312" w:cs="仿宋_GB2312"/>
          <w:kern w:val="0"/>
          <w:sz w:val="32"/>
          <w:szCs w:val="32"/>
          <w:lang w:val="en-US" w:eastAsia="zh-CN"/>
        </w:rPr>
        <w:t>部分组成。</w:t>
      </w:r>
    </w:p>
    <w:p>
      <w:pPr>
        <w:spacing w:line="560" w:lineRule="exact"/>
        <w:ind w:firstLine="640" w:firstLineChars="200"/>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本报告中所列数据的统计时限自20</w:t>
      </w:r>
      <w:r>
        <w:rPr>
          <w:rFonts w:hint="eastAsia" w:eastAsia="仿宋_GB2312" w:cs="仿宋_GB2312"/>
          <w:kern w:val="0"/>
          <w:sz w:val="32"/>
          <w:szCs w:val="32"/>
          <w:lang w:val="en-US" w:eastAsia="zh-CN"/>
        </w:rPr>
        <w:t>20</w:t>
      </w:r>
      <w:r>
        <w:rPr>
          <w:rFonts w:hint="eastAsia" w:ascii="Times New Roman" w:hAnsi="Times New Roman" w:eastAsia="仿宋_GB2312" w:cs="仿宋_GB2312"/>
          <w:kern w:val="0"/>
          <w:sz w:val="32"/>
          <w:szCs w:val="32"/>
          <w:lang w:val="en-US" w:eastAsia="zh-CN"/>
        </w:rPr>
        <w:t>年1月1日起至20</w:t>
      </w:r>
      <w:r>
        <w:rPr>
          <w:rFonts w:hint="eastAsia" w:eastAsia="仿宋_GB2312" w:cs="仿宋_GB2312"/>
          <w:kern w:val="0"/>
          <w:sz w:val="32"/>
          <w:szCs w:val="32"/>
          <w:lang w:val="en-US" w:eastAsia="zh-CN"/>
        </w:rPr>
        <w:t>20</w:t>
      </w:r>
      <w:r>
        <w:rPr>
          <w:rFonts w:hint="eastAsia" w:ascii="Times New Roman" w:hAnsi="Times New Roman" w:eastAsia="仿宋_GB2312" w:cs="仿宋_GB2312"/>
          <w:kern w:val="0"/>
          <w:sz w:val="32"/>
          <w:szCs w:val="32"/>
          <w:lang w:val="en-US" w:eastAsia="zh-CN"/>
        </w:rPr>
        <w:t>年12月31日止。</w:t>
      </w:r>
    </w:p>
    <w:p>
      <w:pPr>
        <w:spacing w:line="560" w:lineRule="exact"/>
        <w:ind w:firstLine="640" w:firstLineChars="200"/>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本报告的电子版可在威海市文登区人民政府门户网站（http://www.wendeng.gov.cn）信息公开专栏查阅。如对本报告有疑问，请与威海市文登区发展和改革局办公室联系（地址：威海市文登区世纪大道86号，邮编：264400，电话：0631—8451301）。</w:t>
      </w:r>
    </w:p>
    <w:p>
      <w:pPr>
        <w:spacing w:line="560" w:lineRule="exact"/>
        <w:ind w:firstLine="640" w:firstLineChars="200"/>
        <w:rPr>
          <w:rFonts w:hint="eastAsia" w:ascii="黑体" w:hAnsi="黑体" w:eastAsia="黑体" w:cs="黑体"/>
          <w:kern w:val="0"/>
          <w:sz w:val="32"/>
          <w:szCs w:val="32"/>
        </w:rPr>
      </w:pPr>
      <w:r>
        <w:rPr>
          <w:rFonts w:hint="eastAsia" w:ascii="黑体" w:hAnsi="黑体" w:eastAsia="黑体" w:cs="黑体"/>
          <w:kern w:val="0"/>
          <w:sz w:val="32"/>
          <w:szCs w:val="32"/>
          <w:lang w:eastAsia="zh-CN"/>
        </w:rPr>
        <w:t>一、总体情况</w:t>
      </w:r>
    </w:p>
    <w:p>
      <w:pPr>
        <w:spacing w:line="560" w:lineRule="exact"/>
        <w:ind w:firstLine="640" w:firstLineChars="200"/>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2020年，威海市文登区发展和改革局以党的十九届五中全会精神和习近平新时代中国特色社会主义思想为指导，认真贯彻落实国家、省、市的部署要求，严格按照《条例》和《办法》的规定，推动政务信息公开、透明、规范化取得重大进展。并结合发展改革局工作实际，依托互联网、新闻媒体和微信公众平台等信息公开渠道，逐步完善政府信息公开服务平台，不断提高信息公开工作水平，使我局信息公开工作积极、稳妥、有序推进。</w:t>
      </w:r>
    </w:p>
    <w:p>
      <w:pPr>
        <w:spacing w:line="560" w:lineRule="exact"/>
        <w:ind w:firstLine="640" w:firstLineChars="200"/>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（一）主动公开情况</w:t>
      </w:r>
    </w:p>
    <w:p>
      <w:pPr>
        <w:spacing w:line="560" w:lineRule="exact"/>
        <w:ind w:firstLine="640" w:firstLineChars="200"/>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2020年，文登区发展和改革局共主动公开</w:t>
      </w:r>
      <w:r>
        <w:rPr>
          <w:rFonts w:hint="default" w:ascii="Times New Roman" w:hAnsi="Times New Roman" w:eastAsia="仿宋_GB2312" w:cs="仿宋_GB2312"/>
          <w:kern w:val="0"/>
          <w:sz w:val="32"/>
          <w:szCs w:val="32"/>
          <w:lang w:val="en-US" w:eastAsia="zh-CN"/>
        </w:rPr>
        <w:t>各类法律法规、业务工作、重</w:t>
      </w:r>
      <w:r>
        <w:rPr>
          <w:rFonts w:hint="eastAsia" w:eastAsia="仿宋_GB2312" w:cs="仿宋_GB2312"/>
          <w:kern w:val="0"/>
          <w:sz w:val="32"/>
          <w:szCs w:val="32"/>
          <w:lang w:val="en-US" w:eastAsia="zh-CN"/>
        </w:rPr>
        <w:t>点领域</w:t>
      </w:r>
      <w:r>
        <w:rPr>
          <w:rFonts w:hint="default" w:ascii="Times New Roman" w:hAnsi="Times New Roman" w:eastAsia="仿宋_GB2312" w:cs="仿宋_GB2312"/>
          <w:kern w:val="0"/>
          <w:sz w:val="32"/>
          <w:szCs w:val="32"/>
          <w:lang w:val="en-US" w:eastAsia="zh-CN"/>
        </w:rPr>
        <w:t>信息等</w:t>
      </w:r>
      <w:r>
        <w:rPr>
          <w:rFonts w:hint="eastAsia" w:ascii="Times New Roman" w:hAnsi="Times New Roman" w:eastAsia="仿宋_GB2312" w:cs="仿宋_GB2312"/>
          <w:kern w:val="0"/>
          <w:sz w:val="32"/>
          <w:szCs w:val="32"/>
          <w:lang w:val="en-US" w:eastAsia="zh-CN"/>
        </w:rPr>
        <w:t>政府服务信息1</w:t>
      </w:r>
      <w:r>
        <w:rPr>
          <w:rFonts w:hint="eastAsia" w:eastAsia="仿宋_GB2312" w:cs="仿宋_GB2312"/>
          <w:kern w:val="0"/>
          <w:sz w:val="32"/>
          <w:szCs w:val="32"/>
          <w:lang w:val="en-US" w:eastAsia="zh-CN"/>
        </w:rPr>
        <w:t>21</w:t>
      </w:r>
      <w:r>
        <w:rPr>
          <w:rFonts w:hint="eastAsia" w:ascii="Times New Roman" w:hAnsi="Times New Roman" w:eastAsia="仿宋_GB2312" w:cs="仿宋_GB2312"/>
          <w:kern w:val="0"/>
          <w:sz w:val="32"/>
          <w:szCs w:val="32"/>
          <w:lang w:val="en-US" w:eastAsia="zh-CN"/>
        </w:rPr>
        <w:t>条，其中工作动态33条，公告公示7条，政策文件及解读35条，重点领域信息公开26条</w:t>
      </w:r>
      <w:r>
        <w:rPr>
          <w:rFonts w:hint="eastAsia" w:eastAsia="仿宋_GB2312" w:cs="仿宋_GB2312"/>
          <w:kern w:val="0"/>
          <w:sz w:val="32"/>
          <w:szCs w:val="32"/>
          <w:lang w:val="en-US" w:eastAsia="zh-CN"/>
        </w:rPr>
        <w:t>，其他信息20条</w:t>
      </w:r>
      <w:r>
        <w:rPr>
          <w:rFonts w:hint="eastAsia" w:ascii="Times New Roman" w:hAnsi="Times New Roman" w:eastAsia="仿宋_GB2312" w:cs="仿宋_GB2312"/>
          <w:kern w:val="0"/>
          <w:sz w:val="32"/>
          <w:szCs w:val="32"/>
          <w:lang w:val="en-US" w:eastAsia="zh-CN"/>
        </w:rPr>
        <w:t>。</w:t>
      </w:r>
    </w:p>
    <w:p>
      <w:pPr>
        <w:spacing w:line="240" w:lineRule="auto"/>
        <w:rPr>
          <w:rFonts w:hint="default" w:ascii="Times New Roman" w:hAnsi="Times New Roman" w:eastAsia="仿宋_GB2312" w:cs="仿宋_GB2312"/>
          <w:kern w:val="0"/>
          <w:sz w:val="32"/>
          <w:szCs w:val="32"/>
          <w:lang w:val="en-US" w:eastAsia="zh-CN"/>
        </w:rPr>
      </w:pPr>
      <w:r>
        <w:rPr>
          <w:rFonts w:hint="default" w:ascii="Times New Roman" w:hAnsi="Times New Roman" w:eastAsia="仿宋_GB2312" w:cs="仿宋_GB2312"/>
          <w:kern w:val="0"/>
          <w:sz w:val="32"/>
          <w:szCs w:val="32"/>
          <w:lang w:val="en-US" w:eastAsia="zh-CN"/>
        </w:rPr>
        <w:drawing>
          <wp:inline distT="0" distB="0" distL="114300" distR="114300">
            <wp:extent cx="5607685" cy="4450715"/>
            <wp:effectExtent l="0" t="0" r="12065" b="6985"/>
            <wp:docPr id="6" name="图片 6" descr="主页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主页面"/>
                    <pic:cNvPicPr>
                      <a:picLocks noChangeAspect="1"/>
                    </pic:cNvPicPr>
                  </pic:nvPicPr>
                  <pic:blipFill>
                    <a:blip r:embed="rId4"/>
                    <a:stretch>
                      <a:fillRect/>
                    </a:stretch>
                  </pic:blipFill>
                  <pic:spPr>
                    <a:xfrm>
                      <a:off x="0" y="0"/>
                      <a:ext cx="5607685" cy="4450715"/>
                    </a:xfrm>
                    <a:prstGeom prst="rect">
                      <a:avLst/>
                    </a:prstGeom>
                  </pic:spPr>
                </pic:pic>
              </a:graphicData>
            </a:graphic>
          </wp:inline>
        </w:drawing>
      </w:r>
    </w:p>
    <w:p>
      <w:pPr>
        <w:spacing w:line="560" w:lineRule="exact"/>
        <w:ind w:firstLine="640" w:firstLineChars="200"/>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（二）依申请公开情况</w:t>
      </w:r>
    </w:p>
    <w:p>
      <w:pPr>
        <w:spacing w:line="560" w:lineRule="exact"/>
        <w:ind w:firstLine="640" w:firstLineChars="200"/>
        <w:rPr>
          <w:rFonts w:hint="default"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2020年度，我局共受理政府信息公开申请4条，已全部办结。</w:t>
      </w:r>
    </w:p>
    <w:p>
      <w:pPr>
        <w:spacing w:line="560" w:lineRule="exact"/>
        <w:ind w:firstLine="640" w:firstLineChars="200"/>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（三）政府信息管理情况</w:t>
      </w:r>
    </w:p>
    <w:p>
      <w:pPr>
        <w:spacing w:line="560" w:lineRule="exact"/>
        <w:ind w:firstLine="640" w:firstLineChars="200"/>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我局持续抓好平台维护、日常管理等方面工作。配备两名工作人员负责维护平台运行，严格规范工作流程，认真落实各项工作部署，全面推进行政决策、执行、管理、服务、结果公开。建立健全信息公开审核保密制度，做到公开信息不涉密，涉密信息不公开。</w:t>
      </w:r>
    </w:p>
    <w:p>
      <w:pPr>
        <w:spacing w:line="560" w:lineRule="exact"/>
        <w:ind w:firstLine="640" w:firstLineChars="200"/>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（四）平台建设情况</w:t>
      </w:r>
    </w:p>
    <w:p>
      <w:pPr>
        <w:spacing w:line="560" w:lineRule="exact"/>
        <w:ind w:firstLine="640" w:firstLineChars="200"/>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我局依托</w:t>
      </w:r>
      <w:r>
        <w:rPr>
          <w:rFonts w:hint="default" w:ascii="Times New Roman" w:hAnsi="Times New Roman" w:eastAsia="仿宋_GB2312" w:cs="仿宋_GB2312"/>
          <w:kern w:val="0"/>
          <w:sz w:val="32"/>
          <w:szCs w:val="32"/>
          <w:lang w:val="en-US" w:eastAsia="zh-CN"/>
        </w:rPr>
        <w:t>威海市文登区人民政府门户网站，</w:t>
      </w:r>
      <w:r>
        <w:rPr>
          <w:rFonts w:hint="eastAsia" w:ascii="Times New Roman" w:hAnsi="Times New Roman" w:eastAsia="仿宋_GB2312" w:cs="仿宋_GB2312"/>
          <w:kern w:val="0"/>
          <w:sz w:val="32"/>
          <w:szCs w:val="32"/>
          <w:lang w:val="en-US" w:eastAsia="zh-CN"/>
        </w:rPr>
        <w:t>优化电视、报纸等传统媒体与微信等新兴媒体相结合的方式，构建了较为完善的信息发布与政府信息公开一体的服务平台体系，全年通过</w:t>
      </w:r>
      <w:r>
        <w:rPr>
          <w:rFonts w:hint="eastAsia" w:eastAsia="仿宋_GB2312" w:cs="仿宋_GB2312"/>
          <w:kern w:val="0"/>
          <w:sz w:val="32"/>
          <w:szCs w:val="32"/>
          <w:lang w:val="en-US" w:eastAsia="zh-CN"/>
        </w:rPr>
        <w:t>“文登区发展和改革局”</w:t>
      </w:r>
      <w:r>
        <w:rPr>
          <w:rFonts w:hint="eastAsia" w:ascii="Times New Roman" w:hAnsi="Times New Roman" w:eastAsia="仿宋_GB2312" w:cs="仿宋_GB2312"/>
          <w:kern w:val="0"/>
          <w:sz w:val="32"/>
          <w:szCs w:val="32"/>
          <w:lang w:val="en-US" w:eastAsia="zh-CN"/>
        </w:rPr>
        <w:t>微信公众号</w:t>
      </w:r>
      <w:r>
        <w:rPr>
          <w:rFonts w:hint="eastAsia" w:eastAsia="仿宋_GB2312" w:cs="仿宋_GB2312"/>
          <w:kern w:val="0"/>
          <w:sz w:val="32"/>
          <w:szCs w:val="32"/>
          <w:lang w:val="en-US" w:eastAsia="zh-CN"/>
        </w:rPr>
        <w:t>，</w:t>
      </w:r>
      <w:r>
        <w:rPr>
          <w:rFonts w:hint="eastAsia" w:ascii="Times New Roman" w:hAnsi="Times New Roman" w:eastAsia="仿宋_GB2312" w:cs="仿宋_GB2312"/>
          <w:kern w:val="0"/>
          <w:sz w:val="32"/>
          <w:szCs w:val="32"/>
          <w:lang w:val="en-US" w:eastAsia="zh-CN"/>
        </w:rPr>
        <w:t>共发布信息55条，进一步提高了信息公开的透明度和公信力。</w:t>
      </w:r>
    </w:p>
    <w:p>
      <w:pPr>
        <w:spacing w:line="240" w:lineRule="auto"/>
        <w:ind w:firstLine="640" w:firstLineChars="200"/>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drawing>
          <wp:inline distT="0" distB="0" distL="114300" distR="114300">
            <wp:extent cx="5168900" cy="2654300"/>
            <wp:effectExtent l="0" t="0" r="12700" b="12700"/>
            <wp:docPr id="5" name="图片 5" descr="新闻发布会"/>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新闻发布会"/>
                    <pic:cNvPicPr>
                      <a:picLocks noChangeAspect="1"/>
                    </pic:cNvPicPr>
                  </pic:nvPicPr>
                  <pic:blipFill>
                    <a:blip r:embed="rId5"/>
                    <a:stretch>
                      <a:fillRect/>
                    </a:stretch>
                  </pic:blipFill>
                  <pic:spPr>
                    <a:xfrm>
                      <a:off x="0" y="0"/>
                      <a:ext cx="5168900" cy="2654300"/>
                    </a:xfrm>
                    <a:prstGeom prst="rect">
                      <a:avLst/>
                    </a:prstGeom>
                  </pic:spPr>
                </pic:pic>
              </a:graphicData>
            </a:graphic>
          </wp:inline>
        </w:drawing>
      </w:r>
    </w:p>
    <w:p>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240" w:lineRule="auto"/>
        <w:ind w:firstLine="640" w:firstLineChars="200"/>
        <w:textAlignment w:val="auto"/>
        <w:rPr>
          <w:rFonts w:hint="eastAsia" w:ascii="楷体_GB2312" w:hAnsi="楷体_GB2312" w:eastAsia="楷体_GB2312" w:cs="楷体_GB2312"/>
          <w:b w:val="0"/>
          <w:bCs w:val="0"/>
          <w:color w:val="333333"/>
          <w:kern w:val="0"/>
          <w:sz w:val="32"/>
          <w:szCs w:val="32"/>
          <w:lang w:eastAsia="zh-CN"/>
        </w:rPr>
      </w:pPr>
      <w:r>
        <w:rPr>
          <w:rFonts w:hint="eastAsia" w:ascii="楷体_GB2312" w:hAnsi="楷体_GB2312" w:eastAsia="楷体_GB2312" w:cs="楷体_GB2312"/>
          <w:b w:val="0"/>
          <w:bCs w:val="0"/>
          <w:color w:val="333333"/>
          <w:kern w:val="0"/>
          <w:sz w:val="32"/>
          <w:szCs w:val="32"/>
          <w:lang w:eastAsia="zh-CN"/>
        </w:rPr>
        <w:drawing>
          <wp:inline distT="0" distB="0" distL="114300" distR="114300">
            <wp:extent cx="5613400" cy="4839970"/>
            <wp:effectExtent l="0" t="0" r="6350" b="17780"/>
            <wp:docPr id="4" name="图片 4" descr="公众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公众号"/>
                    <pic:cNvPicPr>
                      <a:picLocks noChangeAspect="1"/>
                    </pic:cNvPicPr>
                  </pic:nvPicPr>
                  <pic:blipFill>
                    <a:blip r:embed="rId6"/>
                    <a:stretch>
                      <a:fillRect/>
                    </a:stretch>
                  </pic:blipFill>
                  <pic:spPr>
                    <a:xfrm>
                      <a:off x="0" y="0"/>
                      <a:ext cx="5613400" cy="4839970"/>
                    </a:xfrm>
                    <a:prstGeom prst="rect">
                      <a:avLst/>
                    </a:prstGeom>
                  </pic:spPr>
                </pic:pic>
              </a:graphicData>
            </a:graphic>
          </wp:inline>
        </w:drawing>
      </w:r>
    </w:p>
    <w:p>
      <w:pPr>
        <w:spacing w:line="560" w:lineRule="exact"/>
        <w:ind w:firstLine="640" w:firstLineChars="200"/>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（五）监督保障情况</w:t>
      </w:r>
    </w:p>
    <w:p>
      <w:pPr>
        <w:spacing w:line="560" w:lineRule="exact"/>
        <w:ind w:firstLine="640" w:firstLineChars="200"/>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积极落实政府信息公开工作考核制度，将相关考核结果纳入年度考核内容。完善社会评议制度和责任追究制度，欢迎群众对我局政府信息公开工作进行评议监督，保障人民群众的监督权，确保及时补差补缺，完善服务。</w:t>
      </w:r>
    </w:p>
    <w:p>
      <w:pPr>
        <w:spacing w:line="560" w:lineRule="exact"/>
        <w:ind w:firstLine="640" w:firstLineChars="200"/>
        <w:rPr>
          <w:rFonts w:hint="default" w:ascii="黑体" w:hAnsi="黑体" w:eastAsia="黑体" w:cs="黑体"/>
          <w:kern w:val="0"/>
          <w:sz w:val="32"/>
          <w:szCs w:val="32"/>
          <w:lang w:eastAsia="zh-CN"/>
        </w:rPr>
      </w:pPr>
      <w:r>
        <w:rPr>
          <w:rFonts w:hint="eastAsia" w:ascii="黑体" w:hAnsi="黑体" w:eastAsia="黑体" w:cs="黑体"/>
          <w:kern w:val="0"/>
          <w:sz w:val="32"/>
          <w:szCs w:val="32"/>
          <w:lang w:eastAsia="zh-CN"/>
        </w:rPr>
        <w:t>二、</w:t>
      </w:r>
      <w:r>
        <w:rPr>
          <w:rFonts w:hint="default" w:ascii="黑体" w:hAnsi="黑体" w:eastAsia="黑体" w:cs="黑体"/>
          <w:kern w:val="0"/>
          <w:sz w:val="32"/>
          <w:szCs w:val="32"/>
          <w:lang w:eastAsia="zh-CN"/>
        </w:rPr>
        <w:t>主动公开政府信息情况</w:t>
      </w:r>
    </w:p>
    <w:tbl>
      <w:tblPr>
        <w:tblStyle w:val="2"/>
        <w:tblW w:w="8140" w:type="dxa"/>
        <w:jc w:val="center"/>
        <w:tblLayout w:type="fixed"/>
        <w:tblCellMar>
          <w:top w:w="0" w:type="dxa"/>
          <w:left w:w="0" w:type="dxa"/>
          <w:bottom w:w="0" w:type="dxa"/>
          <w:right w:w="0" w:type="dxa"/>
        </w:tblCellMar>
      </w:tblPr>
      <w:tblGrid>
        <w:gridCol w:w="2352"/>
        <w:gridCol w:w="2028"/>
        <w:gridCol w:w="1879"/>
        <w:gridCol w:w="1881"/>
      </w:tblGrid>
      <w:tr>
        <w:tblPrEx>
          <w:tblCellMar>
            <w:top w:w="0" w:type="dxa"/>
            <w:left w:w="0" w:type="dxa"/>
            <w:bottom w:w="0" w:type="dxa"/>
            <w:right w:w="0" w:type="dxa"/>
          </w:tblCellMar>
        </w:tblPrEx>
        <w:trPr>
          <w:trHeight w:val="495" w:hRule="atLeast"/>
          <w:jc w:val="center"/>
        </w:trPr>
        <w:tc>
          <w:tcPr>
            <w:tcW w:w="8140" w:type="dxa"/>
            <w:gridSpan w:val="4"/>
            <w:tcBorders>
              <w:top w:val="single" w:color="auto" w:sz="8" w:space="0"/>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第二十条第（一）项</w:t>
            </w:r>
          </w:p>
        </w:tc>
      </w:tr>
      <w:tr>
        <w:tblPrEx>
          <w:tblCellMar>
            <w:top w:w="0" w:type="dxa"/>
            <w:left w:w="0" w:type="dxa"/>
            <w:bottom w:w="0" w:type="dxa"/>
            <w:right w:w="0" w:type="dxa"/>
          </w:tblCellMar>
        </w:tblPrEx>
        <w:trPr>
          <w:trHeight w:val="882" w:hRule="atLeast"/>
          <w:jc w:val="center"/>
        </w:trPr>
        <w:tc>
          <w:tcPr>
            <w:tcW w:w="2352" w:type="dxa"/>
            <w:tcBorders>
              <w:top w:val="single" w:color="auto" w:sz="8" w:space="0"/>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信息内容</w:t>
            </w:r>
          </w:p>
        </w:tc>
        <w:tc>
          <w:tcPr>
            <w:tcW w:w="2028" w:type="dxa"/>
            <w:tcBorders>
              <w:top w:val="single" w:color="auto" w:sz="8" w:space="0"/>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本年新</w:t>
            </w:r>
            <w:r>
              <w:rPr>
                <w:rFonts w:hint="default" w:ascii="Times New Roman" w:hAnsi="Times New Roman" w:cs="Times New Roman"/>
                <w:kern w:val="0"/>
                <w:sz w:val="20"/>
                <w:szCs w:val="20"/>
              </w:rPr>
              <w:t>制作数量</w:t>
            </w:r>
          </w:p>
        </w:tc>
        <w:tc>
          <w:tcPr>
            <w:tcW w:w="1879"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本年新</w:t>
            </w:r>
            <w:r>
              <w:rPr>
                <w:rFonts w:hint="default" w:ascii="Times New Roman" w:hAnsi="Times New Roman" w:cs="Times New Roman"/>
                <w:kern w:val="0"/>
                <w:sz w:val="20"/>
                <w:szCs w:val="20"/>
              </w:rPr>
              <w:t>公开数量</w:t>
            </w:r>
          </w:p>
        </w:tc>
        <w:tc>
          <w:tcPr>
            <w:tcW w:w="1881" w:type="dxa"/>
            <w:tcBorders>
              <w:top w:val="single" w:color="auto" w:sz="8" w:space="0"/>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对外公开总数量</w:t>
            </w:r>
          </w:p>
        </w:tc>
      </w:tr>
      <w:tr>
        <w:tblPrEx>
          <w:tblCellMar>
            <w:top w:w="0" w:type="dxa"/>
            <w:left w:w="0" w:type="dxa"/>
            <w:bottom w:w="0" w:type="dxa"/>
            <w:right w:w="0" w:type="dxa"/>
          </w:tblCellMar>
        </w:tblPrEx>
        <w:trPr>
          <w:trHeight w:val="523" w:hRule="atLeast"/>
          <w:jc w:val="center"/>
        </w:trPr>
        <w:tc>
          <w:tcPr>
            <w:tcW w:w="2352" w:type="dxa"/>
            <w:tcBorders>
              <w:top w:val="single" w:color="auto" w:sz="8" w:space="0"/>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规章</w:t>
            </w:r>
          </w:p>
        </w:tc>
        <w:tc>
          <w:tcPr>
            <w:tcW w:w="2028" w:type="dxa"/>
            <w:tcBorders>
              <w:top w:val="single" w:color="auto" w:sz="8" w:space="0"/>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0</w:t>
            </w:r>
          </w:p>
        </w:tc>
        <w:tc>
          <w:tcPr>
            <w:tcW w:w="1879"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0</w:t>
            </w:r>
          </w:p>
        </w:tc>
        <w:tc>
          <w:tcPr>
            <w:tcW w:w="1881" w:type="dxa"/>
            <w:tcBorders>
              <w:top w:val="single" w:color="auto" w:sz="8" w:space="0"/>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0</w:t>
            </w:r>
          </w:p>
        </w:tc>
      </w:tr>
      <w:tr>
        <w:tblPrEx>
          <w:tblCellMar>
            <w:top w:w="0" w:type="dxa"/>
            <w:left w:w="0" w:type="dxa"/>
            <w:bottom w:w="0" w:type="dxa"/>
            <w:right w:w="0" w:type="dxa"/>
          </w:tblCellMar>
        </w:tblPrEx>
        <w:trPr>
          <w:trHeight w:val="471" w:hRule="atLeast"/>
          <w:jc w:val="center"/>
        </w:trPr>
        <w:tc>
          <w:tcPr>
            <w:tcW w:w="2352" w:type="dxa"/>
            <w:tcBorders>
              <w:top w:val="single" w:color="auto" w:sz="8" w:space="0"/>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规范性文件</w:t>
            </w:r>
          </w:p>
        </w:tc>
        <w:tc>
          <w:tcPr>
            <w:tcW w:w="2028" w:type="dxa"/>
            <w:tcBorders>
              <w:top w:val="single" w:color="auto" w:sz="8" w:space="0"/>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5</w:t>
            </w:r>
          </w:p>
        </w:tc>
        <w:tc>
          <w:tcPr>
            <w:tcW w:w="1879"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5</w:t>
            </w:r>
          </w:p>
        </w:tc>
        <w:tc>
          <w:tcPr>
            <w:tcW w:w="1881" w:type="dxa"/>
            <w:tcBorders>
              <w:top w:val="single" w:color="auto" w:sz="8" w:space="0"/>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26</w:t>
            </w:r>
            <w:bookmarkStart w:id="0" w:name="_GoBack"/>
            <w:bookmarkEnd w:id="0"/>
          </w:p>
        </w:tc>
      </w:tr>
      <w:tr>
        <w:tblPrEx>
          <w:tblCellMar>
            <w:top w:w="0" w:type="dxa"/>
            <w:left w:w="0" w:type="dxa"/>
            <w:bottom w:w="0" w:type="dxa"/>
            <w:right w:w="0" w:type="dxa"/>
          </w:tblCellMar>
        </w:tblPrEx>
        <w:trPr>
          <w:trHeight w:val="480" w:hRule="atLeast"/>
          <w:jc w:val="center"/>
        </w:trPr>
        <w:tc>
          <w:tcPr>
            <w:tcW w:w="8140" w:type="dxa"/>
            <w:gridSpan w:val="4"/>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第二十条第（五）项</w:t>
            </w:r>
          </w:p>
        </w:tc>
      </w:tr>
      <w:tr>
        <w:tblPrEx>
          <w:tblCellMar>
            <w:top w:w="0" w:type="dxa"/>
            <w:left w:w="0" w:type="dxa"/>
            <w:bottom w:w="0" w:type="dxa"/>
            <w:right w:w="0" w:type="dxa"/>
          </w:tblCellMar>
        </w:tblPrEx>
        <w:trPr>
          <w:trHeight w:val="634" w:hRule="atLeast"/>
          <w:jc w:val="center"/>
        </w:trPr>
        <w:tc>
          <w:tcPr>
            <w:tcW w:w="2352"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highlight w:val="none"/>
              </w:rPr>
            </w:pPr>
            <w:r>
              <w:rPr>
                <w:rFonts w:hint="default" w:ascii="Times New Roman" w:hAnsi="Times New Roman" w:cs="Times New Roman"/>
                <w:color w:val="000000"/>
                <w:kern w:val="0"/>
                <w:sz w:val="20"/>
                <w:szCs w:val="20"/>
                <w:highlight w:val="none"/>
              </w:rPr>
              <w:t>信息内容</w:t>
            </w:r>
          </w:p>
        </w:tc>
        <w:tc>
          <w:tcPr>
            <w:tcW w:w="2028" w:type="dxa"/>
            <w:tcBorders>
              <w:top w:val="single" w:color="auto" w:sz="8" w:space="0"/>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highlight w:val="none"/>
              </w:rPr>
            </w:pPr>
            <w:r>
              <w:rPr>
                <w:rFonts w:hint="default" w:ascii="Times New Roman" w:hAnsi="Times New Roman" w:cs="Times New Roman"/>
                <w:color w:val="000000"/>
                <w:kern w:val="0"/>
                <w:sz w:val="20"/>
                <w:szCs w:val="20"/>
                <w:highlight w:val="none"/>
              </w:rPr>
              <w:t>上一年项目数量</w:t>
            </w:r>
          </w:p>
        </w:tc>
        <w:tc>
          <w:tcPr>
            <w:tcW w:w="1879"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highlight w:val="none"/>
              </w:rPr>
            </w:pPr>
            <w:r>
              <w:rPr>
                <w:rFonts w:hint="default" w:ascii="Times New Roman" w:hAnsi="Times New Roman" w:cs="Times New Roman"/>
                <w:color w:val="000000"/>
                <w:kern w:val="0"/>
                <w:sz w:val="20"/>
                <w:szCs w:val="20"/>
                <w:highlight w:val="none"/>
              </w:rPr>
              <w:t>本年增/减</w:t>
            </w:r>
          </w:p>
        </w:tc>
        <w:tc>
          <w:tcPr>
            <w:tcW w:w="1881"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highlight w:val="none"/>
              </w:rPr>
            </w:pPr>
            <w:r>
              <w:rPr>
                <w:rFonts w:hint="default" w:ascii="Times New Roman" w:hAnsi="Times New Roman" w:cs="Times New Roman"/>
                <w:color w:val="000000"/>
                <w:kern w:val="0"/>
                <w:sz w:val="20"/>
                <w:szCs w:val="20"/>
                <w:highlight w:val="none"/>
              </w:rPr>
              <w:t>处理决定数量</w:t>
            </w:r>
          </w:p>
        </w:tc>
      </w:tr>
      <w:tr>
        <w:tblPrEx>
          <w:tblCellMar>
            <w:top w:w="0" w:type="dxa"/>
            <w:left w:w="0" w:type="dxa"/>
            <w:bottom w:w="0" w:type="dxa"/>
            <w:right w:w="0" w:type="dxa"/>
          </w:tblCellMar>
        </w:tblPrEx>
        <w:trPr>
          <w:trHeight w:val="528" w:hRule="atLeast"/>
          <w:jc w:val="center"/>
        </w:trPr>
        <w:tc>
          <w:tcPr>
            <w:tcW w:w="2352"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cs="Times New Roman"/>
                <w:color w:val="000000"/>
                <w:kern w:val="0"/>
                <w:sz w:val="20"/>
                <w:szCs w:val="20"/>
                <w:highlight w:val="none"/>
              </w:rPr>
              <w:t>行政许可</w:t>
            </w:r>
          </w:p>
        </w:tc>
        <w:tc>
          <w:tcPr>
            <w:tcW w:w="2028"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kern w:val="0"/>
                <w:sz w:val="24"/>
                <w:highlight w:val="none"/>
                <w:lang w:val="en-US" w:eastAsia="zh-CN"/>
              </w:rPr>
            </w:pPr>
            <w:r>
              <w:rPr>
                <w:rFonts w:hint="eastAsia" w:cs="Times New Roman"/>
                <w:color w:val="000000"/>
                <w:kern w:val="0"/>
                <w:sz w:val="20"/>
                <w:szCs w:val="20"/>
                <w:highlight w:val="none"/>
                <w:lang w:val="en-US" w:eastAsia="zh-CN"/>
              </w:rPr>
              <w:t>0</w:t>
            </w:r>
          </w:p>
        </w:tc>
        <w:tc>
          <w:tcPr>
            <w:tcW w:w="1879"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kern w:val="0"/>
                <w:sz w:val="24"/>
                <w:highlight w:val="none"/>
                <w:lang w:val="en-US" w:eastAsia="zh-CN"/>
              </w:rPr>
            </w:pPr>
            <w:r>
              <w:rPr>
                <w:rFonts w:hint="eastAsia" w:cs="Times New Roman"/>
                <w:color w:val="000000"/>
                <w:kern w:val="0"/>
                <w:sz w:val="20"/>
                <w:szCs w:val="20"/>
                <w:highlight w:val="none"/>
                <w:lang w:val="en-US" w:eastAsia="zh-CN"/>
              </w:rPr>
              <w:t>0</w:t>
            </w:r>
          </w:p>
        </w:tc>
        <w:tc>
          <w:tcPr>
            <w:tcW w:w="1881"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kern w:val="0"/>
                <w:sz w:val="24"/>
                <w:highlight w:val="none"/>
                <w:lang w:val="en-US" w:eastAsia="zh-CN"/>
              </w:rPr>
            </w:pPr>
            <w:r>
              <w:rPr>
                <w:rFonts w:hint="eastAsia" w:cs="Times New Roman"/>
                <w:color w:val="000000"/>
                <w:kern w:val="0"/>
                <w:sz w:val="20"/>
                <w:szCs w:val="20"/>
                <w:highlight w:val="none"/>
                <w:lang w:val="en-US" w:eastAsia="zh-CN"/>
              </w:rPr>
              <w:t>0</w:t>
            </w:r>
          </w:p>
        </w:tc>
      </w:tr>
      <w:tr>
        <w:tblPrEx>
          <w:tblCellMar>
            <w:top w:w="0" w:type="dxa"/>
            <w:left w:w="0" w:type="dxa"/>
            <w:bottom w:w="0" w:type="dxa"/>
            <w:right w:w="0" w:type="dxa"/>
          </w:tblCellMar>
        </w:tblPrEx>
        <w:trPr>
          <w:trHeight w:val="550" w:hRule="atLeast"/>
          <w:jc w:val="center"/>
        </w:trPr>
        <w:tc>
          <w:tcPr>
            <w:tcW w:w="2352"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cs="Times New Roman"/>
                <w:color w:val="000000"/>
                <w:kern w:val="0"/>
                <w:sz w:val="20"/>
                <w:szCs w:val="20"/>
                <w:highlight w:val="none"/>
              </w:rPr>
              <w:t>其他对外管理服务事项</w:t>
            </w:r>
          </w:p>
        </w:tc>
        <w:tc>
          <w:tcPr>
            <w:tcW w:w="2028"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kern w:val="0"/>
                <w:sz w:val="24"/>
                <w:highlight w:val="none"/>
                <w:lang w:val="en-US" w:eastAsia="zh-CN"/>
              </w:rPr>
            </w:pPr>
            <w:r>
              <w:rPr>
                <w:rFonts w:hint="eastAsia" w:cs="Times New Roman"/>
                <w:color w:val="000000"/>
                <w:kern w:val="0"/>
                <w:sz w:val="20"/>
                <w:szCs w:val="20"/>
                <w:highlight w:val="none"/>
                <w:lang w:val="en-US" w:eastAsia="zh-CN"/>
              </w:rPr>
              <w:t>5</w:t>
            </w:r>
          </w:p>
        </w:tc>
        <w:tc>
          <w:tcPr>
            <w:tcW w:w="1879"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highlight w:val="none"/>
                <w:lang w:val="en-US" w:eastAsia="zh-CN"/>
              </w:rPr>
            </w:pPr>
            <w:r>
              <w:rPr>
                <w:rFonts w:hint="eastAsia" w:cs="Times New Roman"/>
                <w:color w:val="000000"/>
                <w:kern w:val="0"/>
                <w:sz w:val="20"/>
                <w:szCs w:val="20"/>
                <w:highlight w:val="none"/>
                <w:lang w:val="en-US" w:eastAsia="zh-CN"/>
              </w:rPr>
              <w:t>-5</w:t>
            </w:r>
          </w:p>
        </w:tc>
        <w:tc>
          <w:tcPr>
            <w:tcW w:w="1881"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kern w:val="0"/>
                <w:sz w:val="24"/>
                <w:highlight w:val="none"/>
                <w:lang w:val="en-US" w:eastAsia="zh-CN"/>
              </w:rPr>
            </w:pPr>
            <w:r>
              <w:rPr>
                <w:rFonts w:hint="eastAsia" w:cs="Times New Roman"/>
                <w:color w:val="000000"/>
                <w:kern w:val="0"/>
                <w:sz w:val="20"/>
                <w:szCs w:val="20"/>
                <w:highlight w:val="none"/>
                <w:lang w:val="en-US" w:eastAsia="zh-CN"/>
              </w:rPr>
              <w:t>0</w:t>
            </w:r>
          </w:p>
        </w:tc>
      </w:tr>
      <w:tr>
        <w:tblPrEx>
          <w:tblCellMar>
            <w:top w:w="0" w:type="dxa"/>
            <w:left w:w="0" w:type="dxa"/>
            <w:bottom w:w="0" w:type="dxa"/>
            <w:right w:w="0" w:type="dxa"/>
          </w:tblCellMar>
        </w:tblPrEx>
        <w:trPr>
          <w:trHeight w:val="406" w:hRule="atLeast"/>
          <w:jc w:val="center"/>
        </w:trPr>
        <w:tc>
          <w:tcPr>
            <w:tcW w:w="8140" w:type="dxa"/>
            <w:gridSpan w:val="4"/>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第二十条第（六）项</w:t>
            </w:r>
          </w:p>
        </w:tc>
      </w:tr>
      <w:tr>
        <w:tblPrEx>
          <w:tblCellMar>
            <w:top w:w="0" w:type="dxa"/>
            <w:left w:w="0" w:type="dxa"/>
            <w:bottom w:w="0" w:type="dxa"/>
            <w:right w:w="0" w:type="dxa"/>
          </w:tblCellMar>
        </w:tblPrEx>
        <w:trPr>
          <w:trHeight w:val="634" w:hRule="atLeast"/>
          <w:jc w:val="center"/>
        </w:trPr>
        <w:tc>
          <w:tcPr>
            <w:tcW w:w="2352"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信息内容</w:t>
            </w:r>
          </w:p>
        </w:tc>
        <w:tc>
          <w:tcPr>
            <w:tcW w:w="2028" w:type="dxa"/>
            <w:tcBorders>
              <w:top w:val="single" w:color="auto" w:sz="8" w:space="0"/>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上一年项目数量</w:t>
            </w:r>
          </w:p>
        </w:tc>
        <w:tc>
          <w:tcPr>
            <w:tcW w:w="1879"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本年增/减</w:t>
            </w:r>
          </w:p>
        </w:tc>
        <w:tc>
          <w:tcPr>
            <w:tcW w:w="1881"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处理决定数量</w:t>
            </w:r>
          </w:p>
        </w:tc>
      </w:tr>
      <w:tr>
        <w:tblPrEx>
          <w:tblCellMar>
            <w:top w:w="0" w:type="dxa"/>
            <w:left w:w="0" w:type="dxa"/>
            <w:bottom w:w="0" w:type="dxa"/>
            <w:right w:w="0" w:type="dxa"/>
          </w:tblCellMar>
        </w:tblPrEx>
        <w:trPr>
          <w:trHeight w:val="430" w:hRule="atLeast"/>
          <w:jc w:val="center"/>
        </w:trPr>
        <w:tc>
          <w:tcPr>
            <w:tcW w:w="2352"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行政处罚</w:t>
            </w:r>
          </w:p>
        </w:tc>
        <w:tc>
          <w:tcPr>
            <w:tcW w:w="2028"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0</w:t>
            </w:r>
          </w:p>
        </w:tc>
        <w:tc>
          <w:tcPr>
            <w:tcW w:w="1879"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0</w:t>
            </w:r>
          </w:p>
        </w:tc>
        <w:tc>
          <w:tcPr>
            <w:tcW w:w="1881"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0</w:t>
            </w:r>
          </w:p>
        </w:tc>
      </w:tr>
      <w:tr>
        <w:tblPrEx>
          <w:tblCellMar>
            <w:top w:w="0" w:type="dxa"/>
            <w:left w:w="0" w:type="dxa"/>
            <w:bottom w:w="0" w:type="dxa"/>
            <w:right w:w="0" w:type="dxa"/>
          </w:tblCellMar>
        </w:tblPrEx>
        <w:trPr>
          <w:trHeight w:val="409" w:hRule="atLeast"/>
          <w:jc w:val="center"/>
        </w:trPr>
        <w:tc>
          <w:tcPr>
            <w:tcW w:w="2352"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行政强制</w:t>
            </w:r>
          </w:p>
        </w:tc>
        <w:tc>
          <w:tcPr>
            <w:tcW w:w="2028"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0</w:t>
            </w:r>
          </w:p>
        </w:tc>
        <w:tc>
          <w:tcPr>
            <w:tcW w:w="1879"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0</w:t>
            </w:r>
          </w:p>
        </w:tc>
        <w:tc>
          <w:tcPr>
            <w:tcW w:w="1881"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0</w:t>
            </w:r>
          </w:p>
        </w:tc>
      </w:tr>
      <w:tr>
        <w:tblPrEx>
          <w:tblCellMar>
            <w:top w:w="0" w:type="dxa"/>
            <w:left w:w="0" w:type="dxa"/>
            <w:bottom w:w="0" w:type="dxa"/>
            <w:right w:w="0" w:type="dxa"/>
          </w:tblCellMar>
        </w:tblPrEx>
        <w:trPr>
          <w:trHeight w:val="474" w:hRule="atLeast"/>
          <w:jc w:val="center"/>
        </w:trPr>
        <w:tc>
          <w:tcPr>
            <w:tcW w:w="8140" w:type="dxa"/>
            <w:gridSpan w:val="4"/>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第二十条第（八）项</w:t>
            </w:r>
          </w:p>
        </w:tc>
      </w:tr>
      <w:tr>
        <w:tblPrEx>
          <w:tblCellMar>
            <w:top w:w="0" w:type="dxa"/>
            <w:left w:w="0" w:type="dxa"/>
            <w:bottom w:w="0" w:type="dxa"/>
            <w:right w:w="0" w:type="dxa"/>
          </w:tblCellMar>
        </w:tblPrEx>
        <w:trPr>
          <w:trHeight w:val="270" w:hRule="atLeast"/>
          <w:jc w:val="center"/>
        </w:trPr>
        <w:tc>
          <w:tcPr>
            <w:tcW w:w="2352"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信息内容</w:t>
            </w:r>
          </w:p>
        </w:tc>
        <w:tc>
          <w:tcPr>
            <w:tcW w:w="2028"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上一年项目数量</w:t>
            </w:r>
          </w:p>
        </w:tc>
        <w:tc>
          <w:tcPr>
            <w:tcW w:w="3760" w:type="dxa"/>
            <w:gridSpan w:val="2"/>
            <w:tcBorders>
              <w:top w:val="single" w:color="auto" w:sz="8" w:space="0"/>
              <w:left w:val="nil"/>
              <w:bottom w:val="single" w:color="auto" w:sz="8" w:space="0"/>
              <w:right w:val="single" w:color="000000"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本年增/减</w:t>
            </w:r>
          </w:p>
        </w:tc>
      </w:tr>
      <w:tr>
        <w:tblPrEx>
          <w:tblCellMar>
            <w:top w:w="0" w:type="dxa"/>
            <w:left w:w="0" w:type="dxa"/>
            <w:bottom w:w="0" w:type="dxa"/>
            <w:right w:w="0" w:type="dxa"/>
          </w:tblCellMar>
        </w:tblPrEx>
        <w:trPr>
          <w:trHeight w:val="551" w:hRule="atLeast"/>
          <w:jc w:val="center"/>
        </w:trPr>
        <w:tc>
          <w:tcPr>
            <w:tcW w:w="2352"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行政事业性收费</w:t>
            </w:r>
          </w:p>
        </w:tc>
        <w:tc>
          <w:tcPr>
            <w:tcW w:w="2028"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0</w:t>
            </w:r>
          </w:p>
        </w:tc>
        <w:tc>
          <w:tcPr>
            <w:tcW w:w="3760" w:type="dxa"/>
            <w:gridSpan w:val="2"/>
            <w:tcBorders>
              <w:top w:val="nil"/>
              <w:left w:val="nil"/>
              <w:bottom w:val="single" w:color="auto" w:sz="8" w:space="0"/>
              <w:right w:val="single" w:color="000000"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rPr>
            </w:pPr>
            <w:r>
              <w:rPr>
                <w:rFonts w:hint="eastAsia" w:cs="Times New Roman"/>
                <w:color w:val="000000"/>
                <w:kern w:val="0"/>
                <w:sz w:val="20"/>
                <w:szCs w:val="20"/>
                <w:lang w:val="en-US" w:eastAsia="zh-CN"/>
              </w:rPr>
              <w:t>0</w:t>
            </w:r>
          </w:p>
        </w:tc>
      </w:tr>
      <w:tr>
        <w:tblPrEx>
          <w:tblCellMar>
            <w:top w:w="0" w:type="dxa"/>
            <w:left w:w="0" w:type="dxa"/>
            <w:bottom w:w="0" w:type="dxa"/>
            <w:right w:w="0" w:type="dxa"/>
          </w:tblCellMar>
        </w:tblPrEx>
        <w:trPr>
          <w:trHeight w:val="476" w:hRule="atLeast"/>
          <w:jc w:val="center"/>
        </w:trPr>
        <w:tc>
          <w:tcPr>
            <w:tcW w:w="8140" w:type="dxa"/>
            <w:gridSpan w:val="4"/>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第二十条第（九）项</w:t>
            </w:r>
          </w:p>
        </w:tc>
      </w:tr>
      <w:tr>
        <w:tblPrEx>
          <w:tblCellMar>
            <w:top w:w="0" w:type="dxa"/>
            <w:left w:w="0" w:type="dxa"/>
            <w:bottom w:w="0" w:type="dxa"/>
            <w:right w:w="0" w:type="dxa"/>
          </w:tblCellMar>
        </w:tblPrEx>
        <w:trPr>
          <w:trHeight w:val="585" w:hRule="atLeast"/>
          <w:jc w:val="center"/>
        </w:trPr>
        <w:tc>
          <w:tcPr>
            <w:tcW w:w="2352"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信息内容</w:t>
            </w:r>
          </w:p>
        </w:tc>
        <w:tc>
          <w:tcPr>
            <w:tcW w:w="2028"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采购项目数量</w:t>
            </w:r>
          </w:p>
        </w:tc>
        <w:tc>
          <w:tcPr>
            <w:tcW w:w="3760" w:type="dxa"/>
            <w:gridSpan w:val="2"/>
            <w:tcBorders>
              <w:top w:val="single" w:color="auto" w:sz="8" w:space="0"/>
              <w:left w:val="nil"/>
              <w:bottom w:val="single" w:color="auto" w:sz="8" w:space="0"/>
              <w:right w:val="single" w:color="000000"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采购总金额</w:t>
            </w:r>
          </w:p>
        </w:tc>
      </w:tr>
      <w:tr>
        <w:tblPrEx>
          <w:tblCellMar>
            <w:top w:w="0" w:type="dxa"/>
            <w:left w:w="0" w:type="dxa"/>
            <w:bottom w:w="0" w:type="dxa"/>
            <w:right w:w="0" w:type="dxa"/>
          </w:tblCellMar>
        </w:tblPrEx>
        <w:trPr>
          <w:trHeight w:val="539" w:hRule="atLeast"/>
          <w:jc w:val="center"/>
        </w:trPr>
        <w:tc>
          <w:tcPr>
            <w:tcW w:w="2352"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rPr>
            </w:pPr>
            <w:r>
              <w:rPr>
                <w:rFonts w:hint="default" w:ascii="Times New Roman" w:hAnsi="Times New Roman" w:cs="Times New Roman"/>
                <w:color w:val="000000"/>
                <w:kern w:val="0"/>
                <w:sz w:val="20"/>
                <w:szCs w:val="20"/>
              </w:rPr>
              <w:t>政府集中采购</w:t>
            </w:r>
          </w:p>
        </w:tc>
        <w:tc>
          <w:tcPr>
            <w:tcW w:w="2028"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0</w:t>
            </w:r>
          </w:p>
        </w:tc>
        <w:tc>
          <w:tcPr>
            <w:tcW w:w="3760" w:type="dxa"/>
            <w:gridSpan w:val="2"/>
            <w:tcBorders>
              <w:top w:val="nil"/>
              <w:left w:val="nil"/>
              <w:bottom w:val="single" w:color="auto" w:sz="8" w:space="0"/>
              <w:right w:val="single" w:color="000000"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kern w:val="0"/>
                <w:sz w:val="24"/>
                <w:lang w:val="en-US" w:eastAsia="zh-CN"/>
              </w:rPr>
            </w:pPr>
            <w:r>
              <w:rPr>
                <w:rFonts w:hint="eastAsia" w:cs="Times New Roman"/>
                <w:kern w:val="0"/>
                <w:sz w:val="24"/>
                <w:lang w:val="en-US" w:eastAsia="zh-CN"/>
              </w:rPr>
              <w:t>0</w:t>
            </w:r>
          </w:p>
        </w:tc>
      </w:tr>
    </w:tbl>
    <w:p>
      <w:pPr>
        <w:spacing w:line="560" w:lineRule="exact"/>
        <w:ind w:firstLine="640" w:firstLineChars="200"/>
        <w:rPr>
          <w:rFonts w:hint="default" w:ascii="黑体" w:hAnsi="黑体" w:eastAsia="黑体" w:cs="黑体"/>
          <w:kern w:val="0"/>
          <w:sz w:val="32"/>
          <w:szCs w:val="32"/>
          <w:lang w:eastAsia="zh-CN"/>
        </w:rPr>
      </w:pPr>
      <w:r>
        <w:rPr>
          <w:rFonts w:hint="eastAsia" w:ascii="黑体" w:hAnsi="黑体" w:eastAsia="黑体" w:cs="黑体"/>
          <w:kern w:val="0"/>
          <w:sz w:val="32"/>
          <w:szCs w:val="32"/>
          <w:lang w:eastAsia="zh-CN"/>
        </w:rPr>
        <w:t>三、</w:t>
      </w:r>
      <w:r>
        <w:rPr>
          <w:rFonts w:hint="default" w:ascii="黑体" w:hAnsi="黑体" w:eastAsia="黑体" w:cs="黑体"/>
          <w:kern w:val="0"/>
          <w:sz w:val="32"/>
          <w:szCs w:val="32"/>
          <w:lang w:eastAsia="zh-CN"/>
        </w:rPr>
        <w:t>收到和处理政府信息公开申请情况</w:t>
      </w:r>
    </w:p>
    <w:tbl>
      <w:tblPr>
        <w:tblStyle w:val="2"/>
        <w:tblW w:w="9071" w:type="dxa"/>
        <w:jc w:val="center"/>
        <w:tblLayout w:type="autofit"/>
        <w:tblCellMar>
          <w:top w:w="0" w:type="dxa"/>
          <w:left w:w="0" w:type="dxa"/>
          <w:bottom w:w="0" w:type="dxa"/>
          <w:right w:w="0" w:type="dxa"/>
        </w:tblCellMar>
      </w:tblPr>
      <w:tblGrid>
        <w:gridCol w:w="616"/>
        <w:gridCol w:w="854"/>
        <w:gridCol w:w="2084"/>
        <w:gridCol w:w="814"/>
        <w:gridCol w:w="755"/>
        <w:gridCol w:w="755"/>
        <w:gridCol w:w="911"/>
        <w:gridCol w:w="877"/>
        <w:gridCol w:w="711"/>
        <w:gridCol w:w="694"/>
      </w:tblGrid>
      <w:tr>
        <w:tblPrEx>
          <w:tblCellMar>
            <w:top w:w="0" w:type="dxa"/>
            <w:left w:w="0" w:type="dxa"/>
            <w:bottom w:w="0" w:type="dxa"/>
            <w:right w:w="0" w:type="dxa"/>
          </w:tblCellMar>
        </w:tblPrEx>
        <w:trPr>
          <w:jc w:val="center"/>
        </w:trPr>
        <w:tc>
          <w:tcPr>
            <w:tcW w:w="3554" w:type="dxa"/>
            <w:gridSpan w:val="3"/>
            <w:vMerge w:val="restart"/>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highlight w:val="none"/>
              </w:rPr>
            </w:pPr>
            <w:r>
              <w:rPr>
                <w:rFonts w:hint="default" w:ascii="Times New Roman" w:hAnsi="Times New Roman" w:cs="Times New Roman"/>
                <w:kern w:val="0"/>
                <w:sz w:val="20"/>
                <w:szCs w:val="20"/>
                <w:highlight w:val="none"/>
              </w:rPr>
              <w:t>（本列数据的勾稽关系为：第一项加第二项之和，等于第三项加第四项之和）</w:t>
            </w:r>
          </w:p>
        </w:tc>
        <w:tc>
          <w:tcPr>
            <w:tcW w:w="5517" w:type="dxa"/>
            <w:gridSpan w:val="7"/>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highlight w:val="none"/>
              </w:rPr>
            </w:pPr>
            <w:r>
              <w:rPr>
                <w:rFonts w:hint="default" w:ascii="Times New Roman" w:hAnsi="Times New Roman" w:cs="Times New Roman"/>
                <w:kern w:val="0"/>
                <w:sz w:val="20"/>
                <w:szCs w:val="20"/>
                <w:highlight w:val="none"/>
              </w:rPr>
              <w:t>申请人情况</w:t>
            </w:r>
          </w:p>
        </w:tc>
      </w:tr>
      <w:tr>
        <w:tblPrEx>
          <w:tblCellMar>
            <w:top w:w="0" w:type="dxa"/>
            <w:left w:w="0" w:type="dxa"/>
            <w:bottom w:w="0" w:type="dxa"/>
            <w:right w:w="0" w:type="dxa"/>
          </w:tblCellMar>
        </w:tblPrEx>
        <w:trPr>
          <w:jc w:val="center"/>
        </w:trPr>
        <w:tc>
          <w:tcPr>
            <w:tcW w:w="0" w:type="auto"/>
            <w:gridSpan w:val="3"/>
            <w:vMerge w:val="continue"/>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814" w:type="dxa"/>
            <w:vMerge w:val="restar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highlight w:val="none"/>
              </w:rPr>
            </w:pPr>
            <w:r>
              <w:rPr>
                <w:rFonts w:hint="default" w:ascii="Times New Roman" w:hAnsi="Times New Roman" w:cs="Times New Roman"/>
                <w:kern w:val="0"/>
                <w:sz w:val="20"/>
                <w:szCs w:val="20"/>
                <w:highlight w:val="none"/>
              </w:rPr>
              <w:t>自然人</w:t>
            </w:r>
          </w:p>
        </w:tc>
        <w:tc>
          <w:tcPr>
            <w:tcW w:w="4009" w:type="dxa"/>
            <w:gridSpan w:val="5"/>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highlight w:val="none"/>
              </w:rPr>
            </w:pPr>
            <w:r>
              <w:rPr>
                <w:rFonts w:hint="default" w:ascii="Times New Roman" w:hAnsi="Times New Roman" w:cs="Times New Roman"/>
                <w:kern w:val="0"/>
                <w:sz w:val="20"/>
                <w:szCs w:val="20"/>
                <w:highlight w:val="none"/>
              </w:rPr>
              <w:t>法人或其他组织</w:t>
            </w:r>
          </w:p>
        </w:tc>
        <w:tc>
          <w:tcPr>
            <w:tcW w:w="694" w:type="dxa"/>
            <w:vMerge w:val="restart"/>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highlight w:val="none"/>
              </w:rPr>
            </w:pPr>
            <w:r>
              <w:rPr>
                <w:rFonts w:hint="default" w:ascii="Times New Roman" w:hAnsi="Times New Roman" w:cs="Times New Roman"/>
                <w:kern w:val="0"/>
                <w:sz w:val="20"/>
                <w:szCs w:val="20"/>
                <w:highlight w:val="none"/>
              </w:rPr>
              <w:t>总计</w:t>
            </w:r>
          </w:p>
        </w:tc>
      </w:tr>
      <w:tr>
        <w:tblPrEx>
          <w:tblCellMar>
            <w:top w:w="0" w:type="dxa"/>
            <w:left w:w="0" w:type="dxa"/>
            <w:bottom w:w="0" w:type="dxa"/>
            <w:right w:w="0" w:type="dxa"/>
          </w:tblCellMar>
        </w:tblPrEx>
        <w:trPr>
          <w:jc w:val="center"/>
        </w:trPr>
        <w:tc>
          <w:tcPr>
            <w:tcW w:w="0" w:type="auto"/>
            <w:gridSpan w:val="3"/>
            <w:vMerge w:val="continue"/>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0" w:type="auto"/>
            <w:vMerge w:val="continue"/>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755"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highlight w:val="none"/>
              </w:rPr>
            </w:pPr>
            <w:r>
              <w:rPr>
                <w:rFonts w:hint="default" w:ascii="Times New Roman" w:hAnsi="Times New Roman" w:cs="Times New Roman"/>
                <w:kern w:val="0"/>
                <w:sz w:val="20"/>
                <w:szCs w:val="20"/>
                <w:highlight w:val="none"/>
              </w:rPr>
              <w:t>商业企业</w:t>
            </w:r>
          </w:p>
        </w:tc>
        <w:tc>
          <w:tcPr>
            <w:tcW w:w="755"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highlight w:val="none"/>
              </w:rPr>
            </w:pPr>
            <w:r>
              <w:rPr>
                <w:rFonts w:hint="default" w:ascii="Times New Roman" w:hAnsi="Times New Roman" w:cs="Times New Roman"/>
                <w:kern w:val="0"/>
                <w:sz w:val="20"/>
                <w:szCs w:val="20"/>
                <w:highlight w:val="none"/>
              </w:rPr>
              <w:t>科研机构</w:t>
            </w:r>
          </w:p>
        </w:tc>
        <w:tc>
          <w:tcPr>
            <w:tcW w:w="911"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highlight w:val="none"/>
              </w:rPr>
            </w:pPr>
            <w:r>
              <w:rPr>
                <w:rFonts w:hint="default" w:ascii="Times New Roman" w:hAnsi="Times New Roman" w:cs="Times New Roman"/>
                <w:kern w:val="0"/>
                <w:sz w:val="20"/>
                <w:szCs w:val="20"/>
                <w:highlight w:val="none"/>
              </w:rPr>
              <w:t>社会公益组织</w:t>
            </w:r>
          </w:p>
        </w:tc>
        <w:tc>
          <w:tcPr>
            <w:tcW w:w="877"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highlight w:val="none"/>
              </w:rPr>
            </w:pPr>
            <w:r>
              <w:rPr>
                <w:rFonts w:hint="default" w:ascii="Times New Roman" w:hAnsi="Times New Roman" w:cs="Times New Roman"/>
                <w:kern w:val="0"/>
                <w:sz w:val="20"/>
                <w:szCs w:val="20"/>
                <w:highlight w:val="none"/>
              </w:rPr>
              <w:t>法律服务机构</w:t>
            </w:r>
          </w:p>
        </w:tc>
        <w:tc>
          <w:tcPr>
            <w:tcW w:w="711"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highlight w:val="none"/>
              </w:rPr>
            </w:pPr>
            <w:r>
              <w:rPr>
                <w:rFonts w:hint="default" w:ascii="Times New Roman" w:hAnsi="Times New Roman" w:cs="Times New Roman"/>
                <w:kern w:val="0"/>
                <w:sz w:val="20"/>
                <w:szCs w:val="20"/>
                <w:highlight w:val="none"/>
              </w:rPr>
              <w:t>其他</w:t>
            </w:r>
          </w:p>
        </w:tc>
        <w:tc>
          <w:tcPr>
            <w:tcW w:w="0" w:type="auto"/>
            <w:vMerge w:val="continue"/>
            <w:tcBorders>
              <w:top w:val="single" w:color="auto" w:sz="8" w:space="0"/>
              <w:left w:val="nil"/>
              <w:bottom w:val="single" w:color="auto" w:sz="8" w:space="0"/>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r>
      <w:tr>
        <w:trPr>
          <w:jc w:val="center"/>
        </w:trPr>
        <w:tc>
          <w:tcPr>
            <w:tcW w:w="3554" w:type="dxa"/>
            <w:gridSpan w:val="3"/>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cs="Times New Roman"/>
                <w:kern w:val="0"/>
                <w:sz w:val="20"/>
                <w:szCs w:val="20"/>
                <w:highlight w:val="none"/>
              </w:rPr>
              <w:t>一、本年新收政府信息公开申请数量</w:t>
            </w:r>
          </w:p>
        </w:tc>
        <w:tc>
          <w:tcPr>
            <w:tcW w:w="814"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kern w:val="0"/>
                <w:sz w:val="24"/>
                <w:highlight w:val="none"/>
                <w:lang w:val="en-US" w:eastAsia="zh-CN"/>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3</w:t>
            </w:r>
          </w:p>
        </w:tc>
        <w:tc>
          <w:tcPr>
            <w:tcW w:w="755"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kern w:val="0"/>
                <w:sz w:val="24"/>
                <w:highlight w:val="none"/>
                <w:lang w:val="en-US" w:eastAsia="zh-CN"/>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highlight w:val="none"/>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highlight w:val="none"/>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kern w:val="0"/>
                <w:sz w:val="24"/>
                <w:highlight w:val="none"/>
                <w:lang w:val="en-US" w:eastAsia="zh-CN"/>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1</w:t>
            </w:r>
          </w:p>
        </w:tc>
        <w:tc>
          <w:tcPr>
            <w:tcW w:w="711"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highlight w:val="none"/>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kern w:val="0"/>
                <w:sz w:val="24"/>
                <w:highlight w:val="none"/>
                <w:lang w:val="en-US" w:eastAsia="zh-CN"/>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4</w:t>
            </w:r>
          </w:p>
        </w:tc>
      </w:tr>
      <w:tr>
        <w:tblPrEx>
          <w:tblCellMar>
            <w:top w:w="0" w:type="dxa"/>
            <w:left w:w="0" w:type="dxa"/>
            <w:bottom w:w="0" w:type="dxa"/>
            <w:right w:w="0" w:type="dxa"/>
          </w:tblCellMar>
        </w:tblPrEx>
        <w:trPr>
          <w:trHeight w:val="298" w:hRule="atLeast"/>
          <w:jc w:val="center"/>
        </w:trPr>
        <w:tc>
          <w:tcPr>
            <w:tcW w:w="3554" w:type="dxa"/>
            <w:gridSpan w:val="3"/>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cs="Times New Roman"/>
                <w:kern w:val="0"/>
                <w:sz w:val="20"/>
                <w:szCs w:val="20"/>
                <w:highlight w:val="none"/>
              </w:rPr>
              <w:t>二、上年结转政府信息公开申请数量</w:t>
            </w:r>
          </w:p>
        </w:tc>
        <w:tc>
          <w:tcPr>
            <w:tcW w:w="814"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11"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tblPrEx>
          <w:tblCellMar>
            <w:top w:w="0" w:type="dxa"/>
            <w:left w:w="0" w:type="dxa"/>
            <w:bottom w:w="0" w:type="dxa"/>
            <w:right w:w="0" w:type="dxa"/>
          </w:tblCellMar>
        </w:tblPrEx>
        <w:trPr>
          <w:jc w:val="center"/>
        </w:trPr>
        <w:tc>
          <w:tcPr>
            <w:tcW w:w="616" w:type="dxa"/>
            <w:vMerge w:val="restart"/>
            <w:tcBorders>
              <w:top w:val="single" w:color="auto" w:sz="8" w:space="0"/>
              <w:left w:val="single" w:color="auto" w:sz="8" w:space="0"/>
              <w:bottom w:val="nil"/>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kern w:val="0"/>
                <w:sz w:val="24"/>
                <w:highlight w:val="none"/>
              </w:rPr>
            </w:pPr>
            <w:r>
              <w:rPr>
                <w:rFonts w:hint="default" w:ascii="Times New Roman" w:hAnsi="Times New Roman" w:cs="Times New Roman"/>
                <w:kern w:val="0"/>
                <w:sz w:val="20"/>
                <w:szCs w:val="20"/>
                <w:highlight w:val="none"/>
              </w:rPr>
              <w:t>三、本年度办理结果</w:t>
            </w:r>
          </w:p>
        </w:tc>
        <w:tc>
          <w:tcPr>
            <w:tcW w:w="2938"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（一）予以公开</w:t>
            </w:r>
          </w:p>
        </w:tc>
        <w:tc>
          <w:tcPr>
            <w:tcW w:w="81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2</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2</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nil"/>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2938"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（二）部分公开（区分处理的，只计这一情形，不计其他情形）</w:t>
            </w:r>
          </w:p>
        </w:tc>
        <w:tc>
          <w:tcPr>
            <w:tcW w:w="81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nil"/>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854"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（三）不予公开</w:t>
            </w: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1.属于国家秘密</w:t>
            </w:r>
          </w:p>
        </w:tc>
        <w:tc>
          <w:tcPr>
            <w:tcW w:w="81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nil"/>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0" w:type="auto"/>
            <w:vMerge w:val="continue"/>
            <w:tcBorders>
              <w:top w:val="nil"/>
              <w:left w:val="nil"/>
              <w:bottom w:val="single" w:color="auto" w:sz="8" w:space="0"/>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2.其他法律行政法规禁止公开</w:t>
            </w:r>
          </w:p>
        </w:tc>
        <w:tc>
          <w:tcPr>
            <w:tcW w:w="81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trPr>
          <w:jc w:val="center"/>
        </w:trPr>
        <w:tc>
          <w:tcPr>
            <w:tcW w:w="0" w:type="auto"/>
            <w:vMerge w:val="continue"/>
            <w:tcBorders>
              <w:top w:val="nil"/>
              <w:left w:val="single" w:color="auto" w:sz="8" w:space="0"/>
              <w:bottom w:val="nil"/>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0" w:type="auto"/>
            <w:vMerge w:val="continue"/>
            <w:tcBorders>
              <w:top w:val="nil"/>
              <w:left w:val="nil"/>
              <w:bottom w:val="single" w:color="auto" w:sz="8" w:space="0"/>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3.危及“三安全一稳定”</w:t>
            </w:r>
          </w:p>
        </w:tc>
        <w:tc>
          <w:tcPr>
            <w:tcW w:w="81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nil"/>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0" w:type="auto"/>
            <w:vMerge w:val="continue"/>
            <w:tcBorders>
              <w:top w:val="nil"/>
              <w:left w:val="nil"/>
              <w:bottom w:val="single" w:color="auto" w:sz="8" w:space="0"/>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4.保护第三方合法权益</w:t>
            </w:r>
          </w:p>
        </w:tc>
        <w:tc>
          <w:tcPr>
            <w:tcW w:w="81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nil"/>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0" w:type="auto"/>
            <w:vMerge w:val="continue"/>
            <w:tcBorders>
              <w:top w:val="nil"/>
              <w:left w:val="nil"/>
              <w:bottom w:val="single" w:color="auto" w:sz="8" w:space="0"/>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5.属于三类内部事务信息</w:t>
            </w:r>
          </w:p>
        </w:tc>
        <w:tc>
          <w:tcPr>
            <w:tcW w:w="81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nil"/>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0" w:type="auto"/>
            <w:vMerge w:val="continue"/>
            <w:tcBorders>
              <w:top w:val="nil"/>
              <w:left w:val="nil"/>
              <w:bottom w:val="single" w:color="auto" w:sz="8" w:space="0"/>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6.属于四类过程性信息</w:t>
            </w:r>
          </w:p>
        </w:tc>
        <w:tc>
          <w:tcPr>
            <w:tcW w:w="81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nil"/>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0" w:type="auto"/>
            <w:vMerge w:val="continue"/>
            <w:tcBorders>
              <w:top w:val="nil"/>
              <w:left w:val="nil"/>
              <w:bottom w:val="single" w:color="auto" w:sz="8" w:space="0"/>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7.属于行政执法案卷</w:t>
            </w:r>
          </w:p>
        </w:tc>
        <w:tc>
          <w:tcPr>
            <w:tcW w:w="81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nil"/>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0" w:type="auto"/>
            <w:vMerge w:val="continue"/>
            <w:tcBorders>
              <w:top w:val="nil"/>
              <w:left w:val="nil"/>
              <w:bottom w:val="single" w:color="auto" w:sz="8" w:space="0"/>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8.属于行政查询事项</w:t>
            </w:r>
          </w:p>
        </w:tc>
        <w:tc>
          <w:tcPr>
            <w:tcW w:w="81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nil"/>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854" w:type="dxa"/>
            <w:vMerge w:val="restart"/>
            <w:tcBorders>
              <w:top w:val="single" w:color="auto" w:sz="8" w:space="0"/>
              <w:left w:val="single" w:color="auto" w:sz="8" w:space="0"/>
              <w:bottom w:val="nil"/>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（四）无法提供</w:t>
            </w: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1.本机关不掌握相关政府信息</w:t>
            </w:r>
          </w:p>
        </w:tc>
        <w:tc>
          <w:tcPr>
            <w:tcW w:w="81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1</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1</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2</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nil"/>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0" w:type="auto"/>
            <w:vMerge w:val="continue"/>
            <w:tcBorders>
              <w:top w:val="nil"/>
              <w:left w:val="single" w:color="auto" w:sz="8" w:space="0"/>
              <w:bottom w:val="nil"/>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2.没有现成信息需要另行制作</w:t>
            </w:r>
          </w:p>
        </w:tc>
        <w:tc>
          <w:tcPr>
            <w:tcW w:w="81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nil"/>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0" w:type="auto"/>
            <w:vMerge w:val="continue"/>
            <w:tcBorders>
              <w:top w:val="nil"/>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2084"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3.补正后申请内容仍不明确</w:t>
            </w:r>
          </w:p>
        </w:tc>
        <w:tc>
          <w:tcPr>
            <w:tcW w:w="814"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11"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nil"/>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854" w:type="dxa"/>
            <w:vMerge w:val="restart"/>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（五）不予处理</w:t>
            </w:r>
          </w:p>
        </w:tc>
        <w:tc>
          <w:tcPr>
            <w:tcW w:w="2084"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1.信访举报投诉类申请</w:t>
            </w:r>
          </w:p>
        </w:tc>
        <w:tc>
          <w:tcPr>
            <w:tcW w:w="814"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11"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nil"/>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0" w:type="auto"/>
            <w:vMerge w:val="continue"/>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2.重复申请</w:t>
            </w:r>
          </w:p>
        </w:tc>
        <w:tc>
          <w:tcPr>
            <w:tcW w:w="81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nil"/>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0" w:type="auto"/>
            <w:vMerge w:val="continue"/>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3.要求提供公开出版物</w:t>
            </w:r>
          </w:p>
        </w:tc>
        <w:tc>
          <w:tcPr>
            <w:tcW w:w="81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nil"/>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0" w:type="auto"/>
            <w:vMerge w:val="continue"/>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4.无正当理由大量反复申请</w:t>
            </w:r>
          </w:p>
        </w:tc>
        <w:tc>
          <w:tcPr>
            <w:tcW w:w="81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nil"/>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0" w:type="auto"/>
            <w:vMerge w:val="continue"/>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5.要求行政机关确认或重新出具已获取信息</w:t>
            </w:r>
          </w:p>
        </w:tc>
        <w:tc>
          <w:tcPr>
            <w:tcW w:w="81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nil"/>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2938"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（六）其他处理</w:t>
            </w:r>
          </w:p>
        </w:tc>
        <w:tc>
          <w:tcPr>
            <w:tcW w:w="81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trPr>
          <w:jc w:val="center"/>
        </w:trPr>
        <w:tc>
          <w:tcPr>
            <w:tcW w:w="0" w:type="auto"/>
            <w:vMerge w:val="continue"/>
            <w:tcBorders>
              <w:top w:val="nil"/>
              <w:left w:val="single" w:color="auto" w:sz="8" w:space="0"/>
              <w:bottom w:val="nil"/>
              <w:right w:val="single" w:color="auto" w:sz="8" w:space="0"/>
            </w:tcBorders>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p>
        </w:tc>
        <w:tc>
          <w:tcPr>
            <w:tcW w:w="2938"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eastAsia="楷体" w:cs="Times New Roman"/>
                <w:kern w:val="0"/>
                <w:sz w:val="20"/>
                <w:szCs w:val="20"/>
                <w:highlight w:val="none"/>
              </w:rPr>
              <w:t>（七）总计</w:t>
            </w:r>
          </w:p>
        </w:tc>
        <w:tc>
          <w:tcPr>
            <w:tcW w:w="81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3</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1</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4</w:t>
            </w:r>
          </w:p>
        </w:tc>
      </w:tr>
      <w:tr>
        <w:tblPrEx>
          <w:tblCellMar>
            <w:top w:w="0" w:type="dxa"/>
            <w:left w:w="0" w:type="dxa"/>
            <w:bottom w:w="0" w:type="dxa"/>
            <w:right w:w="0" w:type="dxa"/>
          </w:tblCellMar>
        </w:tblPrEx>
        <w:trPr>
          <w:jc w:val="center"/>
        </w:trPr>
        <w:tc>
          <w:tcPr>
            <w:tcW w:w="3554" w:type="dxa"/>
            <w:gridSpan w:val="3"/>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default" w:ascii="Times New Roman" w:hAnsi="Times New Roman" w:cs="Times New Roman"/>
                <w:kern w:val="0"/>
                <w:sz w:val="24"/>
                <w:highlight w:val="none"/>
              </w:rPr>
            </w:pPr>
            <w:r>
              <w:rPr>
                <w:rFonts w:hint="default" w:ascii="Times New Roman" w:hAnsi="Times New Roman" w:cs="Times New Roman"/>
                <w:kern w:val="0"/>
                <w:sz w:val="20"/>
                <w:szCs w:val="20"/>
                <w:highlight w:val="none"/>
              </w:rPr>
              <w:t>四、结转下年度继续办理</w:t>
            </w:r>
          </w:p>
        </w:tc>
        <w:tc>
          <w:tcPr>
            <w:tcW w:w="81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9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77"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9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kern w:val="0"/>
                <w:sz w:val="24"/>
                <w:szCs w:val="24"/>
                <w:highlight w:val="none"/>
                <w:lang w:val="en-US" w:eastAsia="zh-CN" w:bidi="ar-SA"/>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bl>
    <w:p>
      <w:pPr>
        <w:spacing w:line="560" w:lineRule="exact"/>
        <w:ind w:firstLine="640" w:firstLineChars="200"/>
        <w:rPr>
          <w:rFonts w:hint="default" w:ascii="黑体" w:hAnsi="黑体" w:eastAsia="黑体" w:cs="黑体"/>
          <w:kern w:val="0"/>
          <w:sz w:val="32"/>
          <w:szCs w:val="32"/>
          <w:lang w:eastAsia="zh-CN"/>
        </w:rPr>
      </w:pPr>
      <w:r>
        <w:rPr>
          <w:rFonts w:hint="eastAsia" w:ascii="黑体" w:hAnsi="黑体" w:eastAsia="黑体" w:cs="黑体"/>
          <w:kern w:val="0"/>
          <w:sz w:val="32"/>
          <w:szCs w:val="32"/>
          <w:lang w:eastAsia="zh-CN"/>
        </w:rPr>
        <w:t>四、</w:t>
      </w:r>
      <w:r>
        <w:rPr>
          <w:rFonts w:hint="default" w:ascii="黑体" w:hAnsi="黑体" w:eastAsia="黑体" w:cs="黑体"/>
          <w:kern w:val="0"/>
          <w:sz w:val="32"/>
          <w:szCs w:val="32"/>
          <w:lang w:eastAsia="zh-CN"/>
        </w:rPr>
        <w:t>政府信息公开行政复议、行政诉讼情况</w:t>
      </w:r>
    </w:p>
    <w:p>
      <w:pPr>
        <w:spacing w:line="560" w:lineRule="exact"/>
        <w:ind w:firstLine="640" w:firstLineChars="200"/>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2020年度，威海市文登区发展和改革局无申请复议、提起行政诉讼的情况。</w:t>
      </w:r>
    </w:p>
    <w:tbl>
      <w:tblPr>
        <w:tblStyle w:val="2"/>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74" w:type="dxa"/>
            <w:gridSpan w:val="5"/>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hint="eastAsia" w:ascii="仿宋" w:hAnsi="仿宋" w:eastAsia="仿宋"/>
                <w:color w:val="auto"/>
                <w:sz w:val="20"/>
                <w:szCs w:val="20"/>
              </w:rPr>
              <w:t>行政复议</w:t>
            </w:r>
          </w:p>
        </w:tc>
        <w:tc>
          <w:tcPr>
            <w:tcW w:w="5997" w:type="dxa"/>
            <w:gridSpan w:val="10"/>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hint="eastAsia" w:ascii="仿宋" w:hAnsi="仿宋" w:eastAsia="仿宋"/>
                <w:color w:val="auto"/>
                <w:sz w:val="20"/>
                <w:szCs w:val="20"/>
              </w:rPr>
              <w:t>行政诉讼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4" w:type="dxa"/>
            <w:vMerge w:val="restart"/>
            <w:tcBorders>
              <w:top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hint="eastAsia" w:ascii="仿宋" w:hAnsi="仿宋" w:eastAsia="仿宋"/>
                <w:color w:val="auto"/>
                <w:sz w:val="20"/>
                <w:szCs w:val="20"/>
              </w:rPr>
              <w:t>结果维持</w:t>
            </w:r>
          </w:p>
        </w:tc>
        <w:tc>
          <w:tcPr>
            <w:tcW w:w="604" w:type="dxa"/>
            <w:vMerge w:val="restart"/>
            <w:tcBorders>
              <w:top w:val="nil"/>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hint="eastAsia" w:ascii="仿宋" w:hAnsi="仿宋" w:eastAsia="仿宋"/>
                <w:color w:val="auto"/>
                <w:sz w:val="20"/>
                <w:szCs w:val="20"/>
              </w:rPr>
              <w:t>结果纠正</w:t>
            </w:r>
          </w:p>
        </w:tc>
        <w:tc>
          <w:tcPr>
            <w:tcW w:w="604" w:type="dxa"/>
            <w:vMerge w:val="restart"/>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hint="eastAsia" w:ascii="仿宋" w:hAnsi="仿宋" w:eastAsia="仿宋"/>
                <w:color w:val="auto"/>
                <w:sz w:val="20"/>
                <w:szCs w:val="20"/>
              </w:rPr>
              <w:t>其他结果</w:t>
            </w:r>
          </w:p>
        </w:tc>
        <w:tc>
          <w:tcPr>
            <w:tcW w:w="604" w:type="dxa"/>
            <w:vMerge w:val="restart"/>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hint="eastAsia" w:ascii="仿宋" w:hAnsi="仿宋" w:eastAsia="仿宋"/>
                <w:color w:val="auto"/>
                <w:sz w:val="20"/>
                <w:szCs w:val="20"/>
              </w:rPr>
              <w:t>尚未审结</w:t>
            </w:r>
          </w:p>
        </w:tc>
        <w:tc>
          <w:tcPr>
            <w:tcW w:w="658" w:type="dxa"/>
            <w:vMerge w:val="restart"/>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hint="eastAsia" w:ascii="仿宋" w:hAnsi="仿宋" w:eastAsia="仿宋"/>
                <w:color w:val="auto"/>
                <w:sz w:val="20"/>
                <w:szCs w:val="20"/>
              </w:rPr>
              <w:t>总计</w:t>
            </w:r>
          </w:p>
        </w:tc>
        <w:tc>
          <w:tcPr>
            <w:tcW w:w="2970" w:type="dxa"/>
            <w:gridSpan w:val="5"/>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hint="eastAsia" w:ascii="仿宋" w:hAnsi="仿宋" w:eastAsia="仿宋"/>
                <w:color w:val="auto"/>
                <w:sz w:val="20"/>
                <w:szCs w:val="20"/>
              </w:rPr>
              <w:t>未经复议直接起诉</w:t>
            </w:r>
          </w:p>
        </w:tc>
        <w:tc>
          <w:tcPr>
            <w:tcW w:w="3027" w:type="dxa"/>
            <w:gridSpan w:val="5"/>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hint="eastAsia" w:ascii="仿宋" w:hAnsi="仿宋" w:eastAsia="仿宋"/>
                <w:color w:val="auto"/>
                <w:sz w:val="20"/>
                <w:szCs w:val="20"/>
              </w:rPr>
              <w:t>复议后起诉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Borders>
              <w:top w:val="nil"/>
            </w:tcBorders>
            <w:noWrap w:val="0"/>
            <w:vAlign w:val="center"/>
          </w:tcPr>
          <w:p>
            <w:pPr>
              <w:widowControl/>
              <w:rPr>
                <w:rFonts w:ascii="仿宋" w:hAnsi="仿宋" w:eastAsia="仿宋" w:cs="Times New Roman"/>
                <w:color w:val="auto"/>
                <w:sz w:val="24"/>
                <w:szCs w:val="24"/>
              </w:rPr>
            </w:pPr>
          </w:p>
        </w:tc>
        <w:tc>
          <w:tcPr>
            <w:tcW w:w="0" w:type="auto"/>
            <w:vMerge w:val="continue"/>
            <w:tcBorders>
              <w:top w:val="nil"/>
              <w:left w:val="nil"/>
            </w:tcBorders>
            <w:noWrap w:val="0"/>
            <w:vAlign w:val="center"/>
          </w:tcPr>
          <w:p>
            <w:pPr>
              <w:widowControl/>
              <w:rPr>
                <w:rFonts w:ascii="仿宋" w:hAnsi="仿宋" w:eastAsia="仿宋" w:cs="Times New Roman"/>
                <w:color w:val="auto"/>
                <w:sz w:val="24"/>
                <w:szCs w:val="24"/>
              </w:rPr>
            </w:pPr>
          </w:p>
        </w:tc>
        <w:tc>
          <w:tcPr>
            <w:tcW w:w="0" w:type="auto"/>
            <w:vMerge w:val="continue"/>
            <w:tcBorders>
              <w:left w:val="nil"/>
            </w:tcBorders>
            <w:noWrap w:val="0"/>
            <w:vAlign w:val="center"/>
          </w:tcPr>
          <w:p>
            <w:pPr>
              <w:widowControl/>
              <w:rPr>
                <w:rFonts w:ascii="仿宋" w:hAnsi="仿宋" w:eastAsia="仿宋" w:cs="Times New Roman"/>
                <w:color w:val="auto"/>
                <w:sz w:val="24"/>
                <w:szCs w:val="24"/>
              </w:rPr>
            </w:pPr>
          </w:p>
        </w:tc>
        <w:tc>
          <w:tcPr>
            <w:tcW w:w="0" w:type="auto"/>
            <w:vMerge w:val="continue"/>
            <w:tcBorders>
              <w:left w:val="nil"/>
            </w:tcBorders>
            <w:noWrap w:val="0"/>
            <w:vAlign w:val="center"/>
          </w:tcPr>
          <w:p>
            <w:pPr>
              <w:widowControl/>
              <w:rPr>
                <w:rFonts w:ascii="仿宋" w:hAnsi="仿宋" w:eastAsia="仿宋" w:cs="Times New Roman"/>
                <w:color w:val="auto"/>
                <w:sz w:val="24"/>
                <w:szCs w:val="24"/>
              </w:rPr>
            </w:pPr>
          </w:p>
        </w:tc>
        <w:tc>
          <w:tcPr>
            <w:tcW w:w="0" w:type="auto"/>
            <w:vMerge w:val="continue"/>
            <w:tcBorders>
              <w:left w:val="nil"/>
            </w:tcBorders>
            <w:noWrap w:val="0"/>
            <w:vAlign w:val="center"/>
          </w:tcPr>
          <w:p>
            <w:pPr>
              <w:widowControl/>
              <w:rPr>
                <w:rFonts w:ascii="仿宋" w:hAnsi="仿宋" w:eastAsia="仿宋" w:cs="Times New Roman"/>
                <w:color w:val="auto"/>
                <w:sz w:val="24"/>
                <w:szCs w:val="24"/>
              </w:rPr>
            </w:pPr>
          </w:p>
        </w:tc>
        <w:tc>
          <w:tcPr>
            <w:tcW w:w="550"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hint="eastAsia" w:ascii="仿宋" w:hAnsi="仿宋" w:eastAsia="仿宋"/>
                <w:color w:val="auto"/>
                <w:sz w:val="20"/>
                <w:szCs w:val="20"/>
              </w:rPr>
              <w:t>结果维持</w:t>
            </w:r>
          </w:p>
        </w:tc>
        <w:tc>
          <w:tcPr>
            <w:tcW w:w="605"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hint="eastAsia" w:ascii="仿宋" w:hAnsi="仿宋" w:eastAsia="仿宋"/>
                <w:color w:val="auto"/>
                <w:sz w:val="20"/>
                <w:szCs w:val="20"/>
              </w:rPr>
              <w:t>结果纠正</w:t>
            </w:r>
          </w:p>
        </w:tc>
        <w:tc>
          <w:tcPr>
            <w:tcW w:w="605"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hint="eastAsia" w:ascii="仿宋" w:hAnsi="仿宋" w:eastAsia="仿宋"/>
                <w:color w:val="auto"/>
                <w:sz w:val="20"/>
                <w:szCs w:val="20"/>
              </w:rPr>
              <w:t>其他结果</w:t>
            </w:r>
          </w:p>
        </w:tc>
        <w:tc>
          <w:tcPr>
            <w:tcW w:w="605"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hint="eastAsia" w:ascii="仿宋" w:hAnsi="仿宋" w:eastAsia="仿宋"/>
                <w:color w:val="auto"/>
                <w:sz w:val="20"/>
                <w:szCs w:val="20"/>
              </w:rPr>
              <w:t>尚未审结</w:t>
            </w:r>
          </w:p>
        </w:tc>
        <w:tc>
          <w:tcPr>
            <w:tcW w:w="605"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hint="eastAsia" w:ascii="仿宋" w:hAnsi="仿宋" w:eastAsia="仿宋"/>
                <w:color w:val="auto"/>
                <w:sz w:val="20"/>
                <w:szCs w:val="20"/>
              </w:rPr>
              <w:t>总计</w:t>
            </w:r>
          </w:p>
        </w:tc>
        <w:tc>
          <w:tcPr>
            <w:tcW w:w="605"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hint="eastAsia" w:ascii="仿宋" w:hAnsi="仿宋" w:eastAsia="仿宋"/>
                <w:color w:val="auto"/>
                <w:sz w:val="20"/>
                <w:szCs w:val="20"/>
              </w:rPr>
              <w:t>结果维持</w:t>
            </w:r>
          </w:p>
        </w:tc>
        <w:tc>
          <w:tcPr>
            <w:tcW w:w="605"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hint="eastAsia" w:ascii="仿宋" w:hAnsi="仿宋" w:eastAsia="仿宋"/>
                <w:color w:val="auto"/>
                <w:sz w:val="20"/>
                <w:szCs w:val="20"/>
              </w:rPr>
              <w:t>结果纠正</w:t>
            </w:r>
          </w:p>
        </w:tc>
        <w:tc>
          <w:tcPr>
            <w:tcW w:w="605"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hint="eastAsia" w:ascii="仿宋" w:hAnsi="仿宋" w:eastAsia="仿宋"/>
                <w:color w:val="auto"/>
                <w:sz w:val="20"/>
                <w:szCs w:val="20"/>
              </w:rPr>
              <w:t>其他结果</w:t>
            </w:r>
          </w:p>
        </w:tc>
        <w:tc>
          <w:tcPr>
            <w:tcW w:w="606"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hint="eastAsia" w:ascii="仿宋" w:hAnsi="仿宋" w:eastAsia="仿宋"/>
                <w:color w:val="auto"/>
                <w:sz w:val="20"/>
                <w:szCs w:val="20"/>
              </w:rPr>
              <w:t>尚未审结</w:t>
            </w:r>
          </w:p>
        </w:tc>
        <w:tc>
          <w:tcPr>
            <w:tcW w:w="606"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hint="eastAsia" w:ascii="仿宋" w:hAnsi="仿宋" w:eastAsia="仿宋"/>
                <w:color w:val="auto"/>
                <w:sz w:val="20"/>
                <w:szCs w:val="20"/>
              </w:rPr>
              <w:t>总计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4" w:type="dxa"/>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ascii="Calibri" w:hAnsi="Calibri" w:eastAsia="仿宋" w:cs="Calibri"/>
                <w:color w:val="auto"/>
                <w:sz w:val="20"/>
                <w:szCs w:val="20"/>
              </w:rPr>
              <w:t> </w:t>
            </w:r>
            <w:r>
              <w:rPr>
                <w:rFonts w:ascii="仿宋" w:hAnsi="仿宋" w:eastAsia="仿宋" w:cs="Times New Roman"/>
                <w:color w:val="auto"/>
                <w:sz w:val="20"/>
                <w:szCs w:val="20"/>
              </w:rPr>
              <w:t>0</w:t>
            </w:r>
          </w:p>
        </w:tc>
        <w:tc>
          <w:tcPr>
            <w:tcW w:w="604"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ascii="仿宋" w:hAnsi="仿宋" w:eastAsia="仿宋" w:cs="Times New Roman"/>
                <w:color w:val="auto"/>
                <w:sz w:val="20"/>
                <w:szCs w:val="20"/>
              </w:rPr>
              <w:t>0</w:t>
            </w:r>
            <w:r>
              <w:rPr>
                <w:rFonts w:ascii="Calibri" w:hAnsi="Calibri" w:eastAsia="仿宋" w:cs="Calibri"/>
                <w:color w:val="auto"/>
                <w:sz w:val="20"/>
                <w:szCs w:val="20"/>
              </w:rPr>
              <w:t> </w:t>
            </w:r>
          </w:p>
        </w:tc>
        <w:tc>
          <w:tcPr>
            <w:tcW w:w="604"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ascii="仿宋" w:hAnsi="仿宋" w:eastAsia="仿宋" w:cs="Times New Roman"/>
                <w:color w:val="auto"/>
                <w:sz w:val="20"/>
                <w:szCs w:val="20"/>
              </w:rPr>
              <w:t>0</w:t>
            </w:r>
            <w:r>
              <w:rPr>
                <w:rFonts w:ascii="Calibri" w:hAnsi="Calibri" w:eastAsia="仿宋" w:cs="Calibri"/>
                <w:color w:val="auto"/>
                <w:sz w:val="20"/>
                <w:szCs w:val="20"/>
              </w:rPr>
              <w:t> </w:t>
            </w:r>
          </w:p>
        </w:tc>
        <w:tc>
          <w:tcPr>
            <w:tcW w:w="604"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ascii="Calibri" w:hAnsi="Calibri" w:eastAsia="仿宋" w:cs="Calibri"/>
                <w:color w:val="auto"/>
                <w:sz w:val="20"/>
                <w:szCs w:val="20"/>
              </w:rPr>
              <w:t> </w:t>
            </w:r>
            <w:r>
              <w:rPr>
                <w:rFonts w:ascii="仿宋" w:hAnsi="仿宋" w:eastAsia="仿宋" w:cs="Times New Roman"/>
                <w:color w:val="auto"/>
                <w:sz w:val="20"/>
                <w:szCs w:val="20"/>
              </w:rPr>
              <w:t>0</w:t>
            </w:r>
          </w:p>
        </w:tc>
        <w:tc>
          <w:tcPr>
            <w:tcW w:w="658"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ascii="Calibri" w:hAnsi="Calibri" w:eastAsia="仿宋" w:cs="Calibri"/>
                <w:color w:val="auto"/>
                <w:sz w:val="20"/>
                <w:szCs w:val="20"/>
              </w:rPr>
              <w:t> </w:t>
            </w:r>
            <w:r>
              <w:rPr>
                <w:rFonts w:ascii="仿宋" w:hAnsi="仿宋" w:eastAsia="仿宋" w:cs="Times New Roman"/>
                <w:color w:val="auto"/>
                <w:sz w:val="20"/>
                <w:szCs w:val="20"/>
              </w:rPr>
              <w:t>0</w:t>
            </w:r>
          </w:p>
        </w:tc>
        <w:tc>
          <w:tcPr>
            <w:tcW w:w="550"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ascii="Calibri" w:hAnsi="Calibri" w:eastAsia="仿宋" w:cs="Calibri"/>
                <w:color w:val="auto"/>
                <w:sz w:val="20"/>
                <w:szCs w:val="20"/>
              </w:rPr>
              <w:t> </w:t>
            </w:r>
            <w:r>
              <w:rPr>
                <w:rFonts w:ascii="仿宋" w:hAnsi="仿宋" w:eastAsia="仿宋" w:cs="Times New Roman"/>
                <w:color w:val="auto"/>
                <w:sz w:val="20"/>
                <w:szCs w:val="20"/>
              </w:rPr>
              <w:t>0</w:t>
            </w:r>
          </w:p>
        </w:tc>
        <w:tc>
          <w:tcPr>
            <w:tcW w:w="605"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ascii="Calibri" w:hAnsi="Calibri" w:eastAsia="仿宋" w:cs="Calibri"/>
                <w:color w:val="auto"/>
                <w:sz w:val="20"/>
                <w:szCs w:val="20"/>
              </w:rPr>
              <w:t> </w:t>
            </w:r>
            <w:r>
              <w:rPr>
                <w:rFonts w:ascii="仿宋" w:hAnsi="仿宋" w:eastAsia="仿宋" w:cs="Times New Roman"/>
                <w:color w:val="auto"/>
                <w:sz w:val="20"/>
                <w:szCs w:val="20"/>
              </w:rPr>
              <w:t>0</w:t>
            </w:r>
          </w:p>
        </w:tc>
        <w:tc>
          <w:tcPr>
            <w:tcW w:w="605"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ascii="Calibri" w:hAnsi="Calibri" w:eastAsia="仿宋" w:cs="Calibri"/>
                <w:color w:val="auto"/>
                <w:sz w:val="20"/>
                <w:szCs w:val="20"/>
              </w:rPr>
              <w:t> </w:t>
            </w:r>
            <w:r>
              <w:rPr>
                <w:rFonts w:ascii="仿宋" w:hAnsi="仿宋" w:eastAsia="仿宋" w:cs="Times New Roman"/>
                <w:color w:val="auto"/>
                <w:sz w:val="20"/>
                <w:szCs w:val="20"/>
              </w:rPr>
              <w:t>0</w:t>
            </w:r>
          </w:p>
        </w:tc>
        <w:tc>
          <w:tcPr>
            <w:tcW w:w="605"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ascii="仿宋" w:hAnsi="仿宋" w:eastAsia="仿宋" w:cs="Times New Roman"/>
                <w:color w:val="auto"/>
                <w:sz w:val="20"/>
                <w:szCs w:val="20"/>
              </w:rPr>
              <w:t>0</w:t>
            </w:r>
            <w:r>
              <w:rPr>
                <w:rFonts w:ascii="Calibri" w:hAnsi="Calibri" w:eastAsia="仿宋" w:cs="Calibri"/>
                <w:color w:val="auto"/>
                <w:sz w:val="20"/>
                <w:szCs w:val="20"/>
              </w:rPr>
              <w:t> </w:t>
            </w:r>
          </w:p>
        </w:tc>
        <w:tc>
          <w:tcPr>
            <w:tcW w:w="605"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ascii="Calibri" w:hAnsi="Calibri" w:eastAsia="仿宋" w:cs="Calibri"/>
                <w:color w:val="auto"/>
                <w:sz w:val="20"/>
                <w:szCs w:val="20"/>
              </w:rPr>
              <w:t> </w:t>
            </w:r>
            <w:r>
              <w:rPr>
                <w:rFonts w:ascii="仿宋" w:hAnsi="仿宋" w:eastAsia="仿宋" w:cs="Times New Roman"/>
                <w:color w:val="auto"/>
                <w:sz w:val="20"/>
                <w:szCs w:val="20"/>
              </w:rPr>
              <w:t>0</w:t>
            </w:r>
          </w:p>
        </w:tc>
        <w:tc>
          <w:tcPr>
            <w:tcW w:w="605"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ascii="Calibri" w:hAnsi="Calibri" w:eastAsia="仿宋" w:cs="Calibri"/>
                <w:color w:val="auto"/>
                <w:sz w:val="20"/>
                <w:szCs w:val="20"/>
              </w:rPr>
              <w:t> </w:t>
            </w:r>
            <w:r>
              <w:rPr>
                <w:rFonts w:ascii="仿宋" w:hAnsi="仿宋" w:eastAsia="仿宋" w:cs="Times New Roman"/>
                <w:color w:val="auto"/>
                <w:sz w:val="20"/>
                <w:szCs w:val="20"/>
              </w:rPr>
              <w:t>0</w:t>
            </w:r>
          </w:p>
        </w:tc>
        <w:tc>
          <w:tcPr>
            <w:tcW w:w="605"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ascii="Calibri" w:hAnsi="Calibri" w:eastAsia="仿宋" w:cs="Calibri"/>
                <w:color w:val="auto"/>
                <w:sz w:val="20"/>
                <w:szCs w:val="20"/>
              </w:rPr>
              <w:t> </w:t>
            </w:r>
            <w:r>
              <w:rPr>
                <w:rFonts w:ascii="仿宋" w:hAnsi="仿宋" w:eastAsia="仿宋" w:cs="Times New Roman"/>
                <w:color w:val="auto"/>
                <w:sz w:val="20"/>
                <w:szCs w:val="20"/>
              </w:rPr>
              <w:t>0</w:t>
            </w:r>
          </w:p>
        </w:tc>
        <w:tc>
          <w:tcPr>
            <w:tcW w:w="605"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ascii="Calibri" w:hAnsi="Calibri" w:eastAsia="仿宋" w:cs="Calibri"/>
                <w:color w:val="auto"/>
                <w:sz w:val="20"/>
                <w:szCs w:val="20"/>
              </w:rPr>
              <w:t> </w:t>
            </w:r>
            <w:r>
              <w:rPr>
                <w:rFonts w:ascii="仿宋" w:hAnsi="仿宋" w:eastAsia="仿宋" w:cs="Times New Roman"/>
                <w:color w:val="auto"/>
                <w:sz w:val="20"/>
                <w:szCs w:val="20"/>
              </w:rPr>
              <w:t>0</w:t>
            </w:r>
          </w:p>
        </w:tc>
        <w:tc>
          <w:tcPr>
            <w:tcW w:w="606" w:type="dxa"/>
            <w:tcBorders>
              <w:left w:val="nil"/>
            </w:tcBorders>
            <w:noWrap w:val="0"/>
            <w:vAlign w:val="center"/>
          </w:tcPr>
          <w:p>
            <w:pPr>
              <w:widowControl/>
              <w:spacing w:before="100" w:beforeAutospacing="1" w:after="100" w:afterAutospacing="1"/>
              <w:jc w:val="center"/>
              <w:rPr>
                <w:rFonts w:ascii="仿宋" w:hAnsi="仿宋" w:eastAsia="仿宋" w:cs="Times New Roman"/>
                <w:color w:val="auto"/>
                <w:sz w:val="24"/>
                <w:szCs w:val="24"/>
              </w:rPr>
            </w:pPr>
            <w:r>
              <w:rPr>
                <w:rFonts w:ascii="Calibri" w:hAnsi="Calibri" w:eastAsia="仿宋" w:cs="Calibri"/>
                <w:color w:val="auto"/>
                <w:sz w:val="20"/>
                <w:szCs w:val="20"/>
              </w:rPr>
              <w:t> </w:t>
            </w:r>
            <w:r>
              <w:rPr>
                <w:rFonts w:ascii="仿宋" w:hAnsi="仿宋" w:eastAsia="仿宋" w:cs="Times New Roman"/>
                <w:color w:val="auto"/>
                <w:sz w:val="20"/>
                <w:szCs w:val="20"/>
              </w:rPr>
              <w:t>0</w:t>
            </w:r>
          </w:p>
        </w:tc>
        <w:tc>
          <w:tcPr>
            <w:tcW w:w="606" w:type="dxa"/>
            <w:tcBorders>
              <w:left w:val="nil"/>
            </w:tcBorders>
            <w:noWrap w:val="0"/>
            <w:vAlign w:val="center"/>
          </w:tcPr>
          <w:p>
            <w:pPr>
              <w:widowControl/>
              <w:rPr>
                <w:rFonts w:ascii="仿宋" w:hAnsi="仿宋" w:eastAsia="仿宋" w:cs="Times New Roman"/>
                <w:color w:val="auto"/>
                <w:sz w:val="24"/>
                <w:szCs w:val="24"/>
              </w:rPr>
            </w:pPr>
            <w:r>
              <w:rPr>
                <w:rFonts w:hint="eastAsia" w:ascii="仿宋" w:hAnsi="仿宋" w:eastAsia="仿宋" w:cs="Times New Roman"/>
                <w:color w:val="auto"/>
                <w:sz w:val="24"/>
                <w:szCs w:val="24"/>
              </w:rPr>
              <w:t>0</w:t>
            </w:r>
          </w:p>
        </w:tc>
      </w:tr>
    </w:tbl>
    <w:p>
      <w:pPr>
        <w:spacing w:line="560" w:lineRule="exact"/>
        <w:ind w:firstLine="640" w:firstLineChars="200"/>
        <w:rPr>
          <w:rFonts w:hint="default" w:ascii="黑体" w:hAnsi="黑体" w:eastAsia="黑体" w:cs="黑体"/>
          <w:kern w:val="0"/>
          <w:sz w:val="32"/>
          <w:szCs w:val="32"/>
          <w:lang w:eastAsia="zh-CN"/>
        </w:rPr>
      </w:pPr>
      <w:r>
        <w:rPr>
          <w:rFonts w:hint="eastAsia" w:ascii="黑体" w:hAnsi="黑体" w:eastAsia="黑体" w:cs="黑体"/>
          <w:kern w:val="0"/>
          <w:sz w:val="32"/>
          <w:szCs w:val="32"/>
          <w:lang w:eastAsia="zh-CN"/>
        </w:rPr>
        <w:t>五、</w:t>
      </w:r>
      <w:r>
        <w:rPr>
          <w:rFonts w:hint="default" w:ascii="黑体" w:hAnsi="黑体" w:eastAsia="黑体" w:cs="黑体"/>
          <w:kern w:val="0"/>
          <w:sz w:val="32"/>
          <w:szCs w:val="32"/>
          <w:lang w:eastAsia="zh-CN"/>
        </w:rPr>
        <w:t>存在的主要问题及改进情况</w:t>
      </w:r>
    </w:p>
    <w:p>
      <w:pPr>
        <w:spacing w:line="560" w:lineRule="exact"/>
        <w:ind w:firstLine="640" w:firstLineChars="200"/>
        <w:rPr>
          <w:rFonts w:hint="default"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2020年，我局在贯彻落实《条例》和《办法》，有序开展政府信息公开工作方面取得一定的成效，但尚存在一些不足，主要表现为：个别部门科室业务工作人员公示意识不到位、信息收集渠道不畅、信息解读形式陈旧、信息传递时效性差等问题。下一步，我局将严格按照上级部门的部署要求，进一步规范政府信息公开工作流程，加强</w:t>
      </w:r>
      <w:r>
        <w:rPr>
          <w:rFonts w:hint="default" w:ascii="Times New Roman" w:hAnsi="Times New Roman" w:eastAsia="仿宋_GB2312" w:cs="仿宋_GB2312"/>
          <w:kern w:val="0"/>
          <w:sz w:val="32"/>
          <w:szCs w:val="32"/>
          <w:lang w:val="en-US" w:eastAsia="zh-CN"/>
        </w:rPr>
        <w:t>组织领导</w:t>
      </w:r>
      <w:r>
        <w:rPr>
          <w:rFonts w:hint="eastAsia" w:ascii="Times New Roman" w:hAnsi="Times New Roman" w:eastAsia="仿宋_GB2312" w:cs="仿宋_GB2312"/>
          <w:kern w:val="0"/>
          <w:sz w:val="32"/>
          <w:szCs w:val="32"/>
          <w:lang w:val="en-US" w:eastAsia="zh-CN"/>
        </w:rPr>
        <w:t>，提升</w:t>
      </w:r>
      <w:r>
        <w:rPr>
          <w:rFonts w:hint="default" w:ascii="Times New Roman" w:hAnsi="Times New Roman" w:eastAsia="仿宋_GB2312" w:cs="仿宋_GB2312"/>
          <w:kern w:val="0"/>
          <w:sz w:val="32"/>
          <w:szCs w:val="32"/>
          <w:lang w:val="en-US" w:eastAsia="zh-CN"/>
        </w:rPr>
        <w:t>工作人员业务水平</w:t>
      </w:r>
      <w:r>
        <w:rPr>
          <w:rFonts w:hint="eastAsia" w:ascii="Times New Roman" w:hAnsi="Times New Roman" w:eastAsia="仿宋_GB2312" w:cs="仿宋_GB2312"/>
          <w:kern w:val="0"/>
          <w:sz w:val="32"/>
          <w:szCs w:val="32"/>
          <w:lang w:val="en-US" w:eastAsia="zh-CN"/>
        </w:rPr>
        <w:t>，完善配套制度，创新信息解读形式，努力提高政府信息公开工作水平。</w:t>
      </w:r>
    </w:p>
    <w:p>
      <w:pPr>
        <w:spacing w:line="560" w:lineRule="exact"/>
        <w:ind w:firstLine="640" w:firstLineChars="200"/>
        <w:rPr>
          <w:rFonts w:hint="eastAsia" w:ascii="黑体" w:hAnsi="黑体" w:eastAsia="黑体" w:cs="黑体"/>
          <w:kern w:val="0"/>
          <w:sz w:val="32"/>
          <w:szCs w:val="32"/>
          <w:lang w:eastAsia="zh-CN"/>
        </w:rPr>
      </w:pPr>
      <w:r>
        <w:rPr>
          <w:rFonts w:hint="eastAsia" w:ascii="黑体" w:hAnsi="黑体" w:eastAsia="黑体" w:cs="黑体"/>
          <w:kern w:val="0"/>
          <w:sz w:val="32"/>
          <w:szCs w:val="32"/>
          <w:lang w:eastAsia="zh-CN"/>
        </w:rPr>
        <w:t>六、其他需要报告的事项</w:t>
      </w:r>
    </w:p>
    <w:p>
      <w:pPr>
        <w:spacing w:line="560" w:lineRule="exact"/>
        <w:ind w:firstLine="640" w:firstLineChars="200"/>
        <w:rPr>
          <w:rFonts w:hint="default" w:ascii="Times New Roman" w:hAnsi="Times New Roman" w:eastAsia="仿宋_GB2312" w:cs="仿宋_GB2312"/>
          <w:kern w:val="0"/>
          <w:sz w:val="32"/>
          <w:szCs w:val="32"/>
          <w:highlight w:val="none"/>
          <w:lang w:val="en-US" w:eastAsia="zh-CN"/>
        </w:rPr>
      </w:pPr>
      <w:r>
        <w:rPr>
          <w:rFonts w:hint="eastAsia" w:ascii="Times New Roman" w:hAnsi="Times New Roman" w:eastAsia="仿宋_GB2312" w:cs="仿宋_GB2312"/>
          <w:kern w:val="0"/>
          <w:sz w:val="32"/>
          <w:szCs w:val="32"/>
          <w:highlight w:val="none"/>
          <w:lang w:val="en-US" w:eastAsia="zh-CN"/>
        </w:rPr>
        <w:t>2020年，我局承办区十八届人大四次会议</w:t>
      </w:r>
      <w:r>
        <w:rPr>
          <w:rFonts w:hint="eastAsia" w:eastAsia="仿宋_GB2312" w:cs="仿宋_GB2312"/>
          <w:kern w:val="0"/>
          <w:sz w:val="32"/>
          <w:szCs w:val="32"/>
          <w:highlight w:val="none"/>
          <w:lang w:val="en-US" w:eastAsia="zh-CN"/>
        </w:rPr>
        <w:t>代表建议1件，涉及企业光伏发电项目方面；承办区政协十届四次会议委员提案1件，涉及新旧动能转换</w:t>
      </w:r>
      <w:r>
        <w:rPr>
          <w:rFonts w:hint="eastAsia" w:ascii="Times New Roman" w:hAnsi="Times New Roman" w:eastAsia="仿宋_GB2312" w:cs="仿宋_GB2312"/>
          <w:kern w:val="0"/>
          <w:sz w:val="32"/>
          <w:szCs w:val="32"/>
          <w:highlight w:val="none"/>
          <w:lang w:val="en-US" w:eastAsia="zh-CN"/>
        </w:rPr>
        <w:t>方面，均已按时办结，相关办理结果已通过政府网站专栏主动公开。</w:t>
      </w:r>
    </w:p>
    <w:p>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cs="Times New Roman"/>
        </w:rPr>
      </w:pPr>
    </w:p>
    <w:p/>
    <w:sectPr>
      <w:pgSz w:w="11906" w:h="16838"/>
      <w:pgMar w:top="2098" w:right="1474" w:bottom="1984" w:left="1587" w:header="851" w:footer="992" w:gutter="0"/>
      <w:pgBorders>
        <w:top w:val="none" w:sz="0" w:space="0"/>
        <w:left w:val="none" w:sz="0" w:space="0"/>
        <w:bottom w:val="none" w:sz="0" w:space="0"/>
        <w:right w:val="none" w:sz="0" w:space="0"/>
      </w:pgBorders>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swiss"/>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altName w:val="黑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8063D8E"/>
    <w:rsid w:val="04E94AA5"/>
    <w:rsid w:val="08063D8E"/>
    <w:rsid w:val="09E62DA8"/>
    <w:rsid w:val="0F2F12D4"/>
    <w:rsid w:val="12E90846"/>
    <w:rsid w:val="14146A33"/>
    <w:rsid w:val="15A80E65"/>
    <w:rsid w:val="210A6BCE"/>
    <w:rsid w:val="27253411"/>
    <w:rsid w:val="28960134"/>
    <w:rsid w:val="2D1E5668"/>
    <w:rsid w:val="303B6978"/>
    <w:rsid w:val="31931FDD"/>
    <w:rsid w:val="31FE3B50"/>
    <w:rsid w:val="3861209D"/>
    <w:rsid w:val="39075C01"/>
    <w:rsid w:val="3A1864D8"/>
    <w:rsid w:val="3C13506B"/>
    <w:rsid w:val="41277EEA"/>
    <w:rsid w:val="4EC6686A"/>
    <w:rsid w:val="521D6C88"/>
    <w:rsid w:val="53067F3F"/>
    <w:rsid w:val="5765547B"/>
    <w:rsid w:val="594E4375"/>
    <w:rsid w:val="5A1240FC"/>
    <w:rsid w:val="5F654BA4"/>
    <w:rsid w:val="61FB11E4"/>
    <w:rsid w:val="6BDF4447"/>
    <w:rsid w:val="6F8D7200"/>
    <w:rsid w:val="70630DF9"/>
    <w:rsid w:val="7E9144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3.png"/><Relationship Id="rId5" Type="http://schemas.openxmlformats.org/officeDocument/2006/relationships/image" Target="media/image2.jpe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Office_11.1.0.10577_F1E327BC-269C-435d-A152-05C5408002CA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2021-01-26T06:06:00Z</dcterms:created>
  <dc:creator>种草的兔叽</dc:creator>
  <cp:lastModifiedBy>种草的兔叽</cp:lastModifiedBy>
  <cp:lastPrinted>2021-01-27T06:45:00Z</cp:lastPrinted>
  <dcterms:modified xsi:type="dcterms:W3CDTF">2022-01-27T07:56:52Z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2052-11.1.0.10577</vt:lpwstr>
  </property>
  <property fmtid="{D5CDD505-2E9C-101B-9397-08002B2CF9AE}" pid="3" name="ICV">
    <vt:lpwstr>5BDB449C54D64FEC8FF5BCDE21218C4F</vt:lpwstr>
  </property>
</Properties>
</file>