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</w:rPr>
        <w:t>WDDR-2020-0030007</w:t>
      </w:r>
    </w:p>
    <w:p>
      <w:pPr>
        <w:spacing w:line="600" w:lineRule="exact"/>
        <w:jc w:val="center"/>
        <w:rPr>
          <w:rFonts w:hint="default" w:ascii="Times New Roman" w:hAnsi="Times New Roman" w:eastAsia="方正小标宋简体" w:cs="Times New Roman"/>
          <w:i w:val="0"/>
          <w:caps w:val="0"/>
          <w:color w:val="auto"/>
          <w:spacing w:val="0"/>
          <w:sz w:val="44"/>
          <w:szCs w:val="44"/>
          <w:lang w:eastAsia="zh-CN"/>
        </w:rPr>
      </w:pPr>
    </w:p>
    <w:p>
      <w:pPr>
        <w:spacing w:line="600" w:lineRule="exact"/>
        <w:jc w:val="center"/>
        <w:rPr>
          <w:rFonts w:hint="default" w:ascii="Times New Roman" w:hAnsi="Times New Roman" w:eastAsia="方正小标宋简体" w:cs="Times New Roman"/>
          <w:i w:val="0"/>
          <w:caps w:val="0"/>
          <w:color w:val="auto"/>
          <w:spacing w:val="0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i w:val="0"/>
          <w:caps w:val="0"/>
          <w:color w:val="auto"/>
          <w:spacing w:val="0"/>
          <w:sz w:val="44"/>
          <w:szCs w:val="44"/>
          <w:lang w:eastAsia="zh-CN"/>
        </w:rPr>
        <w:t>关于建立管道天然气上下游价格联动机制的通知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default" w:ascii="Times New Roman" w:hAnsi="Times New Roman" w:cs="Times New Roman"/>
          <w:i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default" w:ascii="Times New Roman" w:hAnsi="Times New Roman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威文发改发〔2020〕102号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both"/>
        <w:textAlignment w:val="auto"/>
        <w:rPr>
          <w:rFonts w:hint="default" w:ascii="Times New Roman" w:hAnsi="Times New Roman" w:cs="Times New Roman"/>
          <w:i w:val="0"/>
          <w:caps w:val="0"/>
          <w:color w:val="auto"/>
          <w:spacing w:val="0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各天然气经营企业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：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20" w:firstLineChars="200"/>
        <w:jc w:val="both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  <w:t>根据国家、省</w:t>
      </w:r>
      <w:r>
        <w:rPr>
          <w:rFonts w:hint="default" w:ascii="Times New Roman" w:hAnsi="Times New Roman" w:eastAsia="仿宋" w:cs="Times New Roman"/>
          <w:i w:val="0"/>
          <w:color w:val="auto"/>
          <w:spacing w:val="0"/>
          <w:sz w:val="31"/>
          <w:szCs w:val="31"/>
          <w:shd w:val="clear" w:color="auto" w:fill="FFFFFF"/>
        </w:rPr>
        <w:t>关于推进天然气价格改革的要求和</w:t>
      </w: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  <w:t>原山东省物价局《关于建立健全天然气价格上下游联动制度的指导意见》（鲁价格一发〔2018〕73号）规定，经</w:t>
      </w: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  <w:lang w:eastAsia="zh-CN"/>
        </w:rPr>
        <w:t>区</w:t>
      </w: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  <w:t>政府同意，决定</w:t>
      </w: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  <w:lang w:eastAsia="zh-CN"/>
        </w:rPr>
        <w:t>建立</w:t>
      </w:r>
      <w:r>
        <w:rPr>
          <w:rFonts w:hint="default" w:ascii="Times New Roman" w:hAnsi="Times New Roman" w:eastAsia="仿宋" w:cs="Times New Roman"/>
          <w:color w:val="auto"/>
          <w:sz w:val="31"/>
          <w:szCs w:val="31"/>
          <w:shd w:val="clear" w:color="auto" w:fill="FFFFFF"/>
        </w:rPr>
        <w:t>管道天然气上下游价格联动机制。现将有关事项通知如下：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jc w:val="both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黑体" w:cs="Times New Roman"/>
          <w:b w:val="0"/>
          <w:color w:val="auto"/>
          <w:sz w:val="31"/>
          <w:szCs w:val="31"/>
          <w:shd w:val="clear" w:color="auto" w:fill="FFFFFF"/>
        </w:rPr>
        <w:t>一、居民用气价格联动机制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jc w:val="both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楷体_GB2312" w:cs="Times New Roman"/>
          <w:color w:val="auto"/>
          <w:sz w:val="31"/>
          <w:szCs w:val="31"/>
          <w:shd w:val="clear" w:color="auto" w:fill="FFFFFF"/>
        </w:rPr>
        <w:t>（一）联动周期及启动条件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jc w:val="both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居民用气价格联动调整周期原则上不少于</w:t>
      </w:r>
      <w:r>
        <w:rPr>
          <w:rFonts w:hint="default" w:ascii="Times New Roman" w:hAnsi="Times New Roman" w:eastAsia="Arial" w:cs="Times New Roman"/>
          <w:color w:val="auto"/>
          <w:sz w:val="31"/>
          <w:szCs w:val="31"/>
          <w:shd w:val="clear" w:color="auto" w:fill="FFFFFF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年，在联动周期内综合城市门站价格变动幅度达到或超过</w:t>
      </w:r>
      <w:r>
        <w:rPr>
          <w:rFonts w:hint="default" w:ascii="Times New Roman" w:hAnsi="Times New Roman" w:eastAsia="Arial" w:cs="Times New Roman"/>
          <w:color w:val="auto"/>
          <w:sz w:val="31"/>
          <w:szCs w:val="31"/>
          <w:shd w:val="clear" w:color="auto" w:fill="FFFFFF"/>
        </w:rPr>
        <w:t>8%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时，销售价格进行相应调整。国家另有规定的，从其规定。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jc w:val="both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楷体_GB2312" w:cs="Times New Roman"/>
          <w:color w:val="auto"/>
          <w:sz w:val="31"/>
          <w:szCs w:val="31"/>
          <w:shd w:val="clear" w:color="auto" w:fill="FFFFFF"/>
        </w:rPr>
        <w:t>（二）居民用气价格联动计算公式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jc w:val="both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居民用气联动调价额度＝（计算期居民用天然气综合城市门站价格－基期居民用天然气综合城市门站价格）</w:t>
      </w:r>
      <w:r>
        <w:rPr>
          <w:rFonts w:hint="default" w:ascii="Times New Roman" w:hAnsi="Times New Roman" w:eastAsia="Arial" w:cs="Times New Roman"/>
          <w:color w:val="auto"/>
          <w:sz w:val="31"/>
          <w:szCs w:val="31"/>
          <w:shd w:val="clear" w:color="auto" w:fill="FFFFFF"/>
        </w:rPr>
        <w:t>÷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（</w:t>
      </w:r>
      <w:r>
        <w:rPr>
          <w:rFonts w:hint="default" w:ascii="Times New Roman" w:hAnsi="Times New Roman" w:eastAsia="Arial" w:cs="Times New Roman"/>
          <w:color w:val="auto"/>
          <w:sz w:val="31"/>
          <w:szCs w:val="31"/>
          <w:shd w:val="clear" w:color="auto" w:fill="FFFFFF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－管网损耗率）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jc w:val="both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联动后居民用气销售价格</w:t>
      </w:r>
      <w:r>
        <w:rPr>
          <w:rFonts w:hint="default" w:ascii="Times New Roman" w:hAnsi="Times New Roman" w:eastAsia="Arial" w:cs="Times New Roman"/>
          <w:color w:val="auto"/>
          <w:sz w:val="31"/>
          <w:szCs w:val="31"/>
          <w:shd w:val="clear" w:color="auto" w:fill="FFFFFF"/>
        </w:rPr>
        <w:t>=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居民用气现行销售价格</w:t>
      </w:r>
      <w:r>
        <w:rPr>
          <w:rFonts w:hint="default" w:ascii="Times New Roman" w:hAnsi="Times New Roman" w:eastAsia="Arial" w:cs="Times New Roman"/>
          <w:color w:val="auto"/>
          <w:sz w:val="31"/>
          <w:szCs w:val="31"/>
          <w:shd w:val="clear" w:color="auto" w:fill="FFFFFF"/>
        </w:rPr>
        <w:t>+</w:t>
      </w:r>
      <w:r>
        <w:rPr>
          <w:rFonts w:hint="default" w:ascii="Times New Roman" w:hAnsi="Times New Roman" w:eastAsia="仿宋_GB2312" w:cs="Times New Roman"/>
          <w:color w:val="auto"/>
          <w:sz w:val="31"/>
          <w:szCs w:val="31"/>
          <w:shd w:val="clear" w:color="auto" w:fill="FFFFFF"/>
        </w:rPr>
        <w:t>居民用气联动调价额度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jc w:val="both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楷体_GB2312" w:cs="Times New Roman"/>
          <w:color w:val="auto"/>
          <w:sz w:val="31"/>
          <w:szCs w:val="31"/>
          <w:shd w:val="clear" w:color="auto" w:fill="FFFFFF"/>
        </w:rPr>
        <w:t>（三）损耗率最高不超过</w:t>
      </w:r>
      <w:r>
        <w:rPr>
          <w:rFonts w:hint="default" w:ascii="Times New Roman" w:hAnsi="Times New Roman" w:eastAsia="Arial" w:cs="Times New Roman"/>
          <w:color w:val="auto"/>
          <w:sz w:val="31"/>
          <w:szCs w:val="31"/>
          <w:shd w:val="clear" w:color="auto" w:fill="FFFFFF"/>
        </w:rPr>
        <w:t>5%</w:t>
      </w:r>
      <w:r>
        <w:rPr>
          <w:rFonts w:hint="default" w:ascii="Times New Roman" w:hAnsi="Times New Roman" w:eastAsia="楷体_GB2312" w:cs="Times New Roman"/>
          <w:color w:val="auto"/>
          <w:sz w:val="31"/>
          <w:szCs w:val="31"/>
          <w:shd w:val="clear" w:color="auto" w:fill="FFFFFF"/>
        </w:rPr>
        <w:t>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jc w:val="both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黑体" w:cs="Times New Roman"/>
          <w:b w:val="0"/>
          <w:color w:val="auto"/>
          <w:sz w:val="31"/>
          <w:szCs w:val="31"/>
          <w:shd w:val="clear" w:color="auto" w:fill="FFFFFF"/>
        </w:rPr>
        <w:t>二、非居民用气价格联动机制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jc w:val="both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楷体_GB2312" w:cs="Times New Roman"/>
          <w:color w:val="auto"/>
          <w:sz w:val="31"/>
          <w:szCs w:val="31"/>
          <w:shd w:val="clear" w:color="auto" w:fill="FFFFFF"/>
        </w:rPr>
        <w:t>（一）联动周期及启动条件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20" w:firstLineChars="200"/>
        <w:jc w:val="both"/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</w:pP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  <w:t>非居民用气原则上以3个月为一个联动调整周期，在联动周期内加权平均购气价格即天然气综合城市门站价格（包括市场采购的高价气、竞拍气、气化的LNG等）变动幅度达到或超过8%时，销售价格进行相应调整；当联动周期内加权平均购气价格变动幅度未达到8%时，销售价格不作调整，其实际加权平均购气价格增减额纳入下一周期累计计算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jc w:val="both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楷体_GB2312" w:cs="Times New Roman"/>
          <w:color w:val="auto"/>
          <w:sz w:val="31"/>
          <w:szCs w:val="31"/>
          <w:shd w:val="clear" w:color="auto" w:fill="FFFFFF"/>
        </w:rPr>
        <w:t>（二）非居民用气价格联动计算公式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20" w:firstLineChars="200"/>
        <w:jc w:val="both"/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</w:pP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  <w:t>非居民用气联动调价额度＝（计算期非居民天然气综合城市门站价格－基期非居民天然气综合城市门站价格）÷（1－管网损耗率）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20" w:firstLineChars="200"/>
        <w:jc w:val="both"/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</w:pPr>
      <w:bookmarkStart w:id="0" w:name="_GoBack"/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  <w:t>联动后非居民用气销售价格=非居民用气现行销售价格+非居民用气联动调价额度。</w:t>
      </w:r>
    </w:p>
    <w:bookmarkEnd w:id="0"/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jc w:val="both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楷体_GB2312" w:cs="Times New Roman"/>
          <w:color w:val="auto"/>
          <w:sz w:val="31"/>
          <w:szCs w:val="31"/>
          <w:shd w:val="clear" w:color="auto" w:fill="FFFFFF"/>
        </w:rPr>
        <w:t>（三）损耗率最高不超过</w:t>
      </w:r>
      <w:r>
        <w:rPr>
          <w:rFonts w:hint="default" w:ascii="Times New Roman" w:hAnsi="Times New Roman" w:eastAsia="Arial" w:cs="Times New Roman"/>
          <w:color w:val="auto"/>
          <w:sz w:val="31"/>
          <w:szCs w:val="31"/>
          <w:shd w:val="clear" w:color="auto" w:fill="FFFFFF"/>
        </w:rPr>
        <w:t>5%</w:t>
      </w:r>
      <w:r>
        <w:rPr>
          <w:rFonts w:hint="default" w:ascii="Times New Roman" w:hAnsi="Times New Roman" w:eastAsia="楷体_GB2312" w:cs="Times New Roman"/>
          <w:color w:val="auto"/>
          <w:sz w:val="31"/>
          <w:szCs w:val="31"/>
          <w:shd w:val="clear" w:color="auto" w:fill="FFFFFF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黑体" w:cs="Times New Roman"/>
          <w:i w:val="0"/>
          <w:color w:val="auto"/>
          <w:spacing w:val="0"/>
          <w:sz w:val="31"/>
          <w:szCs w:val="31"/>
          <w:shd w:val="clear" w:color="auto" w:fill="FFFFFF"/>
        </w:rPr>
        <w:t>三、相关工作要求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20" w:firstLineChars="200"/>
        <w:jc w:val="both"/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</w:pP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  <w:t>为保证天然气上下游价格联动规范有序进行，切实维护用户的合法权益，建立健全成本监测分析制度，对采购价格、用气结构、企业经营成本等情况进行监测分析。各燃气经营企业要认真做好成本分析的基础工作，并于每季度结束后10日内向价格主管部门如实报送本季度天然气采购合同、实际采购价格、采购量等有关资料,遇有重大价格变动时，应及时报告。启动联动机制调整天然气销售价格后，燃气经营企业要加强政策宣传，做好抄表和售后等服务工作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20" w:firstLineChars="200"/>
        <w:jc w:val="both"/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</w:pP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  <w:t>本通知自202</w:t>
      </w: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  <w:lang w:val="en-US" w:eastAsia="zh-CN"/>
        </w:rPr>
        <w:t>0</w:t>
      </w: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  <w:t>年1</w:t>
      </w: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  <w:t>月</w:t>
      </w: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  <w:lang w:val="en-US" w:eastAsia="zh-CN"/>
        </w:rPr>
        <w:t>31</w:t>
      </w: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  <w:t>日起执行，有效期至2025年1</w:t>
      </w: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  <w:lang w:val="en-US" w:eastAsia="zh-CN"/>
        </w:rPr>
        <w:t>1</w:t>
      </w: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  <w:t>月3</w:t>
      </w: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  <w:lang w:val="en-US" w:eastAsia="zh-CN"/>
        </w:rPr>
        <w:t>0</w:t>
      </w:r>
      <w:r>
        <w:rPr>
          <w:rFonts w:hint="default" w:ascii="Times New Roman" w:hAnsi="Times New Roman" w:eastAsia="仿宋" w:cs="Times New Roman"/>
          <w:b w:val="0"/>
          <w:i w:val="0"/>
          <w:color w:val="auto"/>
          <w:spacing w:val="0"/>
          <w:sz w:val="31"/>
          <w:szCs w:val="31"/>
          <w:shd w:val="clear" w:color="auto" w:fill="FFFFFF"/>
        </w:rPr>
        <w:t>日。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480" w:rightChars="15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480" w:rightChars="150" w:hanging="4800" w:hangingChars="1500"/>
        <w:jc w:val="right"/>
        <w:textAlignment w:val="auto"/>
        <w:rPr>
          <w:rFonts w:hint="default" w:ascii="Times New Roman" w:hAnsi="Times New Roman" w:cs="Times New Roman"/>
          <w:i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威海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市</w:t>
      </w:r>
      <w:r>
        <w:rPr>
          <w:rFonts w:hint="default" w:ascii="Times New Roman" w:hAnsi="Times New Roman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文登区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发展和改革</w:t>
      </w:r>
      <w:r>
        <w:rPr>
          <w:rFonts w:hint="default" w:ascii="Times New Roman" w:hAnsi="Times New Roman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1280" w:rightChars="400" w:firstLine="0" w:firstLineChars="0"/>
        <w:jc w:val="right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2020年</w:t>
      </w:r>
      <w:r>
        <w:rPr>
          <w:rFonts w:hint="default" w:ascii="Times New Roman" w:hAnsi="Times New Roman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月</w:t>
      </w:r>
      <w:r>
        <w:rPr>
          <w:rFonts w:hint="default" w:ascii="Times New Roman" w:hAnsi="Times New Roman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28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日</w:t>
      </w:r>
    </w:p>
    <w:p>
      <w:pPr>
        <w:rPr>
          <w:rFonts w:hint="default" w:ascii="Times New Roman" w:hAnsi="Times New Roman" w:cs="Times New Roman"/>
          <w:color w:val="auto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RmNjI4YjliODY0NTRjOGQyODM0ODcwNzFlNmNkOWUifQ=="/>
  </w:docVars>
  <w:rsids>
    <w:rsidRoot w:val="00000000"/>
    <w:rsid w:val="0DF67F74"/>
    <w:rsid w:val="28F35E3B"/>
    <w:rsid w:val="330B5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仿宋_GB2312" w:hAnsi="Times New Roman" w:eastAsia="仿宋_GB2312" w:cs="Times New Roman"/>
      <w:color w:val="000000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913</Words>
  <Characters>961</Characters>
  <Lines>0</Lines>
  <Paragraphs>0</Paragraphs>
  <TotalTime>3</TotalTime>
  <ScaleCrop>false</ScaleCrop>
  <LinksUpToDate>false</LinksUpToDate>
  <CharactersWithSpaces>962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2021-01-05T06:06:00Z</dcterms:created>
  <dc:creator>Administrator</dc:creator>
  <cp:lastModifiedBy>种草的兔叽</cp:lastModifiedBy>
  <dcterms:modified xsi:type="dcterms:W3CDTF">2022-11-09T10:24:58Z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C1FB9EA3A9554B699D2873A66564E6FD</vt:lpwstr>
  </property>
</Properties>
</file>