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32" w:firstLineChars="200"/>
        <w:jc w:val="right"/>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方正小标宋简体"/>
          <w:spacing w:val="62"/>
          <w:sz w:val="74"/>
        </w:rPr>
      </w:pPr>
      <w:r>
        <w:rPr>
          <w:rFonts w:hint="eastAsia" w:ascii="方正小标宋简体"/>
          <w:spacing w:val="62"/>
          <w:sz w:val="74"/>
        </w:rPr>
        <w:t>2019年度</w:t>
      </w:r>
    </w:p>
    <w:p>
      <w:pPr>
        <w:jc w:val="center"/>
        <w:rPr>
          <w:rFonts w:hint="eastAsia" w:ascii="方正小标宋简体"/>
          <w:spacing w:val="62"/>
          <w:sz w:val="74"/>
          <w:lang w:eastAsia="zh-CN"/>
        </w:rPr>
      </w:pPr>
      <w:r>
        <w:rPr>
          <w:rFonts w:hint="eastAsia" w:ascii="方正小标宋简体"/>
          <w:spacing w:val="62"/>
          <w:sz w:val="74"/>
          <w:lang w:eastAsia="zh-CN"/>
        </w:rPr>
        <w:t>原威海市文登区</w:t>
      </w:r>
    </w:p>
    <w:p>
      <w:pPr>
        <w:jc w:val="center"/>
        <w:rPr>
          <w:rFonts w:hint="eastAsia" w:ascii="方正小标宋简体"/>
          <w:spacing w:val="62"/>
          <w:sz w:val="74"/>
          <w:lang w:eastAsia="zh-CN"/>
        </w:rPr>
      </w:pPr>
      <w:r>
        <w:rPr>
          <w:rFonts w:hint="eastAsia" w:ascii="方正小标宋简体"/>
          <w:spacing w:val="62"/>
          <w:sz w:val="74"/>
          <w:lang w:eastAsia="zh-CN"/>
        </w:rPr>
        <w:t>农业机械安全监理站</w:t>
      </w:r>
    </w:p>
    <w:p>
      <w:pPr>
        <w:jc w:val="center"/>
        <w:rPr>
          <w:rFonts w:ascii="方正小标宋简体"/>
          <w:spacing w:val="62"/>
          <w:sz w:val="74"/>
        </w:rPr>
      </w:pPr>
      <w:r>
        <w:rPr>
          <w:rFonts w:hint="eastAsia" w:ascii="方正小标宋简体"/>
          <w:spacing w:val="62"/>
          <w:sz w:val="74"/>
        </w:rPr>
        <w:t>部门决算</w:t>
      </w:r>
    </w:p>
    <w:p>
      <w:pPr>
        <w:jc w:val="center"/>
        <w:rPr>
          <w:rFonts w:ascii="楷体_GB2312" w:eastAsia="楷体_GB2312"/>
          <w:b/>
          <w:sz w:val="42"/>
        </w:rPr>
      </w:pPr>
    </w:p>
    <w:p>
      <w:pPr>
        <w:jc w:val="center"/>
        <w:rPr>
          <w:rFonts w:ascii="楷体_GB2312" w:eastAsia="楷体_GB2312"/>
          <w:b/>
          <w:sz w:val="42"/>
        </w:rPr>
      </w:pPr>
    </w:p>
    <w:p>
      <w:pPr>
        <w:rPr>
          <w:rFonts w:ascii="仿宋_GB2312" w:eastAsia="仿宋_GB2312"/>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r>
        <w:rPr>
          <w:rFonts w:hint="eastAsia" w:ascii="方正小标宋简体" w:eastAsia="方正小标宋简体"/>
          <w:sz w:val="44"/>
          <w:szCs w:val="44"/>
        </w:rPr>
        <w:t>目  录</w:t>
      </w:r>
    </w:p>
    <w:p>
      <w:pPr>
        <w:spacing w:line="580" w:lineRule="exact"/>
        <w:ind w:firstLine="316" w:firstLineChars="100"/>
        <w:rPr>
          <w:rFonts w:ascii="黑体" w:hAnsi="黑体" w:eastAsia="黑体"/>
        </w:rPr>
      </w:pPr>
      <w:r>
        <w:rPr>
          <w:rFonts w:hint="eastAsia" w:ascii="黑体" w:hAnsi="黑体" w:eastAsia="黑体"/>
        </w:rPr>
        <w:t>第一部分  部门概况</w:t>
      </w:r>
    </w:p>
    <w:p>
      <w:pPr>
        <w:spacing w:line="580" w:lineRule="exact"/>
        <w:ind w:firstLine="632" w:firstLineChars="200"/>
        <w:rPr>
          <w:rFonts w:ascii="仿宋_GB2312" w:eastAsia="仿宋_GB2312"/>
        </w:rPr>
      </w:pPr>
      <w:r>
        <w:rPr>
          <w:rFonts w:hint="eastAsia" w:ascii="仿宋_GB2312" w:eastAsia="仿宋_GB2312"/>
        </w:rPr>
        <w:t>一、部门职责</w:t>
      </w:r>
    </w:p>
    <w:p>
      <w:pPr>
        <w:spacing w:line="580" w:lineRule="exact"/>
        <w:ind w:firstLine="632" w:firstLineChars="200"/>
        <w:rPr>
          <w:rFonts w:ascii="仿宋_GB2312" w:eastAsia="仿宋_GB2312"/>
        </w:rPr>
      </w:pPr>
      <w:r>
        <w:rPr>
          <w:rFonts w:hint="eastAsia" w:ascii="仿宋_GB2312" w:eastAsia="仿宋_GB2312"/>
        </w:rPr>
        <w:t>二、机构设置</w:t>
      </w:r>
    </w:p>
    <w:p>
      <w:pPr>
        <w:spacing w:line="580" w:lineRule="exact"/>
        <w:ind w:firstLine="316" w:firstLineChars="100"/>
        <w:rPr>
          <w:rFonts w:ascii="黑体" w:hAnsi="黑体" w:eastAsia="黑体"/>
        </w:rPr>
      </w:pPr>
      <w:r>
        <w:rPr>
          <w:rFonts w:hint="eastAsia" w:ascii="黑体" w:hAnsi="黑体" w:eastAsia="黑体"/>
        </w:rPr>
        <w:t>第二部分  2019年度部门决算表</w:t>
      </w:r>
    </w:p>
    <w:p>
      <w:pPr>
        <w:spacing w:line="580" w:lineRule="exact"/>
        <w:ind w:firstLine="632" w:firstLineChars="200"/>
        <w:rPr>
          <w:rFonts w:ascii="仿宋_GB2312" w:eastAsia="仿宋_GB2312"/>
        </w:rPr>
      </w:pPr>
      <w:r>
        <w:rPr>
          <w:rFonts w:hint="eastAsia" w:ascii="仿宋_GB2312" w:eastAsia="仿宋_GB2312"/>
        </w:rPr>
        <w:t>一、收入支出决算总表</w:t>
      </w:r>
    </w:p>
    <w:p>
      <w:pPr>
        <w:spacing w:line="580" w:lineRule="exact"/>
        <w:ind w:firstLine="632" w:firstLineChars="200"/>
        <w:rPr>
          <w:rFonts w:ascii="仿宋_GB2312" w:eastAsia="仿宋_GB2312"/>
        </w:rPr>
      </w:pPr>
      <w:r>
        <w:rPr>
          <w:rFonts w:hint="eastAsia" w:ascii="仿宋_GB2312" w:eastAsia="仿宋_GB2312"/>
        </w:rPr>
        <w:t>二、收入决算表</w:t>
      </w:r>
    </w:p>
    <w:p>
      <w:pPr>
        <w:spacing w:line="580" w:lineRule="exact"/>
        <w:ind w:firstLine="632" w:firstLineChars="200"/>
        <w:rPr>
          <w:rFonts w:ascii="仿宋_GB2312" w:eastAsia="仿宋_GB2312"/>
        </w:rPr>
      </w:pPr>
      <w:r>
        <w:rPr>
          <w:rFonts w:hint="eastAsia" w:ascii="仿宋_GB2312" w:eastAsia="仿宋_GB2312"/>
        </w:rPr>
        <w:t>三、支出决算表</w:t>
      </w:r>
    </w:p>
    <w:p>
      <w:pPr>
        <w:spacing w:line="580" w:lineRule="exact"/>
        <w:ind w:firstLine="632" w:firstLineChars="200"/>
        <w:rPr>
          <w:rFonts w:ascii="仿宋_GB2312" w:eastAsia="仿宋_GB2312"/>
        </w:rPr>
      </w:pPr>
      <w:r>
        <w:rPr>
          <w:rFonts w:hint="eastAsia" w:ascii="仿宋_GB2312" w:eastAsia="仿宋_GB2312"/>
        </w:rPr>
        <w:t>四、财政拨款收入支出决算总表</w:t>
      </w:r>
    </w:p>
    <w:p>
      <w:pPr>
        <w:spacing w:line="580" w:lineRule="exact"/>
        <w:ind w:firstLine="632" w:firstLineChars="200"/>
        <w:rPr>
          <w:rFonts w:ascii="仿宋_GB2312" w:eastAsia="仿宋_GB2312"/>
        </w:rPr>
      </w:pPr>
      <w:r>
        <w:rPr>
          <w:rFonts w:hint="eastAsia" w:ascii="仿宋_GB2312" w:eastAsia="仿宋_GB2312"/>
        </w:rPr>
        <w:t>五、一般公共预算财政拨款支出决算表</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六、一般公共预算财政拨款基本支出决算表</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七、一般公共预算财政拨款“三公”经费支出决算表</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八、政府性基金预算财政拨款收入支出决算表</w:t>
      </w:r>
    </w:p>
    <w:p>
      <w:pPr>
        <w:spacing w:line="580" w:lineRule="exact"/>
        <w:ind w:firstLine="316" w:firstLineChars="100"/>
        <w:rPr>
          <w:rFonts w:ascii="黑体" w:hAnsi="黑体" w:eastAsia="黑体"/>
        </w:rPr>
      </w:pPr>
      <w:r>
        <w:rPr>
          <w:rFonts w:hint="eastAsia" w:ascii="黑体" w:hAnsi="黑体" w:eastAsia="黑体"/>
        </w:rPr>
        <w:t>第三部分  2019年度部门决算情况说明</w:t>
      </w:r>
    </w:p>
    <w:p>
      <w:pPr>
        <w:spacing w:line="580" w:lineRule="exact"/>
        <w:ind w:firstLine="632" w:firstLineChars="200"/>
        <w:rPr>
          <w:rFonts w:ascii="仿宋_GB2312" w:eastAsia="仿宋_GB2312"/>
        </w:rPr>
      </w:pPr>
      <w:r>
        <w:rPr>
          <w:rFonts w:hint="eastAsia" w:ascii="仿宋_GB2312" w:eastAsia="仿宋_GB2312"/>
        </w:rPr>
        <w:t>一、收入支出决算总体情况说明</w:t>
      </w:r>
    </w:p>
    <w:p>
      <w:pPr>
        <w:spacing w:line="580" w:lineRule="exact"/>
        <w:ind w:firstLine="632" w:firstLineChars="200"/>
        <w:rPr>
          <w:rFonts w:ascii="仿宋_GB2312" w:eastAsia="仿宋_GB2312"/>
        </w:rPr>
      </w:pPr>
      <w:r>
        <w:rPr>
          <w:rFonts w:hint="eastAsia" w:ascii="仿宋_GB2312" w:eastAsia="仿宋_GB2312"/>
        </w:rPr>
        <w:t>二、收入决算情况说明</w:t>
      </w:r>
    </w:p>
    <w:p>
      <w:pPr>
        <w:spacing w:line="580" w:lineRule="exact"/>
        <w:ind w:firstLine="632" w:firstLineChars="200"/>
        <w:rPr>
          <w:rFonts w:ascii="仿宋_GB2312" w:eastAsia="仿宋_GB2312"/>
        </w:rPr>
      </w:pPr>
      <w:r>
        <w:rPr>
          <w:rFonts w:hint="eastAsia" w:ascii="仿宋_GB2312" w:eastAsia="仿宋_GB2312"/>
        </w:rPr>
        <w:t>三、支出决算情况说明</w:t>
      </w:r>
    </w:p>
    <w:p>
      <w:pPr>
        <w:spacing w:line="580" w:lineRule="exact"/>
        <w:ind w:firstLine="632" w:firstLineChars="200"/>
        <w:rPr>
          <w:rFonts w:ascii="仿宋_GB2312" w:eastAsia="仿宋_GB2312"/>
        </w:rPr>
      </w:pPr>
      <w:r>
        <w:rPr>
          <w:rFonts w:hint="eastAsia" w:ascii="仿宋_GB2312" w:eastAsia="仿宋_GB2312"/>
        </w:rPr>
        <w:t>四、财政拨款收入支出决算总体情况说明</w:t>
      </w:r>
    </w:p>
    <w:p>
      <w:pPr>
        <w:spacing w:line="580" w:lineRule="exact"/>
        <w:ind w:firstLine="632" w:firstLineChars="200"/>
        <w:rPr>
          <w:rFonts w:ascii="仿宋_GB2312" w:eastAsia="仿宋_GB2312"/>
        </w:rPr>
      </w:pPr>
      <w:r>
        <w:rPr>
          <w:rFonts w:hint="eastAsia" w:ascii="仿宋_GB2312" w:eastAsia="仿宋_GB2312"/>
        </w:rPr>
        <w:t>五、一般公共预算财政拨款支出决算情况说明</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六、一般公共预算财政拨款基本支出决算情况说明</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七、一般公共预算财政拨款“三公”经费支出决算情况说明</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八、政府性基金预算财政拨款收入支出决算情况说明</w:t>
      </w:r>
    </w:p>
    <w:p>
      <w:pPr>
        <w:spacing w:line="580" w:lineRule="exact"/>
        <w:ind w:firstLine="632" w:firstLineChars="200"/>
        <w:rPr>
          <w:rFonts w:ascii="仿宋_GB2312" w:eastAsia="仿宋_GB2312"/>
        </w:rPr>
      </w:pPr>
      <w:r>
        <w:rPr>
          <w:rFonts w:hint="eastAsia" w:ascii="仿宋_GB2312" w:eastAsia="仿宋_GB2312"/>
        </w:rPr>
        <w:t>九、重要事项情况说明</w:t>
      </w:r>
    </w:p>
    <w:p>
      <w:pPr>
        <w:spacing w:line="580" w:lineRule="exact"/>
        <w:ind w:firstLine="316" w:firstLineChars="100"/>
        <w:rPr>
          <w:rFonts w:ascii="黑体" w:hAnsi="黑体" w:eastAsia="黑体"/>
        </w:rPr>
      </w:pPr>
      <w:r>
        <w:rPr>
          <w:rFonts w:hint="eastAsia" w:ascii="黑体" w:hAnsi="黑体" w:eastAsia="黑体"/>
        </w:rPr>
        <w:t>第四部分  名词解释</w:t>
      </w:r>
    </w:p>
    <w:p>
      <w:pPr>
        <w:spacing w:line="580" w:lineRule="exact"/>
        <w:ind w:firstLine="316" w:firstLineChars="100"/>
        <w:rPr>
          <w:rFonts w:ascii="黑体" w:hAnsi="黑体" w:eastAsia="黑体"/>
        </w:rPr>
      </w:pPr>
      <w:r>
        <w:rPr>
          <w:rFonts w:hint="eastAsia" w:ascii="黑体" w:hAnsi="黑体" w:eastAsia="黑体"/>
        </w:rPr>
        <w:t xml:space="preserve">第五部分  附件  </w:t>
      </w: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jc w:val="center"/>
        <w:rPr>
          <w:rFonts w:ascii="仿宋_GB2312" w:eastAsia="仿宋_GB2312"/>
        </w:rPr>
      </w:pPr>
    </w:p>
    <w:p>
      <w:pPr>
        <w:jc w:val="center"/>
        <w:rPr>
          <w:rFonts w:ascii="方正小标宋简体" w:eastAsia="方正小标宋简体"/>
          <w:sz w:val="42"/>
        </w:rPr>
      </w:pPr>
    </w:p>
    <w:p>
      <w:pPr>
        <w:jc w:val="center"/>
        <w:rPr>
          <w:rFonts w:ascii="方正小标宋简体" w:eastAsia="方正小标宋简体"/>
          <w:sz w:val="42"/>
        </w:rPr>
      </w:pPr>
    </w:p>
    <w:p>
      <w:pPr>
        <w:ind w:firstLine="536" w:firstLineChars="100"/>
        <w:rPr>
          <w:rFonts w:hint="eastAsia" w:ascii="方正小标宋简体" w:eastAsia="仿宋" w:cs="仿宋"/>
          <w:spacing w:val="60"/>
          <w:sz w:val="42"/>
          <w:szCs w:val="32"/>
        </w:rPr>
      </w:pPr>
    </w:p>
    <w:p>
      <w:pPr>
        <w:ind w:firstLine="536" w:firstLineChars="100"/>
        <w:rPr>
          <w:rFonts w:hint="eastAsia" w:ascii="方正小标宋简体" w:eastAsia="仿宋" w:cs="仿宋"/>
          <w:spacing w:val="60"/>
          <w:sz w:val="42"/>
          <w:szCs w:val="32"/>
        </w:rPr>
      </w:pPr>
    </w:p>
    <w:p>
      <w:pPr>
        <w:ind w:firstLine="536" w:firstLineChars="100"/>
        <w:rPr>
          <w:rFonts w:hint="eastAsia" w:ascii="方正小标宋简体" w:eastAsia="仿宋" w:cs="仿宋"/>
          <w:spacing w:val="60"/>
          <w:sz w:val="42"/>
          <w:szCs w:val="32"/>
        </w:rPr>
      </w:pPr>
    </w:p>
    <w:p>
      <w:pPr>
        <w:ind w:firstLine="536" w:firstLineChars="100"/>
        <w:rPr>
          <w:rFonts w:hint="eastAsia" w:ascii="方正小标宋简体" w:eastAsia="仿宋" w:cs="仿宋"/>
          <w:spacing w:val="60"/>
          <w:sz w:val="42"/>
          <w:szCs w:val="32"/>
        </w:rPr>
      </w:pPr>
    </w:p>
    <w:p>
      <w:pPr>
        <w:ind w:firstLine="536" w:firstLineChars="100"/>
        <w:rPr>
          <w:rFonts w:ascii="方正小标宋简体" w:eastAsia="仿宋" w:cs="仿宋"/>
          <w:spacing w:val="60"/>
          <w:sz w:val="42"/>
          <w:szCs w:val="32"/>
        </w:rPr>
      </w:pPr>
      <w:r>
        <w:rPr>
          <w:rFonts w:hint="eastAsia" w:ascii="方正小标宋简体" w:eastAsia="仿宋" w:cs="仿宋"/>
          <w:spacing w:val="60"/>
          <w:sz w:val="42"/>
          <w:szCs w:val="32"/>
        </w:rPr>
        <w:t>第一部分</w:t>
      </w:r>
    </w:p>
    <w:p>
      <w:pPr>
        <w:jc w:val="center"/>
        <w:rPr>
          <w:rFonts w:ascii="方正小标宋简体" w:eastAsia="仿宋" w:cs="仿宋"/>
          <w:spacing w:val="60"/>
          <w:sz w:val="42"/>
          <w:szCs w:val="32"/>
        </w:rPr>
      </w:pPr>
    </w:p>
    <w:p>
      <w:pPr>
        <w:jc w:val="center"/>
        <w:rPr>
          <w:rFonts w:ascii="方正小标宋简体" w:eastAsia="仿宋" w:cs="仿宋"/>
          <w:spacing w:val="60"/>
          <w:sz w:val="48"/>
          <w:szCs w:val="32"/>
        </w:rPr>
      </w:pPr>
      <w:r>
        <w:rPr>
          <w:rFonts w:hint="eastAsia" w:ascii="方正小标宋简体" w:eastAsia="仿宋" w:cs="仿宋"/>
          <w:spacing w:val="60"/>
          <w:sz w:val="48"/>
          <w:szCs w:val="32"/>
        </w:rPr>
        <w:t>部门概况</w:t>
      </w:r>
    </w:p>
    <w:p>
      <w:pPr>
        <w:jc w:val="center"/>
        <w:rPr>
          <w:rFonts w:ascii="仿宋_GB2312" w:eastAsia="仿宋" w:cs="仿宋"/>
          <w:szCs w:val="32"/>
        </w:rPr>
        <w:sectPr>
          <w:headerReference r:id="rId3" w:type="default"/>
          <w:footerReference r:id="rId4" w:type="default"/>
          <w:pgSz w:w="11906" w:h="16838"/>
          <w:pgMar w:top="1701" w:right="1531" w:bottom="1701" w:left="1531" w:header="0" w:footer="1418" w:gutter="0"/>
          <w:cols w:space="720" w:num="1"/>
          <w:docGrid w:type="linesAndChars" w:linePitch="610" w:charSpace="-849"/>
        </w:sectPr>
      </w:pPr>
    </w:p>
    <w:p>
      <w:pPr>
        <w:ind w:firstLine="632" w:firstLineChars="200"/>
        <w:rPr>
          <w:rFonts w:ascii="仿宋_GB2312" w:eastAsia="仿宋_GB2312"/>
        </w:rPr>
      </w:pPr>
      <w:r>
        <w:rPr>
          <w:rFonts w:hint="eastAsia" w:ascii="黑体" w:hAnsi="黑体" w:eastAsia="黑体"/>
        </w:rPr>
        <w:t>一、部门职责</w:t>
      </w:r>
    </w:p>
    <w:p>
      <w:pPr>
        <w:ind w:firstLine="632" w:firstLineChars="200"/>
        <w:rPr>
          <w:rFonts w:hint="eastAsia" w:ascii="仿宋_GB2312" w:eastAsia="仿宋_GB2312"/>
        </w:rPr>
      </w:pPr>
      <w:r>
        <w:rPr>
          <w:rFonts w:hint="eastAsia" w:ascii="仿宋_GB2312" w:eastAsia="仿宋_GB2312"/>
        </w:rPr>
        <w:t>（一）贯彻落实国家有关农机安全生产的法律、法规和政策，负责全区农机安全生产工作，拟定全区农机安全生产工作计划；</w:t>
      </w:r>
    </w:p>
    <w:p>
      <w:pPr>
        <w:ind w:firstLine="632" w:firstLineChars="200"/>
        <w:rPr>
          <w:rFonts w:hint="eastAsia" w:ascii="仿宋_GB2312" w:eastAsia="仿宋_GB2312"/>
        </w:rPr>
      </w:pPr>
      <w:r>
        <w:rPr>
          <w:rFonts w:hint="eastAsia" w:ascii="仿宋_GB2312" w:eastAsia="仿宋_GB2312"/>
        </w:rPr>
        <w:t>（二）农业机械的登记和备案，农业机械的安全技术检验；</w:t>
      </w:r>
    </w:p>
    <w:p>
      <w:pPr>
        <w:ind w:firstLine="632" w:firstLineChars="200"/>
        <w:rPr>
          <w:rFonts w:hint="eastAsia" w:ascii="仿宋_GB2312" w:eastAsia="仿宋_GB2312"/>
        </w:rPr>
      </w:pPr>
      <w:r>
        <w:rPr>
          <w:rFonts w:hint="eastAsia" w:ascii="仿宋_GB2312" w:eastAsia="仿宋_GB2312"/>
        </w:rPr>
        <w:t>（三）驾驶操作人员的考试、证件核发和审验；</w:t>
      </w:r>
    </w:p>
    <w:p>
      <w:pPr>
        <w:ind w:firstLine="632" w:firstLineChars="200"/>
        <w:rPr>
          <w:rFonts w:hint="eastAsia" w:ascii="仿宋_GB2312" w:eastAsia="仿宋_GB2312"/>
        </w:rPr>
      </w:pPr>
      <w:r>
        <w:rPr>
          <w:rFonts w:hint="eastAsia" w:ascii="仿宋_GB2312" w:eastAsia="仿宋_GB2312"/>
        </w:rPr>
        <w:t>（四）农业机械生产安全监督管理，提出农机、驾驶人员的安全生产隐患排查方案并组织落实，负责做好过程记录及建档备查工作；</w:t>
      </w:r>
    </w:p>
    <w:p>
      <w:pPr>
        <w:ind w:firstLine="632" w:firstLineChars="200"/>
        <w:rPr>
          <w:rFonts w:hint="eastAsia" w:ascii="仿宋_GB2312" w:eastAsia="仿宋_GB2312"/>
        </w:rPr>
      </w:pPr>
      <w:r>
        <w:rPr>
          <w:rFonts w:hint="eastAsia" w:ascii="仿宋_GB2312" w:eastAsia="仿宋_GB2312"/>
        </w:rPr>
        <w:t>（五）农机安全事故防范工作及农机事故统计、报告、调查处理；</w:t>
      </w:r>
    </w:p>
    <w:p>
      <w:pPr>
        <w:ind w:firstLine="632" w:firstLineChars="200"/>
        <w:rPr>
          <w:rFonts w:ascii="仿宋_GB2312" w:eastAsia="仿宋_GB2312"/>
        </w:rPr>
      </w:pPr>
      <w:r>
        <w:rPr>
          <w:rFonts w:hint="eastAsia" w:ascii="仿宋_GB2312" w:eastAsia="仿宋_GB2312"/>
        </w:rPr>
        <w:t>（六）国家和地方法律法规授权的其他事项。</w:t>
      </w:r>
    </w:p>
    <w:p>
      <w:pPr>
        <w:ind w:firstLine="632" w:firstLineChars="200"/>
        <w:rPr>
          <w:rFonts w:ascii="黑体" w:hAnsi="黑体" w:eastAsia="黑体"/>
        </w:rPr>
      </w:pPr>
      <w:r>
        <w:rPr>
          <w:rFonts w:hint="eastAsia" w:ascii="黑体" w:hAnsi="黑体" w:eastAsia="黑体"/>
        </w:rPr>
        <w:t>二、机构设置</w:t>
      </w:r>
    </w:p>
    <w:p>
      <w:pPr>
        <w:ind w:firstLine="632" w:firstLineChars="200"/>
        <w:rPr>
          <w:rFonts w:hint="eastAsia" w:ascii="仿宋_GB2312" w:eastAsia="仿宋_GB2312" w:cs="仿宋_GB2312"/>
        </w:rPr>
      </w:pPr>
      <w:r>
        <w:rPr>
          <w:rFonts w:hint="eastAsia" w:ascii="仿宋_GB2312" w:eastAsia="仿宋_GB2312"/>
        </w:rPr>
        <w:t>从决算单位构成看，原威海市文登区农业机械安全监理站部门决算包括：原威海市文登区农业机械安全监理站</w:t>
      </w:r>
      <w:r>
        <w:rPr>
          <w:rFonts w:hint="eastAsia" w:ascii="仿宋_GB2312" w:eastAsia="仿宋_GB2312" w:cs="仿宋_GB2312"/>
        </w:rPr>
        <w:t>决算。</w:t>
      </w:r>
    </w:p>
    <w:p>
      <w:pPr>
        <w:ind w:firstLine="632" w:firstLineChars="200"/>
        <w:rPr>
          <w:rFonts w:hint="eastAsia" w:ascii="仿宋_GB2312" w:eastAsia="仿宋_GB2312"/>
        </w:rPr>
      </w:pPr>
      <w:r>
        <w:rPr>
          <w:rFonts w:hint="eastAsia" w:ascii="仿宋_GB2312" w:eastAsia="仿宋_GB2312"/>
        </w:rPr>
        <w:t>纳入原威海市文登区农业机械安全监理站2019年度部门决算编制范围的预算单位1个，包括：</w:t>
      </w:r>
    </w:p>
    <w:p>
      <w:pPr>
        <w:numPr>
          <w:ilvl w:val="0"/>
          <w:numId w:val="1"/>
        </w:numPr>
        <w:ind w:firstLine="632" w:firstLineChars="200"/>
        <w:rPr>
          <w:rFonts w:hint="eastAsia" w:ascii="仿宋_GB2312" w:eastAsia="仿宋_GB2312"/>
        </w:rPr>
      </w:pPr>
      <w:r>
        <w:rPr>
          <w:rFonts w:hint="eastAsia" w:ascii="仿宋_GB2312" w:eastAsia="仿宋_GB2312"/>
        </w:rPr>
        <w:t>原威海市文登区农业机械安全监理站</w:t>
      </w:r>
    </w:p>
    <w:p>
      <w:pPr>
        <w:ind w:firstLine="632" w:firstLineChars="200"/>
        <w:rPr>
          <w:rFonts w:ascii="仿宋_GB2312" w:eastAsia="仿宋_GB2312"/>
        </w:rPr>
        <w:sectPr>
          <w:pgSz w:w="11906" w:h="16838"/>
          <w:pgMar w:top="1701" w:right="1531" w:bottom="1701" w:left="1531" w:header="0" w:footer="1418" w:gutter="0"/>
          <w:cols w:space="720" w:num="1"/>
          <w:docGrid w:type="linesAndChars" w:linePitch="610" w:charSpace="-849"/>
        </w:sectPr>
      </w:pPr>
    </w:p>
    <w:p>
      <w:pPr>
        <w:jc w:val="center"/>
        <w:rPr>
          <w:rFonts w:ascii="方正小标宋简体" w:eastAsia="方正小标宋简体"/>
          <w:sz w:val="42"/>
        </w:rPr>
      </w:pPr>
    </w:p>
    <w:p>
      <w:pPr>
        <w:ind w:firstLine="536" w:firstLineChars="100"/>
        <w:rPr>
          <w:rFonts w:ascii="方正小标宋简体" w:eastAsia="仿宋" w:cs="仿宋"/>
          <w:spacing w:val="60"/>
          <w:sz w:val="42"/>
          <w:szCs w:val="32"/>
        </w:rPr>
      </w:pPr>
    </w:p>
    <w:p>
      <w:pPr>
        <w:ind w:firstLine="536" w:firstLineChars="100"/>
        <w:rPr>
          <w:rFonts w:ascii="方正小标宋简体" w:eastAsia="仿宋" w:cs="仿宋"/>
          <w:spacing w:val="60"/>
          <w:sz w:val="42"/>
          <w:szCs w:val="32"/>
        </w:rPr>
      </w:pPr>
      <w:r>
        <w:rPr>
          <w:rFonts w:hint="eastAsia" w:ascii="方正小标宋简体" w:eastAsia="仿宋" w:cs="仿宋"/>
          <w:spacing w:val="60"/>
          <w:sz w:val="42"/>
          <w:szCs w:val="32"/>
        </w:rPr>
        <w:t>第二部分</w:t>
      </w:r>
    </w:p>
    <w:p>
      <w:pPr>
        <w:ind w:firstLine="536" w:firstLineChars="100"/>
        <w:rPr>
          <w:rFonts w:ascii="方正小标宋简体" w:eastAsia="仿宋" w:cs="仿宋"/>
          <w:spacing w:val="60"/>
          <w:sz w:val="42"/>
          <w:szCs w:val="32"/>
        </w:rPr>
      </w:pPr>
    </w:p>
    <w:p>
      <w:pPr>
        <w:ind w:firstLine="536" w:firstLineChars="100"/>
        <w:rPr>
          <w:rFonts w:ascii="方正小标宋简体" w:eastAsia="仿宋" w:cs="仿宋"/>
          <w:spacing w:val="60"/>
          <w:sz w:val="42"/>
          <w:szCs w:val="32"/>
        </w:rPr>
        <w:sectPr>
          <w:pgSz w:w="11906" w:h="16838"/>
          <w:pgMar w:top="1701" w:right="1531" w:bottom="1701" w:left="1531" w:header="0" w:footer="1418" w:gutter="0"/>
          <w:cols w:space="720" w:num="1"/>
          <w:docGrid w:type="linesAndChars" w:linePitch="610" w:charSpace="-849"/>
        </w:sectPr>
      </w:pPr>
      <w:r>
        <w:rPr>
          <w:rFonts w:hint="eastAsia" w:ascii="方正小标宋简体" w:eastAsia="仿宋" w:cs="仿宋"/>
          <w:spacing w:val="60"/>
          <w:sz w:val="42"/>
          <w:szCs w:val="32"/>
        </w:rPr>
        <w:t>2019年度部门决算表</w:t>
      </w:r>
    </w:p>
    <w:p>
      <w:pPr>
        <w:jc w:val="center"/>
        <w:rPr>
          <w:rFonts w:ascii="仿宋" w:hAnsi="仿宋" w:eastAsia="仿宋" w:cs="仿宋"/>
          <w:sz w:val="44"/>
          <w:szCs w:val="44"/>
        </w:rPr>
      </w:pPr>
      <w:r>
        <w:rPr>
          <w:rFonts w:hint="eastAsia" w:ascii="仿宋" w:hAnsi="仿宋" w:eastAsia="仿宋" w:cs="仿宋"/>
          <w:sz w:val="44"/>
          <w:szCs w:val="44"/>
        </w:rPr>
        <w:t>收入支出决算总表</w:t>
      </w:r>
    </w:p>
    <w:p>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公开01表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原威海市文登区农业机械安全监理</w:t>
      </w:r>
      <w:r>
        <w:rPr>
          <w:rFonts w:hint="eastAsia" w:ascii="楷体_GB2312" w:eastAsia="楷体_GB2312"/>
          <w:sz w:val="28"/>
          <w:szCs w:val="28"/>
        </w:rPr>
        <w:t xml:space="preserve">                 单位：万元</w:t>
      </w:r>
    </w:p>
    <w:tbl>
      <w:tblPr>
        <w:tblStyle w:val="4"/>
        <w:tblW w:w="8819" w:type="dxa"/>
        <w:jc w:val="center"/>
        <w:tblLayout w:type="fixed"/>
        <w:tblCellMar>
          <w:top w:w="0" w:type="dxa"/>
          <w:left w:w="108" w:type="dxa"/>
          <w:bottom w:w="0" w:type="dxa"/>
          <w:right w:w="108" w:type="dxa"/>
        </w:tblCellMar>
      </w:tblPr>
      <w:tblGrid>
        <w:gridCol w:w="2879"/>
        <w:gridCol w:w="714"/>
        <w:gridCol w:w="1017"/>
        <w:gridCol w:w="2229"/>
        <w:gridCol w:w="714"/>
        <w:gridCol w:w="1266"/>
      </w:tblGrid>
      <w:tr>
        <w:tblPrEx>
          <w:tblCellMar>
            <w:top w:w="0" w:type="dxa"/>
            <w:left w:w="108" w:type="dxa"/>
            <w:bottom w:w="0" w:type="dxa"/>
            <w:right w:w="108" w:type="dxa"/>
          </w:tblCellMar>
        </w:tblPrEx>
        <w:trPr>
          <w:trHeight w:val="329" w:hRule="exact"/>
          <w:jc w:val="center"/>
        </w:trPr>
        <w:tc>
          <w:tcPr>
            <w:tcW w:w="4610" w:type="dxa"/>
            <w:gridSpan w:val="3"/>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收 入</w:t>
            </w:r>
          </w:p>
        </w:tc>
        <w:tc>
          <w:tcPr>
            <w:tcW w:w="4209" w:type="dxa"/>
            <w:gridSpan w:val="3"/>
            <w:tcBorders>
              <w:top w:val="single" w:color="auto" w:sz="4" w:space="0"/>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支 出</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项 目</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行次</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决算数</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项目（按功能分类）</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行次</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决算数</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栏 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22"/>
                <w:szCs w:val="22"/>
              </w:rPr>
            </w:pP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1</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栏 次</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p>
        </w:tc>
        <w:tc>
          <w:tcPr>
            <w:tcW w:w="1266"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22"/>
                <w:szCs w:val="22"/>
              </w:rPr>
            </w:pPr>
            <w:r>
              <w:rPr>
                <w:rFonts w:hint="eastAsia" w:ascii="仿宋_GB2312" w:eastAsia="仿宋_GB2312"/>
                <w:sz w:val="22"/>
                <w:szCs w:val="22"/>
              </w:rPr>
              <w:t>2</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一、一般公共预算财政拨款收入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218.22</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宋体" w:hAnsi="宋体" w:eastAsia="宋体" w:cs="宋体"/>
                <w:i w:val="0"/>
                <w:color w:val="000000"/>
                <w:kern w:val="2"/>
                <w:sz w:val="22"/>
                <w:szCs w:val="22"/>
                <w:u w:val="none"/>
                <w:lang w:val="en-US" w:eastAsia="zh-CN" w:bidi="ar-SA"/>
              </w:rPr>
            </w:pPr>
            <w:r>
              <w:rPr>
                <w:rFonts w:hint="eastAsia" w:ascii="仿宋_GB2312" w:eastAsia="仿宋_GB2312"/>
                <w:sz w:val="18"/>
                <w:szCs w:val="18"/>
                <w:lang w:val="en-US" w:eastAsia="zh-CN"/>
              </w:rPr>
              <w:t>一、一般公共服务支出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30</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4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二、政府性基金预算财政拨款收入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lang w:val="en-US" w:eastAsia="zh-CN"/>
              </w:rPr>
            </w:pPr>
            <w:r>
              <w:rPr>
                <w:rFonts w:hint="eastAsia" w:ascii="仿宋_GB2312" w:eastAsia="仿宋_GB2312"/>
                <w:sz w:val="18"/>
                <w:szCs w:val="18"/>
                <w:lang w:val="en-US" w:eastAsia="zh-CN"/>
              </w:rPr>
              <w:t>二、外交支出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31</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29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三、上级补助收入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both"/>
              <w:rPr>
                <w:rFonts w:hint="eastAsia" w:ascii="宋体" w:hAnsi="宋体" w:eastAsia="宋体" w:cs="宋体"/>
                <w:i w:val="0"/>
                <w:color w:val="000000"/>
                <w:kern w:val="2"/>
                <w:sz w:val="22"/>
                <w:szCs w:val="22"/>
                <w:u w:val="none"/>
                <w:lang w:val="en-US" w:eastAsia="zh-CN" w:bidi="ar-SA"/>
              </w:rPr>
            </w:pPr>
            <w:r>
              <w:rPr>
                <w:rFonts w:hint="eastAsia" w:ascii="仿宋_GB2312" w:eastAsia="仿宋_GB2312"/>
                <w:sz w:val="18"/>
                <w:szCs w:val="18"/>
                <w:lang w:val="en-US" w:eastAsia="zh-CN"/>
              </w:rPr>
              <w:t>三、国防支出</w:t>
            </w: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32</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四、事业收入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四、公共安全支出</w:t>
            </w:r>
          </w:p>
          <w:p>
            <w:pPr>
              <w:spacing w:line="240" w:lineRule="exact"/>
              <w:jc w:val="left"/>
              <w:rPr>
                <w:rFonts w:ascii="仿宋_GB2312" w:eastAsia="仿宋_GB2312"/>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33</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五、经营收入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五、教育支出</w:t>
            </w:r>
          </w:p>
          <w:p>
            <w:pPr>
              <w:spacing w:line="240" w:lineRule="exact"/>
              <w:jc w:val="left"/>
              <w:rPr>
                <w:rFonts w:ascii="仿宋_GB2312" w:eastAsia="仿宋_GB2312"/>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34</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六、附属单位上缴收入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6</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六、科学技术支出</w:t>
            </w:r>
          </w:p>
          <w:p>
            <w:pPr>
              <w:spacing w:line="240" w:lineRule="exact"/>
              <w:jc w:val="left"/>
              <w:rPr>
                <w:rFonts w:ascii="仿宋_GB2312" w:eastAsia="仿宋_GB2312"/>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35</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504"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七、其他收入</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7</w:t>
            </w:r>
          </w:p>
        </w:tc>
        <w:tc>
          <w:tcPr>
            <w:tcW w:w="1017" w:type="dxa"/>
            <w:tcBorders>
              <w:top w:val="nil"/>
              <w:left w:val="nil"/>
              <w:bottom w:val="single" w:color="auto" w:sz="4" w:space="0"/>
              <w:right w:val="single" w:color="auto" w:sz="4" w:space="0"/>
            </w:tcBorders>
            <w:noWrap/>
            <w:vAlign w:val="center"/>
          </w:tcPr>
          <w:p>
            <w:pPr>
              <w:tabs>
                <w:tab w:val="left" w:pos="372"/>
              </w:tabs>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七、文化旅游体育与传媒支出</w:t>
            </w:r>
          </w:p>
          <w:p>
            <w:pPr>
              <w:spacing w:line="240" w:lineRule="exact"/>
              <w:jc w:val="left"/>
              <w:rPr>
                <w:rFonts w:ascii="仿宋_GB2312" w:eastAsia="仿宋_GB2312"/>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36</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八、社会保障和就业支出</w:t>
            </w:r>
          </w:p>
          <w:p>
            <w:pPr>
              <w:spacing w:line="240" w:lineRule="exact"/>
              <w:jc w:val="left"/>
              <w:rPr>
                <w:rFonts w:ascii="仿宋_GB2312" w:eastAsia="仿宋_GB2312"/>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37</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宋体" w:hAnsi="宋体" w:eastAsia="宋体" w:cs="宋体"/>
                <w:i w:val="0"/>
                <w:color w:val="000000"/>
                <w:kern w:val="2"/>
                <w:sz w:val="22"/>
                <w:szCs w:val="22"/>
                <w:u w:val="none"/>
                <w:lang w:val="en-US" w:eastAsia="zh-CN" w:bidi="ar-SA"/>
              </w:rPr>
            </w:pPr>
            <w:r>
              <w:rPr>
                <w:rFonts w:hint="eastAsia" w:ascii="仿宋_GB2312" w:eastAsia="仿宋_GB2312"/>
                <w:sz w:val="18"/>
                <w:szCs w:val="18"/>
                <w:lang w:val="en-US" w:eastAsia="zh-CN"/>
              </w:rPr>
              <w:t>8.49</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九、卫生健康支出</w:t>
            </w:r>
          </w:p>
          <w:p>
            <w:pPr>
              <w:spacing w:line="240" w:lineRule="exact"/>
              <w:jc w:val="left"/>
              <w:rPr>
                <w:rFonts w:ascii="仿宋_GB2312" w:eastAsia="仿宋_GB2312"/>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38</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4.70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10</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十、节能环保支出</w:t>
            </w:r>
          </w:p>
          <w:p>
            <w:pPr>
              <w:spacing w:line="240" w:lineRule="exact"/>
              <w:jc w:val="left"/>
              <w:rPr>
                <w:rFonts w:ascii="仿宋_GB2312" w:eastAsia="仿宋_GB2312"/>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39</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十一、城乡社区支出</w:t>
            </w:r>
          </w:p>
          <w:p>
            <w:pPr>
              <w:spacing w:line="240" w:lineRule="exact"/>
              <w:jc w:val="left"/>
              <w:rPr>
                <w:rFonts w:ascii="仿宋_GB2312" w:eastAsia="仿宋_GB2312"/>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40</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十二、农林水支出</w:t>
            </w:r>
          </w:p>
          <w:p>
            <w:pPr>
              <w:spacing w:line="240" w:lineRule="exact"/>
              <w:jc w:val="left"/>
              <w:rPr>
                <w:rFonts w:ascii="仿宋_GB2312" w:eastAsia="仿宋_GB2312"/>
                <w:sz w:val="18"/>
                <w:szCs w:val="18"/>
              </w:rPr>
            </w:pPr>
          </w:p>
        </w:tc>
        <w:tc>
          <w:tcPr>
            <w:tcW w:w="714" w:type="dxa"/>
            <w:tcBorders>
              <w:top w:val="nil"/>
              <w:left w:val="single" w:color="auto" w:sz="4" w:space="0"/>
              <w:bottom w:val="single" w:color="auto" w:sz="4" w:space="0"/>
              <w:right w:val="nil"/>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41</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198.22</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十三、交通运输支出</w:t>
            </w:r>
          </w:p>
          <w:p>
            <w:pPr>
              <w:spacing w:line="240" w:lineRule="exact"/>
              <w:jc w:val="left"/>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42</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十四、资源勘探信息等支出</w:t>
            </w:r>
          </w:p>
          <w:p>
            <w:pPr>
              <w:spacing w:line="240" w:lineRule="exact"/>
              <w:jc w:val="left"/>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43</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十五、商业服务业等支出</w:t>
            </w:r>
          </w:p>
          <w:p>
            <w:pPr>
              <w:spacing w:line="240" w:lineRule="exact"/>
              <w:jc w:val="left"/>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44</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16</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十六、金融支出</w:t>
            </w:r>
          </w:p>
          <w:p>
            <w:pPr>
              <w:spacing w:line="240" w:lineRule="exact"/>
              <w:jc w:val="left"/>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45</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17</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十七、援助其他地区支出</w:t>
            </w:r>
          </w:p>
          <w:p>
            <w:pPr>
              <w:spacing w:line="240" w:lineRule="exact"/>
              <w:jc w:val="left"/>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46</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46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十八、自然资源海洋气象等支出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47</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19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十九、住房保障支出</w:t>
            </w:r>
          </w:p>
          <w:p>
            <w:pPr>
              <w:spacing w:line="240" w:lineRule="exact"/>
              <w:jc w:val="left"/>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48</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6.81</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20</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二十、粮油物资储备支出</w:t>
            </w:r>
          </w:p>
          <w:p>
            <w:pPr>
              <w:spacing w:line="240" w:lineRule="exact"/>
              <w:jc w:val="left"/>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49</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514"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二十一、灾害防治及应急管理支出</w:t>
            </w:r>
          </w:p>
          <w:p>
            <w:pPr>
              <w:spacing w:line="240" w:lineRule="exact"/>
              <w:jc w:val="left"/>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50</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二十二、其他支出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51</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18"/>
                <w:szCs w:val="18"/>
              </w:rPr>
            </w:pPr>
            <w:r>
              <w:rPr>
                <w:rFonts w:hint="eastAsia" w:ascii="仿宋_GB2312" w:eastAsia="仿宋_GB2312"/>
                <w:sz w:val="18"/>
                <w:szCs w:val="18"/>
              </w:rPr>
              <w:t>二十三、债务还本支出</w:t>
            </w:r>
          </w:p>
          <w:p>
            <w:pPr>
              <w:spacing w:line="240" w:lineRule="exact"/>
              <w:jc w:val="left"/>
              <w:rPr>
                <w:rFonts w:hint="eastAsia" w:ascii="仿宋_GB2312" w:eastAsia="仿宋_GB2312"/>
                <w:sz w:val="18"/>
                <w:szCs w:val="18"/>
              </w:rPr>
            </w:pPr>
          </w:p>
          <w:p>
            <w:pPr>
              <w:spacing w:line="240" w:lineRule="exact"/>
              <w:jc w:val="left"/>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52</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24</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二十四、债务付息支出</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53</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本年收入合计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25</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218.22</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本年支出合计</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54</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218.22</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用事业基金弥补收支差额</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26</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结余分配</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55</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年初结转和结余</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27</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ascii="仿宋_GB2312" w:eastAsia="仿宋_GB2312"/>
                <w:sz w:val="18"/>
                <w:szCs w:val="18"/>
              </w:rPr>
            </w:pPr>
            <w:r>
              <w:rPr>
                <w:rFonts w:hint="eastAsia" w:ascii="仿宋_GB2312" w:eastAsia="仿宋_GB2312"/>
                <w:sz w:val="18"/>
                <w:szCs w:val="18"/>
              </w:rPr>
              <w:t>年末结转和结余</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56</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28</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57</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总计</w:t>
            </w:r>
          </w:p>
        </w:tc>
        <w:tc>
          <w:tcPr>
            <w:tcW w:w="714" w:type="dxa"/>
            <w:tcBorders>
              <w:top w:val="nil"/>
              <w:left w:val="single" w:color="auto" w:sz="4" w:space="0"/>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29</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218.22</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总计</w:t>
            </w:r>
          </w:p>
        </w:tc>
        <w:tc>
          <w:tcPr>
            <w:tcW w:w="714" w:type="dxa"/>
            <w:tcBorders>
              <w:top w:val="nil"/>
              <w:left w:val="nil"/>
              <w:bottom w:val="single" w:color="auto" w:sz="4" w:space="0"/>
              <w:right w:val="single" w:color="auto" w:sz="4" w:space="0"/>
            </w:tcBorders>
            <w:noWrap/>
            <w:vAlign w:val="center"/>
          </w:tcPr>
          <w:p>
            <w:pPr>
              <w:spacing w:line="240" w:lineRule="exact"/>
              <w:jc w:val="center"/>
              <w:rPr>
                <w:rFonts w:ascii="仿宋_GB2312" w:eastAsia="仿宋_GB2312"/>
                <w:sz w:val="18"/>
                <w:szCs w:val="18"/>
              </w:rPr>
            </w:pPr>
            <w:r>
              <w:rPr>
                <w:rFonts w:hint="eastAsia" w:ascii="仿宋_GB2312" w:eastAsia="仿宋_GB2312"/>
                <w:sz w:val="18"/>
                <w:szCs w:val="18"/>
              </w:rPr>
              <w:t>58</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218.22</w:t>
            </w:r>
          </w:p>
        </w:tc>
      </w:tr>
    </w:tbl>
    <w:p>
      <w:pPr>
        <w:ind w:firstLine="88" w:firstLineChars="50"/>
        <w:rPr>
          <w:rFonts w:ascii="楷体_GB2312" w:eastAsia="楷体_GB2312"/>
          <w:sz w:val="18"/>
          <w:szCs w:val="18"/>
        </w:rPr>
      </w:pPr>
      <w:r>
        <w:rPr>
          <w:rFonts w:hint="eastAsia" w:ascii="仿宋_GB2312" w:hAnsi="宋体" w:eastAsia="仿宋_GB2312"/>
          <w:sz w:val="18"/>
          <w:szCs w:val="18"/>
        </w:rPr>
        <w:t>注：本表反映部门本年度的总收支和年末结转结余情况。</w:t>
      </w:r>
    </w:p>
    <w:p>
      <w:pPr>
        <w:rPr>
          <w:rFonts w:ascii="楷体_GB2312" w:eastAsia="楷体_GB2312"/>
          <w:sz w:val="28"/>
          <w:szCs w:val="28"/>
        </w:rPr>
        <w:sectPr>
          <w:pgSz w:w="11906" w:h="16838"/>
          <w:pgMar w:top="1701" w:right="1531" w:bottom="1701" w:left="1531" w:header="0" w:footer="1418" w:gutter="0"/>
          <w:cols w:space="720" w:num="1"/>
          <w:docGrid w:type="linesAndChars" w:linePitch="610" w:charSpace="-849"/>
        </w:sectPr>
      </w:pPr>
    </w:p>
    <w:p>
      <w:pPr>
        <w:jc w:val="center"/>
        <w:rPr>
          <w:rFonts w:ascii="仿宋" w:hAnsi="仿宋" w:eastAsia="仿宋" w:cs="仿宋"/>
          <w:sz w:val="44"/>
          <w:szCs w:val="44"/>
        </w:rPr>
      </w:pPr>
      <w:r>
        <w:rPr>
          <w:rFonts w:hint="eastAsia" w:ascii="仿宋" w:hAnsi="仿宋" w:eastAsia="仿宋" w:cs="仿宋"/>
          <w:sz w:val="44"/>
          <w:szCs w:val="44"/>
        </w:rPr>
        <w:t>收入决算表</w:t>
      </w:r>
    </w:p>
    <w:p>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公开02表 </w:t>
      </w:r>
    </w:p>
    <w:p>
      <w:pPr>
        <w:tabs>
          <w:tab w:val="left" w:pos="13467"/>
        </w:tabs>
        <w:wordWrap w:val="0"/>
        <w:spacing w:line="400" w:lineRule="exact"/>
        <w:ind w:right="107"/>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原威海市文登区农业机械安全监理站</w:t>
      </w:r>
      <w:r>
        <w:rPr>
          <w:rFonts w:hint="eastAsia" w:ascii="楷体_GB2312" w:eastAsia="楷体_GB2312"/>
          <w:sz w:val="28"/>
          <w:szCs w:val="28"/>
        </w:rPr>
        <w:t xml:space="preserve">                                                            单位：万元</w:t>
      </w:r>
    </w:p>
    <w:tbl>
      <w:tblPr>
        <w:tblStyle w:val="4"/>
        <w:tblW w:w="13433" w:type="dxa"/>
        <w:jc w:val="center"/>
        <w:tblLayout w:type="fixed"/>
        <w:tblCellMar>
          <w:top w:w="0" w:type="dxa"/>
          <w:left w:w="108" w:type="dxa"/>
          <w:bottom w:w="0" w:type="dxa"/>
          <w:right w:w="108" w:type="dxa"/>
        </w:tblCellMar>
      </w:tblPr>
      <w:tblGrid>
        <w:gridCol w:w="1296"/>
        <w:gridCol w:w="110"/>
        <w:gridCol w:w="1809"/>
        <w:gridCol w:w="1115"/>
        <w:gridCol w:w="1517"/>
        <w:gridCol w:w="1523"/>
        <w:gridCol w:w="870"/>
        <w:gridCol w:w="1170"/>
        <w:gridCol w:w="1470"/>
        <w:gridCol w:w="1380"/>
        <w:gridCol w:w="1173"/>
      </w:tblGrid>
      <w:tr>
        <w:tblPrEx>
          <w:tblCellMar>
            <w:top w:w="0" w:type="dxa"/>
            <w:left w:w="108" w:type="dxa"/>
            <w:bottom w:w="0" w:type="dxa"/>
            <w:right w:w="108" w:type="dxa"/>
          </w:tblCellMar>
        </w:tblPrEx>
        <w:trPr>
          <w:trHeight w:val="458" w:hRule="atLeast"/>
          <w:jc w:val="center"/>
        </w:trPr>
        <w:tc>
          <w:tcPr>
            <w:tcW w:w="3215"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115"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本年收入合计</w:t>
            </w:r>
          </w:p>
        </w:tc>
        <w:tc>
          <w:tcPr>
            <w:tcW w:w="151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财政拨款收入</w:t>
            </w:r>
          </w:p>
        </w:tc>
        <w:tc>
          <w:tcPr>
            <w:tcW w:w="152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上级补助收入</w:t>
            </w:r>
          </w:p>
        </w:tc>
        <w:tc>
          <w:tcPr>
            <w:tcW w:w="2040"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ind w:firstLine="216" w:firstLineChars="100"/>
              <w:rPr>
                <w:rFonts w:ascii="仿宋_GB2312" w:hAnsi="宋体" w:eastAsia="仿宋_GB2312" w:cs="宋体"/>
                <w:kern w:val="0"/>
                <w:sz w:val="22"/>
                <w:szCs w:val="22"/>
              </w:rPr>
            </w:pPr>
            <w:r>
              <w:rPr>
                <w:rFonts w:hint="eastAsia" w:ascii="仿宋_GB2312" w:hAnsi="宋体" w:eastAsia="仿宋_GB2312" w:cs="宋体"/>
                <w:kern w:val="0"/>
                <w:sz w:val="22"/>
                <w:szCs w:val="22"/>
              </w:rPr>
              <w:t>事业收入</w:t>
            </w:r>
          </w:p>
        </w:tc>
        <w:tc>
          <w:tcPr>
            <w:tcW w:w="1470"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经营收入</w:t>
            </w:r>
          </w:p>
        </w:tc>
        <w:tc>
          <w:tcPr>
            <w:tcW w:w="1380" w:type="dxa"/>
            <w:vMerge w:val="restart"/>
            <w:tcBorders>
              <w:top w:val="single" w:color="auto" w:sz="4" w:space="0"/>
              <w:left w:val="single" w:color="auto" w:sz="4" w:space="0"/>
              <w:right w:val="single" w:color="auto" w:sz="4" w:space="0"/>
            </w:tcBorders>
            <w:noWrap/>
            <w:vAlign w:val="center"/>
          </w:tcPr>
          <w:p>
            <w:pPr>
              <w:widowControl/>
              <w:spacing w:line="300" w:lineRule="exact"/>
              <w:ind w:left="648" w:hanging="648" w:hangingChars="30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附属单位    </w:t>
            </w:r>
          </w:p>
          <w:p>
            <w:pPr>
              <w:widowControl/>
              <w:spacing w:line="300" w:lineRule="exact"/>
              <w:ind w:left="648" w:hanging="648" w:hangingChars="30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上缴收入</w:t>
            </w:r>
          </w:p>
        </w:tc>
        <w:tc>
          <w:tcPr>
            <w:tcW w:w="117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其他收入</w:t>
            </w:r>
          </w:p>
        </w:tc>
      </w:tr>
      <w:tr>
        <w:tblPrEx>
          <w:tblCellMar>
            <w:top w:w="0" w:type="dxa"/>
            <w:left w:w="108" w:type="dxa"/>
            <w:bottom w:w="0" w:type="dxa"/>
            <w:right w:w="108" w:type="dxa"/>
          </w:tblCellMar>
        </w:tblPrEx>
        <w:trPr>
          <w:trHeight w:val="312" w:hRule="atLeast"/>
          <w:jc w:val="center"/>
        </w:trPr>
        <w:tc>
          <w:tcPr>
            <w:tcW w:w="1406" w:type="dxa"/>
            <w:gridSpan w:val="2"/>
            <w:tcBorders>
              <w:top w:val="single" w:color="auto" w:sz="4" w:space="0"/>
              <w:left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809" w:type="dxa"/>
            <w:tcBorders>
              <w:top w:val="single" w:color="auto" w:sz="4" w:space="0"/>
              <w:left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115"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523"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8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ind w:firstLine="216" w:firstLineChars="100"/>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小计</w:t>
            </w:r>
          </w:p>
        </w:tc>
        <w:tc>
          <w:tcPr>
            <w:tcW w:w="1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ind w:firstLine="216" w:firstLineChars="100"/>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其中：教育收费</w:t>
            </w:r>
          </w:p>
        </w:tc>
        <w:tc>
          <w:tcPr>
            <w:tcW w:w="1470"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380" w:type="dxa"/>
            <w:vMerge w:val="continue"/>
            <w:tcBorders>
              <w:left w:val="single" w:color="auto" w:sz="4" w:space="0"/>
              <w:right w:val="single" w:color="auto" w:sz="4" w:space="0"/>
            </w:tcBorders>
            <w:noWrap/>
            <w:vAlign w:val="center"/>
          </w:tcPr>
          <w:p>
            <w:pPr>
              <w:widowControl/>
              <w:spacing w:line="300" w:lineRule="exact"/>
              <w:ind w:left="648" w:hanging="648" w:hangingChars="300"/>
              <w:jc w:val="center"/>
              <w:rPr>
                <w:rFonts w:ascii="仿宋_GB2312" w:hAnsi="宋体" w:eastAsia="仿宋_GB2312" w:cs="宋体"/>
                <w:kern w:val="0"/>
                <w:sz w:val="22"/>
                <w:szCs w:val="22"/>
              </w:rPr>
            </w:pPr>
          </w:p>
        </w:tc>
        <w:tc>
          <w:tcPr>
            <w:tcW w:w="1173" w:type="dxa"/>
            <w:vMerge w:val="continue"/>
            <w:tcBorders>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3215"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115"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23"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870"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170"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w:t>
            </w:r>
          </w:p>
        </w:tc>
        <w:tc>
          <w:tcPr>
            <w:tcW w:w="1470"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6</w:t>
            </w:r>
          </w:p>
        </w:tc>
        <w:tc>
          <w:tcPr>
            <w:tcW w:w="138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7</w:t>
            </w:r>
          </w:p>
        </w:tc>
        <w:tc>
          <w:tcPr>
            <w:tcW w:w="117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8</w:t>
            </w:r>
          </w:p>
        </w:tc>
      </w:tr>
      <w:tr>
        <w:tblPrEx>
          <w:tblCellMar>
            <w:top w:w="0" w:type="dxa"/>
            <w:left w:w="108" w:type="dxa"/>
            <w:bottom w:w="0" w:type="dxa"/>
            <w:right w:w="108" w:type="dxa"/>
          </w:tblCellMar>
        </w:tblPrEx>
        <w:trPr>
          <w:trHeight w:val="397" w:hRule="atLeast"/>
          <w:jc w:val="center"/>
        </w:trPr>
        <w:tc>
          <w:tcPr>
            <w:tcW w:w="3215"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115"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218.22</w:t>
            </w:r>
          </w:p>
        </w:tc>
        <w:tc>
          <w:tcPr>
            <w:tcW w:w="1517"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218.22</w:t>
            </w:r>
          </w:p>
        </w:tc>
        <w:tc>
          <w:tcPr>
            <w:tcW w:w="1523"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870"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0"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single" w:color="auto" w:sz="4" w:space="0"/>
              <w:left w:val="single" w:color="auto" w:sz="4" w:space="0"/>
              <w:bottom w:val="single" w:color="auto" w:sz="4" w:space="0"/>
              <w:right w:val="single" w:color="auto" w:sz="4" w:space="0"/>
            </w:tcBorders>
            <w:noWrap/>
            <w:vAlign w:val="center"/>
          </w:tcPr>
          <w:p>
            <w:pPr>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38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w:t>
            </w:r>
          </w:p>
        </w:tc>
        <w:tc>
          <w:tcPr>
            <w:tcW w:w="1919"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社会保障和就业支出</w:t>
            </w:r>
          </w:p>
        </w:tc>
        <w:tc>
          <w:tcPr>
            <w:tcW w:w="1115"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8.49</w:t>
            </w:r>
          </w:p>
        </w:tc>
        <w:tc>
          <w:tcPr>
            <w:tcW w:w="1517"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8.49</w:t>
            </w:r>
          </w:p>
        </w:tc>
        <w:tc>
          <w:tcPr>
            <w:tcW w:w="152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8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38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20805</w:t>
            </w:r>
          </w:p>
        </w:tc>
        <w:tc>
          <w:tcPr>
            <w:tcW w:w="1919" w:type="dxa"/>
            <w:gridSpan w:val="2"/>
            <w:tcBorders>
              <w:top w:val="nil"/>
              <w:left w:val="nil"/>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行政事业单位离退休</w:t>
            </w:r>
          </w:p>
        </w:tc>
        <w:tc>
          <w:tcPr>
            <w:tcW w:w="1115"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8.02</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8.02</w:t>
            </w:r>
          </w:p>
        </w:tc>
        <w:tc>
          <w:tcPr>
            <w:tcW w:w="152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87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0"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38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2080505</w:t>
            </w:r>
          </w:p>
        </w:tc>
        <w:tc>
          <w:tcPr>
            <w:tcW w:w="1919" w:type="dxa"/>
            <w:gridSpan w:val="2"/>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机关事业单位基本养老保险缴费支出</w:t>
            </w:r>
          </w:p>
        </w:tc>
        <w:tc>
          <w:tcPr>
            <w:tcW w:w="1115"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8.02</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8.02</w:t>
            </w:r>
          </w:p>
        </w:tc>
        <w:tc>
          <w:tcPr>
            <w:tcW w:w="152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8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0"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38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20899</w:t>
            </w:r>
          </w:p>
        </w:tc>
        <w:tc>
          <w:tcPr>
            <w:tcW w:w="1919" w:type="dxa"/>
            <w:gridSpan w:val="2"/>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其他社会保障和就业支出</w:t>
            </w:r>
          </w:p>
        </w:tc>
        <w:tc>
          <w:tcPr>
            <w:tcW w:w="1115"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0.47</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0.47</w:t>
            </w:r>
          </w:p>
        </w:tc>
        <w:tc>
          <w:tcPr>
            <w:tcW w:w="152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8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0"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38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2089901</w:t>
            </w:r>
          </w:p>
        </w:tc>
        <w:tc>
          <w:tcPr>
            <w:tcW w:w="1919" w:type="dxa"/>
            <w:gridSpan w:val="2"/>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其他社会保障和就业支出</w:t>
            </w:r>
          </w:p>
        </w:tc>
        <w:tc>
          <w:tcPr>
            <w:tcW w:w="1115"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0.47</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0.47</w:t>
            </w:r>
          </w:p>
        </w:tc>
        <w:tc>
          <w:tcPr>
            <w:tcW w:w="152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8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0"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38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w:t>
            </w:r>
          </w:p>
        </w:tc>
        <w:tc>
          <w:tcPr>
            <w:tcW w:w="1919" w:type="dxa"/>
            <w:gridSpan w:val="2"/>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卫生健康支出</w:t>
            </w:r>
          </w:p>
        </w:tc>
        <w:tc>
          <w:tcPr>
            <w:tcW w:w="1115"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4.7</w:t>
            </w:r>
            <w:r>
              <w:rPr>
                <w:rFonts w:hint="eastAsia" w:ascii="仿宋_GB2312" w:hAnsi="宋体" w:eastAsia="仿宋_GB2312" w:cs="宋体"/>
                <w:kern w:val="0"/>
                <w:sz w:val="22"/>
                <w:szCs w:val="22"/>
                <w:lang w:val="en-US" w:eastAsia="zh-CN"/>
              </w:rPr>
              <w:t>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4.7</w:t>
            </w:r>
            <w:r>
              <w:rPr>
                <w:rFonts w:hint="eastAsia" w:ascii="仿宋_GB2312" w:hAnsi="宋体" w:eastAsia="仿宋_GB2312" w:cs="宋体"/>
                <w:kern w:val="0"/>
                <w:sz w:val="22"/>
                <w:szCs w:val="22"/>
                <w:lang w:val="en-US" w:eastAsia="zh-CN"/>
              </w:rPr>
              <w:t>0</w:t>
            </w:r>
          </w:p>
        </w:tc>
        <w:tc>
          <w:tcPr>
            <w:tcW w:w="152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8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0"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38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w:t>
            </w:r>
          </w:p>
        </w:tc>
        <w:tc>
          <w:tcPr>
            <w:tcW w:w="1919" w:type="dxa"/>
            <w:gridSpan w:val="2"/>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行政事业单位医疗</w:t>
            </w:r>
          </w:p>
        </w:tc>
        <w:tc>
          <w:tcPr>
            <w:tcW w:w="1115"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4.7</w:t>
            </w:r>
            <w:r>
              <w:rPr>
                <w:rFonts w:hint="eastAsia" w:ascii="仿宋_GB2312" w:hAnsi="宋体" w:eastAsia="仿宋_GB2312" w:cs="宋体"/>
                <w:kern w:val="0"/>
                <w:sz w:val="22"/>
                <w:szCs w:val="22"/>
                <w:lang w:val="en-US" w:eastAsia="zh-CN"/>
              </w:rPr>
              <w:t>0</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4.7</w:t>
            </w:r>
            <w:r>
              <w:rPr>
                <w:rFonts w:hint="eastAsia" w:ascii="仿宋_GB2312" w:hAnsi="宋体" w:eastAsia="仿宋_GB2312" w:cs="宋体"/>
                <w:kern w:val="0"/>
                <w:sz w:val="22"/>
                <w:szCs w:val="22"/>
                <w:lang w:val="en-US" w:eastAsia="zh-CN"/>
              </w:rPr>
              <w:t>0</w:t>
            </w:r>
          </w:p>
        </w:tc>
        <w:tc>
          <w:tcPr>
            <w:tcW w:w="152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8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0"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38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2101102</w:t>
            </w:r>
          </w:p>
        </w:tc>
        <w:tc>
          <w:tcPr>
            <w:tcW w:w="1919" w:type="dxa"/>
            <w:gridSpan w:val="2"/>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事业单位医疗</w:t>
            </w:r>
          </w:p>
        </w:tc>
        <w:tc>
          <w:tcPr>
            <w:tcW w:w="1115"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3.78</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3.78</w:t>
            </w:r>
          </w:p>
        </w:tc>
        <w:tc>
          <w:tcPr>
            <w:tcW w:w="152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8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0"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38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2101103</w:t>
            </w:r>
          </w:p>
        </w:tc>
        <w:tc>
          <w:tcPr>
            <w:tcW w:w="1919" w:type="dxa"/>
            <w:gridSpan w:val="2"/>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公务员医疗补助</w:t>
            </w:r>
          </w:p>
        </w:tc>
        <w:tc>
          <w:tcPr>
            <w:tcW w:w="1115"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0.92</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0.92</w:t>
            </w:r>
          </w:p>
        </w:tc>
        <w:tc>
          <w:tcPr>
            <w:tcW w:w="152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8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0"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38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213</w:t>
            </w:r>
          </w:p>
        </w:tc>
        <w:tc>
          <w:tcPr>
            <w:tcW w:w="1919" w:type="dxa"/>
            <w:gridSpan w:val="2"/>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农林水支出</w:t>
            </w:r>
          </w:p>
        </w:tc>
        <w:tc>
          <w:tcPr>
            <w:tcW w:w="1115"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198.22</w:t>
            </w:r>
          </w:p>
        </w:tc>
        <w:tc>
          <w:tcPr>
            <w:tcW w:w="151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198.22</w:t>
            </w:r>
          </w:p>
        </w:tc>
        <w:tc>
          <w:tcPr>
            <w:tcW w:w="152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8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0"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38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17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21301</w:t>
            </w:r>
          </w:p>
        </w:tc>
        <w:tc>
          <w:tcPr>
            <w:tcW w:w="1919" w:type="dxa"/>
            <w:gridSpan w:val="2"/>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农业</w:t>
            </w:r>
          </w:p>
        </w:tc>
        <w:tc>
          <w:tcPr>
            <w:tcW w:w="1115"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198.22</w:t>
            </w:r>
          </w:p>
        </w:tc>
        <w:tc>
          <w:tcPr>
            <w:tcW w:w="1517"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198.22</w:t>
            </w:r>
          </w:p>
        </w:tc>
        <w:tc>
          <w:tcPr>
            <w:tcW w:w="152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8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38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2130104</w:t>
            </w:r>
          </w:p>
        </w:tc>
        <w:tc>
          <w:tcPr>
            <w:tcW w:w="1919" w:type="dxa"/>
            <w:gridSpan w:val="2"/>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事业运行</w:t>
            </w:r>
          </w:p>
        </w:tc>
        <w:tc>
          <w:tcPr>
            <w:tcW w:w="1115"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198.22</w:t>
            </w:r>
          </w:p>
        </w:tc>
        <w:tc>
          <w:tcPr>
            <w:tcW w:w="1517"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198.22</w:t>
            </w:r>
          </w:p>
        </w:tc>
        <w:tc>
          <w:tcPr>
            <w:tcW w:w="152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8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38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w:t>
            </w:r>
          </w:p>
        </w:tc>
        <w:tc>
          <w:tcPr>
            <w:tcW w:w="1919" w:type="dxa"/>
            <w:gridSpan w:val="2"/>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住房保障支出</w:t>
            </w:r>
          </w:p>
        </w:tc>
        <w:tc>
          <w:tcPr>
            <w:tcW w:w="1115"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517"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52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8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38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22102</w:t>
            </w:r>
          </w:p>
        </w:tc>
        <w:tc>
          <w:tcPr>
            <w:tcW w:w="1919" w:type="dxa"/>
            <w:gridSpan w:val="2"/>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住房改革支出</w:t>
            </w:r>
          </w:p>
        </w:tc>
        <w:tc>
          <w:tcPr>
            <w:tcW w:w="1115"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517"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52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8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38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2210201</w:t>
            </w:r>
          </w:p>
        </w:tc>
        <w:tc>
          <w:tcPr>
            <w:tcW w:w="1919" w:type="dxa"/>
            <w:gridSpan w:val="2"/>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住房公积金</w:t>
            </w:r>
          </w:p>
        </w:tc>
        <w:tc>
          <w:tcPr>
            <w:tcW w:w="1115"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517" w:type="dxa"/>
            <w:tcBorders>
              <w:top w:val="single" w:color="auto" w:sz="4" w:space="0"/>
              <w:left w:val="nil"/>
              <w:bottom w:val="single" w:color="auto" w:sz="4" w:space="0"/>
              <w:right w:val="single" w:color="auto" w:sz="4" w:space="0"/>
            </w:tcBorders>
            <w:noWrap/>
            <w:vAlign w:val="center"/>
          </w:tcPr>
          <w:p>
            <w:pPr>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218.22</w:t>
            </w:r>
          </w:p>
        </w:tc>
        <w:tc>
          <w:tcPr>
            <w:tcW w:w="152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8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4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38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7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bl>
    <w:p>
      <w:pPr>
        <w:ind w:firstLine="108" w:firstLineChars="50"/>
        <w:rPr>
          <w:rFonts w:hint="eastAsia" w:ascii="仿宋_GB2312" w:hAnsi="宋体" w:eastAsia="仿宋_GB2312"/>
          <w:sz w:val="22"/>
          <w:szCs w:val="22"/>
          <w:lang w:val="en-US" w:eastAsia="zh-CN"/>
        </w:rPr>
      </w:pPr>
      <w:r>
        <w:rPr>
          <w:rFonts w:hint="eastAsia" w:ascii="仿宋_GB2312" w:hAnsi="宋体" w:eastAsia="仿宋_GB2312"/>
          <w:sz w:val="22"/>
          <w:szCs w:val="22"/>
        </w:rPr>
        <w:t>注：本表反映部门本年度取得的各项收入情况。</w:t>
      </w:r>
    </w:p>
    <w:p>
      <w:pPr>
        <w:jc w:val="center"/>
        <w:rPr>
          <w:rFonts w:ascii="仿宋" w:hAnsi="仿宋" w:eastAsia="仿宋" w:cs="仿宋"/>
          <w:sz w:val="44"/>
          <w:szCs w:val="44"/>
        </w:rPr>
      </w:pPr>
    </w:p>
    <w:p>
      <w:pPr>
        <w:jc w:val="center"/>
        <w:rPr>
          <w:rFonts w:hint="eastAsia" w:ascii="仿宋" w:hAnsi="仿宋" w:eastAsia="仿宋" w:cs="仿宋"/>
          <w:sz w:val="44"/>
          <w:szCs w:val="44"/>
        </w:rPr>
      </w:pPr>
    </w:p>
    <w:p>
      <w:pPr>
        <w:jc w:val="center"/>
        <w:rPr>
          <w:rFonts w:hint="eastAsia" w:ascii="仿宋" w:hAnsi="仿宋" w:eastAsia="仿宋" w:cs="仿宋"/>
          <w:sz w:val="44"/>
          <w:szCs w:val="44"/>
        </w:rPr>
      </w:pPr>
    </w:p>
    <w:p>
      <w:pPr>
        <w:jc w:val="center"/>
        <w:rPr>
          <w:rFonts w:hint="eastAsia" w:ascii="仿宋" w:hAnsi="仿宋" w:eastAsia="仿宋" w:cs="仿宋"/>
          <w:sz w:val="44"/>
          <w:szCs w:val="44"/>
        </w:rPr>
      </w:pPr>
    </w:p>
    <w:p>
      <w:pPr>
        <w:jc w:val="center"/>
        <w:rPr>
          <w:rFonts w:hint="eastAsia" w:ascii="仿宋" w:hAnsi="仿宋" w:eastAsia="仿宋" w:cs="仿宋"/>
          <w:sz w:val="44"/>
          <w:szCs w:val="44"/>
        </w:rPr>
      </w:pPr>
    </w:p>
    <w:p>
      <w:pPr>
        <w:jc w:val="center"/>
        <w:rPr>
          <w:rFonts w:hint="eastAsia" w:ascii="仿宋" w:hAnsi="仿宋" w:eastAsia="仿宋" w:cs="仿宋"/>
          <w:sz w:val="44"/>
          <w:szCs w:val="44"/>
        </w:rPr>
      </w:pPr>
    </w:p>
    <w:p>
      <w:pPr>
        <w:jc w:val="center"/>
        <w:rPr>
          <w:rFonts w:hint="eastAsia" w:ascii="仿宋" w:hAnsi="仿宋" w:eastAsia="仿宋" w:cs="仿宋"/>
          <w:sz w:val="44"/>
          <w:szCs w:val="44"/>
        </w:rPr>
      </w:pPr>
    </w:p>
    <w:p>
      <w:pPr>
        <w:jc w:val="center"/>
        <w:rPr>
          <w:rFonts w:hint="eastAsia" w:ascii="仿宋" w:hAnsi="仿宋" w:eastAsia="仿宋" w:cs="仿宋"/>
          <w:sz w:val="44"/>
          <w:szCs w:val="44"/>
        </w:rPr>
      </w:pPr>
    </w:p>
    <w:p>
      <w:pPr>
        <w:jc w:val="center"/>
        <w:rPr>
          <w:rFonts w:ascii="仿宋" w:hAnsi="仿宋" w:eastAsia="仿宋" w:cs="仿宋"/>
          <w:sz w:val="44"/>
          <w:szCs w:val="44"/>
        </w:rPr>
      </w:pPr>
      <w:r>
        <w:rPr>
          <w:rFonts w:hint="eastAsia" w:ascii="仿宋" w:hAnsi="仿宋" w:eastAsia="仿宋" w:cs="仿宋"/>
          <w:sz w:val="44"/>
          <w:szCs w:val="44"/>
        </w:rPr>
        <w:t>支出决算表</w:t>
      </w:r>
    </w:p>
    <w:p>
      <w:pPr>
        <w:spacing w:line="400" w:lineRule="exact"/>
        <w:jc w:val="right"/>
        <w:rPr>
          <w:rFonts w:ascii="楷体_GB2312" w:eastAsia="楷体_GB2312"/>
          <w:sz w:val="28"/>
          <w:szCs w:val="28"/>
        </w:rPr>
      </w:pPr>
      <w:r>
        <w:rPr>
          <w:rFonts w:hint="eastAsia" w:ascii="楷体_GB2312" w:eastAsia="楷体_GB2312"/>
          <w:sz w:val="28"/>
          <w:szCs w:val="28"/>
        </w:rPr>
        <w:t xml:space="preserve">                                                                                   公开03表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 xml:space="preserve"> 部门：</w:t>
      </w:r>
      <w:r>
        <w:rPr>
          <w:rFonts w:hint="eastAsia" w:ascii="楷体_GB2312" w:eastAsia="楷体_GB2312"/>
          <w:sz w:val="28"/>
          <w:szCs w:val="28"/>
          <w:lang w:eastAsia="zh-CN"/>
        </w:rPr>
        <w:t>原威海市文登区农业机械安全监理站</w:t>
      </w:r>
      <w:r>
        <w:rPr>
          <w:rFonts w:hint="eastAsia" w:ascii="楷体_GB2312" w:eastAsia="楷体_GB2312"/>
          <w:sz w:val="28"/>
          <w:szCs w:val="28"/>
        </w:rPr>
        <w:t xml:space="preserve">                                                                            单位：万元</w:t>
      </w:r>
    </w:p>
    <w:tbl>
      <w:tblPr>
        <w:tblStyle w:val="4"/>
        <w:tblW w:w="13378" w:type="dxa"/>
        <w:jc w:val="center"/>
        <w:tblLayout w:type="fixed"/>
        <w:tblCellMar>
          <w:top w:w="0" w:type="dxa"/>
          <w:left w:w="108" w:type="dxa"/>
          <w:bottom w:w="0" w:type="dxa"/>
          <w:right w:w="108" w:type="dxa"/>
        </w:tblCellMar>
      </w:tblPr>
      <w:tblGrid>
        <w:gridCol w:w="477"/>
        <w:gridCol w:w="480"/>
        <w:gridCol w:w="444"/>
        <w:gridCol w:w="5"/>
        <w:gridCol w:w="2291"/>
        <w:gridCol w:w="867"/>
        <w:gridCol w:w="1763"/>
        <w:gridCol w:w="1763"/>
        <w:gridCol w:w="1762"/>
        <w:gridCol w:w="1763"/>
        <w:gridCol w:w="1763"/>
      </w:tblGrid>
      <w:tr>
        <w:tblPrEx>
          <w:tblCellMar>
            <w:top w:w="0" w:type="dxa"/>
            <w:left w:w="108" w:type="dxa"/>
            <w:bottom w:w="0" w:type="dxa"/>
            <w:right w:w="108" w:type="dxa"/>
          </w:tblCellMar>
        </w:tblPrEx>
        <w:trPr>
          <w:trHeight w:val="458" w:hRule="atLeast"/>
          <w:jc w:val="center"/>
        </w:trPr>
        <w:tc>
          <w:tcPr>
            <w:tcW w:w="3697" w:type="dxa"/>
            <w:gridSpan w:val="5"/>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86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本年支出合计</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62"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上缴上级支出</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经营支出    </w:t>
            </w:r>
          </w:p>
        </w:tc>
        <w:tc>
          <w:tcPr>
            <w:tcW w:w="1763"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对附属单位</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补助支出</w:t>
            </w:r>
          </w:p>
        </w:tc>
      </w:tr>
      <w:tr>
        <w:tblPrEx>
          <w:tblCellMar>
            <w:top w:w="0" w:type="dxa"/>
            <w:left w:w="108" w:type="dxa"/>
            <w:bottom w:w="0" w:type="dxa"/>
            <w:right w:w="108" w:type="dxa"/>
          </w:tblCellMar>
        </w:tblPrEx>
        <w:trPr>
          <w:trHeight w:val="457" w:hRule="atLeast"/>
          <w:jc w:val="center"/>
        </w:trPr>
        <w:tc>
          <w:tcPr>
            <w:tcW w:w="1401"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2296"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867"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2"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06" w:hRule="atLeast"/>
          <w:jc w:val="center"/>
        </w:trPr>
        <w:tc>
          <w:tcPr>
            <w:tcW w:w="477"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类</w:t>
            </w:r>
          </w:p>
        </w:tc>
        <w:tc>
          <w:tcPr>
            <w:tcW w:w="480"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款</w:t>
            </w:r>
          </w:p>
        </w:tc>
        <w:tc>
          <w:tcPr>
            <w:tcW w:w="449" w:type="dxa"/>
            <w:gridSpan w:val="2"/>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项</w:t>
            </w:r>
          </w:p>
        </w:tc>
        <w:tc>
          <w:tcPr>
            <w:tcW w:w="229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栏  次</w:t>
            </w:r>
          </w:p>
        </w:tc>
        <w:tc>
          <w:tcPr>
            <w:tcW w:w="867"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406" w:hRule="atLeast"/>
          <w:jc w:val="center"/>
        </w:trPr>
        <w:tc>
          <w:tcPr>
            <w:tcW w:w="477"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480"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449" w:type="dxa"/>
            <w:gridSpan w:val="2"/>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229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合  计</w:t>
            </w:r>
          </w:p>
        </w:tc>
        <w:tc>
          <w:tcPr>
            <w:tcW w:w="867"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218.22</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210.47</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7.76</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90" w:hRule="atLeast"/>
          <w:jc w:val="center"/>
        </w:trPr>
        <w:tc>
          <w:tcPr>
            <w:tcW w:w="1406" w:type="dxa"/>
            <w:gridSpan w:val="4"/>
            <w:tcBorders>
              <w:top w:val="single" w:color="auto" w:sz="4" w:space="0"/>
              <w:left w:val="single" w:color="auto" w:sz="4" w:space="0"/>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w:t>
            </w:r>
          </w:p>
        </w:tc>
        <w:tc>
          <w:tcPr>
            <w:tcW w:w="229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社会保障和就业支出</w:t>
            </w:r>
          </w:p>
        </w:tc>
        <w:tc>
          <w:tcPr>
            <w:tcW w:w="867" w:type="dxa"/>
            <w:tcBorders>
              <w:top w:val="single" w:color="auto" w:sz="4" w:space="0"/>
              <w:left w:val="nil"/>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8.49</w:t>
            </w:r>
          </w:p>
        </w:tc>
        <w:tc>
          <w:tcPr>
            <w:tcW w:w="1763" w:type="dxa"/>
            <w:tcBorders>
              <w:top w:val="single" w:color="auto" w:sz="4" w:space="0"/>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8.49</w:t>
            </w:r>
          </w:p>
        </w:tc>
        <w:tc>
          <w:tcPr>
            <w:tcW w:w="176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nil"/>
              <w:left w:val="single" w:color="auto" w:sz="4" w:space="0"/>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20805</w:t>
            </w:r>
          </w:p>
        </w:tc>
        <w:tc>
          <w:tcPr>
            <w:tcW w:w="229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行政事业单位离退休</w:t>
            </w:r>
          </w:p>
        </w:tc>
        <w:tc>
          <w:tcPr>
            <w:tcW w:w="867" w:type="dxa"/>
            <w:tcBorders>
              <w:top w:val="nil"/>
              <w:left w:val="nil"/>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8.02</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8.02</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nil"/>
              <w:left w:val="single" w:color="auto" w:sz="4" w:space="0"/>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2080505</w:t>
            </w:r>
          </w:p>
        </w:tc>
        <w:tc>
          <w:tcPr>
            <w:tcW w:w="229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机关事业单位基本养老保险缴费支出</w:t>
            </w:r>
          </w:p>
        </w:tc>
        <w:tc>
          <w:tcPr>
            <w:tcW w:w="867" w:type="dxa"/>
            <w:tcBorders>
              <w:top w:val="nil"/>
              <w:left w:val="nil"/>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8.02</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8.02</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ind w:right="90"/>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nil"/>
              <w:left w:val="single" w:color="auto" w:sz="4" w:space="0"/>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20899</w:t>
            </w:r>
          </w:p>
        </w:tc>
        <w:tc>
          <w:tcPr>
            <w:tcW w:w="229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其他社会保障和就业支出</w:t>
            </w:r>
          </w:p>
        </w:tc>
        <w:tc>
          <w:tcPr>
            <w:tcW w:w="867" w:type="dxa"/>
            <w:tcBorders>
              <w:top w:val="nil"/>
              <w:left w:val="nil"/>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0.47</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0.47</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nil"/>
              <w:left w:val="single" w:color="auto" w:sz="4" w:space="0"/>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2089901</w:t>
            </w:r>
          </w:p>
        </w:tc>
        <w:tc>
          <w:tcPr>
            <w:tcW w:w="229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其他社会保障和就业支出</w:t>
            </w:r>
          </w:p>
        </w:tc>
        <w:tc>
          <w:tcPr>
            <w:tcW w:w="867" w:type="dxa"/>
            <w:tcBorders>
              <w:top w:val="nil"/>
              <w:left w:val="nil"/>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0.47</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0.47</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90" w:hRule="atLeast"/>
          <w:jc w:val="center"/>
        </w:trPr>
        <w:tc>
          <w:tcPr>
            <w:tcW w:w="1406" w:type="dxa"/>
            <w:gridSpan w:val="4"/>
            <w:tcBorders>
              <w:top w:val="nil"/>
              <w:left w:val="single" w:color="auto" w:sz="4" w:space="0"/>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w:t>
            </w:r>
          </w:p>
        </w:tc>
        <w:tc>
          <w:tcPr>
            <w:tcW w:w="229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卫生健康支出</w:t>
            </w:r>
          </w:p>
        </w:tc>
        <w:tc>
          <w:tcPr>
            <w:tcW w:w="867"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4.7</w:t>
            </w:r>
            <w:r>
              <w:rPr>
                <w:rFonts w:hint="eastAsia" w:ascii="仿宋_GB2312" w:hAnsi="宋体" w:eastAsia="仿宋_GB2312" w:cs="宋体"/>
                <w:kern w:val="0"/>
                <w:sz w:val="22"/>
                <w:szCs w:val="22"/>
                <w:lang w:val="en-US" w:eastAsia="zh-CN"/>
              </w:rPr>
              <w:t>0</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4.7</w:t>
            </w:r>
            <w:r>
              <w:rPr>
                <w:rFonts w:hint="eastAsia" w:ascii="仿宋_GB2312" w:hAnsi="宋体" w:eastAsia="仿宋_GB2312" w:cs="宋体"/>
                <w:kern w:val="0"/>
                <w:sz w:val="22"/>
                <w:szCs w:val="22"/>
                <w:lang w:val="en-US" w:eastAsia="zh-CN"/>
              </w:rPr>
              <w:t>0</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nil"/>
              <w:left w:val="single" w:color="auto" w:sz="4" w:space="0"/>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w:t>
            </w:r>
          </w:p>
        </w:tc>
        <w:tc>
          <w:tcPr>
            <w:tcW w:w="229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行政事业单位医疗</w:t>
            </w:r>
          </w:p>
        </w:tc>
        <w:tc>
          <w:tcPr>
            <w:tcW w:w="867" w:type="dxa"/>
            <w:tcBorders>
              <w:top w:val="nil"/>
              <w:left w:val="nil"/>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4.7</w:t>
            </w:r>
            <w:r>
              <w:rPr>
                <w:rFonts w:hint="eastAsia" w:ascii="仿宋_GB2312" w:hAnsi="宋体" w:eastAsia="仿宋_GB2312" w:cs="宋体"/>
                <w:kern w:val="0"/>
                <w:sz w:val="22"/>
                <w:szCs w:val="22"/>
                <w:lang w:val="en-US" w:eastAsia="zh-CN"/>
              </w:rPr>
              <w:t>0</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4.7</w:t>
            </w:r>
            <w:r>
              <w:rPr>
                <w:rFonts w:hint="eastAsia" w:ascii="仿宋_GB2312" w:hAnsi="宋体" w:eastAsia="仿宋_GB2312" w:cs="宋体"/>
                <w:kern w:val="0"/>
                <w:sz w:val="22"/>
                <w:szCs w:val="22"/>
                <w:lang w:val="en-US" w:eastAsia="zh-CN"/>
              </w:rPr>
              <w:t>0</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nil"/>
              <w:left w:val="single" w:color="auto" w:sz="4" w:space="0"/>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2101102</w:t>
            </w:r>
          </w:p>
        </w:tc>
        <w:tc>
          <w:tcPr>
            <w:tcW w:w="229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事业单位医疗</w:t>
            </w:r>
          </w:p>
        </w:tc>
        <w:tc>
          <w:tcPr>
            <w:tcW w:w="867" w:type="dxa"/>
            <w:tcBorders>
              <w:top w:val="nil"/>
              <w:left w:val="nil"/>
              <w:bottom w:val="single" w:color="auto" w:sz="4" w:space="0"/>
              <w:right w:val="nil"/>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3.78</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3.78</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2101103</w:t>
            </w:r>
          </w:p>
        </w:tc>
        <w:tc>
          <w:tcPr>
            <w:tcW w:w="229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公务员医疗补助</w:t>
            </w:r>
          </w:p>
        </w:tc>
        <w:tc>
          <w:tcPr>
            <w:tcW w:w="86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0.92</w:t>
            </w:r>
          </w:p>
        </w:tc>
        <w:tc>
          <w:tcPr>
            <w:tcW w:w="1763" w:type="dxa"/>
            <w:tcBorders>
              <w:top w:val="nil"/>
              <w:left w:val="single" w:color="auto" w:sz="4" w:space="0"/>
              <w:bottom w:val="single" w:color="auto" w:sz="4" w:space="0"/>
              <w:right w:val="nil"/>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0.92</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213</w:t>
            </w:r>
          </w:p>
        </w:tc>
        <w:tc>
          <w:tcPr>
            <w:tcW w:w="2291" w:type="dxa"/>
            <w:tcBorders>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农林水支出</w:t>
            </w:r>
          </w:p>
        </w:tc>
        <w:tc>
          <w:tcPr>
            <w:tcW w:w="867" w:type="dxa"/>
            <w:tcBorders>
              <w:left w:val="single" w:color="auto" w:sz="4" w:space="0"/>
              <w:bottom w:val="single" w:color="auto" w:sz="4" w:space="0"/>
              <w:right w:val="single" w:color="auto" w:sz="4" w:space="0"/>
            </w:tcBorders>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198.</w:t>
            </w:r>
            <w:r>
              <w:rPr>
                <w:rFonts w:hint="eastAsia" w:ascii="仿宋_GB2312" w:hAnsi="宋体" w:eastAsia="仿宋_GB2312" w:cs="宋体"/>
                <w:kern w:val="0"/>
                <w:sz w:val="22"/>
                <w:szCs w:val="22"/>
                <w:lang w:val="en-US" w:eastAsia="zh-CN"/>
              </w:rPr>
              <w:t>21</w:t>
            </w:r>
          </w:p>
        </w:tc>
        <w:tc>
          <w:tcPr>
            <w:tcW w:w="1763" w:type="dxa"/>
            <w:tcBorders>
              <w:left w:val="single" w:color="auto" w:sz="4" w:space="0"/>
              <w:bottom w:val="single" w:color="auto" w:sz="4" w:space="0"/>
              <w:right w:val="single" w:color="auto" w:sz="4" w:space="0"/>
            </w:tcBorders>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190.46</w:t>
            </w:r>
          </w:p>
        </w:tc>
        <w:tc>
          <w:tcPr>
            <w:tcW w:w="1763" w:type="dxa"/>
            <w:tcBorders>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7.76</w:t>
            </w:r>
          </w:p>
        </w:tc>
        <w:tc>
          <w:tcPr>
            <w:tcW w:w="1762" w:type="dxa"/>
            <w:tcBorders>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21301</w:t>
            </w:r>
          </w:p>
        </w:tc>
        <w:tc>
          <w:tcPr>
            <w:tcW w:w="229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农业</w:t>
            </w:r>
          </w:p>
        </w:tc>
        <w:tc>
          <w:tcPr>
            <w:tcW w:w="86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198.2</w:t>
            </w:r>
            <w:r>
              <w:rPr>
                <w:rFonts w:hint="eastAsia" w:ascii="仿宋_GB2312" w:hAnsi="宋体" w:eastAsia="仿宋_GB2312" w:cs="宋体"/>
                <w:kern w:val="0"/>
                <w:sz w:val="22"/>
                <w:szCs w:val="22"/>
                <w:lang w:val="en-US" w:eastAsia="zh-CN"/>
              </w:rPr>
              <w:t>1</w:t>
            </w:r>
          </w:p>
        </w:tc>
        <w:tc>
          <w:tcPr>
            <w:tcW w:w="176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190.46</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7.76</w:t>
            </w:r>
          </w:p>
        </w:tc>
        <w:tc>
          <w:tcPr>
            <w:tcW w:w="1762"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66" w:hRule="atLeast"/>
          <w:jc w:val="center"/>
        </w:trPr>
        <w:tc>
          <w:tcPr>
            <w:tcW w:w="1406" w:type="dxa"/>
            <w:gridSpan w:val="4"/>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2130104</w:t>
            </w:r>
          </w:p>
        </w:tc>
        <w:tc>
          <w:tcPr>
            <w:tcW w:w="229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事业运行</w:t>
            </w:r>
          </w:p>
        </w:tc>
        <w:tc>
          <w:tcPr>
            <w:tcW w:w="86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198.</w:t>
            </w:r>
            <w:r>
              <w:rPr>
                <w:rFonts w:hint="eastAsia" w:ascii="仿宋_GB2312" w:hAnsi="宋体" w:eastAsia="仿宋_GB2312" w:cs="宋体"/>
                <w:kern w:val="0"/>
                <w:sz w:val="22"/>
                <w:szCs w:val="22"/>
                <w:lang w:val="en-US" w:eastAsia="zh-CN"/>
              </w:rPr>
              <w:t>21</w:t>
            </w:r>
          </w:p>
        </w:tc>
        <w:tc>
          <w:tcPr>
            <w:tcW w:w="176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190.46</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7.76</w:t>
            </w:r>
          </w:p>
        </w:tc>
        <w:tc>
          <w:tcPr>
            <w:tcW w:w="1762"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w:t>
            </w:r>
          </w:p>
        </w:tc>
        <w:tc>
          <w:tcPr>
            <w:tcW w:w="229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住房保障支出</w:t>
            </w:r>
          </w:p>
        </w:tc>
        <w:tc>
          <w:tcPr>
            <w:tcW w:w="86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76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30" w:hRule="atLeast"/>
          <w:jc w:val="center"/>
        </w:trPr>
        <w:tc>
          <w:tcPr>
            <w:tcW w:w="1406" w:type="dxa"/>
            <w:gridSpan w:val="4"/>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22102</w:t>
            </w:r>
          </w:p>
        </w:tc>
        <w:tc>
          <w:tcPr>
            <w:tcW w:w="229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住房改革支出</w:t>
            </w:r>
          </w:p>
        </w:tc>
        <w:tc>
          <w:tcPr>
            <w:tcW w:w="86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76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1406" w:type="dxa"/>
            <w:gridSpan w:val="4"/>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2210201</w:t>
            </w:r>
          </w:p>
        </w:tc>
        <w:tc>
          <w:tcPr>
            <w:tcW w:w="229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住房公积金</w:t>
            </w:r>
          </w:p>
        </w:tc>
        <w:tc>
          <w:tcPr>
            <w:tcW w:w="86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rPr>
              <w:t>6.81</w:t>
            </w:r>
          </w:p>
        </w:tc>
        <w:tc>
          <w:tcPr>
            <w:tcW w:w="176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6.81</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bl>
    <w:p>
      <w:pPr>
        <w:ind w:firstLine="108" w:firstLineChars="50"/>
        <w:rPr>
          <w:rFonts w:hint="eastAsia" w:ascii="仿宋_GB2312" w:hAnsi="宋体" w:eastAsia="仿宋_GB2312"/>
          <w:sz w:val="22"/>
          <w:szCs w:val="22"/>
        </w:rPr>
      </w:pPr>
    </w:p>
    <w:p>
      <w:pPr>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注：本表反映部门本年度各项支出情况。</w:t>
      </w:r>
    </w:p>
    <w:p>
      <w:pPr>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ascii="仿宋" w:hAnsi="仿宋" w:eastAsia="仿宋" w:cs="仿宋"/>
          <w:sz w:val="44"/>
          <w:szCs w:val="44"/>
        </w:rPr>
      </w:pPr>
      <w:r>
        <w:rPr>
          <w:rFonts w:hint="eastAsia" w:ascii="仿宋" w:hAnsi="仿宋" w:eastAsia="仿宋" w:cs="仿宋"/>
          <w:sz w:val="44"/>
          <w:szCs w:val="44"/>
        </w:rPr>
        <w:t>财政拨款收入支出决算总表</w:t>
      </w:r>
    </w:p>
    <w:p>
      <w:pPr>
        <w:spacing w:line="400" w:lineRule="exact"/>
        <w:jc w:val="right"/>
        <w:rPr>
          <w:rFonts w:ascii="楷体_GB2312" w:eastAsia="楷体_GB2312"/>
          <w:sz w:val="28"/>
          <w:szCs w:val="28"/>
        </w:rPr>
      </w:pPr>
      <w:r>
        <w:rPr>
          <w:rFonts w:hint="eastAsia" w:ascii="楷体_GB2312" w:eastAsia="楷体_GB2312"/>
          <w:sz w:val="28"/>
          <w:szCs w:val="28"/>
        </w:rPr>
        <w:t>公开04表</w:t>
      </w:r>
    </w:p>
    <w:p>
      <w:pPr>
        <w:spacing w:line="400" w:lineRule="exact"/>
        <w:ind w:firstLine="138" w:firstLineChars="50"/>
        <w:jc w:val="left"/>
        <w:rPr>
          <w:rFonts w:ascii="楷体_GB2312" w:eastAsia="楷体_GB2312"/>
          <w:sz w:val="28"/>
          <w:szCs w:val="28"/>
        </w:rPr>
      </w:pPr>
      <w:r>
        <w:rPr>
          <w:rFonts w:hint="eastAsia" w:ascii="楷体_GB2312" w:eastAsia="楷体_GB2312"/>
          <w:sz w:val="28"/>
          <w:szCs w:val="28"/>
        </w:rPr>
        <w:t xml:space="preserve">部门：  </w:t>
      </w:r>
      <w:r>
        <w:rPr>
          <w:rFonts w:hint="eastAsia" w:ascii="楷体_GB2312" w:eastAsia="楷体_GB2312"/>
          <w:sz w:val="28"/>
          <w:szCs w:val="28"/>
          <w:lang w:eastAsia="zh-CN"/>
        </w:rPr>
        <w:t>原威海市文登区农业机械安全监理站</w:t>
      </w:r>
      <w:r>
        <w:rPr>
          <w:rFonts w:hint="eastAsia" w:ascii="楷体_GB2312" w:eastAsia="楷体_GB2312"/>
          <w:sz w:val="28"/>
          <w:szCs w:val="28"/>
        </w:rPr>
        <w:t xml:space="preserve">                                             单位：万元</w:t>
      </w:r>
    </w:p>
    <w:tbl>
      <w:tblPr>
        <w:tblStyle w:val="4"/>
        <w:tblW w:w="13341"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022"/>
        <w:gridCol w:w="540"/>
        <w:gridCol w:w="1512"/>
        <w:gridCol w:w="2745"/>
        <w:gridCol w:w="540"/>
        <w:gridCol w:w="1582"/>
        <w:gridCol w:w="1700"/>
        <w:gridCol w:w="170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2" w:hRule="atLeast"/>
          <w:jc w:val="center"/>
        </w:trPr>
        <w:tc>
          <w:tcPr>
            <w:tcW w:w="5074" w:type="dxa"/>
            <w:gridSpan w:val="3"/>
            <w:tcBorders>
              <w:top w:val="single" w:color="auto" w:sz="4" w:space="0"/>
              <w:bottom w:val="single" w:color="auto" w:sz="4" w:space="0"/>
              <w:right w:val="nil"/>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收 入</w:t>
            </w:r>
          </w:p>
        </w:tc>
        <w:tc>
          <w:tcPr>
            <w:tcW w:w="8267" w:type="dxa"/>
            <w:gridSpan w:val="5"/>
            <w:tcBorders>
              <w:top w:val="single" w:color="auto" w:sz="4" w:space="0"/>
              <w:left w:val="nil"/>
              <w:bottom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支 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决算数</w:t>
            </w:r>
          </w:p>
        </w:tc>
        <w:tc>
          <w:tcPr>
            <w:tcW w:w="2745"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一般公共预算</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财政拨款</w:t>
            </w:r>
          </w:p>
        </w:tc>
        <w:tc>
          <w:tcPr>
            <w:tcW w:w="1700" w:type="dxa"/>
            <w:tcBorders>
              <w:top w:val="single" w:color="auto" w:sz="4" w:space="0"/>
              <w:left w:val="single" w:color="auto" w:sz="4" w:space="0"/>
              <w:bottom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政府性基金</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预算财政拨款</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ind w:firstLine="1080" w:firstLineChars="500"/>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745"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一、一般公共预算财政拨款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218.22</w:t>
            </w: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一、一般公共服务支出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31</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二、政府性基金预算财政拨款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二、外交支出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32</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三、国防支出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33</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四、公共安全支出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34</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五、教育支出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35</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六、科学技术支出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36</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七、文化旅游体育与传媒支出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37</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　</w:t>
            </w:r>
            <w:r>
              <w:rPr>
                <w:rFonts w:hint="eastAsia" w:ascii="仿宋_GB2312" w:hAnsi="宋体" w:eastAsia="仿宋_GB2312" w:cs="宋体"/>
                <w:kern w:val="0"/>
                <w:sz w:val="22"/>
                <w:szCs w:val="22"/>
                <w:lang w:val="en-US" w:eastAsia="zh-CN"/>
              </w:rPr>
              <w:t>八、社会保障和就业支出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38</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8.49</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8.49</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九、卫生健康支出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39</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4.70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4.70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十、节能环保支出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40</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十一、城乡社区支出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41</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十二、农林水支出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42</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198.21</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198.21</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十三、交通运输支出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43</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十四、资源勘探信息等支出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44</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十五、商业服务业等支出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45</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十六、金融支出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46</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default" w:ascii="仿宋_GB2312" w:hAnsi="宋体" w:eastAsia="仿宋_GB2312" w:cs="宋体"/>
                <w:kern w:val="0"/>
                <w:sz w:val="22"/>
                <w:szCs w:val="22"/>
                <w:lang w:val="en-US" w:eastAsia="zh-CN"/>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十七、援助其他地区支出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47</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十八、自然资源海洋气象等支出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48</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十九、住房保障支出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49</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宋体" w:hAnsi="宋体" w:eastAsia="宋体" w:cs="宋体"/>
                <w:i w:val="0"/>
                <w:color w:val="000000"/>
                <w:kern w:val="2"/>
                <w:sz w:val="22"/>
                <w:szCs w:val="22"/>
                <w:u w:val="none"/>
                <w:lang w:val="en-US" w:eastAsia="zh-CN" w:bidi="ar-SA"/>
              </w:rPr>
            </w:pPr>
            <w:r>
              <w:rPr>
                <w:rFonts w:hint="eastAsia" w:ascii="仿宋_GB2312" w:hAnsi="宋体" w:eastAsia="仿宋_GB2312" w:cs="宋体"/>
                <w:kern w:val="0"/>
                <w:sz w:val="22"/>
                <w:szCs w:val="22"/>
                <w:lang w:val="en-US" w:eastAsia="zh-CN"/>
              </w:rPr>
              <w:t>6.81</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6.81</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二十、粮油物资储备支出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50</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5"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二十一、灾害防治及应急管理支出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51</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二十二、其他支出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52</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二十三、债务还本支出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53</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二十四、债务付息支出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54</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55</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5"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本年收入合计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218.22</w:t>
            </w: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本年支出合计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56</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218.22</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218.22</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b/>
                <w:bCs/>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rPr>
                <w:rFonts w:ascii="仿宋_GB2312" w:hAnsi="宋体" w:eastAsia="仿宋_GB2312" w:cs="宋体"/>
                <w:kern w:val="0"/>
                <w:sz w:val="22"/>
                <w:szCs w:val="22"/>
              </w:rPr>
            </w:pPr>
            <w:r>
              <w:rPr>
                <w:rFonts w:hint="eastAsia" w:ascii="仿宋_GB2312" w:hAnsi="宋体" w:eastAsia="仿宋_GB2312" w:cs="宋体"/>
                <w:kern w:val="0"/>
                <w:sz w:val="22"/>
                <w:szCs w:val="22"/>
              </w:rPr>
              <w:t>年初财政拨款结转和结余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rPr>
                <w:rFonts w:ascii="仿宋_GB2312" w:hAnsi="宋体" w:eastAsia="仿宋_GB2312" w:cs="宋体"/>
                <w:kern w:val="0"/>
                <w:sz w:val="22"/>
                <w:szCs w:val="22"/>
              </w:rPr>
            </w:pPr>
            <w:r>
              <w:rPr>
                <w:rFonts w:hint="eastAsia" w:ascii="仿宋_GB2312" w:hAnsi="宋体" w:eastAsia="仿宋_GB2312" w:cs="宋体"/>
                <w:kern w:val="0"/>
                <w:sz w:val="22"/>
                <w:szCs w:val="22"/>
              </w:rPr>
              <w:t>年末财政拨款结转和结余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57</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58</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  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59</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30</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218.22</w:t>
            </w:r>
            <w:r>
              <w:rPr>
                <w:rFonts w:hint="eastAsia" w:ascii="仿宋_GB2312" w:hAnsi="宋体" w:eastAsia="仿宋_GB2312" w:cs="宋体"/>
                <w:kern w:val="0"/>
                <w:sz w:val="22"/>
                <w:szCs w:val="22"/>
              </w:rPr>
              <w:t>　</w:t>
            </w:r>
          </w:p>
        </w:tc>
        <w:tc>
          <w:tcPr>
            <w:tcW w:w="2745"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60</w:t>
            </w:r>
          </w:p>
        </w:tc>
        <w:tc>
          <w:tcPr>
            <w:tcW w:w="158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218.22</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218.22</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default" w:ascii="仿宋_GB2312" w:hAnsi="宋体" w:eastAsia="仿宋_GB2312" w:cs="宋体"/>
                <w:b/>
                <w:bCs/>
                <w:kern w:val="0"/>
                <w:sz w:val="22"/>
                <w:szCs w:val="22"/>
                <w:lang w:val="en-US" w:eastAsia="zh-CN"/>
              </w:rPr>
            </w:pPr>
            <w:r>
              <w:rPr>
                <w:rFonts w:hint="eastAsia" w:ascii="仿宋_GB2312" w:hAnsi="宋体" w:eastAsia="仿宋_GB2312" w:cs="宋体"/>
                <w:kern w:val="0"/>
                <w:sz w:val="22"/>
                <w:szCs w:val="22"/>
                <w:lang w:val="en-US" w:eastAsia="zh-CN"/>
              </w:rPr>
              <w:t>0.00</w:t>
            </w:r>
          </w:p>
        </w:tc>
      </w:tr>
    </w:tbl>
    <w:p>
      <w:pPr>
        <w:ind w:firstLine="108" w:firstLineChars="50"/>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sz w:val="22"/>
          <w:szCs w:val="22"/>
        </w:rPr>
        <w:t>注：本表反映部门本年度一般公共预算财政拨款和政府性基金预算财政拨款的总收支和年末结转结余情况。</w:t>
      </w:r>
    </w:p>
    <w:p>
      <w:pPr>
        <w:jc w:val="center"/>
        <w:rPr>
          <w:rFonts w:ascii="方正小标宋简体" w:eastAsia="方正小标宋简体"/>
          <w:sz w:val="44"/>
          <w:szCs w:val="44"/>
        </w:rPr>
      </w:pPr>
      <w:r>
        <w:rPr>
          <w:rFonts w:hint="eastAsia" w:ascii="仿宋" w:hAnsi="仿宋" w:eastAsia="仿宋" w:cs="仿宋"/>
          <w:sz w:val="44"/>
          <w:szCs w:val="44"/>
        </w:rPr>
        <w:t>一般公共预算财政拨款支出决算表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公开05表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原威海市文登区农业机械安全监理站</w:t>
      </w:r>
      <w:r>
        <w:rPr>
          <w:rFonts w:hint="eastAsia" w:ascii="楷体_GB2312" w:eastAsia="楷体_GB2312"/>
          <w:sz w:val="28"/>
          <w:szCs w:val="28"/>
        </w:rPr>
        <w:t xml:space="preserve">                                               单位：万元         </w:t>
      </w:r>
    </w:p>
    <w:tbl>
      <w:tblPr>
        <w:tblStyle w:val="4"/>
        <w:tblW w:w="13152" w:type="dxa"/>
        <w:jc w:val="center"/>
        <w:tblLayout w:type="fixed"/>
        <w:tblCellMar>
          <w:top w:w="0" w:type="dxa"/>
          <w:left w:w="108" w:type="dxa"/>
          <w:bottom w:w="0" w:type="dxa"/>
          <w:right w:w="108" w:type="dxa"/>
        </w:tblCellMar>
      </w:tblPr>
      <w:tblGrid>
        <w:gridCol w:w="1701"/>
        <w:gridCol w:w="3170"/>
        <w:gridCol w:w="2783"/>
        <w:gridCol w:w="2978"/>
        <w:gridCol w:w="2520"/>
      </w:tblGrid>
      <w:tr>
        <w:tblPrEx>
          <w:tblCellMar>
            <w:top w:w="0" w:type="dxa"/>
            <w:left w:w="108" w:type="dxa"/>
            <w:bottom w:w="0" w:type="dxa"/>
            <w:right w:w="108" w:type="dxa"/>
          </w:tblCellMar>
        </w:tblPrEx>
        <w:trPr>
          <w:trHeight w:val="428" w:hRule="atLeas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8281"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r>
      <w:tr>
        <w:tblPrEx>
          <w:tblCellMar>
            <w:top w:w="0" w:type="dxa"/>
            <w:left w:w="108" w:type="dxa"/>
            <w:bottom w:w="0" w:type="dxa"/>
            <w:right w:w="108" w:type="dxa"/>
          </w:tblCellMar>
        </w:tblPrEx>
        <w:trPr>
          <w:trHeight w:val="675"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317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278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2978"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2520"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r>
      <w:tr>
        <w:tblPrEx>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r>
      <w:tr>
        <w:tblPrEx>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218.22</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210.47</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7.76</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w:t>
            </w:r>
          </w:p>
        </w:tc>
        <w:tc>
          <w:tcPr>
            <w:tcW w:w="317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社会保障和就业支出</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8.49</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8.49</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bidi="ar-SA"/>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20805</w:t>
            </w:r>
          </w:p>
        </w:tc>
        <w:tc>
          <w:tcPr>
            <w:tcW w:w="317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行政事业单位离退休</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8.02</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8.02</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bidi="ar-SA"/>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2080505</w:t>
            </w:r>
          </w:p>
        </w:tc>
        <w:tc>
          <w:tcPr>
            <w:tcW w:w="317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机关事业单位基本养老保险缴费支出</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8.02</w:t>
            </w:r>
          </w:p>
        </w:tc>
        <w:tc>
          <w:tcPr>
            <w:tcW w:w="2978"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8.02</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bidi="ar-SA"/>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20899</w:t>
            </w:r>
          </w:p>
        </w:tc>
        <w:tc>
          <w:tcPr>
            <w:tcW w:w="317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其他社会保障和就业支出</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0.47</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0.47</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2089901</w:t>
            </w:r>
          </w:p>
        </w:tc>
        <w:tc>
          <w:tcPr>
            <w:tcW w:w="317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其他社会保障和就业支出</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0.47</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0.47</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bidi="ar-SA"/>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210</w:t>
            </w:r>
          </w:p>
        </w:tc>
        <w:tc>
          <w:tcPr>
            <w:tcW w:w="317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卫生健康支出</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4.70</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4.70</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21011</w:t>
            </w:r>
          </w:p>
        </w:tc>
        <w:tc>
          <w:tcPr>
            <w:tcW w:w="317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行政事业单位医疗</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4.70</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4.70</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2101102</w:t>
            </w:r>
          </w:p>
        </w:tc>
        <w:tc>
          <w:tcPr>
            <w:tcW w:w="317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事业单位医疗</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3.78</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3.78</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2101103</w:t>
            </w:r>
          </w:p>
        </w:tc>
        <w:tc>
          <w:tcPr>
            <w:tcW w:w="317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公务员医疗补助</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0.92</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0.92</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213</w:t>
            </w:r>
          </w:p>
        </w:tc>
        <w:tc>
          <w:tcPr>
            <w:tcW w:w="31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农林水支出</w:t>
            </w:r>
          </w:p>
        </w:tc>
        <w:tc>
          <w:tcPr>
            <w:tcW w:w="278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198.22</w:t>
            </w:r>
          </w:p>
        </w:tc>
        <w:tc>
          <w:tcPr>
            <w:tcW w:w="2978"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190.46</w:t>
            </w:r>
          </w:p>
        </w:tc>
        <w:tc>
          <w:tcPr>
            <w:tcW w:w="252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7.76</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21301</w:t>
            </w:r>
          </w:p>
        </w:tc>
        <w:tc>
          <w:tcPr>
            <w:tcW w:w="31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农业</w:t>
            </w:r>
          </w:p>
        </w:tc>
        <w:tc>
          <w:tcPr>
            <w:tcW w:w="278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198.22</w:t>
            </w:r>
          </w:p>
        </w:tc>
        <w:tc>
          <w:tcPr>
            <w:tcW w:w="2978"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190.46</w:t>
            </w:r>
          </w:p>
        </w:tc>
        <w:tc>
          <w:tcPr>
            <w:tcW w:w="252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7.76</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2130104</w:t>
            </w:r>
          </w:p>
        </w:tc>
        <w:tc>
          <w:tcPr>
            <w:tcW w:w="31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事业运行</w:t>
            </w:r>
          </w:p>
        </w:tc>
        <w:tc>
          <w:tcPr>
            <w:tcW w:w="278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198.22</w:t>
            </w:r>
          </w:p>
        </w:tc>
        <w:tc>
          <w:tcPr>
            <w:tcW w:w="2978"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190.46</w:t>
            </w:r>
          </w:p>
        </w:tc>
        <w:tc>
          <w:tcPr>
            <w:tcW w:w="252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7.76</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221</w:t>
            </w:r>
          </w:p>
        </w:tc>
        <w:tc>
          <w:tcPr>
            <w:tcW w:w="317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住房保障支出</w:t>
            </w:r>
          </w:p>
        </w:tc>
        <w:tc>
          <w:tcPr>
            <w:tcW w:w="2783"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6.81</w:t>
            </w:r>
          </w:p>
        </w:tc>
        <w:tc>
          <w:tcPr>
            <w:tcW w:w="2978"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6.81</w:t>
            </w:r>
          </w:p>
        </w:tc>
        <w:tc>
          <w:tcPr>
            <w:tcW w:w="2520" w:type="dxa"/>
            <w:tcBorders>
              <w:top w:val="single" w:color="auto" w:sz="4" w:space="0"/>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bidi="ar-SA"/>
              </w:rPr>
              <w:t>0.00</w:t>
            </w:r>
          </w:p>
        </w:tc>
      </w:tr>
      <w:tr>
        <w:tblPrEx>
          <w:tblCellMar>
            <w:top w:w="0" w:type="dxa"/>
            <w:left w:w="108" w:type="dxa"/>
            <w:bottom w:w="0" w:type="dxa"/>
            <w:right w:w="108" w:type="dxa"/>
          </w:tblCellMar>
        </w:tblPrEx>
        <w:trPr>
          <w:trHeight w:val="454" w:hRule="exact"/>
          <w:jc w:val="center"/>
        </w:trPr>
        <w:tc>
          <w:tcPr>
            <w:tcW w:w="1701" w:type="dxa"/>
            <w:tcBorders>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22102</w:t>
            </w:r>
          </w:p>
        </w:tc>
        <w:tc>
          <w:tcPr>
            <w:tcW w:w="3170" w:type="dxa"/>
            <w:tcBorders>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住房改革支出</w:t>
            </w:r>
          </w:p>
        </w:tc>
        <w:tc>
          <w:tcPr>
            <w:tcW w:w="2783" w:type="dxa"/>
            <w:tcBorders>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6.81</w:t>
            </w:r>
          </w:p>
        </w:tc>
        <w:tc>
          <w:tcPr>
            <w:tcW w:w="2978" w:type="dxa"/>
            <w:tcBorders>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6.81</w:t>
            </w:r>
          </w:p>
        </w:tc>
        <w:tc>
          <w:tcPr>
            <w:tcW w:w="2520" w:type="dxa"/>
            <w:tcBorders>
              <w:left w:val="single" w:color="auto" w:sz="4" w:space="0"/>
              <w:bottom w:val="single" w:color="auto" w:sz="4" w:space="0"/>
              <w:right w:val="single" w:color="auto" w:sz="4" w:space="0"/>
            </w:tcBorders>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bidi="ar-SA"/>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2210201</w:t>
            </w:r>
          </w:p>
        </w:tc>
        <w:tc>
          <w:tcPr>
            <w:tcW w:w="317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住房公积金</w:t>
            </w:r>
          </w:p>
        </w:tc>
        <w:tc>
          <w:tcPr>
            <w:tcW w:w="27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6.81</w:t>
            </w:r>
          </w:p>
        </w:tc>
        <w:tc>
          <w:tcPr>
            <w:tcW w:w="297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rPr>
              <w:t>6.81</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default" w:ascii="仿宋_GB2312" w:hAnsi="宋体" w:eastAsia="仿宋_GB2312" w:cs="宋体"/>
                <w:kern w:val="0"/>
                <w:sz w:val="22"/>
                <w:szCs w:val="22"/>
                <w:lang w:val="en-US" w:eastAsia="zh-CN" w:bidi="ar-SA"/>
              </w:rPr>
            </w:pPr>
            <w:r>
              <w:rPr>
                <w:rFonts w:hint="eastAsia" w:ascii="仿宋_GB2312" w:hAnsi="宋体" w:eastAsia="仿宋_GB2312" w:cs="宋体"/>
                <w:kern w:val="0"/>
                <w:sz w:val="22"/>
                <w:szCs w:val="22"/>
                <w:lang w:val="en-US" w:eastAsia="zh-CN" w:bidi="ar-SA"/>
              </w:rPr>
              <w:t>0.00</w:t>
            </w:r>
          </w:p>
        </w:tc>
      </w:tr>
    </w:tbl>
    <w:p>
      <w:pPr>
        <w:spacing w:line="400" w:lineRule="exact"/>
        <w:ind w:firstLine="108" w:firstLineChars="50"/>
        <w:jc w:val="left"/>
        <w:rPr>
          <w:rFonts w:ascii="仿宋_GB2312" w:hAnsi="宋体" w:eastAsia="仿宋_GB2312"/>
          <w:sz w:val="22"/>
          <w:szCs w:val="22"/>
        </w:rPr>
      </w:pPr>
      <w:r>
        <w:rPr>
          <w:rFonts w:hint="eastAsia" w:ascii="仿宋_GB2312" w:hAnsi="宋体" w:eastAsia="仿宋_GB2312"/>
          <w:sz w:val="22"/>
          <w:szCs w:val="22"/>
        </w:rPr>
        <w:t>注：本表反映部门本年度一般公共预算财政拨款支出情况。</w:t>
      </w:r>
    </w:p>
    <w:p>
      <w:pPr>
        <w:spacing w:line="400" w:lineRule="exact"/>
        <w:jc w:val="left"/>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ascii="仿宋" w:hAnsi="仿宋" w:eastAsia="仿宋" w:cs="仿宋"/>
          <w:sz w:val="44"/>
          <w:szCs w:val="44"/>
        </w:rPr>
      </w:pPr>
      <w:r>
        <w:rPr>
          <w:rFonts w:hint="eastAsia" w:ascii="仿宋" w:hAnsi="仿宋" w:eastAsia="仿宋" w:cs="仿宋"/>
          <w:sz w:val="44"/>
          <w:szCs w:val="44"/>
        </w:rPr>
        <w:t>一般公共预算财政拨款基本支出决算表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公开06表</w:t>
      </w:r>
    </w:p>
    <w:p>
      <w:pPr>
        <w:spacing w:line="400" w:lineRule="exact"/>
        <w:ind w:firstLine="138" w:firstLineChars="50"/>
        <w:jc w:val="lef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原威海市文登区农业机械安全监理站</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 xml:space="preserve">            单位：万元                  </w:t>
      </w:r>
    </w:p>
    <w:tbl>
      <w:tblPr>
        <w:tblStyle w:val="4"/>
        <w:tblW w:w="13275" w:type="dxa"/>
        <w:jc w:val="center"/>
        <w:tblLayout w:type="fixed"/>
        <w:tblCellMar>
          <w:top w:w="0" w:type="dxa"/>
          <w:left w:w="108" w:type="dxa"/>
          <w:bottom w:w="0" w:type="dxa"/>
          <w:right w:w="108" w:type="dxa"/>
        </w:tblCellMar>
      </w:tblPr>
      <w:tblGrid>
        <w:gridCol w:w="1008"/>
        <w:gridCol w:w="3023"/>
        <w:gridCol w:w="847"/>
        <w:gridCol w:w="1138"/>
        <w:gridCol w:w="1984"/>
        <w:gridCol w:w="833"/>
        <w:gridCol w:w="1010"/>
        <w:gridCol w:w="2551"/>
        <w:gridCol w:w="881"/>
      </w:tblGrid>
      <w:tr>
        <w:tblPrEx>
          <w:tblCellMar>
            <w:top w:w="0" w:type="dxa"/>
            <w:left w:w="108" w:type="dxa"/>
            <w:bottom w:w="0" w:type="dxa"/>
            <w:right w:w="108" w:type="dxa"/>
          </w:tblCellMar>
        </w:tblPrEx>
        <w:trPr>
          <w:trHeight w:val="369" w:hRule="atLeast"/>
          <w:tblHeader/>
          <w:jc w:val="center"/>
        </w:trPr>
        <w:tc>
          <w:tcPr>
            <w:tcW w:w="4878" w:type="dxa"/>
            <w:gridSpan w:val="3"/>
            <w:tcBorders>
              <w:top w:val="single" w:color="auto" w:sz="8" w:space="0"/>
              <w:left w:val="single" w:color="auto" w:sz="8"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人员经费</w:t>
            </w:r>
          </w:p>
        </w:tc>
        <w:tc>
          <w:tcPr>
            <w:tcW w:w="8397" w:type="dxa"/>
            <w:gridSpan w:val="6"/>
            <w:tcBorders>
              <w:top w:val="single" w:color="auto" w:sz="8" w:space="0"/>
              <w:left w:val="nil"/>
              <w:bottom w:val="single" w:color="auto" w:sz="4" w:space="0"/>
              <w:right w:val="single" w:color="000000"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公用经费</w:t>
            </w:r>
          </w:p>
        </w:tc>
      </w:tr>
      <w:tr>
        <w:tblPrEx>
          <w:tblCellMar>
            <w:top w:w="0" w:type="dxa"/>
            <w:left w:w="108" w:type="dxa"/>
            <w:bottom w:w="0" w:type="dxa"/>
            <w:right w:w="108" w:type="dxa"/>
          </w:tblCellMar>
        </w:tblPrEx>
        <w:trPr>
          <w:trHeight w:val="300" w:hRule="atLeast"/>
          <w:tblHeader/>
          <w:jc w:val="center"/>
        </w:trPr>
        <w:tc>
          <w:tcPr>
            <w:tcW w:w="1008" w:type="dxa"/>
            <w:vMerge w:val="restart"/>
            <w:tcBorders>
              <w:top w:val="nil"/>
              <w:left w:val="single" w:color="auto" w:sz="8"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 科目编码</w:t>
            </w:r>
          </w:p>
        </w:tc>
        <w:tc>
          <w:tcPr>
            <w:tcW w:w="3023"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47"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1138"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1984"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33"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1010"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2551" w:type="dxa"/>
            <w:vMerge w:val="restart"/>
            <w:tcBorders>
              <w:top w:val="nil"/>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81" w:type="dxa"/>
            <w:vMerge w:val="restart"/>
            <w:tcBorders>
              <w:top w:val="nil"/>
              <w:left w:val="single" w:color="auto" w:sz="4" w:space="0"/>
              <w:bottom w:val="single" w:color="auto" w:sz="4" w:space="0"/>
              <w:right w:val="single" w:color="auto" w:sz="8"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r>
      <w:tr>
        <w:tblPrEx>
          <w:tblCellMar>
            <w:top w:w="0" w:type="dxa"/>
            <w:left w:w="108" w:type="dxa"/>
            <w:bottom w:w="0" w:type="dxa"/>
            <w:right w:w="108" w:type="dxa"/>
          </w:tblCellMar>
        </w:tblPrEx>
        <w:trPr>
          <w:trHeight w:val="300" w:hRule="atLeast"/>
          <w:tblHeader/>
          <w:jc w:val="center"/>
        </w:trPr>
        <w:tc>
          <w:tcPr>
            <w:tcW w:w="1008" w:type="dxa"/>
            <w:vMerge w:val="continue"/>
            <w:tcBorders>
              <w:top w:val="nil"/>
              <w:left w:val="single" w:color="auto" w:sz="8"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3023"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847"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1138"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1984"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833"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1010"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2551" w:type="dxa"/>
            <w:vMerge w:val="continue"/>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color w:val="000000"/>
                <w:kern w:val="0"/>
                <w:sz w:val="22"/>
                <w:szCs w:val="22"/>
              </w:rPr>
            </w:pPr>
          </w:p>
        </w:tc>
        <w:tc>
          <w:tcPr>
            <w:tcW w:w="881" w:type="dxa"/>
            <w:vMerge w:val="continue"/>
            <w:tcBorders>
              <w:top w:val="nil"/>
              <w:left w:val="single" w:color="auto" w:sz="4" w:space="0"/>
              <w:bottom w:val="single" w:color="auto" w:sz="4" w:space="0"/>
              <w:right w:val="single" w:color="auto" w:sz="8" w:space="0"/>
            </w:tcBorders>
            <w:noWrap/>
            <w:vAlign w:val="center"/>
          </w:tcPr>
          <w:p>
            <w:pPr>
              <w:widowControl/>
              <w:spacing w:line="300" w:lineRule="exact"/>
              <w:jc w:val="left"/>
              <w:rPr>
                <w:rFonts w:ascii="仿宋_GB2312" w:hAnsi="宋体" w:eastAsia="仿宋_GB2312" w:cs="宋体"/>
                <w:color w:val="000000"/>
                <w:kern w:val="0"/>
                <w:sz w:val="22"/>
                <w:szCs w:val="22"/>
              </w:rPr>
            </w:pP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工资福利支出</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80.52</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商品和服务支出</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123.81</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债务利息及费用支出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基本工资</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25.54</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办公费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5.08</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国内债务付息</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津贴补贴</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10.14</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印刷费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6.89</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国外债务付息</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奖金</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8.89</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30203</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咨询费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2.1</w:t>
            </w:r>
            <w:r>
              <w:rPr>
                <w:rFonts w:hint="eastAsia" w:ascii="仿宋_GB2312" w:hAnsi="宋体" w:eastAsia="仿宋_GB2312" w:cs="宋体"/>
                <w:color w:val="000000"/>
                <w:kern w:val="0"/>
                <w:sz w:val="20"/>
                <w:szCs w:val="20"/>
                <w:lang w:val="en-US" w:eastAsia="zh-CN"/>
              </w:rPr>
              <w:t>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国内债务发行费用</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30106</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伙食补助费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手续费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30704</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国外债务发行费用</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30107</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绩效工资</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15.95</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水费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资本性支出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30108</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机关事业单位基本养老保险缴费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8.02</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电费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房屋建筑物购建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职业年金缴费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邮电费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办公设备购置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30110</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职工基本医疗保险缴费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3.78</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取暖费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6.1</w:t>
            </w:r>
            <w:r>
              <w:rPr>
                <w:rFonts w:hint="eastAsia" w:ascii="仿宋_GB2312" w:hAnsi="宋体" w:eastAsia="仿宋_GB2312" w:cs="宋体"/>
                <w:color w:val="000000"/>
                <w:kern w:val="0"/>
                <w:sz w:val="20"/>
                <w:szCs w:val="20"/>
                <w:lang w:val="en-US" w:eastAsia="zh-CN"/>
              </w:rPr>
              <w:t>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专用设备购置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公务员医疗补助缴费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0.92</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物业管理费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2.32</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31005</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基础设施建设</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其他社会保障缴费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0.47</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差旅费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0.39</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31006</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大型修缮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住房公积金</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6.81</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30212</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因公出国（境）费用</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信息网络及软件购置更新</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30114</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医疗费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30213</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维修(护)费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6.77</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31008</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物资储备</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30199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其他工资福利支出</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租赁费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土地补偿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对个人和家庭的补助</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6.13</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会议费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31010</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安置补助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345"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30301</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离休费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培训费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地上附着物和青苗补偿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30302</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退休费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公务接待费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拆迁补偿</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30303</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退职（役）费</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专用材料费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28.98</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公务用车购置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30304</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抚恤金</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30224</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被装购置费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其他交通工具购置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30305</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生活补助</w:t>
            </w:r>
          </w:p>
        </w:tc>
        <w:tc>
          <w:tcPr>
            <w:tcW w:w="84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6.13</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30225</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专用燃料费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31021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文物和陈列品购置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30306</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救济费</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30226</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劳务费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58.41</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31022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无形资产购置</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30307</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医疗费补助</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30227</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委托业务费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1.6</w:t>
            </w:r>
            <w:r>
              <w:rPr>
                <w:rFonts w:hint="eastAsia" w:ascii="仿宋_GB2312" w:hAnsi="宋体" w:eastAsia="仿宋_GB2312" w:cs="宋体"/>
                <w:color w:val="000000"/>
                <w:kern w:val="0"/>
                <w:sz w:val="20"/>
                <w:szCs w:val="20"/>
                <w:lang w:val="en-US" w:eastAsia="zh-CN"/>
              </w:rPr>
              <w:t>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其他资本性支出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30308</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助学金</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30228</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工会经费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0.85</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对企业补助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奖励金</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福利费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31201</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资本金注入</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30310</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个人农业生产补贴</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30231</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公务用车运行维护费</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31203</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政府投资基金股权投资</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30399</w:t>
            </w: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其他对个人和家庭的补助</w:t>
            </w: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30239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其他交通费用</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rPr>
              <w:t>4.32</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31204</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费用补贴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30240</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税金及附加费用</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31205</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利息补贴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30299</w:t>
            </w: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其他商品和服务支出</w:t>
            </w:r>
          </w:p>
        </w:tc>
        <w:tc>
          <w:tcPr>
            <w:tcW w:w="83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bidi="ar-SA"/>
              </w:rPr>
            </w:pPr>
            <w:r>
              <w:rPr>
                <w:rFonts w:hint="eastAsia" w:ascii="仿宋_GB2312" w:hAnsi="宋体" w:eastAsia="仿宋_GB2312" w:cs="宋体"/>
                <w:color w:val="000000"/>
                <w:kern w:val="0"/>
                <w:sz w:val="20"/>
                <w:szCs w:val="20"/>
                <w:lang w:val="en-US" w:eastAsia="zh-CN" w:bidi="ar-SA"/>
              </w:rPr>
              <w:t>0.00</w:t>
            </w: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其他对企业补助</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39906</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赠与</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39907</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国家赔偿费用支出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39908</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对民间非营利组织和群众性自治组织补贴</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39999</w:t>
            </w:r>
          </w:p>
        </w:tc>
        <w:tc>
          <w:tcPr>
            <w:tcW w:w="255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tblPrEx>
          <w:tblCellMar>
            <w:top w:w="0" w:type="dxa"/>
            <w:left w:w="108" w:type="dxa"/>
            <w:bottom w:w="0" w:type="dxa"/>
            <w:right w:w="108" w:type="dxa"/>
          </w:tblCellMar>
        </w:tblPrEx>
        <w:trPr>
          <w:trHeight w:val="20" w:hRule="atLeast"/>
          <w:jc w:val="center"/>
        </w:trPr>
        <w:tc>
          <w:tcPr>
            <w:tcW w:w="4031" w:type="dxa"/>
            <w:gridSpan w:val="2"/>
            <w:tcBorders>
              <w:top w:val="single" w:color="auto" w:sz="4" w:space="0"/>
              <w:left w:val="single" w:color="auto" w:sz="8" w:space="0"/>
              <w:bottom w:val="single" w:color="auto" w:sz="8"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人员经费合计</w:t>
            </w:r>
          </w:p>
        </w:tc>
        <w:tc>
          <w:tcPr>
            <w:tcW w:w="847" w:type="dxa"/>
            <w:tcBorders>
              <w:top w:val="nil"/>
              <w:left w:val="nil"/>
              <w:bottom w:val="single" w:color="auto" w:sz="8"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86.65</w:t>
            </w:r>
          </w:p>
        </w:tc>
        <w:tc>
          <w:tcPr>
            <w:tcW w:w="7516" w:type="dxa"/>
            <w:gridSpan w:val="5"/>
            <w:tcBorders>
              <w:top w:val="single" w:color="auto" w:sz="4" w:space="0"/>
              <w:left w:val="nil"/>
              <w:bottom w:val="single" w:color="auto" w:sz="8"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公用经费合计</w:t>
            </w:r>
          </w:p>
        </w:tc>
        <w:tc>
          <w:tcPr>
            <w:tcW w:w="881" w:type="dxa"/>
            <w:tcBorders>
              <w:top w:val="nil"/>
              <w:left w:val="nil"/>
              <w:bottom w:val="single" w:color="auto" w:sz="8"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123.81</w:t>
            </w:r>
          </w:p>
        </w:tc>
      </w:tr>
    </w:tbl>
    <w:p>
      <w:pPr>
        <w:spacing w:line="400" w:lineRule="exact"/>
        <w:ind w:firstLine="108" w:firstLineChars="50"/>
        <w:jc w:val="left"/>
        <w:rPr>
          <w:rFonts w:ascii="仿宋_GB2312" w:hAnsi="宋体" w:eastAsia="仿宋_GB2312"/>
          <w:sz w:val="22"/>
          <w:szCs w:val="22"/>
        </w:rPr>
      </w:pPr>
      <w:r>
        <w:rPr>
          <w:rFonts w:hint="eastAsia" w:ascii="仿宋_GB2312" w:hAnsi="宋体" w:eastAsia="仿宋_GB2312"/>
          <w:sz w:val="22"/>
          <w:szCs w:val="22"/>
        </w:rPr>
        <w:t>注:本表反映部门本年度一般公共预算财政拨款基本支出明细情况。</w:t>
      </w:r>
    </w:p>
    <w:p>
      <w:pPr>
        <w:rPr>
          <w:rFonts w:hint="eastAsia" w:ascii="仿宋_GB2312" w:hAnsi="宋体" w:eastAsia="仿宋_GB2312"/>
          <w:sz w:val="22"/>
          <w:szCs w:val="22"/>
          <w:lang w:eastAsia="zh-CN"/>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sz w:val="22"/>
          <w:szCs w:val="22"/>
          <w:lang w:eastAsia="zh-CN"/>
        </w:rPr>
        <w:t>数据为四舍五入计算结果，导致报表合计项和分项之和存在尾数差额。</w:t>
      </w:r>
    </w:p>
    <w:p>
      <w:pPr>
        <w:jc w:val="center"/>
        <w:rPr>
          <w:rFonts w:ascii="仿宋" w:hAnsi="仿宋" w:eastAsia="仿宋" w:cs="仿宋"/>
          <w:sz w:val="44"/>
          <w:szCs w:val="44"/>
        </w:rPr>
      </w:pPr>
      <w:r>
        <w:rPr>
          <w:rFonts w:hint="eastAsia" w:ascii="仿宋" w:hAnsi="仿宋" w:eastAsia="仿宋" w:cs="仿宋"/>
          <w:sz w:val="44"/>
          <w:szCs w:val="44"/>
        </w:rPr>
        <w:t>一般公共预算财政拨款“三公”经费支出决算表</w:t>
      </w:r>
    </w:p>
    <w:p>
      <w:pPr>
        <w:wordWrap w:val="0"/>
        <w:spacing w:line="400" w:lineRule="exact"/>
        <w:jc w:val="right"/>
        <w:rPr>
          <w:rFonts w:ascii="楷体_GB2312" w:eastAsia="楷体_GB2312"/>
          <w:sz w:val="28"/>
          <w:szCs w:val="28"/>
        </w:rPr>
      </w:pPr>
      <w:r>
        <w:rPr>
          <w:rFonts w:hint="eastAsia" w:ascii="方正小标宋简体" w:eastAsia="方正小标宋简体"/>
          <w:sz w:val="44"/>
          <w:szCs w:val="44"/>
        </w:rPr>
        <w:t>　</w:t>
      </w:r>
      <w:r>
        <w:rPr>
          <w:rFonts w:hint="eastAsia" w:ascii="楷体_GB2312" w:eastAsia="楷体_GB2312"/>
          <w:sz w:val="28"/>
          <w:szCs w:val="28"/>
        </w:rPr>
        <w:t>公开07表</w:t>
      </w:r>
    </w:p>
    <w:p>
      <w:pPr>
        <w:spacing w:line="400" w:lineRule="exact"/>
        <w:jc w:val="lef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原威海市文登区农业机械安全监理站</w:t>
      </w:r>
      <w:r>
        <w:rPr>
          <w:rFonts w:hint="eastAsia" w:ascii="楷体_GB2312" w:eastAsia="楷体_GB2312"/>
          <w:sz w:val="28"/>
          <w:szCs w:val="28"/>
        </w:rPr>
        <w:t xml:space="preserve">                                                单位：万元 </w:t>
      </w:r>
    </w:p>
    <w:tbl>
      <w:tblPr>
        <w:tblStyle w:val="4"/>
        <w:tblW w:w="13256" w:type="dxa"/>
        <w:jc w:val="center"/>
        <w:tblLayout w:type="fixed"/>
        <w:tblCellMar>
          <w:top w:w="0" w:type="dxa"/>
          <w:left w:w="108" w:type="dxa"/>
          <w:bottom w:w="0" w:type="dxa"/>
          <w:right w:w="108" w:type="dxa"/>
        </w:tblCellMar>
      </w:tblPr>
      <w:tblGrid>
        <w:gridCol w:w="1179"/>
        <w:gridCol w:w="1195"/>
        <w:gridCol w:w="1180"/>
        <w:gridCol w:w="1180"/>
        <w:gridCol w:w="1188"/>
        <w:gridCol w:w="962"/>
        <w:gridCol w:w="1098"/>
        <w:gridCol w:w="1143"/>
        <w:gridCol w:w="851"/>
        <w:gridCol w:w="1132"/>
        <w:gridCol w:w="1164"/>
        <w:gridCol w:w="984"/>
      </w:tblGrid>
      <w:tr>
        <w:tblPrEx>
          <w:tblCellMar>
            <w:top w:w="0" w:type="dxa"/>
            <w:left w:w="108" w:type="dxa"/>
            <w:bottom w:w="0" w:type="dxa"/>
            <w:right w:w="108" w:type="dxa"/>
          </w:tblCellMar>
        </w:tblPrEx>
        <w:trPr>
          <w:trHeight w:val="862" w:hRule="atLeast"/>
          <w:jc w:val="center"/>
        </w:trPr>
        <w:tc>
          <w:tcPr>
            <w:tcW w:w="6884" w:type="dxa"/>
            <w:gridSpan w:val="6"/>
            <w:tcBorders>
              <w:top w:val="single" w:color="auto" w:sz="8" w:space="0"/>
              <w:left w:val="single" w:color="auto" w:sz="8" w:space="0"/>
              <w:bottom w:val="single" w:color="auto" w:sz="4"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预 算 数</w:t>
            </w:r>
          </w:p>
        </w:tc>
        <w:tc>
          <w:tcPr>
            <w:tcW w:w="6372" w:type="dxa"/>
            <w:gridSpan w:val="6"/>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决 算 数　</w:t>
            </w:r>
          </w:p>
        </w:tc>
      </w:tr>
      <w:tr>
        <w:tblPrEx>
          <w:tblCellMar>
            <w:top w:w="0" w:type="dxa"/>
            <w:left w:w="108" w:type="dxa"/>
            <w:bottom w:w="0" w:type="dxa"/>
            <w:right w:w="108" w:type="dxa"/>
          </w:tblCellMar>
        </w:tblPrEx>
        <w:trPr>
          <w:trHeight w:val="862" w:hRule="atLeast"/>
          <w:jc w:val="center"/>
        </w:trPr>
        <w:tc>
          <w:tcPr>
            <w:tcW w:w="1179" w:type="dxa"/>
            <w:vMerge w:val="restart"/>
            <w:tcBorders>
              <w:top w:val="nil"/>
              <w:left w:val="single" w:color="auto" w:sz="8"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95"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548" w:type="dxa"/>
            <w:gridSpan w:val="3"/>
            <w:tcBorders>
              <w:top w:val="single" w:color="auto" w:sz="4" w:space="0"/>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62" w:type="dxa"/>
            <w:vMerge w:val="restart"/>
            <w:tcBorders>
              <w:top w:val="nil"/>
              <w:left w:val="single" w:color="auto" w:sz="4" w:space="0"/>
              <w:bottom w:val="single" w:color="auto" w:sz="4" w:space="0"/>
              <w:right w:val="single" w:color="000000" w:sz="8"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c>
          <w:tcPr>
            <w:tcW w:w="1098"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43"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147" w:type="dxa"/>
            <w:gridSpan w:val="3"/>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84" w:type="dxa"/>
            <w:vMerge w:val="restart"/>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r>
      <w:tr>
        <w:tblPrEx>
          <w:tblCellMar>
            <w:top w:w="0" w:type="dxa"/>
            <w:left w:w="108" w:type="dxa"/>
            <w:bottom w:w="0" w:type="dxa"/>
            <w:right w:w="108" w:type="dxa"/>
          </w:tblCellMar>
        </w:tblPrEx>
        <w:trPr>
          <w:trHeight w:val="862" w:hRule="atLeast"/>
          <w:jc w:val="center"/>
        </w:trPr>
        <w:tc>
          <w:tcPr>
            <w:tcW w:w="1179" w:type="dxa"/>
            <w:vMerge w:val="continue"/>
            <w:tcBorders>
              <w:top w:val="nil"/>
              <w:left w:val="single" w:color="auto" w:sz="8"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p>
        </w:tc>
        <w:tc>
          <w:tcPr>
            <w:tcW w:w="1195" w:type="dxa"/>
            <w:vMerge w:val="continue"/>
            <w:tcBorders>
              <w:top w:val="nil"/>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p>
        </w:tc>
        <w:tc>
          <w:tcPr>
            <w:tcW w:w="1180" w:type="dxa"/>
            <w:tcBorders>
              <w:top w:val="nil"/>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80" w:type="dxa"/>
            <w:tcBorders>
              <w:top w:val="nil"/>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88" w:type="dxa"/>
            <w:tcBorders>
              <w:top w:val="nil"/>
              <w:left w:val="nil"/>
              <w:bottom w:val="single" w:color="auto" w:sz="4"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62" w:type="dxa"/>
            <w:vMerge w:val="continue"/>
            <w:tcBorders>
              <w:top w:val="nil"/>
              <w:left w:val="single" w:color="auto" w:sz="4" w:space="0"/>
              <w:bottom w:val="single" w:color="auto" w:sz="4" w:space="0"/>
              <w:right w:val="single" w:color="000000" w:sz="8" w:space="0"/>
            </w:tcBorders>
            <w:shd w:val="clear" w:color="auto" w:fill="auto"/>
            <w:noWrap/>
            <w:vAlign w:val="center"/>
          </w:tcPr>
          <w:p>
            <w:pPr>
              <w:widowControl/>
              <w:spacing w:line="300" w:lineRule="exact"/>
              <w:jc w:val="left"/>
              <w:rPr>
                <w:rFonts w:ascii="仿宋_GB2312" w:hAnsi="宋体" w:eastAsia="仿宋_GB2312" w:cs="宋体"/>
                <w:kern w:val="0"/>
                <w:sz w:val="22"/>
                <w:szCs w:val="22"/>
              </w:rPr>
            </w:pPr>
          </w:p>
        </w:tc>
        <w:tc>
          <w:tcPr>
            <w:tcW w:w="1098"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left"/>
              <w:rPr>
                <w:rFonts w:ascii="仿宋_GB2312" w:hAnsi="宋体" w:eastAsia="仿宋_GB2312" w:cs="宋体"/>
                <w:kern w:val="0"/>
                <w:sz w:val="22"/>
                <w:szCs w:val="22"/>
              </w:rPr>
            </w:pPr>
          </w:p>
        </w:tc>
        <w:tc>
          <w:tcPr>
            <w:tcW w:w="1143"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pPr>
              <w:spacing w:line="300" w:lineRule="exact"/>
              <w:jc w:val="left"/>
              <w:rPr>
                <w:rFonts w:ascii="仿宋_GB2312" w:hAnsi="宋体" w:eastAsia="仿宋_GB2312" w:cs="宋体"/>
                <w:kern w:val="0"/>
                <w:sz w:val="22"/>
                <w:szCs w:val="22"/>
              </w:rPr>
            </w:pP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84" w:type="dxa"/>
            <w:vMerge w:val="continue"/>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left"/>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623" w:hRule="atLeast"/>
          <w:jc w:val="center"/>
        </w:trPr>
        <w:tc>
          <w:tcPr>
            <w:tcW w:w="1179" w:type="dxa"/>
            <w:tcBorders>
              <w:top w:val="nil"/>
              <w:left w:val="single" w:color="auto" w:sz="8" w:space="0"/>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195"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188"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962" w:type="dxa"/>
            <w:tcBorders>
              <w:top w:val="nil"/>
              <w:left w:val="nil"/>
              <w:bottom w:val="single" w:color="auto" w:sz="8" w:space="0"/>
              <w:right w:val="single" w:color="000000" w:sz="8" w:space="0"/>
            </w:tcBorders>
            <w:shd w:val="clear" w:color="auto" w:fill="auto"/>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11</w:t>
            </w:r>
          </w:p>
        </w:tc>
        <w:tc>
          <w:tcPr>
            <w:tcW w:w="98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12</w:t>
            </w:r>
          </w:p>
        </w:tc>
      </w:tr>
      <w:tr>
        <w:tblPrEx>
          <w:tblCellMar>
            <w:top w:w="0" w:type="dxa"/>
            <w:left w:w="108" w:type="dxa"/>
            <w:bottom w:w="0" w:type="dxa"/>
            <w:right w:w="108" w:type="dxa"/>
          </w:tblCellMar>
        </w:tblPrEx>
        <w:trPr>
          <w:trHeight w:val="1296" w:hRule="atLeast"/>
          <w:jc w:val="center"/>
        </w:trPr>
        <w:tc>
          <w:tcPr>
            <w:tcW w:w="1179" w:type="dxa"/>
            <w:tcBorders>
              <w:top w:val="nil"/>
              <w:left w:val="single" w:color="auto" w:sz="8" w:space="0"/>
              <w:bottom w:val="single" w:color="auto" w:sz="8" w:space="0"/>
              <w:right w:val="single" w:color="auto" w:sz="4" w:space="0"/>
            </w:tcBorders>
            <w:shd w:val="clear" w:color="auto" w:fill="auto"/>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95"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80"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88" w:type="dxa"/>
            <w:tcBorders>
              <w:top w:val="nil"/>
              <w:left w:val="nil"/>
              <w:bottom w:val="single" w:color="auto" w:sz="8" w:space="0"/>
              <w:right w:val="single" w:color="auto" w:sz="4" w:space="0"/>
            </w:tcBorders>
            <w:shd w:val="clear" w:color="auto" w:fill="auto"/>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962" w:type="dxa"/>
            <w:tcBorders>
              <w:top w:val="nil"/>
              <w:left w:val="nil"/>
              <w:bottom w:val="single" w:color="auto" w:sz="8" w:space="0"/>
              <w:right w:val="single" w:color="000000" w:sz="8" w:space="0"/>
            </w:tcBorders>
            <w:shd w:val="clear" w:color="auto" w:fill="auto"/>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851"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32"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6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984" w:type="dxa"/>
            <w:tcBorders>
              <w:top w:val="single" w:color="000000" w:sz="8" w:space="0"/>
              <w:left w:val="single" w:color="000000" w:sz="8" w:space="0"/>
              <w:bottom w:val="single" w:color="000000" w:sz="8" w:space="0"/>
              <w:right w:val="single" w:color="000000" w:sz="8"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bl>
    <w:p>
      <w:pPr>
        <w:spacing w:line="360" w:lineRule="exact"/>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注：本表反映部门本年度“三公”经费支出预决算情况。其中：预算数为“三公”经费年初预算数，决算数包括当年一般公共预算财政拨款</w:t>
      </w:r>
    </w:p>
    <w:p>
      <w:pPr>
        <w:spacing w:line="360" w:lineRule="exact"/>
        <w:ind w:firstLine="540" w:firstLineChars="250"/>
        <w:rPr>
          <w:rFonts w:ascii="仿宋_GB2312" w:hAnsi="宋体" w:eastAsia="仿宋_GB2312"/>
          <w:sz w:val="22"/>
          <w:szCs w:val="22"/>
        </w:rPr>
      </w:pPr>
      <w:r>
        <w:rPr>
          <w:rFonts w:hint="eastAsia" w:ascii="仿宋_GB2312" w:hAnsi="宋体" w:eastAsia="仿宋_GB2312"/>
          <w:sz w:val="22"/>
          <w:szCs w:val="22"/>
        </w:rPr>
        <w:t>和以前年度结转资金安排的实际支出。</w:t>
      </w:r>
    </w:p>
    <w:p>
      <w:pPr>
        <w:ind w:firstLine="108" w:firstLineChars="50"/>
        <w:rPr>
          <w:rFonts w:ascii="仿宋_GB2312" w:hAnsi="宋体" w:eastAsia="仿宋_GB2312"/>
          <w:sz w:val="22"/>
          <w:szCs w:val="22"/>
        </w:rPr>
      </w:pPr>
      <w:r>
        <w:rPr>
          <w:rFonts w:hint="eastAsia" w:ascii="仿宋_GB2312" w:hAnsi="宋体" w:eastAsia="仿宋_GB2312"/>
          <w:sz w:val="22"/>
          <w:szCs w:val="22"/>
        </w:rPr>
        <w:t>原威海市文登区农业机械安全监理站无一般公共预算安排的“三公”经费支出</w:t>
      </w:r>
      <w:r>
        <w:rPr>
          <w:rFonts w:hint="eastAsia" w:ascii="仿宋_GB2312" w:hAnsi="宋体" w:eastAsia="仿宋_GB2312"/>
          <w:sz w:val="22"/>
          <w:szCs w:val="22"/>
          <w:lang w:eastAsia="zh-CN"/>
        </w:rPr>
        <w:t>，故本表无数据</w:t>
      </w:r>
      <w:bookmarkStart w:id="0" w:name="_GoBack"/>
      <w:bookmarkEnd w:id="0"/>
      <w:r>
        <w:rPr>
          <w:rFonts w:hint="eastAsia" w:ascii="仿宋_GB2312" w:hAnsi="宋体" w:eastAsia="仿宋_GB2312"/>
          <w:sz w:val="22"/>
          <w:szCs w:val="22"/>
        </w:rPr>
        <w:t>。</w:t>
      </w:r>
    </w:p>
    <w:p>
      <w:pPr>
        <w:ind w:firstLine="108" w:firstLineChars="50"/>
        <w:rPr>
          <w:rFonts w:ascii="仿宋_GB2312" w:hAnsi="宋体" w:eastAsia="仿宋_GB2312"/>
          <w:sz w:val="22"/>
          <w:szCs w:val="22"/>
        </w:rPr>
      </w:pPr>
    </w:p>
    <w:p>
      <w:pPr>
        <w:jc w:val="center"/>
        <w:rPr>
          <w:rFonts w:hint="eastAsia" w:ascii="仿宋" w:hAnsi="仿宋" w:eastAsia="仿宋" w:cs="仿宋"/>
          <w:sz w:val="44"/>
          <w:szCs w:val="44"/>
        </w:rPr>
      </w:pPr>
    </w:p>
    <w:p>
      <w:pPr>
        <w:jc w:val="center"/>
        <w:rPr>
          <w:rFonts w:ascii="仿宋" w:hAnsi="仿宋" w:eastAsia="仿宋" w:cs="仿宋"/>
          <w:sz w:val="44"/>
          <w:szCs w:val="44"/>
        </w:rPr>
      </w:pPr>
      <w:r>
        <w:rPr>
          <w:rFonts w:hint="eastAsia" w:ascii="仿宋" w:hAnsi="仿宋" w:eastAsia="仿宋" w:cs="仿宋"/>
          <w:sz w:val="44"/>
          <w:szCs w:val="44"/>
        </w:rPr>
        <w:t>政府性基金预算财政拨款收入支出决算表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公开08表</w:t>
      </w:r>
    </w:p>
    <w:p>
      <w:pPr>
        <w:spacing w:line="400" w:lineRule="exact"/>
        <w:ind w:firstLine="138" w:firstLineChars="50"/>
        <w:jc w:val="left"/>
        <w:rPr>
          <w:rFonts w:ascii="楷体_GB2312" w:eastAsia="楷体_GB2312"/>
          <w:sz w:val="28"/>
          <w:szCs w:val="28"/>
        </w:rPr>
      </w:pPr>
      <w:r>
        <w:rPr>
          <w:rFonts w:hint="eastAsia" w:ascii="楷体_GB2312" w:eastAsia="楷体_GB2312"/>
          <w:sz w:val="28"/>
          <w:szCs w:val="28"/>
        </w:rPr>
        <w:t xml:space="preserve">部门： </w:t>
      </w:r>
      <w:r>
        <w:rPr>
          <w:rFonts w:hint="eastAsia" w:ascii="楷体_GB2312" w:eastAsia="楷体_GB2312"/>
          <w:sz w:val="28"/>
          <w:szCs w:val="28"/>
          <w:lang w:eastAsia="zh-CN"/>
        </w:rPr>
        <w:t>原威海市文登区农业机械安全监理站</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单位：万元</w:t>
      </w:r>
    </w:p>
    <w:p>
      <w:pPr>
        <w:spacing w:line="400" w:lineRule="exact"/>
        <w:ind w:firstLine="138" w:firstLineChars="50"/>
        <w:jc w:val="left"/>
        <w:rPr>
          <w:rFonts w:ascii="楷体_GB2312" w:eastAsia="楷体_GB2312"/>
          <w:sz w:val="28"/>
          <w:szCs w:val="28"/>
        </w:rPr>
      </w:pPr>
      <w:r>
        <w:rPr>
          <w:rFonts w:hint="eastAsia" w:ascii="楷体_GB2312" w:eastAsia="楷体_GB2312"/>
          <w:sz w:val="28"/>
          <w:szCs w:val="28"/>
        </w:rPr>
        <w:t xml:space="preserve">                                               </w:t>
      </w:r>
    </w:p>
    <w:tbl>
      <w:tblPr>
        <w:tblStyle w:val="4"/>
        <w:tblpPr w:leftFromText="180" w:rightFromText="180" w:vertAnchor="text" w:tblpXSpec="center" w:tblpY="1"/>
        <w:tblOverlap w:val="never"/>
        <w:tblW w:w="13210" w:type="dxa"/>
        <w:tblInd w:w="0" w:type="dxa"/>
        <w:tblLayout w:type="fixed"/>
        <w:tblCellMar>
          <w:top w:w="0" w:type="dxa"/>
          <w:left w:w="108" w:type="dxa"/>
          <w:bottom w:w="0" w:type="dxa"/>
          <w:right w:w="108" w:type="dxa"/>
        </w:tblCellMar>
      </w:tblPr>
      <w:tblGrid>
        <w:gridCol w:w="1372"/>
        <w:gridCol w:w="56"/>
        <w:gridCol w:w="1429"/>
        <w:gridCol w:w="1731"/>
        <w:gridCol w:w="1707"/>
        <w:gridCol w:w="1708"/>
        <w:gridCol w:w="1708"/>
        <w:gridCol w:w="1708"/>
        <w:gridCol w:w="1791"/>
      </w:tblGrid>
      <w:tr>
        <w:tblPrEx>
          <w:tblCellMar>
            <w:top w:w="0" w:type="dxa"/>
            <w:left w:w="108" w:type="dxa"/>
            <w:bottom w:w="0" w:type="dxa"/>
            <w:right w:w="108" w:type="dxa"/>
          </w:tblCellMar>
        </w:tblPrEx>
        <w:trPr>
          <w:trHeight w:val="453"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731" w:type="dxa"/>
            <w:vMerge w:val="restart"/>
            <w:tcBorders>
              <w:top w:val="single" w:color="auto" w:sz="4" w:space="0"/>
              <w:left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年初结转和结余</w:t>
            </w:r>
          </w:p>
        </w:tc>
        <w:tc>
          <w:tcPr>
            <w:tcW w:w="1707" w:type="dxa"/>
            <w:vMerge w:val="restart"/>
            <w:tcBorders>
              <w:top w:val="single" w:color="auto" w:sz="4" w:space="0"/>
              <w:left w:val="nil"/>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w:t>
            </w:r>
          </w:p>
        </w:tc>
        <w:tc>
          <w:tcPr>
            <w:tcW w:w="5124" w:type="dxa"/>
            <w:gridSpan w:val="3"/>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c>
          <w:tcPr>
            <w:tcW w:w="1791" w:type="dxa"/>
            <w:vMerge w:val="restart"/>
            <w:tcBorders>
              <w:top w:val="single" w:color="auto" w:sz="4" w:space="0"/>
              <w:left w:val="nil"/>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年末结转和结余</w:t>
            </w:r>
          </w:p>
        </w:tc>
      </w:tr>
      <w:tr>
        <w:tblPrEx>
          <w:tblCellMar>
            <w:top w:w="0" w:type="dxa"/>
            <w:left w:w="108" w:type="dxa"/>
            <w:bottom w:w="0" w:type="dxa"/>
            <w:right w:w="108" w:type="dxa"/>
          </w:tblCellMar>
        </w:tblPrEx>
        <w:trPr>
          <w:trHeight w:val="599" w:hRule="atLeast"/>
        </w:trPr>
        <w:tc>
          <w:tcPr>
            <w:tcW w:w="142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29"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731" w:type="dxa"/>
            <w:vMerge w:val="continue"/>
            <w:tcBorders>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p>
        </w:tc>
        <w:tc>
          <w:tcPr>
            <w:tcW w:w="1707" w:type="dxa"/>
            <w:vMerge w:val="continue"/>
            <w:tcBorders>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08" w:type="dxa"/>
            <w:tcBorders>
              <w:top w:val="single" w:color="auto" w:sz="4" w:space="0"/>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91" w:type="dxa"/>
            <w:vMerge w:val="continue"/>
            <w:tcBorders>
              <w:left w:val="nil"/>
              <w:bottom w:val="single" w:color="auto" w:sz="4" w:space="0"/>
              <w:right w:val="single" w:color="auto" w:sz="4" w:space="0"/>
            </w:tcBorders>
            <w:noWrap/>
            <w:vAlign w:val="center"/>
          </w:tcPr>
          <w:p>
            <w:pPr>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731"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07"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91" w:type="dxa"/>
            <w:tcBorders>
              <w:top w:val="nil"/>
              <w:left w:val="nil"/>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731"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91"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single" w:color="auto" w:sz="4" w:space="0"/>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bl>
    <w:p>
      <w:pPr>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注：本表反映部门本年度政府性基金预算财政拨款收入、支出及结转和结余情况。</w:t>
      </w:r>
    </w:p>
    <w:p>
      <w:pPr>
        <w:rPr>
          <w:rFonts w:hint="eastAsia" w:ascii="仿宋_GB2312" w:hAnsi="宋体" w:eastAsia="仿宋_GB2312"/>
          <w:sz w:val="22"/>
          <w:szCs w:val="22"/>
          <w:lang w:eastAsia="zh-CN"/>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sz w:val="22"/>
          <w:szCs w:val="22"/>
        </w:rPr>
        <w:t>原威海市文登区农业机械安全监理站无政府性基金收入，也没有使用政府性基金安排的支出，故本表无数据</w:t>
      </w:r>
      <w:r>
        <w:rPr>
          <w:rFonts w:hint="eastAsia" w:ascii="仿宋_GB2312" w:hAnsi="宋体" w:eastAsia="仿宋_GB2312"/>
          <w:sz w:val="22"/>
          <w:szCs w:val="22"/>
          <w:lang w:eastAsia="zh-CN"/>
        </w:rPr>
        <w:t>。</w:t>
      </w:r>
    </w:p>
    <w:p>
      <w:pPr>
        <w:jc w:val="center"/>
        <w:rPr>
          <w:rFonts w:ascii="方正小标宋简体" w:eastAsia="方正小标宋简体"/>
          <w:sz w:val="42"/>
        </w:rPr>
      </w:pPr>
    </w:p>
    <w:p>
      <w:pPr>
        <w:jc w:val="center"/>
        <w:rPr>
          <w:rFonts w:ascii="方正小标宋简体" w:eastAsia="方正小标宋简体"/>
          <w:sz w:val="42"/>
        </w:rPr>
      </w:pPr>
    </w:p>
    <w:p>
      <w:pPr>
        <w:ind w:firstLine="536" w:firstLineChars="100"/>
        <w:rPr>
          <w:rFonts w:ascii="仿宋" w:hAnsi="仿宋" w:eastAsia="仿宋" w:cs="仿宋"/>
          <w:spacing w:val="60"/>
          <w:sz w:val="42"/>
        </w:rPr>
      </w:pPr>
      <w:r>
        <w:rPr>
          <w:rFonts w:hint="eastAsia" w:ascii="仿宋" w:hAnsi="仿宋" w:eastAsia="仿宋" w:cs="仿宋"/>
          <w:spacing w:val="60"/>
          <w:sz w:val="42"/>
        </w:rPr>
        <w:t>第三部分</w:t>
      </w:r>
    </w:p>
    <w:p>
      <w:pPr>
        <w:jc w:val="center"/>
        <w:rPr>
          <w:rFonts w:ascii="仿宋" w:hAnsi="仿宋" w:eastAsia="仿宋" w:cs="仿宋"/>
          <w:spacing w:val="60"/>
          <w:sz w:val="42"/>
        </w:rPr>
      </w:pPr>
    </w:p>
    <w:p>
      <w:pPr>
        <w:spacing w:line="800" w:lineRule="exact"/>
        <w:jc w:val="center"/>
        <w:rPr>
          <w:rFonts w:ascii="方正小标宋简体" w:eastAsia="方正小标宋简体"/>
          <w:spacing w:val="60"/>
          <w:sz w:val="48"/>
        </w:rPr>
        <w:sectPr>
          <w:pgSz w:w="11906" w:h="16838"/>
          <w:pgMar w:top="1701" w:right="1531" w:bottom="1701" w:left="1531" w:header="0" w:footer="1418" w:gutter="0"/>
          <w:cols w:space="720" w:num="1"/>
          <w:docGrid w:type="linesAndChars" w:linePitch="610" w:charSpace="-849"/>
        </w:sectPr>
      </w:pPr>
      <w:r>
        <w:rPr>
          <w:rFonts w:hint="eastAsia" w:ascii="仿宋" w:hAnsi="仿宋" w:eastAsia="仿宋" w:cs="仿宋"/>
          <w:spacing w:val="60"/>
          <w:sz w:val="48"/>
        </w:rPr>
        <w:t>2019年度部门决算情况说明</w:t>
      </w:r>
    </w:p>
    <w:p>
      <w:pPr>
        <w:ind w:firstLine="632" w:firstLineChars="200"/>
        <w:rPr>
          <w:rFonts w:ascii="黑体" w:hAnsi="黑体" w:eastAsia="黑体"/>
          <w:szCs w:val="32"/>
        </w:rPr>
      </w:pPr>
      <w:r>
        <w:rPr>
          <w:rFonts w:hint="eastAsia" w:ascii="黑体" w:hAnsi="黑体" w:eastAsia="黑体"/>
          <w:szCs w:val="32"/>
        </w:rPr>
        <w:t>一、收入支出决算总体情况说明</w:t>
      </w:r>
    </w:p>
    <w:p>
      <w:pPr>
        <w:ind w:firstLine="632" w:firstLineChars="200"/>
        <w:rPr>
          <w:rFonts w:hint="eastAsia" w:ascii="仿宋_GB2312" w:eastAsia="仿宋_GB2312"/>
          <w:szCs w:val="32"/>
        </w:rPr>
      </w:pPr>
      <w:r>
        <w:rPr>
          <w:rFonts w:hint="eastAsia" w:ascii="仿宋_GB2312" w:eastAsia="仿宋_GB2312"/>
          <w:szCs w:val="32"/>
        </w:rPr>
        <w:t>2019年度收、支总计218.22万元。与2018年相比，收、支总计各增加11.59万元，上升5.61%。主要是人员经费增加。</w:t>
      </w:r>
    </w:p>
    <w:p>
      <w:pPr>
        <w:ind w:firstLine="632" w:firstLineChars="200"/>
        <w:rPr>
          <w:rFonts w:hint="eastAsia" w:ascii="黑体" w:hAnsi="黑体" w:eastAsia="黑体"/>
          <w:szCs w:val="32"/>
        </w:rPr>
      </w:pPr>
      <w:r>
        <w:rPr>
          <w:sz w:val="32"/>
        </w:rPr>
        <mc:AlternateContent>
          <mc:Choice Requires="wps">
            <w:drawing>
              <wp:anchor distT="0" distB="0" distL="114300" distR="114300" simplePos="0" relativeHeight="251665408" behindDoc="0" locked="0" layoutInCell="1" allowOverlap="1">
                <wp:simplePos x="0" y="0"/>
                <wp:positionH relativeFrom="column">
                  <wp:posOffset>3727450</wp:posOffset>
                </wp:positionH>
                <wp:positionV relativeFrom="paragraph">
                  <wp:posOffset>97155</wp:posOffset>
                </wp:positionV>
                <wp:extent cx="1085215" cy="381000"/>
                <wp:effectExtent l="0" t="0" r="635" b="0"/>
                <wp:wrapNone/>
                <wp:docPr id="3" name="文本框 3"/>
                <wp:cNvGraphicFramePr/>
                <a:graphic xmlns:a="http://schemas.openxmlformats.org/drawingml/2006/main">
                  <a:graphicData uri="http://schemas.microsoft.com/office/word/2010/wordprocessingShape">
                    <wps:wsp>
                      <wps:cNvSpPr txBox="1"/>
                      <wps:spPr>
                        <a:xfrm>
                          <a:off x="4861560" y="2501265"/>
                          <a:ext cx="1085215" cy="3810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lang w:eastAsia="zh-CN"/>
                              </w:rPr>
                            </w:pPr>
                            <w:r>
                              <w:rPr>
                                <w:rFonts w:hint="eastAsia"/>
                                <w:sz w:val="21"/>
                                <w:szCs w:val="21"/>
                                <w:lang w:eastAsia="zh-CN"/>
                              </w:rPr>
                              <w:t>单位：万元</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3.5pt;margin-top:7.65pt;height:30pt;width:85.45pt;z-index:251665408;mso-width-relative:page;mso-height-relative:page;" fillcolor="#FFFFFF [3201]" filled="t" stroked="f" coordsize="21600,21600" o:gfxdata="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ZBIl&#10;UdUAAAAJAQAADwAAAAAAAAABACAAAAAiAAAAZHJzL2Rvd25yZXYueG1sUEsBAhQAFAAAAAgAh07i&#10;QJcK58VeAgAAmwQAAA4AAAAAAAAAAQAgAAAAJAEAAGRycy9lMm9Eb2MueG1sUEsFBgAAAAAGAAYA&#10;WQEAAPQFAAAAAA==&#10;">
                <v:fill on="t" focussize="0,0"/>
                <v:stroke on="f" weight="0.5pt"/>
                <v:imagedata o:title=""/>
                <o:lock v:ext="edit" aspectratio="f"/>
                <v:textbox>
                  <w:txbxContent>
                    <w:p>
                      <w:pPr>
                        <w:rPr>
                          <w:rFonts w:hint="eastAsia" w:eastAsia="宋体"/>
                          <w:lang w:eastAsia="zh-CN"/>
                        </w:rPr>
                      </w:pPr>
                      <w:r>
                        <w:rPr>
                          <w:rFonts w:hint="eastAsia"/>
                          <w:sz w:val="21"/>
                          <w:szCs w:val="21"/>
                          <w:lang w:eastAsia="zh-CN"/>
                        </w:rPr>
                        <w:t>单位：万元</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2151380</wp:posOffset>
                </wp:positionH>
                <wp:positionV relativeFrom="paragraph">
                  <wp:posOffset>617855</wp:posOffset>
                </wp:positionV>
                <wp:extent cx="367030" cy="957580"/>
                <wp:effectExtent l="0" t="139065" r="0" b="217805"/>
                <wp:wrapNone/>
                <wp:docPr id="9" name="自选图形 2"/>
                <wp:cNvGraphicFramePr/>
                <a:graphic xmlns:a="http://schemas.openxmlformats.org/drawingml/2006/main">
                  <a:graphicData uri="http://schemas.microsoft.com/office/word/2010/wordprocessingShape">
                    <wps:wsp>
                      <wps:cNvSpPr/>
                      <wps:spPr>
                        <a:xfrm rot="2908962">
                          <a:off x="0" y="0"/>
                          <a:ext cx="367030" cy="957580"/>
                        </a:xfrm>
                        <a:prstGeom prst="upArrow">
                          <a:avLst>
                            <a:gd name="adj1" fmla="val 50000"/>
                            <a:gd name="adj2" fmla="val 65224"/>
                          </a:avLst>
                        </a:prstGeom>
                        <a:solidFill>
                          <a:srgbClr val="FFFFFF"/>
                        </a:solidFill>
                        <a:ln w="9525" cap="flat" cmpd="sng">
                          <a:solidFill>
                            <a:srgbClr val="000000"/>
                          </a:solidFill>
                          <a:prstDash val="solid"/>
                          <a:miter/>
                          <a:headEnd type="none" w="med" len="med"/>
                          <a:tailEnd type="none" w="med" len="med"/>
                        </a:ln>
                      </wps:spPr>
                      <wps:txbx>
                        <w:txbxContent>
                          <w:p/>
                        </w:txbxContent>
                      </wps:txbx>
                      <wps:bodyPr vert="eaVert" upright="1"/>
                    </wps:wsp>
                  </a:graphicData>
                </a:graphic>
              </wp:anchor>
            </w:drawing>
          </mc:Choice>
          <mc:Fallback>
            <w:pict>
              <v:shape id="自选图形 2" o:spid="_x0000_s1026" o:spt="68" type="#_x0000_t68" style="position:absolute;left:0pt;margin-left:169.4pt;margin-top:48.65pt;height:75.4pt;width:28.9pt;rotation:3177362f;z-index:251660288;mso-width-relative:page;mso-height-relative:page;" fillcolor="#FFFFFF" filled="t" stroked="t" coordsize="21600,21600" o:gfxdata="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Cf9yek2gAAAAoBAAAPAAAAAAAAAAEA&#10;IAAAACIAAABkcnMvZG93bnJldi54bWxQSwECFAAUAAAACACHTuJAE8X0gEYCAACeBAAADgAAAAAA&#10;AAABACAAAAApAQAAZHJzL2Uyb0RvYy54bWxQSwUGAAAAAAYABgBZAQAA4QUAAAAA&#10;" adj="5399,5400">
                <v:fill on="t" focussize="0,0"/>
                <v:stroke color="#000000" joinstyle="miter"/>
                <v:imagedata o:title=""/>
                <o:lock v:ext="edit" aspectratio="f"/>
                <v:textbox style="layout-flow:vertical-ideographic;">
                  <w:txbxContent>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3142615</wp:posOffset>
                </wp:positionH>
                <wp:positionV relativeFrom="paragraph">
                  <wp:posOffset>429895</wp:posOffset>
                </wp:positionV>
                <wp:extent cx="1570990" cy="445770"/>
                <wp:effectExtent l="4445" t="4445" r="5715" b="6985"/>
                <wp:wrapNone/>
                <wp:docPr id="8" name="文本框 3"/>
                <wp:cNvGraphicFramePr/>
                <a:graphic xmlns:a="http://schemas.openxmlformats.org/drawingml/2006/main">
                  <a:graphicData uri="http://schemas.microsoft.com/office/word/2010/wordprocessingShape">
                    <wps:wsp>
                      <wps:cNvSpPr txBox="1"/>
                      <wps:spPr>
                        <a:xfrm>
                          <a:off x="0" y="0"/>
                          <a:ext cx="1570990" cy="44577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sz w:val="16"/>
                                <w:szCs w:val="16"/>
                              </w:rPr>
                            </w:pPr>
                            <w:r>
                              <w:rPr>
                                <w:rFonts w:hint="eastAsia"/>
                                <w:sz w:val="16"/>
                                <w:szCs w:val="16"/>
                              </w:rPr>
                              <w:t>增加11.59万元，上升5.61%。</w:t>
                            </w:r>
                          </w:p>
                        </w:txbxContent>
                      </wps:txbx>
                      <wps:bodyPr upright="1"/>
                    </wps:wsp>
                  </a:graphicData>
                </a:graphic>
              </wp:anchor>
            </w:drawing>
          </mc:Choice>
          <mc:Fallback>
            <w:pict>
              <v:shape id="文本框 3" o:spid="_x0000_s1026" o:spt="202" type="#_x0000_t202" style="position:absolute;left:0pt;margin-left:247.45pt;margin-top:33.85pt;height:35.1pt;width:123.7pt;z-index:251659264;mso-width-relative:page;mso-height-relative:page;" fillcolor="#FFFFFF" filled="t" stroked="t" coordsize="21600,21600" o:gfxdata="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x1fLtkAAAAKAQAADwAAAAAAAAABACAA&#10;AAAiAAAAZHJzL2Rvd25yZXYueG1sUEsBAhQAFAAAAAgAh07iQDtTexwMAgAANgQAAA4AAAAAAAAA&#10;AQAgAAAAKAEAAGRycy9lMm9Eb2MueG1sUEsFBgAAAAAGAAYAWQEAAKYFAAAAAA==&#10;">
                <v:fill on="t" focussize="0,0"/>
                <v:stroke color="#000000" joinstyle="miter"/>
                <v:imagedata o:title=""/>
                <o:lock v:ext="edit" aspectratio="f"/>
                <v:textbox>
                  <w:txbxContent>
                    <w:p>
                      <w:pPr>
                        <w:jc w:val="left"/>
                        <w:rPr>
                          <w:sz w:val="16"/>
                          <w:szCs w:val="16"/>
                        </w:rPr>
                      </w:pPr>
                      <w:r>
                        <w:rPr>
                          <w:rFonts w:hint="eastAsia"/>
                          <w:sz w:val="16"/>
                          <w:szCs w:val="16"/>
                        </w:rPr>
                        <w:t>增加11.59万元，上升5.61%。</w:t>
                      </w:r>
                    </w:p>
                  </w:txbxContent>
                </v:textbox>
              </v:shape>
            </w:pict>
          </mc:Fallback>
        </mc:AlternateContent>
      </w:r>
      <w:r>
        <w:drawing>
          <wp:inline distT="0" distB="0" distL="114300" distR="114300">
            <wp:extent cx="4150360" cy="2476500"/>
            <wp:effectExtent l="0" t="0" r="2540" b="0"/>
            <wp:docPr id="1" name="图片 1" descr="C:\Users\Administrator\Desktop\傅晓宇\个人\njz1.pngnjz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strator\Desktop\傅晓宇\个人\njz1.pngnjz1"/>
                    <pic:cNvPicPr>
                      <a:picLocks noChangeAspect="1"/>
                    </pic:cNvPicPr>
                  </pic:nvPicPr>
                  <pic:blipFill>
                    <a:blip r:embed="rId8"/>
                    <a:stretch>
                      <a:fillRect/>
                    </a:stretch>
                  </pic:blipFill>
                  <pic:spPr>
                    <a:xfrm>
                      <a:off x="0" y="0"/>
                      <a:ext cx="4150360" cy="2476500"/>
                    </a:xfrm>
                    <a:prstGeom prst="rect">
                      <a:avLst/>
                    </a:prstGeom>
                    <a:noFill/>
                    <a:ln>
                      <a:noFill/>
                    </a:ln>
                  </pic:spPr>
                </pic:pic>
              </a:graphicData>
            </a:graphic>
          </wp:inline>
        </w:drawing>
      </w:r>
    </w:p>
    <w:p>
      <w:pPr>
        <w:ind w:firstLine="632" w:firstLineChars="200"/>
        <w:rPr>
          <w:rFonts w:ascii="黑体" w:hAnsi="黑体" w:eastAsia="黑体"/>
          <w:szCs w:val="32"/>
        </w:rPr>
      </w:pPr>
      <w:r>
        <w:rPr>
          <w:rFonts w:hint="eastAsia" w:ascii="黑体" w:hAnsi="黑体" w:eastAsia="黑体"/>
          <w:szCs w:val="32"/>
        </w:rPr>
        <w:t>二、收入决算情况说明</w:t>
      </w:r>
    </w:p>
    <w:p>
      <w:pPr>
        <w:ind w:firstLine="632" w:firstLineChars="200"/>
        <w:rPr>
          <w:rFonts w:hint="eastAsia" w:ascii="仿宋_GB2312" w:eastAsia="仿宋_GB2312"/>
          <w:szCs w:val="32"/>
          <w:lang w:eastAsia="zh-CN"/>
        </w:rPr>
      </w:pPr>
      <w:r>
        <w:rPr>
          <w:rFonts w:hint="eastAsia" w:ascii="仿宋_GB2312" w:eastAsia="仿宋_GB2312"/>
          <w:szCs w:val="32"/>
        </w:rPr>
        <w:t>本年收入合计218.22万元，其中：财政拨款收入218.22万元，占100%</w:t>
      </w:r>
      <w:r>
        <w:rPr>
          <w:rFonts w:hint="eastAsia" w:ascii="仿宋_GB2312" w:eastAsia="仿宋_GB2312"/>
          <w:szCs w:val="32"/>
          <w:lang w:eastAsia="zh-CN"/>
        </w:rPr>
        <w:t>。</w:t>
      </w:r>
    </w:p>
    <w:p>
      <w:pPr>
        <w:ind w:firstLine="632" w:firstLineChars="200"/>
        <w:rPr>
          <w:rFonts w:hint="eastAsia" w:ascii="仿宋_GB2312" w:eastAsia="仿宋_GB2312"/>
          <w:b/>
          <w:szCs w:val="32"/>
        </w:rPr>
      </w:pPr>
      <w:r>
        <w:rPr>
          <w:sz w:val="32"/>
        </w:rPr>
        <mc:AlternateContent>
          <mc:Choice Requires="wps">
            <w:drawing>
              <wp:anchor distT="0" distB="0" distL="114300" distR="114300" simplePos="0" relativeHeight="251666432" behindDoc="0" locked="0" layoutInCell="1" allowOverlap="1">
                <wp:simplePos x="0" y="0"/>
                <wp:positionH relativeFrom="column">
                  <wp:posOffset>3594100</wp:posOffset>
                </wp:positionH>
                <wp:positionV relativeFrom="paragraph">
                  <wp:posOffset>377190</wp:posOffset>
                </wp:positionV>
                <wp:extent cx="1114425" cy="419100"/>
                <wp:effectExtent l="0" t="0" r="9525" b="0"/>
                <wp:wrapNone/>
                <wp:docPr id="15" name="文本框 15"/>
                <wp:cNvGraphicFramePr/>
                <a:graphic xmlns:a="http://schemas.openxmlformats.org/drawingml/2006/main">
                  <a:graphicData uri="http://schemas.microsoft.com/office/word/2010/wordprocessingShape">
                    <wps:wsp>
                      <wps:cNvSpPr txBox="1"/>
                      <wps:spPr>
                        <a:xfrm>
                          <a:off x="4547235" y="6597650"/>
                          <a:ext cx="1114425" cy="4191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3pt;margin-top:29.7pt;height:33pt;width:87.75pt;z-index:251666432;mso-width-relative:page;mso-height-relative:page;" fillcolor="#FFFFFF [3201]" filled="t" stroked="f" coordsize="21600,21600" o:gfxdata="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DypseV1QAA&#10;AAoBAAAPAAAAAAAAAAEAIAAAACIAAABkcnMvZG93bnJldi54bWxQSwECFAAUAAAACACHTuJAETFO&#10;cloCAACdBAAADgAAAAAAAAABACAAAAAkAQAAZHJzL2Uyb0RvYy54bWxQSwUGAAAAAAYABgBZAQAA&#10;8AUAAAAA&#10;">
                <v:fill on="t" focussize="0,0"/>
                <v:stroke on="f" weight="0.5pt"/>
                <v:imagedata o:title=""/>
                <o:lock v:ext="edit" aspectratio="f"/>
                <v:textbo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v:textbox>
              </v:shape>
            </w:pict>
          </mc:Fallback>
        </mc:AlternateContent>
      </w:r>
      <w:r>
        <w:drawing>
          <wp:inline distT="0" distB="0" distL="114300" distR="114300">
            <wp:extent cx="4572000" cy="2743200"/>
            <wp:effectExtent l="4445" t="4445" r="14605" b="14605"/>
            <wp:docPr id="14"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rPr>
          <w:rFonts w:hint="eastAsia" w:ascii="仿宋_GB2312" w:eastAsia="仿宋_GB2312"/>
          <w:b/>
          <w:szCs w:val="32"/>
        </w:rPr>
      </w:pPr>
    </w:p>
    <w:p>
      <w:pPr>
        <w:ind w:firstLine="632" w:firstLineChars="200"/>
        <w:rPr>
          <w:rFonts w:hint="eastAsia" w:ascii="仿宋_GB2312" w:eastAsia="仿宋_GB2312"/>
          <w:b/>
          <w:szCs w:val="32"/>
        </w:rPr>
      </w:pPr>
    </w:p>
    <w:p>
      <w:pPr>
        <w:ind w:firstLine="632" w:firstLineChars="200"/>
        <w:rPr>
          <w:rFonts w:ascii="黑体" w:hAnsi="黑体" w:eastAsia="黑体"/>
          <w:szCs w:val="32"/>
        </w:rPr>
      </w:pPr>
      <w:r>
        <w:rPr>
          <w:rFonts w:hint="eastAsia" w:ascii="黑体" w:hAnsi="黑体" w:eastAsia="黑体"/>
          <w:szCs w:val="32"/>
        </w:rPr>
        <w:t>三、支出决算情况说明</w:t>
      </w:r>
    </w:p>
    <w:p>
      <w:pPr>
        <w:ind w:firstLine="632" w:firstLineChars="200"/>
        <w:rPr>
          <w:rFonts w:hint="eastAsia" w:ascii="仿宋_GB2312" w:eastAsia="仿宋_GB2312"/>
          <w:szCs w:val="32"/>
        </w:rPr>
      </w:pPr>
      <w:r>
        <w:rPr>
          <w:rFonts w:hint="eastAsia" w:ascii="仿宋_GB2312" w:eastAsia="仿宋_GB2312"/>
          <w:szCs w:val="32"/>
        </w:rPr>
        <w:t>本年支出合计218.22万元，其中：基本支出210.46万元，占96.44%；项目支出7.76万元，占3.56%。</w:t>
      </w:r>
    </w:p>
    <w:p>
      <w:pPr>
        <w:ind w:firstLine="632" w:firstLineChars="200"/>
        <w:rPr>
          <w:rFonts w:hint="eastAsia" w:ascii="黑体" w:hAnsi="黑体" w:eastAsia="黑体"/>
          <w:szCs w:val="32"/>
        </w:rPr>
      </w:pPr>
    </w:p>
    <w:p>
      <w:pPr>
        <w:ind w:firstLine="632" w:firstLineChars="200"/>
        <w:rPr>
          <w:rFonts w:ascii="仿宋_GB2312" w:eastAsia="仿宋_GB2312"/>
          <w:b/>
          <w:szCs w:val="32"/>
        </w:rPr>
      </w:pPr>
      <w:r>
        <w:rPr>
          <w:sz w:val="32"/>
        </w:rPr>
        <mc:AlternateContent>
          <mc:Choice Requires="wps">
            <w:drawing>
              <wp:anchor distT="0" distB="0" distL="114300" distR="114300" simplePos="0" relativeHeight="251667456" behindDoc="0" locked="0" layoutInCell="1" allowOverlap="1">
                <wp:simplePos x="0" y="0"/>
                <wp:positionH relativeFrom="column">
                  <wp:posOffset>3641725</wp:posOffset>
                </wp:positionH>
                <wp:positionV relativeFrom="paragraph">
                  <wp:posOffset>401955</wp:posOffset>
                </wp:positionV>
                <wp:extent cx="1114425" cy="438150"/>
                <wp:effectExtent l="0" t="0" r="9525" b="0"/>
                <wp:wrapNone/>
                <wp:docPr id="16" name="文本框 16"/>
                <wp:cNvGraphicFramePr/>
                <a:graphic xmlns:a="http://schemas.openxmlformats.org/drawingml/2006/main">
                  <a:graphicData uri="http://schemas.microsoft.com/office/word/2010/wordprocessingShape">
                    <wps:wsp>
                      <wps:cNvSpPr txBox="1"/>
                      <wps:spPr>
                        <a:xfrm>
                          <a:off x="4613910" y="3418840"/>
                          <a:ext cx="1114425" cy="4381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6.75pt;margin-top:31.65pt;height:34.5pt;width:87.75pt;z-index:251667456;mso-width-relative:page;mso-height-relative:page;" fillcolor="#FFFFFF [3201]" filled="t" stroked="f" coordsize="21600,21600" o:gfxdata="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DM3L6tUA&#10;AAAKAQAADwAAAAAAAAABACAAAAAiAAAAZHJzL2Rvd25yZXYueG1sUEsBAhQAFAAAAAgAh07iQNFj&#10;xahbAgAAnQQAAA4AAAAAAAAAAQAgAAAAJAEAAGRycy9lMm9Eb2MueG1sUEsFBgAAAAAGAAYAWQEA&#10;APEFAAAAAA==&#10;">
                <v:fill on="t" focussize="0,0"/>
                <v:stroke on="f" weight="0.5pt"/>
                <v:imagedata o:title=""/>
                <o:lock v:ext="edit" aspectratio="f"/>
                <v:textbo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v:textbox>
              </v:shape>
            </w:pict>
          </mc:Fallback>
        </mc:AlternateContent>
      </w:r>
      <w:r>
        <w:drawing>
          <wp:inline distT="0" distB="0" distL="114300" distR="114300">
            <wp:extent cx="4572000" cy="2743200"/>
            <wp:effectExtent l="4445" t="4445" r="14605" b="14605"/>
            <wp:docPr id="4" name="图表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ind w:firstLine="632" w:firstLineChars="200"/>
        <w:rPr>
          <w:rFonts w:ascii="黑体" w:hAnsi="黑体" w:eastAsia="黑体"/>
          <w:szCs w:val="32"/>
        </w:rPr>
      </w:pPr>
      <w:r>
        <w:rPr>
          <w:rFonts w:hint="eastAsia" w:ascii="黑体" w:hAnsi="黑体" w:eastAsia="黑体"/>
          <w:szCs w:val="32"/>
        </w:rPr>
        <w:t>四、财政拨款收入支出决算总体情况说明</w:t>
      </w:r>
    </w:p>
    <w:p>
      <w:pPr>
        <w:ind w:firstLine="632" w:firstLineChars="200"/>
        <w:rPr>
          <w:rFonts w:hint="eastAsia" w:ascii="仿宋_GB2312" w:eastAsia="仿宋_GB2312"/>
          <w:szCs w:val="32"/>
        </w:rPr>
      </w:pPr>
      <w:r>
        <w:rPr>
          <w:rFonts w:hint="eastAsia" w:ascii="仿宋_GB2312" w:eastAsia="仿宋_GB2312"/>
          <w:szCs w:val="32"/>
        </w:rPr>
        <w:t>2019年度收、支总计 218.22元。与2018年相比，收、支总计各增加11.59万元，上升5.61%。主要是人员经费增加。</w:t>
      </w:r>
    </w:p>
    <w:p>
      <w:pPr>
        <w:ind w:firstLine="632" w:firstLineChars="200"/>
        <w:rPr>
          <w:rFonts w:hint="eastAsia" w:ascii="仿宋_GB2312" w:eastAsia="仿宋_GB2312"/>
          <w:szCs w:val="32"/>
        </w:rPr>
      </w:pPr>
    </w:p>
    <w:p>
      <w:pPr>
        <w:jc w:val="center"/>
        <w:rPr>
          <w:rFonts w:hint="eastAsia" w:ascii="仿宋_GB2312" w:eastAsia="仿宋_GB2312"/>
          <w:b/>
          <w:szCs w:val="32"/>
        </w:rPr>
      </w:pPr>
      <w:r>
        <w:rPr>
          <w:sz w:val="32"/>
        </w:rPr>
        <mc:AlternateContent>
          <mc:Choice Requires="wps">
            <w:drawing>
              <wp:anchor distT="0" distB="0" distL="114300" distR="114300" simplePos="0" relativeHeight="251668480" behindDoc="0" locked="0" layoutInCell="1" allowOverlap="1">
                <wp:simplePos x="0" y="0"/>
                <wp:positionH relativeFrom="column">
                  <wp:posOffset>3765550</wp:posOffset>
                </wp:positionH>
                <wp:positionV relativeFrom="paragraph">
                  <wp:posOffset>351790</wp:posOffset>
                </wp:positionV>
                <wp:extent cx="1171575" cy="409575"/>
                <wp:effectExtent l="0" t="0" r="9525" b="9525"/>
                <wp:wrapNone/>
                <wp:docPr id="17" name="文本框 17"/>
                <wp:cNvGraphicFramePr/>
                <a:graphic xmlns:a="http://schemas.openxmlformats.org/drawingml/2006/main">
                  <a:graphicData uri="http://schemas.microsoft.com/office/word/2010/wordprocessingShape">
                    <wps:wsp>
                      <wps:cNvSpPr txBox="1"/>
                      <wps:spPr>
                        <a:xfrm>
                          <a:off x="4756785" y="1508125"/>
                          <a:ext cx="1171575" cy="40957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6.5pt;margin-top:27.7pt;height:32.25pt;width:92.25pt;z-index:251668480;mso-width-relative:page;mso-height-relative:page;" fillcolor="#FFFFFF [3201]" filled="t" stroked="f" coordsize="21600,21600" o:gfxdata="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1+l/UNYA&#10;AAAKAQAADwAAAAAAAAABACAAAAAiAAAAZHJzL2Rvd25yZXYueG1sUEsBAhQAFAAAAAgAh07iQKDd&#10;8lNaAgAAnQQAAA4AAAAAAAAAAQAgAAAAJQEAAGRycy9lMm9Eb2MueG1sUEsFBgAAAAAGAAYAWQEA&#10;APEFAAAAAA==&#10;">
                <v:fill on="t" focussize="0,0"/>
                <v:stroke on="f" weight="0.5pt"/>
                <v:imagedata o:title=""/>
                <o:lock v:ext="edit" aspectratio="f"/>
                <v:textbo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2742565</wp:posOffset>
                </wp:positionH>
                <wp:positionV relativeFrom="paragraph">
                  <wp:posOffset>787400</wp:posOffset>
                </wp:positionV>
                <wp:extent cx="351790" cy="709930"/>
                <wp:effectExtent l="0" t="78740" r="0" b="140970"/>
                <wp:wrapNone/>
                <wp:docPr id="11" name="自选图形 4"/>
                <wp:cNvGraphicFramePr/>
                <a:graphic xmlns:a="http://schemas.openxmlformats.org/drawingml/2006/main">
                  <a:graphicData uri="http://schemas.microsoft.com/office/word/2010/wordprocessingShape">
                    <wps:wsp>
                      <wps:cNvSpPr/>
                      <wps:spPr>
                        <a:xfrm rot="2856095">
                          <a:off x="0" y="0"/>
                          <a:ext cx="351790" cy="709930"/>
                        </a:xfrm>
                        <a:prstGeom prst="upArrow">
                          <a:avLst>
                            <a:gd name="adj1" fmla="val 50000"/>
                            <a:gd name="adj2" fmla="val 50451"/>
                          </a:avLst>
                        </a:prstGeom>
                        <a:solidFill>
                          <a:srgbClr val="FFFFFF"/>
                        </a:solidFill>
                        <a:ln w="9525" cap="flat" cmpd="sng">
                          <a:solidFill>
                            <a:srgbClr val="000000"/>
                          </a:solidFill>
                          <a:prstDash val="solid"/>
                          <a:miter/>
                          <a:headEnd type="none" w="med" len="med"/>
                          <a:tailEnd type="none" w="med" len="med"/>
                        </a:ln>
                      </wps:spPr>
                      <wps:txbx>
                        <w:txbxContent>
                          <w:p/>
                        </w:txbxContent>
                      </wps:txbx>
                      <wps:bodyPr vert="eaVert" upright="1"/>
                    </wps:wsp>
                  </a:graphicData>
                </a:graphic>
              </wp:anchor>
            </w:drawing>
          </mc:Choice>
          <mc:Fallback>
            <w:pict>
              <v:shape id="自选图形 4" o:spid="_x0000_s1026" o:spt="68" type="#_x0000_t68" style="position:absolute;left:0pt;margin-left:215.95pt;margin-top:62pt;height:55.9pt;width:27.7pt;rotation:3119617f;z-index:251662336;mso-width-relative:page;mso-height-relative:page;" fillcolor="#FFFFFF" filled="t" stroked="t" coordsize="21600,21600" o:gfxdata="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y7XB02gAAAAsBAAAPAAAAAAAAAAEA&#10;IAAAACIAAABkcnMvZG93bnJldi54bWxQSwECFAAUAAAACACHTuJAAGF3jUYCAACfBAAADgAAAAAA&#10;AAABACAAAAApAQAAZHJzL2Uyb0RvYy54bWxQSwUGAAAAAAYABgBZAQAA4QUAAAAA&#10;" adj="5399,5400">
                <v:fill on="t" focussize="0,0"/>
                <v:stroke color="#000000" joinstyle="miter"/>
                <v:imagedata o:title=""/>
                <o:lock v:ext="edit" aspectratio="f"/>
                <v:textbox style="layout-flow:vertical-ideographic;">
                  <w:txbxContent>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1990090</wp:posOffset>
                </wp:positionH>
                <wp:positionV relativeFrom="paragraph">
                  <wp:posOffset>419735</wp:posOffset>
                </wp:positionV>
                <wp:extent cx="1551305" cy="380365"/>
                <wp:effectExtent l="5080" t="4445" r="5715" b="15240"/>
                <wp:wrapNone/>
                <wp:docPr id="10" name="文本框 5"/>
                <wp:cNvGraphicFramePr/>
                <a:graphic xmlns:a="http://schemas.openxmlformats.org/drawingml/2006/main">
                  <a:graphicData uri="http://schemas.microsoft.com/office/word/2010/wordprocessingShape">
                    <wps:wsp>
                      <wps:cNvSpPr txBox="1"/>
                      <wps:spPr>
                        <a:xfrm>
                          <a:off x="0" y="0"/>
                          <a:ext cx="1551305" cy="38036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sz w:val="16"/>
                                <w:szCs w:val="16"/>
                              </w:rPr>
                            </w:pPr>
                            <w:r>
                              <w:rPr>
                                <w:rFonts w:hint="eastAsia"/>
                                <w:sz w:val="16"/>
                                <w:szCs w:val="16"/>
                              </w:rPr>
                              <w:t>增加11.59万元，上升5.61%。</w:t>
                            </w:r>
                          </w:p>
                          <w:p/>
                        </w:txbxContent>
                      </wps:txbx>
                      <wps:bodyPr upright="1"/>
                    </wps:wsp>
                  </a:graphicData>
                </a:graphic>
              </wp:anchor>
            </w:drawing>
          </mc:Choice>
          <mc:Fallback>
            <w:pict>
              <v:shape id="文本框 5" o:spid="_x0000_s1026" o:spt="202" type="#_x0000_t202" style="position:absolute;left:0pt;margin-left:156.7pt;margin-top:33.05pt;height:29.95pt;width:122.15pt;z-index:251661312;mso-width-relative:page;mso-height-relative:page;" fillcolor="#FFFFFF" filled="t" stroked="t" coordsize="21600,21600" o:gfxdata="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hAXOV2QAAAAoBAAAPAAAAAAAAAAEAIAAA&#10;ACIAAABkcnMvZG93bnJldi54bWxQSwECFAAUAAAACACHTuJA5a7FSAsCAAA3BAAADgAAAAAAAAAB&#10;ACAAAAAoAQAAZHJzL2Uyb0RvYy54bWxQSwUGAAAAAAYABgBZAQAApQUAAAAA&#10;">
                <v:fill on="t" focussize="0,0"/>
                <v:stroke color="#000000" joinstyle="miter"/>
                <v:imagedata o:title=""/>
                <o:lock v:ext="edit" aspectratio="f"/>
                <v:textbox>
                  <w:txbxContent>
                    <w:p>
                      <w:pPr>
                        <w:jc w:val="left"/>
                        <w:rPr>
                          <w:sz w:val="16"/>
                          <w:szCs w:val="16"/>
                        </w:rPr>
                      </w:pPr>
                      <w:r>
                        <w:rPr>
                          <w:rFonts w:hint="eastAsia"/>
                          <w:sz w:val="16"/>
                          <w:szCs w:val="16"/>
                        </w:rPr>
                        <w:t>增加11.59万元，上升5.61%。</w:t>
                      </w:r>
                    </w:p>
                    <w:p/>
                  </w:txbxContent>
                </v:textbox>
              </v:shape>
            </w:pict>
          </mc:Fallback>
        </mc:AlternateContent>
      </w:r>
      <w:r>
        <w:drawing>
          <wp:inline distT="0" distB="0" distL="114300" distR="114300">
            <wp:extent cx="3267710" cy="1952625"/>
            <wp:effectExtent l="0" t="0" r="8890" b="9525"/>
            <wp:docPr id="5" name="图片 5" descr="C:\Users\Administrator\Desktop\傅晓宇\个人\njz4.pngnjz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C:\Users\Administrator\Desktop\傅晓宇\个人\njz4.pngnjz4"/>
                    <pic:cNvPicPr>
                      <a:picLocks noChangeAspect="1"/>
                    </pic:cNvPicPr>
                  </pic:nvPicPr>
                  <pic:blipFill>
                    <a:blip r:embed="rId11"/>
                    <a:stretch>
                      <a:fillRect/>
                    </a:stretch>
                  </pic:blipFill>
                  <pic:spPr>
                    <a:xfrm>
                      <a:off x="0" y="0"/>
                      <a:ext cx="3267710" cy="1952625"/>
                    </a:xfrm>
                    <a:prstGeom prst="rect">
                      <a:avLst/>
                    </a:prstGeom>
                    <a:noFill/>
                    <a:ln>
                      <a:noFill/>
                    </a:ln>
                  </pic:spPr>
                </pic:pic>
              </a:graphicData>
            </a:graphic>
          </wp:inline>
        </w:drawing>
      </w:r>
    </w:p>
    <w:p>
      <w:pPr>
        <w:ind w:firstLine="632" w:firstLineChars="200"/>
        <w:rPr>
          <w:rFonts w:ascii="黑体" w:hAnsi="黑体" w:eastAsia="黑体"/>
          <w:szCs w:val="32"/>
        </w:rPr>
      </w:pPr>
      <w:r>
        <w:rPr>
          <w:rFonts w:hint="eastAsia" w:ascii="黑体" w:hAnsi="黑体" w:eastAsia="黑体"/>
          <w:szCs w:val="32"/>
        </w:rPr>
        <w:t>五、一般公共预算财政拨款支出决算情况说明</w:t>
      </w:r>
    </w:p>
    <w:p>
      <w:pPr>
        <w:ind w:firstLine="632" w:firstLineChars="200"/>
        <w:rPr>
          <w:rFonts w:ascii="楷体_GB2312" w:eastAsia="楷体_GB2312"/>
          <w:szCs w:val="32"/>
        </w:rPr>
      </w:pPr>
      <w:r>
        <w:rPr>
          <w:rFonts w:hint="eastAsia" w:ascii="楷体_GB2312" w:eastAsia="楷体_GB2312"/>
          <w:szCs w:val="32"/>
        </w:rPr>
        <w:t>（一）一般公共预算财政拨款支出决算总体情况</w:t>
      </w:r>
    </w:p>
    <w:p>
      <w:pPr>
        <w:ind w:firstLine="632" w:firstLineChars="200"/>
        <w:rPr>
          <w:rFonts w:hint="eastAsia" w:ascii="仿宋_GB2312" w:eastAsia="仿宋_GB2312"/>
          <w:color w:val="0000FF"/>
          <w:szCs w:val="32"/>
        </w:rPr>
      </w:pPr>
      <w:r>
        <w:rPr>
          <w:rFonts w:hint="eastAsia" w:ascii="仿宋_GB2312" w:eastAsia="仿宋_GB2312"/>
          <w:szCs w:val="32"/>
        </w:rPr>
        <w:t>2019年度一般公共预算财政拨款支出218.22万元，占本年支出合计的100%。与2018年相比，收、支总计各增加11.59万元，上升5.61%。主要是人员经费增加。</w:t>
      </w:r>
    </w:p>
    <w:p>
      <w:pPr>
        <w:ind w:firstLine="632" w:firstLineChars="200"/>
        <w:rPr>
          <w:rFonts w:hint="eastAsia" w:ascii="仿宋_GB2312" w:eastAsia="仿宋_GB2312"/>
          <w:b/>
          <w:szCs w:val="32"/>
        </w:rPr>
      </w:pPr>
      <w:r>
        <w:rPr>
          <w:sz w:val="32"/>
        </w:rPr>
        <mc:AlternateContent>
          <mc:Choice Requires="wps">
            <w:drawing>
              <wp:anchor distT="0" distB="0" distL="114300" distR="114300" simplePos="0" relativeHeight="251669504" behindDoc="0" locked="0" layoutInCell="1" allowOverlap="1">
                <wp:simplePos x="0" y="0"/>
                <wp:positionH relativeFrom="column">
                  <wp:posOffset>4013200</wp:posOffset>
                </wp:positionH>
                <wp:positionV relativeFrom="paragraph">
                  <wp:posOffset>276860</wp:posOffset>
                </wp:positionV>
                <wp:extent cx="895350" cy="361315"/>
                <wp:effectExtent l="0" t="0" r="0" b="0"/>
                <wp:wrapNone/>
                <wp:docPr id="18" name="文本框 18"/>
                <wp:cNvGraphicFramePr/>
                <a:graphic xmlns:a="http://schemas.openxmlformats.org/drawingml/2006/main">
                  <a:graphicData uri="http://schemas.microsoft.com/office/word/2010/wordprocessingShape">
                    <wps:wsp>
                      <wps:cNvSpPr txBox="1"/>
                      <wps:spPr>
                        <a:xfrm>
                          <a:off x="4985385" y="5617845"/>
                          <a:ext cx="895350" cy="3613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6pt;margin-top:21.8pt;height:28.45pt;width:70.5pt;z-index:251669504;mso-width-relative:page;mso-height-relative:page;" filled="f" stroked="f" coordsize="21600,21600" o:gfxdata="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M8uAD2wAAAAoBAAAPAAAAAAAA&#10;AAEAIAAAACIAAABkcnMvZG93bnJldi54bWxQSwECFAAUAAAACACHTuJA5drZfEgCAABzBAAADgAA&#10;AAAAAAABACAAAAAqAQAAZHJzL2Uyb0RvYy54bWxQSwUGAAAAAAYABgBZAQAA5AUAAAAA&#10;">
                <v:fill on="f" focussize="0,0"/>
                <v:stroke on="f" weight="0.5pt"/>
                <v:imagedata o:title=""/>
                <o:lock v:ext="edit" aspectratio="f"/>
                <v:textbo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2453640</wp:posOffset>
                </wp:positionH>
                <wp:positionV relativeFrom="paragraph">
                  <wp:posOffset>840105</wp:posOffset>
                </wp:positionV>
                <wp:extent cx="343535" cy="699135"/>
                <wp:effectExtent l="0" t="77470" r="0" b="131445"/>
                <wp:wrapNone/>
                <wp:docPr id="12" name="自选图形 6"/>
                <wp:cNvGraphicFramePr/>
                <a:graphic xmlns:a="http://schemas.openxmlformats.org/drawingml/2006/main">
                  <a:graphicData uri="http://schemas.microsoft.com/office/word/2010/wordprocessingShape">
                    <wps:wsp>
                      <wps:cNvSpPr/>
                      <wps:spPr>
                        <a:xfrm rot="3098492">
                          <a:off x="0" y="0"/>
                          <a:ext cx="343535" cy="699135"/>
                        </a:xfrm>
                        <a:prstGeom prst="upArrow">
                          <a:avLst>
                            <a:gd name="adj1" fmla="val 50000"/>
                            <a:gd name="adj2" fmla="val 50878"/>
                          </a:avLst>
                        </a:prstGeom>
                        <a:solidFill>
                          <a:srgbClr val="FFFFFF"/>
                        </a:solidFill>
                        <a:ln w="9525" cap="flat" cmpd="sng">
                          <a:solidFill>
                            <a:srgbClr val="000000"/>
                          </a:solidFill>
                          <a:prstDash val="solid"/>
                          <a:miter/>
                          <a:headEnd type="none" w="med" len="med"/>
                          <a:tailEnd type="none" w="med" len="med"/>
                        </a:ln>
                      </wps:spPr>
                      <wps:txbx>
                        <w:txbxContent>
                          <w:p/>
                        </w:txbxContent>
                      </wps:txbx>
                      <wps:bodyPr vert="eaVert" upright="1"/>
                    </wps:wsp>
                  </a:graphicData>
                </a:graphic>
              </wp:anchor>
            </w:drawing>
          </mc:Choice>
          <mc:Fallback>
            <w:pict>
              <v:shape id="自选图形 6" o:spid="_x0000_s1026" o:spt="68" type="#_x0000_t68" style="position:absolute;left:0pt;margin-left:193.2pt;margin-top:66.15pt;height:55.05pt;width:27.05pt;rotation:3384380f;z-index:251664384;mso-width-relative:page;mso-height-relative:page;" fillcolor="#FFFFFF" filled="t" stroked="t" coordsize="21600,21600" o:gfxdata="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BCF4xNoAAAALAQAADwAAAAAAAAAB&#10;ACAAAAAiAAAAZHJzL2Rvd25yZXYueG1sUEsBAhQAFAAAAAgAh07iQIONlklHAgAAnwQAAA4AAAAA&#10;AAAAAQAgAAAAKQEAAGRycy9lMm9Eb2MueG1sUEsFBgAAAAAGAAYAWQEAAOIFAAAAAA==&#10;" adj="5399,5400">
                <v:fill on="t" focussize="0,0"/>
                <v:stroke color="#000000" joinstyle="miter"/>
                <v:imagedata o:title=""/>
                <o:lock v:ext="edit" aspectratio="f"/>
                <v:textbox style="layout-flow:vertical-ideographic;">
                  <w:txbxContent>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1845945</wp:posOffset>
                </wp:positionH>
                <wp:positionV relativeFrom="paragraph">
                  <wp:posOffset>472440</wp:posOffset>
                </wp:positionV>
                <wp:extent cx="1638935" cy="381000"/>
                <wp:effectExtent l="4445" t="4445" r="13970" b="14605"/>
                <wp:wrapNone/>
                <wp:docPr id="13" name="文本框 7"/>
                <wp:cNvGraphicFramePr/>
                <a:graphic xmlns:a="http://schemas.openxmlformats.org/drawingml/2006/main">
                  <a:graphicData uri="http://schemas.microsoft.com/office/word/2010/wordprocessingShape">
                    <wps:wsp>
                      <wps:cNvSpPr txBox="1"/>
                      <wps:spPr>
                        <a:xfrm>
                          <a:off x="0" y="0"/>
                          <a:ext cx="1638935" cy="3810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sz w:val="16"/>
                                <w:szCs w:val="16"/>
                              </w:rPr>
                            </w:pPr>
                            <w:r>
                              <w:rPr>
                                <w:rFonts w:hint="eastAsia"/>
                                <w:sz w:val="16"/>
                                <w:szCs w:val="16"/>
                              </w:rPr>
                              <w:t>增加11.59万元，上升5.61%。</w:t>
                            </w:r>
                          </w:p>
                          <w:p/>
                        </w:txbxContent>
                      </wps:txbx>
                      <wps:bodyPr upright="1"/>
                    </wps:wsp>
                  </a:graphicData>
                </a:graphic>
              </wp:anchor>
            </w:drawing>
          </mc:Choice>
          <mc:Fallback>
            <w:pict>
              <v:shape id="文本框 7" o:spid="_x0000_s1026" o:spt="202" type="#_x0000_t202" style="position:absolute;left:0pt;margin-left:145.35pt;margin-top:37.2pt;height:30pt;width:129.05pt;z-index:251663360;mso-width-relative:page;mso-height-relative:page;" fillcolor="#FFFFFF" filled="t" stroked="t" coordsize="21600,21600" o:gfxdata="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CcTM1/YAAAACgEAAA8AAAAAAAAAAQAg&#10;AAAAIgAAAGRycy9kb3ducmV2LnhtbFBLAQIUABQAAAAIAIdO4kAo+OKoDgIAADcEAAAOAAAAAAAA&#10;AAEAIAAAACcBAABkcnMvZTJvRG9jLnhtbFBLBQYAAAAABgAGAFkBAACnBQAAAAA=&#10;">
                <v:fill on="t" focussize="0,0"/>
                <v:stroke color="#000000" joinstyle="miter"/>
                <v:imagedata o:title=""/>
                <o:lock v:ext="edit" aspectratio="f"/>
                <v:textbox>
                  <w:txbxContent>
                    <w:p>
                      <w:pPr>
                        <w:jc w:val="left"/>
                        <w:rPr>
                          <w:sz w:val="16"/>
                          <w:szCs w:val="16"/>
                        </w:rPr>
                      </w:pPr>
                      <w:r>
                        <w:rPr>
                          <w:rFonts w:hint="eastAsia"/>
                          <w:sz w:val="16"/>
                          <w:szCs w:val="16"/>
                        </w:rPr>
                        <w:t>增加11.59万元，上升5.61%。</w:t>
                      </w:r>
                    </w:p>
                    <w:p/>
                  </w:txbxContent>
                </v:textbox>
              </v:shape>
            </w:pict>
          </mc:Fallback>
        </mc:AlternateContent>
      </w:r>
      <w:r>
        <w:rPr>
          <w:rFonts w:hint="eastAsia" w:ascii="楷体_GB2312" w:eastAsia="楷体_GB2312"/>
          <w:szCs w:val="32"/>
        </w:rPr>
        <w:drawing>
          <wp:inline distT="0" distB="0" distL="114300" distR="114300">
            <wp:extent cx="4572000" cy="2162175"/>
            <wp:effectExtent l="0" t="0" r="0" b="9525"/>
            <wp:docPr id="6" name="图片 6" descr="C:\Users\Administrator\Desktop\傅晓宇\个人\njz5.pngnjz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Users\Administrator\Desktop\傅晓宇\个人\njz5.pngnjz5"/>
                    <pic:cNvPicPr>
                      <a:picLocks noChangeAspect="1"/>
                    </pic:cNvPicPr>
                  </pic:nvPicPr>
                  <pic:blipFill>
                    <a:blip r:embed="rId12"/>
                    <a:stretch>
                      <a:fillRect/>
                    </a:stretch>
                  </pic:blipFill>
                  <pic:spPr>
                    <a:xfrm>
                      <a:off x="0" y="0"/>
                      <a:ext cx="4572000" cy="2162175"/>
                    </a:xfrm>
                    <a:prstGeom prst="rect">
                      <a:avLst/>
                    </a:prstGeom>
                    <a:noFill/>
                    <a:ln>
                      <a:noFill/>
                    </a:ln>
                  </pic:spPr>
                </pic:pic>
              </a:graphicData>
            </a:graphic>
          </wp:inline>
        </w:drawing>
      </w:r>
    </w:p>
    <w:p>
      <w:pPr>
        <w:ind w:firstLine="632" w:firstLineChars="200"/>
        <w:rPr>
          <w:rFonts w:ascii="楷体_GB2312" w:eastAsia="楷体_GB2312"/>
          <w:szCs w:val="32"/>
        </w:rPr>
      </w:pPr>
      <w:r>
        <w:rPr>
          <w:rFonts w:hint="eastAsia" w:ascii="楷体_GB2312" w:eastAsia="楷体_GB2312"/>
          <w:szCs w:val="32"/>
        </w:rPr>
        <w:t>（二）一般公共预算财政拨款支出决算结构情况</w:t>
      </w:r>
    </w:p>
    <w:p>
      <w:pPr>
        <w:ind w:firstLine="632" w:firstLineChars="200"/>
        <w:rPr>
          <w:rFonts w:hint="eastAsia" w:ascii="仿宋_GB2312" w:eastAsia="仿宋_GB2312"/>
          <w:szCs w:val="32"/>
        </w:rPr>
      </w:pPr>
      <w:r>
        <w:rPr>
          <w:rFonts w:hint="eastAsia" w:ascii="仿宋_GB2312" w:eastAsia="仿宋_GB2312"/>
          <w:szCs w:val="32"/>
        </w:rPr>
        <w:t>2019年度一般公共预算财政拨款支出218.22万元，主要用于以下方面：社会保障和就业（类）支出8.49万元，占</w:t>
      </w:r>
      <w:r>
        <w:rPr>
          <w:rFonts w:hint="eastAsia" w:ascii="仿宋_GB2312" w:eastAsia="仿宋_GB2312"/>
          <w:szCs w:val="32"/>
          <w:lang w:val="en-US" w:eastAsia="zh-CN"/>
        </w:rPr>
        <w:t>3.89</w:t>
      </w:r>
      <w:r>
        <w:rPr>
          <w:rFonts w:hint="eastAsia" w:ascii="仿宋_GB2312" w:eastAsia="仿宋_GB2312"/>
          <w:szCs w:val="32"/>
        </w:rPr>
        <w:t>%；卫生健康（类）支出4.7万元，占</w:t>
      </w:r>
      <w:r>
        <w:rPr>
          <w:rFonts w:hint="eastAsia" w:ascii="仿宋_GB2312" w:eastAsia="仿宋_GB2312"/>
          <w:szCs w:val="32"/>
          <w:lang w:val="en-US" w:eastAsia="zh-CN"/>
        </w:rPr>
        <w:t>2.15</w:t>
      </w:r>
      <w:r>
        <w:rPr>
          <w:rFonts w:hint="eastAsia" w:ascii="仿宋_GB2312" w:eastAsia="仿宋_GB2312"/>
          <w:szCs w:val="32"/>
        </w:rPr>
        <w:t>%；农林水（类）支出198.22万元，占</w:t>
      </w:r>
      <w:r>
        <w:rPr>
          <w:rFonts w:hint="eastAsia" w:ascii="仿宋_GB2312" w:eastAsia="仿宋_GB2312"/>
          <w:szCs w:val="32"/>
          <w:lang w:val="en-US" w:eastAsia="zh-CN"/>
        </w:rPr>
        <w:t>90.83</w:t>
      </w:r>
      <w:r>
        <w:rPr>
          <w:rFonts w:hint="eastAsia" w:ascii="仿宋_GB2312" w:eastAsia="仿宋_GB2312"/>
          <w:szCs w:val="32"/>
        </w:rPr>
        <w:t>%，住房保障（类）支出6.81万元，占3</w:t>
      </w:r>
      <w:r>
        <w:rPr>
          <w:rFonts w:hint="eastAsia" w:ascii="仿宋_GB2312" w:eastAsia="仿宋_GB2312"/>
          <w:szCs w:val="32"/>
          <w:lang w:val="en-US" w:eastAsia="zh-CN"/>
        </w:rPr>
        <w:t>.13</w:t>
      </w:r>
      <w:r>
        <w:rPr>
          <w:rFonts w:hint="eastAsia" w:ascii="仿宋_GB2312" w:eastAsia="仿宋_GB2312"/>
          <w:szCs w:val="32"/>
        </w:rPr>
        <w:t>%。</w:t>
      </w:r>
    </w:p>
    <w:p>
      <w:pPr>
        <w:ind w:firstLine="632" w:firstLineChars="200"/>
      </w:pPr>
      <w:r>
        <w:rPr>
          <w:sz w:val="32"/>
        </w:rPr>
        <mc:AlternateContent>
          <mc:Choice Requires="wps">
            <w:drawing>
              <wp:anchor distT="0" distB="0" distL="114300" distR="114300" simplePos="0" relativeHeight="251670528" behindDoc="0" locked="0" layoutInCell="1" allowOverlap="1">
                <wp:simplePos x="0" y="0"/>
                <wp:positionH relativeFrom="column">
                  <wp:posOffset>4108450</wp:posOffset>
                </wp:positionH>
                <wp:positionV relativeFrom="paragraph">
                  <wp:posOffset>297815</wp:posOffset>
                </wp:positionV>
                <wp:extent cx="923925" cy="361950"/>
                <wp:effectExtent l="0" t="0" r="9525" b="0"/>
                <wp:wrapNone/>
                <wp:docPr id="19" name="文本框 19"/>
                <wp:cNvGraphicFramePr/>
                <a:graphic xmlns:a="http://schemas.openxmlformats.org/drawingml/2006/main">
                  <a:graphicData uri="http://schemas.microsoft.com/office/word/2010/wordprocessingShape">
                    <wps:wsp>
                      <wps:cNvSpPr txBox="1"/>
                      <wps:spPr>
                        <a:xfrm>
                          <a:off x="4490085" y="1930400"/>
                          <a:ext cx="923925" cy="3619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23.5pt;margin-top:23.45pt;height:28.5pt;width:72.75pt;z-index:251670528;mso-width-relative:page;mso-height-relative:page;" fillcolor="#FFFFFF [3201]" filled="t" stroked="f" coordsize="21600,21600" o:gfxdata="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0OjKpNYA&#10;AAAKAQAADwAAAAAAAAABACAAAAAiAAAAZHJzL2Rvd25yZXYueG1sUEsBAhQAFAAAAAgAh07iQJU0&#10;7MFaAgAAnAQAAA4AAAAAAAAAAQAgAAAAJQEAAGRycy9lMm9Eb2MueG1sUEsFBgAAAAAGAAYAWQEA&#10;APEFAAAAAA==&#10;">
                <v:fill on="t" focussize="0,0"/>
                <v:stroke on="f" weight="0.5pt"/>
                <v:imagedata o:title=""/>
                <o:lock v:ext="edit" aspectratio="f"/>
                <v:textbox>
                  <w:txbxContent>
                    <w:p>
                      <w:r>
                        <w:rPr>
                          <w:rFonts w:hint="eastAsia"/>
                          <w:sz w:val="21"/>
                          <w:szCs w:val="21"/>
                          <w:lang w:val="en-US" w:eastAsia="zh-CN"/>
                        </w:rPr>
                        <w:t>单位：万</w:t>
                      </w:r>
                      <w:r>
                        <w:rPr>
                          <w:rFonts w:hint="eastAsia" w:ascii="Times New Roman" w:hAnsi="Times New Roman" w:eastAsia="宋体" w:cs="Times New Roman"/>
                          <w:sz w:val="21"/>
                          <w:szCs w:val="21"/>
                          <w:lang w:val="en-US" w:eastAsia="zh-CN"/>
                        </w:rPr>
                        <w:t>元</w:t>
                      </w:r>
                    </w:p>
                  </w:txbxContent>
                </v:textbox>
              </v:shape>
            </w:pict>
          </mc:Fallback>
        </mc:AlternateContent>
      </w:r>
      <w:r>
        <w:drawing>
          <wp:inline distT="0" distB="0" distL="114300" distR="114300">
            <wp:extent cx="4572000" cy="2743200"/>
            <wp:effectExtent l="4445" t="4445" r="14605" b="14605"/>
            <wp:docPr id="7" name="图表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ind w:firstLine="632" w:firstLineChars="200"/>
        <w:rPr>
          <w:rFonts w:ascii="楷体_GB2312" w:eastAsia="楷体_GB2312"/>
          <w:szCs w:val="32"/>
        </w:rPr>
      </w:pPr>
      <w:r>
        <w:rPr>
          <w:rFonts w:hint="eastAsia" w:ascii="楷体_GB2312" w:eastAsia="楷体_GB2312"/>
          <w:szCs w:val="32"/>
        </w:rPr>
        <w:t>（三）一般公共预算财政拨款支出决算具体情况</w:t>
      </w:r>
    </w:p>
    <w:p>
      <w:pPr>
        <w:ind w:firstLine="632" w:firstLineChars="200"/>
        <w:rPr>
          <w:rFonts w:hint="eastAsia" w:ascii="仿宋_GB2312" w:eastAsia="仿宋_GB2312"/>
          <w:szCs w:val="32"/>
        </w:rPr>
      </w:pPr>
      <w:r>
        <w:rPr>
          <w:rFonts w:hint="eastAsia" w:ascii="仿宋_GB2312" w:eastAsia="仿宋_GB2312"/>
          <w:szCs w:val="32"/>
        </w:rPr>
        <w:t>2019年度一般公共预算财政拨款支出年初预算为238.03万元，支出决算为218.22万元，完成年初预算的91.68%。决算数小于年初预算数的主要原因是人员经费减少。其中：</w:t>
      </w:r>
    </w:p>
    <w:p>
      <w:pPr>
        <w:numPr>
          <w:ilvl w:val="0"/>
          <w:numId w:val="2"/>
        </w:numPr>
        <w:ind w:left="-2" w:leftChars="0" w:firstLine="632" w:firstLineChars="0"/>
        <w:rPr>
          <w:rFonts w:hint="eastAsia" w:ascii="仿宋_GB2312" w:eastAsia="仿宋_GB2312"/>
          <w:szCs w:val="32"/>
        </w:rPr>
      </w:pPr>
      <w:r>
        <w:rPr>
          <w:rFonts w:hint="eastAsia" w:ascii="仿宋_GB2312" w:eastAsia="仿宋_GB2312"/>
          <w:szCs w:val="32"/>
        </w:rPr>
        <w:t>社会保障和就业（类）行政事业单位离退休（款）机关事业单位基本养老保险缴费支出（项）支出，主要是用于缴纳职工养老保险。年初预算为10.5</w:t>
      </w:r>
      <w:r>
        <w:rPr>
          <w:rFonts w:hint="eastAsia" w:ascii="仿宋_GB2312" w:eastAsia="仿宋_GB2312"/>
          <w:szCs w:val="32"/>
          <w:lang w:val="en-US" w:eastAsia="zh-CN"/>
        </w:rPr>
        <w:t>0</w:t>
      </w:r>
      <w:r>
        <w:rPr>
          <w:rFonts w:hint="eastAsia" w:ascii="仿宋_GB2312" w:eastAsia="仿宋_GB2312"/>
          <w:szCs w:val="32"/>
        </w:rPr>
        <w:t>万元，支出决算为8.02万元，完成年初预算的76.38%。决算数小年初预算数主要原因是职工养老保险缴费金额减少。</w:t>
      </w:r>
    </w:p>
    <w:p>
      <w:pPr>
        <w:ind w:firstLine="632" w:firstLineChars="200"/>
        <w:rPr>
          <w:rFonts w:hint="eastAsia" w:ascii="仿宋_GB2312" w:eastAsia="仿宋_GB2312"/>
          <w:szCs w:val="32"/>
        </w:rPr>
      </w:pPr>
      <w:r>
        <w:rPr>
          <w:rFonts w:hint="eastAsia" w:ascii="仿宋_GB2312" w:eastAsia="仿宋_GB2312"/>
          <w:szCs w:val="32"/>
        </w:rPr>
        <w:t>社会保障和就业（类）其他社会保障和就业支出（款）其他社会保障和就业支出（项）支出，主要用于单位职工缴纳工伤、失业保险。年初预算为0.63万元，支出决算为0.47万元，完成年初预算的74.6%。决算数小年初预算数主要原因是职工劳动保险缴费金额减少。</w:t>
      </w:r>
    </w:p>
    <w:p>
      <w:pPr>
        <w:numPr>
          <w:ilvl w:val="0"/>
          <w:numId w:val="2"/>
        </w:numPr>
        <w:ind w:left="-2" w:leftChars="0" w:firstLine="632" w:firstLineChars="0"/>
        <w:rPr>
          <w:rFonts w:hint="eastAsia" w:ascii="仿宋_GB2312" w:eastAsia="仿宋_GB2312"/>
          <w:szCs w:val="32"/>
        </w:rPr>
      </w:pPr>
      <w:r>
        <w:rPr>
          <w:rFonts w:hint="eastAsia" w:ascii="仿宋_GB2312" w:eastAsia="仿宋_GB2312"/>
          <w:szCs w:val="32"/>
        </w:rPr>
        <w:t>卫生健康支出（类）行政事业单位医疗（款）事业单位医疗（项）支出，主要用于单位职工缴纳医疗保险。年初预算为4.31万元，支出决算为3.78万元，完成年初预算的87.7%。决算数</w:t>
      </w:r>
      <w:r>
        <w:rPr>
          <w:rFonts w:hint="eastAsia" w:ascii="仿宋_GB2312" w:eastAsia="仿宋_GB2312"/>
          <w:szCs w:val="32"/>
          <w:lang w:eastAsia="zh-CN"/>
        </w:rPr>
        <w:t>小</w:t>
      </w:r>
      <w:r>
        <w:rPr>
          <w:rFonts w:hint="eastAsia" w:ascii="仿宋_GB2312" w:eastAsia="仿宋_GB2312"/>
          <w:szCs w:val="32"/>
        </w:rPr>
        <w:t>于年初预算主要原因是缴纳事业单位职工医疗保险减少。</w:t>
      </w:r>
    </w:p>
    <w:p>
      <w:pPr>
        <w:ind w:firstLine="632" w:firstLineChars="200"/>
        <w:rPr>
          <w:rFonts w:hint="eastAsia" w:ascii="仿宋_GB2312" w:eastAsia="仿宋_GB2312"/>
          <w:szCs w:val="32"/>
        </w:rPr>
      </w:pPr>
      <w:r>
        <w:rPr>
          <w:rFonts w:hint="eastAsia" w:ascii="仿宋_GB2312" w:eastAsia="仿宋_GB2312"/>
          <w:szCs w:val="32"/>
        </w:rPr>
        <w:t>卫生健康支出（类）行政事业单位医疗（款）卫生健康公务员医疗补助（项）支出主要用于人员医疗保险。年初预算为1.05万元，支出决算为0.92万元，完成年初预算的87.62%。决算数</w:t>
      </w:r>
      <w:r>
        <w:rPr>
          <w:rFonts w:hint="eastAsia" w:ascii="仿宋_GB2312" w:eastAsia="仿宋_GB2312"/>
          <w:szCs w:val="32"/>
          <w:lang w:eastAsia="zh-CN"/>
        </w:rPr>
        <w:t>小</w:t>
      </w:r>
      <w:r>
        <w:rPr>
          <w:rFonts w:hint="eastAsia" w:ascii="仿宋_GB2312" w:eastAsia="仿宋_GB2312"/>
          <w:szCs w:val="32"/>
        </w:rPr>
        <w:t>于年初预算主要原因是缴纳事业单位职工医疗补助减少。</w:t>
      </w:r>
    </w:p>
    <w:p>
      <w:pPr>
        <w:ind w:firstLine="632" w:firstLineChars="200"/>
        <w:rPr>
          <w:rFonts w:hint="eastAsia" w:ascii="仿宋_GB2312" w:eastAsia="仿宋_GB2312"/>
          <w:szCs w:val="32"/>
        </w:rPr>
      </w:pPr>
      <w:r>
        <w:rPr>
          <w:rFonts w:hint="eastAsia" w:ascii="仿宋_GB2312" w:eastAsia="仿宋_GB2312"/>
          <w:szCs w:val="32"/>
          <w:lang w:val="en-US" w:eastAsia="zh-CN"/>
        </w:rPr>
        <w:t>3</w:t>
      </w:r>
      <w:r>
        <w:rPr>
          <w:rFonts w:hint="eastAsia" w:ascii="仿宋_GB2312" w:eastAsia="仿宋_GB2312"/>
          <w:szCs w:val="32"/>
        </w:rPr>
        <w:t>、农林水支出（类）农业（款）事业运行（项）支出，主要用于单位职工缴纳工资、津贴以及办公经费支出。年初预算为200.21万元，支出决算为198.22万元，完成预算99.01%。决算</w:t>
      </w:r>
      <w:r>
        <w:rPr>
          <w:rFonts w:hint="eastAsia" w:ascii="仿宋_GB2312" w:eastAsia="仿宋_GB2312"/>
          <w:szCs w:val="32"/>
          <w:lang w:eastAsia="zh-CN"/>
        </w:rPr>
        <w:t>小于</w:t>
      </w:r>
      <w:r>
        <w:rPr>
          <w:rFonts w:hint="eastAsia" w:ascii="仿宋_GB2312" w:eastAsia="仿宋_GB2312"/>
          <w:szCs w:val="32"/>
        </w:rPr>
        <w:t>年初预算</w:t>
      </w:r>
      <w:r>
        <w:rPr>
          <w:rFonts w:hint="eastAsia" w:ascii="仿宋_GB2312" w:eastAsia="仿宋_GB2312"/>
          <w:szCs w:val="32"/>
          <w:lang w:eastAsia="zh-CN"/>
        </w:rPr>
        <w:t>的</w:t>
      </w:r>
      <w:r>
        <w:rPr>
          <w:rFonts w:hint="eastAsia" w:ascii="仿宋_GB2312" w:eastAsia="仿宋_GB2312"/>
          <w:szCs w:val="32"/>
        </w:rPr>
        <w:t>主要原因是按预算计划支出</w:t>
      </w:r>
      <w:r>
        <w:rPr>
          <w:rFonts w:hint="eastAsia" w:ascii="仿宋_GB2312" w:eastAsia="仿宋_GB2312"/>
          <w:szCs w:val="32"/>
          <w:lang w:eastAsia="zh-CN"/>
        </w:rPr>
        <w:t>减少</w:t>
      </w:r>
      <w:r>
        <w:rPr>
          <w:rFonts w:hint="eastAsia" w:ascii="仿宋_GB2312" w:eastAsia="仿宋_GB2312"/>
          <w:szCs w:val="32"/>
        </w:rPr>
        <w:t>。</w:t>
      </w:r>
    </w:p>
    <w:p>
      <w:pPr>
        <w:ind w:firstLine="632" w:firstLineChars="200"/>
        <w:rPr>
          <w:rFonts w:hint="eastAsia" w:ascii="仿宋_GB2312" w:eastAsia="仿宋_GB2312"/>
          <w:szCs w:val="32"/>
        </w:rPr>
      </w:pPr>
      <w:r>
        <w:rPr>
          <w:rFonts w:hint="eastAsia" w:ascii="仿宋_GB2312" w:eastAsia="仿宋_GB2312"/>
          <w:szCs w:val="32"/>
          <w:lang w:val="en-US" w:eastAsia="zh-CN"/>
        </w:rPr>
        <w:t>4</w:t>
      </w:r>
      <w:r>
        <w:rPr>
          <w:rFonts w:hint="eastAsia" w:ascii="仿宋_GB2312" w:eastAsia="仿宋_GB2312"/>
          <w:szCs w:val="32"/>
        </w:rPr>
        <w:t>、住房保障支出（类）住房改革支出（款）住房公积金（项）支出，主要用于单位职工缴纳住房公积金。年初预算为7.7</w:t>
      </w:r>
      <w:r>
        <w:rPr>
          <w:rFonts w:hint="eastAsia" w:ascii="仿宋_GB2312" w:eastAsia="仿宋_GB2312"/>
          <w:szCs w:val="32"/>
          <w:lang w:val="en-US" w:eastAsia="zh-CN"/>
        </w:rPr>
        <w:t>0</w:t>
      </w:r>
      <w:r>
        <w:rPr>
          <w:rFonts w:hint="eastAsia" w:ascii="仿宋_GB2312" w:eastAsia="仿宋_GB2312"/>
          <w:szCs w:val="32"/>
        </w:rPr>
        <w:t>万元，支出决算为6.81万元，完成年初预算的88.44%。决算数小于年初预算主要原因是缴纳职工住房公积金减少。</w:t>
      </w:r>
    </w:p>
    <w:p>
      <w:pPr>
        <w:ind w:firstLine="632" w:firstLineChars="200"/>
        <w:rPr>
          <w:rFonts w:ascii="黑体" w:hAnsi="黑体" w:eastAsia="黑体"/>
          <w:szCs w:val="32"/>
        </w:rPr>
      </w:pPr>
      <w:r>
        <w:rPr>
          <w:rFonts w:hint="eastAsia" w:ascii="黑体" w:hAnsi="黑体" w:eastAsia="黑体"/>
          <w:szCs w:val="32"/>
        </w:rPr>
        <w:t>六、一般公共预算财政拨款基本支出决算情况说明</w:t>
      </w:r>
    </w:p>
    <w:p>
      <w:pPr>
        <w:ind w:firstLine="632" w:firstLineChars="200"/>
        <w:rPr>
          <w:rFonts w:hint="eastAsia" w:ascii="仿宋_GB2312" w:eastAsia="仿宋_GB2312"/>
          <w:szCs w:val="32"/>
        </w:rPr>
      </w:pPr>
      <w:r>
        <w:rPr>
          <w:rFonts w:hint="eastAsia" w:ascii="仿宋_GB2312" w:eastAsia="仿宋_GB2312"/>
          <w:szCs w:val="32"/>
        </w:rPr>
        <w:t>2019年度一般公共预算财政拨款基本支出决算210.46万元，包括人员经费和公用经费，支出具体情况如下：</w:t>
      </w:r>
    </w:p>
    <w:p>
      <w:pPr>
        <w:ind w:firstLine="632" w:firstLineChars="200"/>
        <w:rPr>
          <w:rFonts w:hint="eastAsia" w:ascii="仿宋_GB2312" w:eastAsia="仿宋_GB2312"/>
          <w:szCs w:val="32"/>
        </w:rPr>
      </w:pPr>
      <w:r>
        <w:rPr>
          <w:rFonts w:hint="eastAsia" w:ascii="仿宋_GB2312" w:eastAsia="仿宋_GB2312"/>
          <w:szCs w:val="32"/>
        </w:rPr>
        <w:t>人员经费86.65万元，主要包括：基本工资25.54万元、津贴补贴10.14万元、奖金8.89万元、绩效工资15.95万元、机关事业单位基本养老保险费8.02万元、职工基本医疗保险缴费3.78万元、公务员医疗员补助缴费0.92万元、其他社会保障缴费0.47万元、住房公积金6.81万元、生活补助6.13万元。</w:t>
      </w:r>
    </w:p>
    <w:p>
      <w:pPr>
        <w:ind w:firstLine="632" w:firstLineChars="200"/>
        <w:rPr>
          <w:rFonts w:hint="eastAsia" w:ascii="仿宋_GB2312" w:eastAsia="仿宋_GB2312"/>
          <w:szCs w:val="32"/>
        </w:rPr>
      </w:pPr>
      <w:r>
        <w:rPr>
          <w:rFonts w:hint="eastAsia" w:ascii="仿宋_GB2312" w:eastAsia="仿宋_GB2312"/>
          <w:szCs w:val="32"/>
        </w:rPr>
        <w:t>公用经费123.81万元，主要包括：办公费5.08万元、印刷费6.89万元、咨询费2.1万元、取暖费6.1万元、物业管理费2.32万元、差旅费0.39万元、维修（护）费6.77万元、专用材料费28.98万元、委托业务费1.6万元、劳务费58.41万元、工会经费0.85万元、其他交通费用4.32万元。</w:t>
      </w:r>
    </w:p>
    <w:p>
      <w:pPr>
        <w:numPr>
          <w:ilvl w:val="0"/>
          <w:numId w:val="3"/>
        </w:numPr>
        <w:ind w:firstLine="632" w:firstLineChars="200"/>
        <w:rPr>
          <w:rFonts w:hint="eastAsia" w:ascii="黑体" w:hAnsi="黑体" w:eastAsia="黑体"/>
          <w:szCs w:val="32"/>
        </w:rPr>
      </w:pPr>
      <w:r>
        <w:rPr>
          <w:rFonts w:hint="eastAsia" w:ascii="黑体" w:hAnsi="黑体" w:eastAsia="黑体"/>
          <w:szCs w:val="32"/>
        </w:rPr>
        <w:t>一般公共预算财政拨款“三公”经费支出决算情况说明</w:t>
      </w:r>
    </w:p>
    <w:p>
      <w:pPr>
        <w:numPr>
          <w:ilvl w:val="0"/>
          <w:numId w:val="4"/>
        </w:numPr>
        <w:ind w:firstLine="632" w:firstLineChars="200"/>
        <w:rPr>
          <w:rFonts w:hint="eastAsia" w:ascii="楷体_GB2312" w:eastAsia="楷体_GB2312"/>
          <w:szCs w:val="32"/>
        </w:rPr>
      </w:pPr>
      <w:r>
        <w:rPr>
          <w:rFonts w:hint="eastAsia" w:ascii="楷体_GB2312" w:eastAsia="楷体_GB2312"/>
          <w:szCs w:val="32"/>
        </w:rPr>
        <w:t>“三公”经费支出决算总体情况及增减变动原因</w:t>
      </w:r>
    </w:p>
    <w:p>
      <w:pPr>
        <w:ind w:firstLine="632" w:firstLineChars="200"/>
        <w:rPr>
          <w:rFonts w:hint="eastAsia" w:ascii="楷体_GB2312" w:eastAsia="楷体_GB2312"/>
          <w:szCs w:val="32"/>
        </w:rPr>
      </w:pPr>
      <w:r>
        <w:rPr>
          <w:rFonts w:hint="eastAsia" w:ascii="仿宋_GB2312" w:eastAsia="仿宋_GB2312"/>
          <w:szCs w:val="32"/>
        </w:rPr>
        <w:t>本部门无一般公共预算安排的“三公”经费支出</w:t>
      </w:r>
      <w:r>
        <w:rPr>
          <w:rFonts w:hint="eastAsia" w:ascii="仿宋_GB2312" w:eastAsia="仿宋_GB2312"/>
          <w:szCs w:val="32"/>
          <w:lang w:eastAsia="zh-CN"/>
        </w:rPr>
        <w:t>。</w:t>
      </w:r>
    </w:p>
    <w:p>
      <w:pPr>
        <w:ind w:firstLine="632" w:firstLineChars="200"/>
        <w:rPr>
          <w:rFonts w:hint="eastAsia" w:ascii="楷体_GB2312" w:eastAsia="楷体_GB2312"/>
          <w:szCs w:val="32"/>
        </w:rPr>
      </w:pPr>
      <w:r>
        <w:rPr>
          <w:rFonts w:hint="eastAsia" w:ascii="楷体_GB2312" w:eastAsia="楷体_GB2312"/>
          <w:szCs w:val="32"/>
        </w:rPr>
        <w:t>（二）“三公”经费支出决算具体情况</w:t>
      </w:r>
    </w:p>
    <w:p>
      <w:pPr>
        <w:ind w:firstLine="632"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1.因公出国（境）费决算数为 0 万元，占一般公共预算财政 拨款“三公”经费总数的 0%。2019 年使用财政拨款安排 0 个单位， 因公出国（境）团组 0 个,累计 0 人次。</w:t>
      </w:r>
    </w:p>
    <w:p>
      <w:pPr>
        <w:ind w:firstLine="632"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2.公务用车购置及运行维护费决算数为 0 万元，占一般公共 预算财政拨款“三公”经费总数的 0%。其中：公务用车购置费支 出 0 万元，2019 年机关及所属预算单位共</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个单位使用财政拨款购置公务用车 0 辆；公务用车运行维护费 0 万元。2019 年</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机关及所属预算单位财政拨款开支运行维护费的公务用车保有量为 0 辆。</w:t>
      </w:r>
    </w:p>
    <w:p>
      <w:pPr>
        <w:rPr>
          <w:rFonts w:hint="eastAsia" w:ascii="仿宋_GB2312" w:eastAsia="仿宋_GB2312"/>
          <w:szCs w:val="32"/>
          <w:lang w:eastAsia="zh-CN"/>
        </w:rPr>
      </w:pPr>
      <w:r>
        <w:rPr>
          <w:rFonts w:hint="eastAsia" w:ascii="仿宋_GB2312" w:hAnsi="仿宋_GB2312" w:eastAsia="仿宋_GB2312" w:cs="仿宋_GB2312"/>
          <w:sz w:val="32"/>
          <w:szCs w:val="32"/>
        </w:rPr>
        <w:t xml:space="preserve">    3.公务接待费决算数为0万元，占一般公共预算财政拨款“三公”经费总数的0%。2019 年共计接待0批次、0人次</w:t>
      </w:r>
      <w:r>
        <w:rPr>
          <w:rFonts w:ascii="仿宋_GB2312" w:hAnsi="仿宋_GB2312" w:eastAsia="仿宋_GB2312" w:cs="仿宋_GB2312"/>
          <w:sz w:val="32"/>
          <w:szCs w:val="32"/>
        </w:rPr>
        <w:t>。（含外事接待 0 批次、0 人次）。</w:t>
      </w:r>
    </w:p>
    <w:p>
      <w:pPr>
        <w:ind w:firstLine="632" w:firstLineChars="200"/>
        <w:rPr>
          <w:rFonts w:ascii="黑体" w:hAnsi="黑体" w:eastAsia="黑体"/>
          <w:szCs w:val="32"/>
        </w:rPr>
      </w:pPr>
      <w:r>
        <w:rPr>
          <w:rFonts w:hint="eastAsia" w:ascii="黑体" w:hAnsi="黑体" w:eastAsia="黑体"/>
          <w:szCs w:val="32"/>
        </w:rPr>
        <w:t>八、政府性基金预算财政拨款收入支出决算情况说明</w:t>
      </w:r>
    </w:p>
    <w:p>
      <w:pPr>
        <w:ind w:firstLine="632" w:firstLineChars="200"/>
        <w:rPr>
          <w:rFonts w:hint="eastAsia" w:ascii="仿宋_GB2312" w:eastAsia="仿宋_GB2312"/>
          <w:szCs w:val="32"/>
          <w:lang w:val="en-US" w:eastAsia="zh-CN"/>
        </w:rPr>
      </w:pPr>
      <w:r>
        <w:rPr>
          <w:rFonts w:hint="eastAsia" w:ascii="仿宋_GB2312" w:eastAsia="仿宋_GB2312"/>
          <w:szCs w:val="32"/>
        </w:rPr>
        <w:t>本部门没有政府性基金财政拨款收支</w:t>
      </w:r>
      <w:r>
        <w:rPr>
          <w:rFonts w:hint="eastAsia" w:ascii="仿宋_GB2312" w:eastAsia="仿宋_GB2312"/>
          <w:szCs w:val="32"/>
          <w:lang w:eastAsia="zh-CN"/>
        </w:rPr>
        <w:t>。</w:t>
      </w:r>
    </w:p>
    <w:p>
      <w:pPr>
        <w:ind w:firstLine="632" w:firstLineChars="200"/>
        <w:rPr>
          <w:rFonts w:ascii="黑体" w:hAnsi="黑体" w:eastAsia="黑体"/>
          <w:szCs w:val="32"/>
        </w:rPr>
      </w:pPr>
      <w:r>
        <w:rPr>
          <w:rFonts w:hint="eastAsia" w:ascii="黑体" w:hAnsi="黑体" w:eastAsia="黑体"/>
          <w:szCs w:val="32"/>
        </w:rPr>
        <w:t>九、重要事项情况说明</w:t>
      </w:r>
    </w:p>
    <w:p>
      <w:pPr>
        <w:ind w:firstLine="632" w:firstLineChars="200"/>
        <w:rPr>
          <w:rFonts w:ascii="楷体_GB2312" w:eastAsia="楷体_GB2312"/>
          <w:szCs w:val="32"/>
        </w:rPr>
      </w:pPr>
      <w:r>
        <w:rPr>
          <w:rFonts w:hint="eastAsia" w:ascii="楷体_GB2312" w:eastAsia="楷体_GB2312"/>
          <w:szCs w:val="32"/>
        </w:rPr>
        <w:t>（一）机关运行经费支出情况</w:t>
      </w:r>
    </w:p>
    <w:p>
      <w:pPr>
        <w:ind w:firstLine="632" w:firstLineChars="200"/>
        <w:rPr>
          <w:rFonts w:hint="eastAsia" w:ascii="仿宋_GB2312" w:eastAsia="仿宋_GB2312"/>
          <w:szCs w:val="32"/>
          <w:lang w:eastAsia="zh-CN"/>
        </w:rPr>
      </w:pPr>
      <w:r>
        <w:rPr>
          <w:rFonts w:hint="eastAsia" w:ascii="仿宋_GB2312" w:eastAsia="仿宋_GB2312"/>
          <w:szCs w:val="32"/>
        </w:rPr>
        <w:t>本部门所属预算单位全部为事业单位，无机关运行经费支出</w:t>
      </w:r>
      <w:r>
        <w:rPr>
          <w:rFonts w:hint="eastAsia" w:ascii="仿宋_GB2312" w:eastAsia="仿宋_GB2312"/>
          <w:szCs w:val="32"/>
          <w:lang w:eastAsia="zh-CN"/>
        </w:rPr>
        <w:t>。</w:t>
      </w:r>
    </w:p>
    <w:p>
      <w:pPr>
        <w:ind w:firstLine="632" w:firstLineChars="200"/>
        <w:rPr>
          <w:rFonts w:hint="eastAsia" w:ascii="楷体_GB2312" w:eastAsia="楷体_GB2312"/>
          <w:szCs w:val="32"/>
        </w:rPr>
      </w:pPr>
      <w:r>
        <w:rPr>
          <w:rFonts w:hint="eastAsia" w:ascii="楷体_GB2312" w:eastAsia="楷体_GB2312"/>
          <w:szCs w:val="32"/>
        </w:rPr>
        <w:t>（二）政府采购支出情况</w:t>
      </w:r>
    </w:p>
    <w:p>
      <w:pPr>
        <w:autoSpaceDE w:val="0"/>
        <w:autoSpaceDN w:val="0"/>
        <w:adjustRightInd w:val="0"/>
        <w:ind w:firstLine="632" w:firstLineChars="200"/>
        <w:jc w:val="left"/>
        <w:rPr>
          <w:rFonts w:ascii="仿宋_GB2312" w:hAnsi="仿宋_GB2312" w:eastAsia="仿宋_GB2312" w:cs="仿宋_GB2312"/>
          <w:sz w:val="32"/>
          <w:szCs w:val="32"/>
        </w:rPr>
      </w:pPr>
      <w:r>
        <w:rPr>
          <w:rFonts w:ascii="仿宋_GB2312" w:hAnsi="Times New Roman" w:eastAsia="仿宋_GB2312" w:cs="仿宋_GB2312"/>
          <w:kern w:val="0"/>
          <w:sz w:val="32"/>
          <w:szCs w:val="32"/>
        </w:rPr>
        <w:t xml:space="preserve">2019 </w:t>
      </w:r>
      <w:r>
        <w:rPr>
          <w:rFonts w:hint="eastAsia" w:ascii="仿宋_GB2312" w:hAnsi="Times New Roman" w:eastAsia="仿宋_GB2312" w:cs="仿宋_GB2312"/>
          <w:kern w:val="0"/>
          <w:sz w:val="32"/>
          <w:szCs w:val="32"/>
        </w:rPr>
        <w:t>年度政府采购支出总额0万元，其中：政府采购货物支出0万元、政府采购工程支出0万元、政府采购服务支出0万元。授予中小企业合同金额0万元，占政府采购支出总额的0</w:t>
      </w:r>
      <w:r>
        <w:rPr>
          <w:rFonts w:ascii="仿宋_GB2312" w:hAnsi="Times New Roman" w:eastAsia="仿宋_GB2312" w:cs="仿宋_GB2312"/>
          <w:kern w:val="0"/>
          <w:sz w:val="32"/>
          <w:szCs w:val="32"/>
        </w:rPr>
        <w:t>%</w:t>
      </w:r>
      <w:r>
        <w:rPr>
          <w:rFonts w:hint="eastAsia" w:ascii="仿宋_GB2312" w:hAnsi="Times New Roman" w:eastAsia="仿宋_GB2312" w:cs="仿宋_GB2312"/>
          <w:kern w:val="0"/>
          <w:sz w:val="32"/>
          <w:szCs w:val="32"/>
        </w:rPr>
        <w:t>，其中：授予小微企业合同金额0万元，占政府采购支出总额的0</w:t>
      </w:r>
      <w:r>
        <w:rPr>
          <w:rFonts w:ascii="仿宋_GB2312" w:hAnsi="Times New Roman" w:eastAsia="仿宋_GB2312" w:cs="仿宋_GB2312"/>
          <w:kern w:val="0"/>
          <w:sz w:val="32"/>
          <w:szCs w:val="32"/>
        </w:rPr>
        <w:t>%</w:t>
      </w:r>
      <w:r>
        <w:rPr>
          <w:rFonts w:hint="eastAsia" w:ascii="仿宋_GB2312" w:hAnsi="Times New Roman" w:eastAsia="仿宋_GB2312" w:cs="仿宋_GB2312"/>
          <w:kern w:val="0"/>
          <w:sz w:val="32"/>
          <w:szCs w:val="32"/>
        </w:rPr>
        <w:t>。</w:t>
      </w:r>
    </w:p>
    <w:p>
      <w:pPr>
        <w:ind w:firstLine="632" w:firstLineChars="200"/>
        <w:rPr>
          <w:rFonts w:ascii="楷体_GB2312" w:eastAsia="楷体_GB2312"/>
          <w:szCs w:val="32"/>
          <w:highlight w:val="yellow"/>
        </w:rPr>
      </w:pPr>
      <w:r>
        <w:rPr>
          <w:rFonts w:hint="eastAsia" w:ascii="楷体_GB2312" w:eastAsia="楷体_GB2312"/>
          <w:szCs w:val="32"/>
        </w:rPr>
        <w:t>（三）国有资产占用情况</w:t>
      </w:r>
    </w:p>
    <w:p>
      <w:pPr>
        <w:ind w:firstLine="632" w:firstLineChars="200"/>
        <w:rPr>
          <w:rFonts w:ascii="仿宋_GB2312" w:hAnsi="宋体" w:eastAsia="仿宋_GB2312" w:cs="Courier New"/>
          <w:szCs w:val="32"/>
        </w:rPr>
      </w:pPr>
      <w:r>
        <w:rPr>
          <w:rFonts w:hint="eastAsia" w:ascii="仿宋_GB2312" w:hAnsi="宋体" w:eastAsia="仿宋_GB2312" w:cs="Courier New"/>
          <w:szCs w:val="32"/>
        </w:rPr>
        <w:t>截至</w:t>
      </w:r>
      <w:r>
        <w:rPr>
          <w:rFonts w:ascii="仿宋_GB2312" w:hAnsi="宋体" w:eastAsia="仿宋_GB2312" w:cs="Courier New"/>
          <w:szCs w:val="32"/>
        </w:rPr>
        <w:t>201</w:t>
      </w:r>
      <w:r>
        <w:rPr>
          <w:rFonts w:hint="eastAsia" w:ascii="仿宋_GB2312" w:hAnsi="宋体" w:eastAsia="仿宋_GB2312" w:cs="Courier New"/>
          <w:szCs w:val="32"/>
        </w:rPr>
        <w:t>9年</w:t>
      </w:r>
      <w:r>
        <w:rPr>
          <w:rFonts w:ascii="仿宋_GB2312" w:hAnsi="宋体" w:eastAsia="仿宋_GB2312" w:cs="Courier New"/>
          <w:szCs w:val="32"/>
        </w:rPr>
        <w:t>12</w:t>
      </w:r>
      <w:r>
        <w:rPr>
          <w:rFonts w:hint="eastAsia" w:ascii="仿宋_GB2312" w:hAnsi="宋体" w:eastAsia="仿宋_GB2312" w:cs="Courier New"/>
          <w:szCs w:val="32"/>
        </w:rPr>
        <w:t>月</w:t>
      </w:r>
      <w:r>
        <w:rPr>
          <w:rFonts w:ascii="仿宋_GB2312" w:hAnsi="宋体" w:eastAsia="仿宋_GB2312" w:cs="Courier New"/>
          <w:szCs w:val="32"/>
        </w:rPr>
        <w:t>31</w:t>
      </w:r>
      <w:r>
        <w:rPr>
          <w:rFonts w:hint="eastAsia" w:ascii="仿宋_GB2312" w:hAnsi="宋体" w:eastAsia="仿宋_GB2312" w:cs="Courier New"/>
          <w:szCs w:val="32"/>
        </w:rPr>
        <w:t>日，</w:t>
      </w:r>
      <w:r>
        <w:rPr>
          <w:rFonts w:hint="eastAsia" w:ascii="仿宋_GB2312" w:hAnsi="宋体" w:eastAsia="仿宋_GB2312" w:cs="Courier New"/>
          <w:szCs w:val="32"/>
          <w:lang w:eastAsia="zh-CN"/>
        </w:rPr>
        <w:t>威海市文登区农业机械安全监理站</w:t>
      </w:r>
      <w:r>
        <w:rPr>
          <w:rFonts w:hint="eastAsia" w:ascii="仿宋_GB2312" w:hAnsi="宋体" w:eastAsia="仿宋_GB2312" w:cs="Courier New"/>
          <w:szCs w:val="32"/>
        </w:rPr>
        <w:t>共有车辆</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辆，其中，符合规定的领导干部用车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辆、机要通信用车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辆、应急保障用车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辆、执法执勤用车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辆、特种专业技术用车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辆、其他用车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辆；单位价值</w:t>
      </w:r>
      <w:r>
        <w:rPr>
          <w:rFonts w:ascii="仿宋_GB2312" w:hAnsi="宋体" w:eastAsia="仿宋_GB2312" w:cs="Courier New"/>
          <w:szCs w:val="32"/>
        </w:rPr>
        <w:t>50</w:t>
      </w:r>
      <w:r>
        <w:rPr>
          <w:rFonts w:hint="eastAsia" w:ascii="仿宋_GB2312" w:hAnsi="宋体" w:eastAsia="仿宋_GB2312" w:cs="Courier New"/>
          <w:szCs w:val="32"/>
        </w:rPr>
        <w:t>万元以上通用设备</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台（套）；单位价值</w:t>
      </w:r>
      <w:r>
        <w:rPr>
          <w:rFonts w:ascii="仿宋_GB2312" w:hAnsi="宋体" w:eastAsia="仿宋_GB2312" w:cs="Courier New"/>
          <w:szCs w:val="32"/>
        </w:rPr>
        <w:t>100</w:t>
      </w:r>
      <w:r>
        <w:rPr>
          <w:rFonts w:hint="eastAsia" w:ascii="仿宋_GB2312" w:hAnsi="宋体" w:eastAsia="仿宋_GB2312" w:cs="Courier New"/>
          <w:szCs w:val="32"/>
        </w:rPr>
        <w:t>万元以上专用设备</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w:t>
      </w:r>
    </w:p>
    <w:p>
      <w:pPr>
        <w:ind w:firstLine="632" w:firstLineChars="200"/>
        <w:rPr>
          <w:rFonts w:ascii="仿宋_GB2312" w:hAnsi="宋体" w:eastAsia="仿宋_GB2312" w:cs="Courier New"/>
          <w:szCs w:val="32"/>
        </w:rPr>
      </w:pPr>
    </w:p>
    <w:p>
      <w:pPr>
        <w:ind w:firstLine="632" w:firstLineChars="200"/>
        <w:rPr>
          <w:rFonts w:ascii="楷体_GB2312" w:eastAsia="楷体_GB2312"/>
          <w:szCs w:val="32"/>
        </w:rPr>
      </w:pPr>
      <w:r>
        <w:rPr>
          <w:rFonts w:hint="eastAsia" w:ascii="楷体_GB2312" w:eastAsia="楷体_GB2312"/>
          <w:szCs w:val="32"/>
        </w:rPr>
        <w:t>（四）预算绩效情况</w:t>
      </w:r>
    </w:p>
    <w:p>
      <w:pPr>
        <w:spacing w:line="600" w:lineRule="exact"/>
        <w:ind w:firstLine="632"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1、预算绩效管理工作开展情况。</w:t>
      </w:r>
    </w:p>
    <w:p>
      <w:pPr>
        <w:widowControl/>
        <w:numPr>
          <w:ilvl w:val="0"/>
          <w:numId w:val="0"/>
        </w:numPr>
        <w:spacing w:line="580" w:lineRule="exact"/>
        <w:ind w:left="1171" w:leftChars="0"/>
        <w:rPr>
          <w:rFonts w:hint="eastAsia" w:ascii="仿宋_GB2312" w:hAnsi="Times New Roman" w:eastAsia="仿宋_GB2312" w:cs="Times New Roman"/>
          <w:kern w:val="0"/>
          <w:sz w:val="32"/>
          <w:szCs w:val="32"/>
          <w:lang w:val="en-US" w:eastAsia="zh-CN"/>
        </w:rPr>
      </w:pPr>
      <w:r>
        <w:rPr>
          <w:rFonts w:hint="eastAsia" w:ascii="楷体_GB2312" w:eastAsia="楷体_GB2312"/>
          <w:szCs w:val="32"/>
        </w:rPr>
        <w:t>本部门无重点绩效评价项目。</w:t>
      </w:r>
    </w:p>
    <w:p>
      <w:pPr>
        <w:spacing w:line="600" w:lineRule="exact"/>
        <w:ind w:firstLine="632"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2、部门决算中项目绩效自评结果。</w:t>
      </w:r>
    </w:p>
    <w:p>
      <w:pPr>
        <w:numPr>
          <w:ilvl w:val="0"/>
          <w:numId w:val="0"/>
        </w:numPr>
        <w:spacing w:line="600" w:lineRule="exact"/>
        <w:ind w:left="1171" w:leftChars="0"/>
        <w:rPr>
          <w:rFonts w:hint="eastAsia" w:ascii="仿宋_GB2312" w:hAnsi="Times New Roman" w:eastAsia="仿宋_GB2312" w:cs="Times New Roman"/>
          <w:kern w:val="0"/>
          <w:sz w:val="32"/>
          <w:szCs w:val="32"/>
          <w:lang w:eastAsia="zh-CN"/>
        </w:rPr>
      </w:pPr>
      <w:r>
        <w:rPr>
          <w:rFonts w:hint="eastAsia" w:ascii="楷体_GB2312" w:eastAsia="楷体_GB2312"/>
          <w:szCs w:val="32"/>
        </w:rPr>
        <w:t>本部门无重点绩效评价项目。</w:t>
      </w:r>
    </w:p>
    <w:p>
      <w:pPr>
        <w:spacing w:line="600" w:lineRule="exact"/>
        <w:ind w:firstLine="632"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3、部门评价项目绩效评价结果</w:t>
      </w:r>
    </w:p>
    <w:p>
      <w:pPr>
        <w:numPr>
          <w:ilvl w:val="0"/>
          <w:numId w:val="0"/>
        </w:numPr>
        <w:spacing w:line="600" w:lineRule="exact"/>
        <w:ind w:left="1171" w:leftChars="0"/>
        <w:rPr>
          <w:rFonts w:hint="eastAsia" w:ascii="楷体_GB2312" w:hAnsi="Times New Roman" w:eastAsia="楷体_GB2312" w:cs="Times New Roman"/>
          <w:szCs w:val="32"/>
        </w:rPr>
      </w:pPr>
      <w:r>
        <w:rPr>
          <w:rFonts w:hint="eastAsia" w:ascii="楷体_GB2312" w:hAnsi="Times New Roman" w:eastAsia="楷体_GB2312" w:cs="Times New Roman"/>
          <w:szCs w:val="32"/>
        </w:rPr>
        <w:t>本部门无重点绩效评价项目。</w:t>
      </w:r>
    </w:p>
    <w:p>
      <w:pPr>
        <w:ind w:firstLine="536" w:firstLineChars="100"/>
        <w:rPr>
          <w:rFonts w:ascii="方正小标宋简体" w:eastAsia="方正小标宋简体"/>
          <w:spacing w:val="60"/>
          <w:sz w:val="42"/>
        </w:rPr>
      </w:pPr>
    </w:p>
    <w:p>
      <w:pPr>
        <w:ind w:firstLine="536" w:firstLineChars="100"/>
        <w:rPr>
          <w:rFonts w:ascii="方正小标宋简体" w:eastAsia="方正小标宋简体"/>
          <w:spacing w:val="60"/>
          <w:sz w:val="42"/>
        </w:rPr>
      </w:pPr>
    </w:p>
    <w:p>
      <w:pPr>
        <w:ind w:firstLine="536" w:firstLineChars="100"/>
        <w:rPr>
          <w:rFonts w:hint="eastAsia" w:ascii="仿宋" w:hAnsi="仿宋" w:eastAsia="仿宋" w:cs="仿宋"/>
          <w:spacing w:val="60"/>
          <w:sz w:val="42"/>
        </w:rPr>
      </w:pPr>
    </w:p>
    <w:p>
      <w:pPr>
        <w:ind w:firstLine="536" w:firstLineChars="100"/>
        <w:rPr>
          <w:rFonts w:hint="eastAsia" w:ascii="仿宋" w:hAnsi="仿宋" w:eastAsia="仿宋" w:cs="仿宋"/>
          <w:spacing w:val="60"/>
          <w:sz w:val="42"/>
        </w:rPr>
      </w:pPr>
    </w:p>
    <w:p>
      <w:pPr>
        <w:ind w:firstLine="536" w:firstLineChars="100"/>
        <w:rPr>
          <w:rFonts w:hint="eastAsia" w:ascii="仿宋" w:hAnsi="仿宋" w:eastAsia="仿宋" w:cs="仿宋"/>
          <w:spacing w:val="60"/>
          <w:sz w:val="42"/>
        </w:rPr>
      </w:pPr>
    </w:p>
    <w:p>
      <w:pPr>
        <w:ind w:firstLine="536" w:firstLineChars="100"/>
        <w:rPr>
          <w:rFonts w:hint="eastAsia" w:ascii="仿宋" w:hAnsi="仿宋" w:eastAsia="仿宋" w:cs="仿宋"/>
          <w:spacing w:val="60"/>
          <w:sz w:val="42"/>
        </w:rPr>
      </w:pPr>
    </w:p>
    <w:p>
      <w:pPr>
        <w:rPr>
          <w:rFonts w:hint="eastAsia" w:ascii="仿宋" w:hAnsi="仿宋" w:eastAsia="仿宋" w:cs="仿宋"/>
          <w:spacing w:val="60"/>
          <w:sz w:val="42"/>
        </w:rPr>
      </w:pPr>
      <w:r>
        <w:rPr>
          <w:rFonts w:hint="eastAsia" w:ascii="仿宋" w:hAnsi="仿宋" w:eastAsia="仿宋" w:cs="仿宋"/>
          <w:spacing w:val="60"/>
          <w:sz w:val="42"/>
        </w:rPr>
        <w:br w:type="page"/>
      </w:r>
    </w:p>
    <w:p>
      <w:pPr>
        <w:ind w:firstLine="536" w:firstLineChars="100"/>
        <w:rPr>
          <w:rFonts w:ascii="仿宋" w:hAnsi="仿宋" w:eastAsia="仿宋" w:cs="仿宋"/>
          <w:spacing w:val="60"/>
          <w:sz w:val="42"/>
        </w:rPr>
      </w:pPr>
      <w:r>
        <w:rPr>
          <w:rFonts w:hint="eastAsia" w:ascii="仿宋" w:hAnsi="仿宋" w:eastAsia="仿宋" w:cs="仿宋"/>
          <w:spacing w:val="60"/>
          <w:sz w:val="42"/>
        </w:rPr>
        <w:t>第四部分</w:t>
      </w:r>
    </w:p>
    <w:p>
      <w:pPr>
        <w:jc w:val="center"/>
        <w:rPr>
          <w:rFonts w:ascii="仿宋" w:hAnsi="仿宋" w:eastAsia="仿宋" w:cs="仿宋"/>
          <w:spacing w:val="60"/>
          <w:sz w:val="42"/>
        </w:rPr>
      </w:pPr>
    </w:p>
    <w:p>
      <w:pPr>
        <w:jc w:val="center"/>
        <w:rPr>
          <w:rFonts w:ascii="仿宋" w:hAnsi="仿宋" w:eastAsia="仿宋" w:cs="仿宋"/>
          <w:spacing w:val="60"/>
          <w:sz w:val="42"/>
        </w:rPr>
      </w:pPr>
    </w:p>
    <w:p>
      <w:pPr>
        <w:jc w:val="center"/>
        <w:rPr>
          <w:rFonts w:ascii="仿宋" w:hAnsi="仿宋" w:eastAsia="仿宋" w:cs="仿宋"/>
          <w:spacing w:val="60"/>
          <w:sz w:val="48"/>
        </w:rPr>
        <w:sectPr>
          <w:headerReference r:id="rId5" w:type="default"/>
          <w:footerReference r:id="rId6" w:type="default"/>
          <w:pgSz w:w="11906" w:h="16838"/>
          <w:pgMar w:top="1701" w:right="1531" w:bottom="1701" w:left="1531" w:header="0" w:footer="1418" w:gutter="0"/>
          <w:cols w:space="720" w:num="1"/>
          <w:docGrid w:type="linesAndChars" w:linePitch="610" w:charSpace="-849"/>
        </w:sectPr>
      </w:pPr>
      <w:r>
        <w:rPr>
          <w:rFonts w:hint="eastAsia" w:ascii="仿宋" w:hAnsi="仿宋" w:eastAsia="仿宋" w:cs="仿宋"/>
          <w:spacing w:val="60"/>
          <w:sz w:val="48"/>
        </w:rPr>
        <w:t>名词解释</w:t>
      </w:r>
    </w:p>
    <w:p>
      <w:pPr>
        <w:ind w:firstLine="640" w:firstLineChars="200"/>
        <w:rPr>
          <w:rFonts w:ascii="仿宋_GB2312" w:eastAsia="仿宋_GB2312"/>
          <w:szCs w:val="32"/>
        </w:rPr>
      </w:pPr>
      <w:r>
        <w:rPr>
          <w:rFonts w:hint="eastAsia" w:ascii="黑体" w:hAnsi="黑体" w:eastAsia="黑体"/>
          <w:color w:val="000000"/>
          <w:szCs w:val="32"/>
        </w:rPr>
        <w:t>一、财政拨款收入：</w:t>
      </w:r>
      <w:r>
        <w:rPr>
          <w:rFonts w:hint="eastAsia" w:ascii="仿宋_GB2312" w:eastAsia="仿宋_GB2312"/>
          <w:szCs w:val="32"/>
        </w:rPr>
        <w:t>指单位从同级财政部门取得的财政预算资金。按现行管理制度，</w:t>
      </w:r>
      <w:r>
        <w:rPr>
          <w:rFonts w:hint="eastAsia" w:ascii="仿宋_GB2312" w:eastAsia="仿宋_GB2312"/>
          <w:szCs w:val="32"/>
          <w:lang w:eastAsia="zh-CN"/>
        </w:rPr>
        <w:t>区</w:t>
      </w:r>
      <w:r>
        <w:rPr>
          <w:rFonts w:hint="eastAsia" w:ascii="仿宋_GB2312" w:eastAsia="仿宋_GB2312"/>
          <w:szCs w:val="32"/>
        </w:rPr>
        <w:t>级部门决算中反映的财政拨款包括一般公共预算财政拨款和政府性基金财政拨款。</w:t>
      </w:r>
    </w:p>
    <w:p>
      <w:pPr>
        <w:ind w:firstLine="640" w:firstLineChars="200"/>
        <w:rPr>
          <w:rFonts w:ascii="仿宋_GB2312" w:hAnsi="仿宋" w:eastAsia="仿宋_GB2312"/>
          <w:szCs w:val="32"/>
        </w:rPr>
      </w:pPr>
      <w:r>
        <w:rPr>
          <w:rFonts w:hint="eastAsia" w:ascii="黑体" w:hAnsi="黑体" w:eastAsia="黑体"/>
          <w:szCs w:val="32"/>
        </w:rPr>
        <w:t>二、上级补助收入：</w:t>
      </w:r>
      <w:r>
        <w:rPr>
          <w:rFonts w:hint="eastAsia" w:ascii="仿宋_GB2312" w:hAnsi="仿宋" w:eastAsia="仿宋_GB2312"/>
          <w:szCs w:val="32"/>
        </w:rPr>
        <w:t>指事业单位从主管部门和上级单位取得的非财政补助收入。</w:t>
      </w:r>
    </w:p>
    <w:p>
      <w:pPr>
        <w:ind w:firstLine="640" w:firstLineChars="200"/>
        <w:rPr>
          <w:rFonts w:ascii="仿宋_GB2312" w:hAnsi="仿宋" w:eastAsia="仿宋_GB2312"/>
          <w:szCs w:val="32"/>
        </w:rPr>
      </w:pPr>
      <w:r>
        <w:rPr>
          <w:rFonts w:hint="eastAsia" w:ascii="黑体" w:hAnsi="黑体" w:eastAsia="黑体"/>
          <w:szCs w:val="32"/>
        </w:rPr>
        <w:t>三、事业收入：</w:t>
      </w:r>
      <w:r>
        <w:rPr>
          <w:rFonts w:hint="eastAsia" w:ascii="仿宋_GB2312" w:hAnsi="仿宋" w:eastAsia="仿宋_GB2312"/>
          <w:szCs w:val="32"/>
        </w:rPr>
        <w:t>指事业单位开展专业业务活动及其辅助活动取得的收入。包括事业单位收到的财政专户实际核拨的教育收费等。</w:t>
      </w:r>
    </w:p>
    <w:p>
      <w:pPr>
        <w:ind w:firstLine="640" w:firstLineChars="200"/>
        <w:rPr>
          <w:rFonts w:ascii="仿宋_GB2312" w:hAnsi="仿宋" w:eastAsia="仿宋_GB2312"/>
          <w:szCs w:val="32"/>
        </w:rPr>
      </w:pPr>
      <w:r>
        <w:rPr>
          <w:rFonts w:hint="eastAsia" w:ascii="黑体" w:hAnsi="黑体" w:eastAsia="黑体"/>
          <w:szCs w:val="32"/>
        </w:rPr>
        <w:t>四、经营收入：</w:t>
      </w:r>
      <w:r>
        <w:rPr>
          <w:rFonts w:hint="eastAsia" w:ascii="仿宋_GB2312" w:hAnsi="仿宋" w:eastAsia="仿宋_GB2312"/>
          <w:szCs w:val="32"/>
        </w:rPr>
        <w:t>指事业单位在专业业务活动及其辅助活动之外开展非独立核算经营活动取得的收入。</w:t>
      </w:r>
    </w:p>
    <w:p>
      <w:pPr>
        <w:ind w:firstLine="640" w:firstLineChars="200"/>
        <w:rPr>
          <w:rFonts w:ascii="仿宋_GB2312" w:hAnsi="仿宋" w:eastAsia="仿宋_GB2312"/>
          <w:szCs w:val="32"/>
        </w:rPr>
      </w:pPr>
      <w:r>
        <w:rPr>
          <w:rFonts w:hint="eastAsia" w:ascii="黑体" w:hAnsi="黑体" w:eastAsia="黑体"/>
          <w:szCs w:val="32"/>
        </w:rPr>
        <w:t>五、附属单位上缴收入：</w:t>
      </w:r>
      <w:r>
        <w:rPr>
          <w:rFonts w:hint="eastAsia" w:ascii="仿宋_GB2312" w:hAnsi="仿宋" w:eastAsia="仿宋_GB2312"/>
          <w:szCs w:val="32"/>
        </w:rPr>
        <w:t>指事业单位附属独立核算单位按照有关规定上缴的收入。</w:t>
      </w:r>
    </w:p>
    <w:p>
      <w:pPr>
        <w:ind w:firstLine="640" w:firstLineChars="200"/>
        <w:rPr>
          <w:rFonts w:ascii="仿宋_GB2312" w:hAnsi="仿宋" w:eastAsia="仿宋_GB2312"/>
          <w:szCs w:val="32"/>
        </w:rPr>
      </w:pPr>
      <w:r>
        <w:rPr>
          <w:rFonts w:hint="eastAsia" w:ascii="黑体" w:hAnsi="黑体" w:eastAsia="黑体"/>
          <w:szCs w:val="32"/>
        </w:rPr>
        <w:t>六、其他收入：</w:t>
      </w:r>
      <w:r>
        <w:rPr>
          <w:rFonts w:hint="eastAsia" w:ascii="仿宋_GB2312" w:hAnsi="仿宋" w:eastAsia="仿宋_GB2312"/>
          <w:szCs w:val="32"/>
        </w:rPr>
        <w:t>指单位取得的除上述“</w:t>
      </w:r>
      <w:r>
        <w:rPr>
          <w:rFonts w:hint="eastAsia" w:ascii="仿宋_GB2312" w:eastAsia="仿宋_GB2312"/>
          <w:szCs w:val="32"/>
        </w:rPr>
        <w:t>财政拨款收入</w:t>
      </w:r>
      <w:r>
        <w:rPr>
          <w:rFonts w:hint="eastAsia" w:ascii="仿宋_GB2312" w:hAnsi="仿宋" w:eastAsia="仿宋_GB2312"/>
          <w:szCs w:val="32"/>
        </w:rPr>
        <w:t>”“上级补助收入”“事业收入”“经营收入”“附属单位上缴收入”等以外的各项收入。</w:t>
      </w:r>
    </w:p>
    <w:p>
      <w:pPr>
        <w:ind w:firstLine="640" w:firstLineChars="200"/>
        <w:rPr>
          <w:rFonts w:ascii="仿宋_GB2312" w:eastAsia="仿宋_GB2312"/>
          <w:szCs w:val="32"/>
        </w:rPr>
      </w:pPr>
      <w:r>
        <w:rPr>
          <w:rFonts w:hint="eastAsia" w:ascii="黑体" w:hAnsi="黑体" w:eastAsia="黑体"/>
          <w:szCs w:val="32"/>
        </w:rPr>
        <w:t>七、用事业基金弥补收支差额：</w:t>
      </w:r>
      <w:r>
        <w:rPr>
          <w:rFonts w:hint="eastAsia" w:ascii="仿宋_GB2312" w:eastAsia="仿宋_GB2312"/>
          <w:szCs w:val="32"/>
        </w:rPr>
        <w:t>指事业单位在用本年的“财政拨款收入”“财政拨款结转和结余资金”“事业收入”“经营收入”“其他收入”等不足以安排当年支出的情况下，使用以前年度积累的事业基金（事业单位当年收支相抵后按国家规定提取、用于弥补以后年度收支差额的基金）弥补本年度收支缺口的资金。</w:t>
      </w:r>
    </w:p>
    <w:p>
      <w:pPr>
        <w:ind w:firstLine="640" w:firstLineChars="200"/>
        <w:rPr>
          <w:rFonts w:ascii="仿宋_GB2312" w:eastAsia="仿宋_GB2312"/>
          <w:szCs w:val="32"/>
        </w:rPr>
      </w:pPr>
      <w:r>
        <w:rPr>
          <w:rFonts w:hint="eastAsia" w:ascii="黑体" w:hAnsi="黑体" w:eastAsia="黑体"/>
          <w:szCs w:val="32"/>
        </w:rPr>
        <w:t>八、年初结转和结余：</w:t>
      </w:r>
      <w:r>
        <w:rPr>
          <w:rFonts w:hint="eastAsia" w:ascii="仿宋_GB2312" w:eastAsia="仿宋_GB2312"/>
          <w:szCs w:val="32"/>
        </w:rPr>
        <w:t>指单位以前年度尚未完成、结转到本年仍按原规定用途继续使用的资金，或项目已完成等产生的结余资金。</w:t>
      </w:r>
    </w:p>
    <w:p>
      <w:pPr>
        <w:ind w:firstLine="640" w:firstLineChars="200"/>
        <w:rPr>
          <w:rFonts w:ascii="仿宋_GB2312" w:eastAsia="仿宋_GB2312"/>
          <w:szCs w:val="32"/>
        </w:rPr>
      </w:pPr>
      <w:r>
        <w:rPr>
          <w:rFonts w:hint="eastAsia" w:ascii="黑体" w:hAnsi="黑体" w:eastAsia="黑体"/>
          <w:szCs w:val="32"/>
        </w:rPr>
        <w:t>九、结余分配：</w:t>
      </w:r>
      <w:r>
        <w:rPr>
          <w:rFonts w:hint="eastAsia" w:ascii="仿宋_GB2312" w:eastAsia="仿宋_GB2312"/>
          <w:szCs w:val="32"/>
        </w:rPr>
        <w:t>指事业单位按照会计制度规定缴纳的所得税以及从非财政拨款结余或经营结余中提取的各类基金。</w:t>
      </w:r>
    </w:p>
    <w:p>
      <w:pPr>
        <w:ind w:firstLine="640" w:firstLineChars="200"/>
        <w:rPr>
          <w:rFonts w:ascii="仿宋_GB2312" w:hAnsi="仿宋" w:eastAsia="仿宋_GB2312"/>
          <w:szCs w:val="32"/>
        </w:rPr>
      </w:pPr>
      <w:r>
        <w:rPr>
          <w:rFonts w:hint="eastAsia" w:ascii="黑体" w:hAnsi="黑体" w:eastAsia="黑体"/>
          <w:szCs w:val="32"/>
        </w:rPr>
        <w:t>十、年末结转和结余：</w:t>
      </w:r>
      <w:r>
        <w:rPr>
          <w:rFonts w:hint="eastAsia" w:ascii="仿宋_GB2312" w:hAnsi="仿宋" w:eastAsia="仿宋_GB2312"/>
          <w:szCs w:val="32"/>
        </w:rPr>
        <w:t>指单位本年度或以前年度预算安排、因客观条件发生变化未全部执行或未执行，结转到以后年度继续使用的资金，或项目已完成等产生的结余资金。</w:t>
      </w:r>
    </w:p>
    <w:p>
      <w:pPr>
        <w:ind w:firstLine="640" w:firstLineChars="200"/>
        <w:rPr>
          <w:rFonts w:ascii="仿宋_GB2312" w:eastAsia="仿宋_GB2312"/>
          <w:szCs w:val="32"/>
        </w:rPr>
      </w:pPr>
      <w:r>
        <w:rPr>
          <w:rFonts w:hint="eastAsia" w:ascii="黑体" w:hAnsi="黑体" w:eastAsia="黑体"/>
          <w:szCs w:val="32"/>
        </w:rPr>
        <w:t>十一、基本支出：</w:t>
      </w:r>
      <w:r>
        <w:rPr>
          <w:rFonts w:hint="eastAsia" w:ascii="仿宋_GB2312" w:eastAsia="仿宋_GB2312"/>
          <w:szCs w:val="32"/>
        </w:rPr>
        <w:t>指单位为保障其机构正常运转、完成日常工作任务而发生的人员支出和日常公用支出。</w:t>
      </w:r>
    </w:p>
    <w:p>
      <w:pPr>
        <w:ind w:firstLine="640" w:firstLineChars="200"/>
        <w:rPr>
          <w:rFonts w:ascii="仿宋_GB2312" w:eastAsia="仿宋_GB2312"/>
          <w:szCs w:val="32"/>
        </w:rPr>
      </w:pPr>
      <w:r>
        <w:rPr>
          <w:rFonts w:hint="eastAsia" w:ascii="黑体" w:hAnsi="黑体" w:eastAsia="黑体"/>
          <w:szCs w:val="32"/>
        </w:rPr>
        <w:t>十二、项目支出：</w:t>
      </w:r>
      <w:r>
        <w:rPr>
          <w:rFonts w:hint="eastAsia" w:ascii="仿宋_GB2312" w:eastAsia="仿宋_GB2312"/>
          <w:szCs w:val="32"/>
        </w:rPr>
        <w:t>指单位在基本支出之外为完成特定的工作任务或事业发展目标所发生的支出。</w:t>
      </w:r>
    </w:p>
    <w:p>
      <w:pPr>
        <w:ind w:firstLine="640" w:firstLineChars="200"/>
        <w:rPr>
          <w:rFonts w:ascii="仿宋_GB2312" w:eastAsia="仿宋_GB2312"/>
          <w:szCs w:val="32"/>
        </w:rPr>
      </w:pPr>
      <w:r>
        <w:rPr>
          <w:rFonts w:hint="eastAsia" w:ascii="黑体" w:hAnsi="黑体" w:eastAsia="黑体"/>
          <w:szCs w:val="32"/>
        </w:rPr>
        <w:t>十三、经营支出：</w:t>
      </w:r>
      <w:r>
        <w:rPr>
          <w:rFonts w:hint="eastAsia" w:ascii="仿宋_GB2312" w:eastAsia="仿宋_GB2312"/>
          <w:szCs w:val="32"/>
        </w:rPr>
        <w:t>指事业单位在专业业务活动及其辅助活动之外开展非独立核算经营活动发生的支出。</w:t>
      </w:r>
    </w:p>
    <w:p>
      <w:pPr>
        <w:ind w:firstLine="640" w:firstLineChars="200"/>
        <w:rPr>
          <w:rFonts w:ascii="仿宋_GB2312" w:eastAsia="仿宋_GB2312"/>
          <w:szCs w:val="32"/>
        </w:rPr>
      </w:pPr>
      <w:r>
        <w:rPr>
          <w:rFonts w:hint="eastAsia" w:ascii="黑体" w:hAnsi="黑体" w:eastAsia="黑体"/>
          <w:szCs w:val="32"/>
        </w:rPr>
        <w:t>十四、“三公”经费：</w:t>
      </w:r>
      <w:r>
        <w:rPr>
          <w:rFonts w:hint="eastAsia" w:ascii="仿宋_GB2312" w:eastAsia="仿宋_GB2312"/>
          <w:szCs w:val="32"/>
        </w:rPr>
        <w:t>指</w:t>
      </w:r>
      <w:r>
        <w:rPr>
          <w:rFonts w:hint="eastAsia" w:ascii="仿宋_GB2312" w:eastAsia="仿宋_GB2312"/>
          <w:szCs w:val="32"/>
          <w:lang w:eastAsia="zh-CN"/>
        </w:rPr>
        <w:t>区</w:t>
      </w:r>
      <w:r>
        <w:rPr>
          <w:rFonts w:hint="eastAsia" w:ascii="仿宋_GB2312" w:eastAsia="仿宋_GB2312"/>
          <w:szCs w:val="32"/>
        </w:rPr>
        <w:t>级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按规定保留的公务用车燃料费、维修费、过路过桥费、保险费、安全奖励费用等支出；公务接待费反映单位按规定开支的各类公务接待（含外宾接待）支出。</w:t>
      </w:r>
    </w:p>
    <w:p>
      <w:pPr>
        <w:ind w:firstLine="640" w:firstLineChars="200"/>
        <w:rPr>
          <w:rFonts w:ascii="仿宋_GB2312" w:eastAsia="仿宋_GB2312"/>
          <w:szCs w:val="32"/>
        </w:rPr>
      </w:pPr>
      <w:r>
        <w:rPr>
          <w:rFonts w:hint="eastAsia" w:ascii="黑体" w:hAnsi="黑体" w:eastAsia="黑体"/>
          <w:szCs w:val="32"/>
        </w:rPr>
        <w:t>十五、机关运行经费：</w:t>
      </w:r>
      <w:r>
        <w:rPr>
          <w:rFonts w:hint="eastAsia" w:ascii="仿宋_GB2312" w:eastAsia="仿宋_GB2312"/>
          <w:szCs w:val="32"/>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_GB2312" w:hAnsi="仿宋_GB2312" w:eastAsia="仿宋_GB2312" w:cs="仿宋_GB2312"/>
          <w:szCs w:val="32"/>
        </w:rPr>
      </w:pPr>
      <w:r>
        <w:rPr>
          <w:rFonts w:hint="eastAsia" w:ascii="黑体" w:hAnsi="黑体" w:eastAsia="黑体"/>
          <w:szCs w:val="32"/>
        </w:rPr>
        <w:t>十六、社会保障和就业支出（类）行政事业单位离退休（款）机关事业单位基本养老保险缴费支出（项）：</w:t>
      </w:r>
      <w:r>
        <w:rPr>
          <w:rFonts w:hint="eastAsia" w:ascii="仿宋_GB2312" w:hAnsi="仿宋_GB2312" w:eastAsia="仿宋_GB2312" w:cs="仿宋_GB2312"/>
          <w:szCs w:val="32"/>
        </w:rPr>
        <w:t>主要反映单位为职工缴纳社会保障缴费支出。</w:t>
      </w:r>
    </w:p>
    <w:p>
      <w:pPr>
        <w:ind w:firstLine="640" w:firstLineChars="200"/>
        <w:rPr>
          <w:rFonts w:hint="eastAsia" w:ascii="仿宋_GB2312" w:hAnsi="仿宋_GB2312" w:eastAsia="仿宋_GB2312" w:cs="仿宋_GB2312"/>
          <w:szCs w:val="32"/>
        </w:rPr>
      </w:pPr>
      <w:r>
        <w:rPr>
          <w:rFonts w:hint="eastAsia" w:ascii="黑体" w:hAnsi="黑体" w:eastAsia="黑体"/>
          <w:szCs w:val="32"/>
        </w:rPr>
        <w:t>十七、社会保障和就业支出（类）其他社会保障和就业支出（款）其他社会保障和就业支出（项）：</w:t>
      </w:r>
      <w:r>
        <w:rPr>
          <w:rFonts w:hint="eastAsia" w:ascii="仿宋_GB2312" w:hAnsi="仿宋_GB2312" w:eastAsia="仿宋_GB2312" w:cs="仿宋_GB2312"/>
          <w:szCs w:val="32"/>
        </w:rPr>
        <w:t>主要反映单位为职工缴纳社会保障缴费支出。</w:t>
      </w:r>
    </w:p>
    <w:p>
      <w:pPr>
        <w:ind w:firstLine="640" w:firstLineChars="200"/>
        <w:rPr>
          <w:rFonts w:hint="eastAsia" w:ascii="黑体" w:hAnsi="黑体" w:eastAsia="黑体"/>
          <w:szCs w:val="32"/>
        </w:rPr>
      </w:pPr>
      <w:r>
        <w:rPr>
          <w:rFonts w:hint="eastAsia" w:ascii="黑体" w:hAnsi="黑体" w:eastAsia="黑体"/>
          <w:szCs w:val="32"/>
        </w:rPr>
        <w:t>十八、卫生健康（类）医疗保障（款）事业单位医疗（项）：</w:t>
      </w:r>
      <w:r>
        <w:rPr>
          <w:rFonts w:hint="eastAsia" w:ascii="仿宋_GB2312" w:hAnsi="仿宋_GB2312" w:eastAsia="仿宋_GB2312" w:cs="仿宋_GB2312"/>
          <w:szCs w:val="32"/>
        </w:rPr>
        <w:t>主要反映用于单位为职工缴纳医保缴费支出。</w:t>
      </w:r>
    </w:p>
    <w:p>
      <w:pPr>
        <w:ind w:firstLine="640" w:firstLineChars="200"/>
        <w:rPr>
          <w:rFonts w:hint="eastAsia" w:ascii="仿宋_GB2312" w:hAnsi="仿宋_GB2312" w:eastAsia="仿宋_GB2312" w:cs="仿宋_GB2312"/>
          <w:szCs w:val="32"/>
        </w:rPr>
      </w:pPr>
      <w:r>
        <w:rPr>
          <w:rFonts w:hint="eastAsia" w:ascii="黑体" w:hAnsi="黑体" w:eastAsia="黑体"/>
          <w:szCs w:val="32"/>
        </w:rPr>
        <w:t>十九、卫生健康（类）医疗保障（款）公务员医疗补助（项）：</w:t>
      </w:r>
      <w:r>
        <w:rPr>
          <w:rFonts w:hint="eastAsia" w:ascii="仿宋_GB2312" w:hAnsi="仿宋_GB2312" w:eastAsia="仿宋_GB2312" w:cs="仿宋_GB2312"/>
          <w:szCs w:val="32"/>
        </w:rPr>
        <w:t>主要反映单位为职工缴纳医疗补助支出。</w:t>
      </w:r>
    </w:p>
    <w:p>
      <w:pPr>
        <w:ind w:firstLine="640" w:firstLineChars="200"/>
        <w:rPr>
          <w:rFonts w:hint="eastAsia" w:ascii="仿宋_GB2312" w:hAnsi="仿宋_GB2312" w:eastAsia="仿宋_GB2312" w:cs="仿宋_GB2312"/>
          <w:szCs w:val="32"/>
        </w:rPr>
      </w:pPr>
      <w:r>
        <w:rPr>
          <w:rFonts w:hint="eastAsia" w:ascii="黑体" w:hAnsi="黑体" w:eastAsia="黑体"/>
          <w:szCs w:val="32"/>
        </w:rPr>
        <w:t>二十、住房保障支出（类）住房改革支出（款）住房公积金（项）：</w:t>
      </w:r>
      <w:r>
        <w:rPr>
          <w:rFonts w:hint="eastAsia" w:ascii="仿宋_GB2312" w:hAnsi="仿宋_GB2312" w:eastAsia="仿宋_GB2312" w:cs="仿宋_GB2312"/>
          <w:szCs w:val="32"/>
        </w:rPr>
        <w:t>主要反映用于单位职工缴纳住房公积金支出。</w:t>
      </w:r>
    </w:p>
    <w:p>
      <w:pPr>
        <w:widowControl/>
        <w:ind w:firstLine="640" w:firstLineChars="200"/>
        <w:jc w:val="left"/>
        <w:rPr>
          <w:rFonts w:hint="eastAsia" w:ascii="仿宋_GB2312" w:eastAsia="仿宋_GB2312"/>
          <w:szCs w:val="32"/>
        </w:rPr>
      </w:pPr>
      <w:r>
        <w:rPr>
          <w:rFonts w:hint="eastAsia" w:ascii="黑体" w:hAnsi="黑体" w:eastAsia="黑体" w:cs="黑体"/>
          <w:szCs w:val="32"/>
        </w:rPr>
        <w:t>二十一、农林水支出（类）农业（款）事业运行（项）</w:t>
      </w:r>
      <w:r>
        <w:rPr>
          <w:rFonts w:hint="eastAsia" w:ascii="仿宋_GB2312" w:eastAsia="仿宋_GB2312"/>
          <w:szCs w:val="32"/>
        </w:rPr>
        <w:t>：主要用于单位职工缴纳工资、津贴以及办公经费支出。</w:t>
      </w:r>
    </w:p>
    <w:p>
      <w:pPr>
        <w:widowControl/>
        <w:ind w:firstLine="620" w:firstLineChars="200"/>
        <w:jc w:val="left"/>
      </w:pPr>
      <w:r>
        <w:rPr>
          <w:rFonts w:hint="eastAsia" w:ascii="黑体" w:hAnsi="宋体" w:eastAsia="黑体" w:cs="黑体"/>
          <w:color w:val="000000"/>
          <w:kern w:val="0"/>
          <w:sz w:val="31"/>
          <w:szCs w:val="31"/>
        </w:rPr>
        <w:t>二十</w:t>
      </w:r>
      <w:r>
        <w:rPr>
          <w:rFonts w:hint="eastAsia" w:ascii="黑体" w:hAnsi="宋体" w:eastAsia="黑体" w:cs="黑体"/>
          <w:color w:val="000000"/>
          <w:kern w:val="0"/>
          <w:sz w:val="31"/>
          <w:szCs w:val="31"/>
          <w:lang w:eastAsia="zh-CN"/>
        </w:rPr>
        <w:t>二</w:t>
      </w:r>
      <w:r>
        <w:rPr>
          <w:rFonts w:hint="eastAsia" w:ascii="黑体" w:hAnsi="宋体" w:eastAsia="黑体" w:cs="黑体"/>
          <w:color w:val="000000"/>
          <w:kern w:val="0"/>
          <w:sz w:val="31"/>
          <w:szCs w:val="31"/>
        </w:rPr>
        <w:t xml:space="preserve">、社会保障和就业支出（类）行政事业单位离退休 </w:t>
      </w:r>
    </w:p>
    <w:p>
      <w:pPr>
        <w:widowControl/>
        <w:jc w:val="left"/>
      </w:pPr>
      <w:r>
        <w:rPr>
          <w:rFonts w:hint="eastAsia" w:ascii="黑体" w:hAnsi="宋体" w:eastAsia="黑体" w:cs="黑体"/>
          <w:color w:val="000000"/>
          <w:kern w:val="0"/>
          <w:sz w:val="31"/>
          <w:szCs w:val="31"/>
        </w:rPr>
        <w:t>（款）归口管理的行政单位离退休（项）</w:t>
      </w:r>
      <w:r>
        <w:rPr>
          <w:rFonts w:ascii="仿宋_GB2312" w:hAnsi="仿宋_GB2312" w:eastAsia="仿宋_GB2312" w:cs="仿宋_GB2312"/>
          <w:color w:val="000000"/>
          <w:kern w:val="0"/>
          <w:sz w:val="31"/>
          <w:szCs w:val="31"/>
        </w:rPr>
        <w:t xml:space="preserve">。指实行归口管理 </w:t>
      </w:r>
    </w:p>
    <w:p>
      <w:pPr>
        <w:widowControl/>
        <w:jc w:val="left"/>
      </w:pPr>
      <w:r>
        <w:rPr>
          <w:rFonts w:ascii="仿宋_GB2312" w:hAnsi="仿宋_GB2312" w:eastAsia="仿宋_GB2312" w:cs="仿宋_GB2312"/>
          <w:color w:val="000000"/>
          <w:kern w:val="0"/>
          <w:sz w:val="31"/>
          <w:szCs w:val="31"/>
        </w:rPr>
        <w:t xml:space="preserve">的行政单位开支的离退休经费。 </w:t>
      </w:r>
    </w:p>
    <w:p>
      <w:pPr>
        <w:widowControl/>
        <w:ind w:firstLine="620" w:firstLineChars="200"/>
        <w:jc w:val="left"/>
      </w:pPr>
      <w:r>
        <w:rPr>
          <w:rFonts w:hint="eastAsia" w:ascii="黑体" w:hAnsi="宋体" w:eastAsia="黑体" w:cs="黑体"/>
          <w:color w:val="000000"/>
          <w:kern w:val="0"/>
          <w:sz w:val="31"/>
          <w:szCs w:val="31"/>
        </w:rPr>
        <w:t>二十</w:t>
      </w:r>
      <w:r>
        <w:rPr>
          <w:rFonts w:hint="eastAsia" w:ascii="黑体" w:hAnsi="宋体" w:eastAsia="黑体" w:cs="黑体"/>
          <w:color w:val="000000"/>
          <w:kern w:val="0"/>
          <w:sz w:val="31"/>
          <w:szCs w:val="31"/>
          <w:lang w:eastAsia="zh-CN"/>
        </w:rPr>
        <w:t>三</w:t>
      </w:r>
      <w:r>
        <w:rPr>
          <w:rFonts w:hint="eastAsia" w:ascii="黑体" w:hAnsi="宋体" w:eastAsia="黑体" w:cs="黑体"/>
          <w:color w:val="000000"/>
          <w:kern w:val="0"/>
          <w:sz w:val="31"/>
          <w:szCs w:val="31"/>
        </w:rPr>
        <w:t xml:space="preserve">、社会保障和就业支出（类）其他社会保障和就 </w:t>
      </w:r>
    </w:p>
    <w:p>
      <w:pPr>
        <w:widowControl/>
        <w:jc w:val="left"/>
      </w:pPr>
      <w:r>
        <w:rPr>
          <w:rFonts w:hint="eastAsia" w:ascii="黑体" w:hAnsi="宋体" w:eastAsia="黑体" w:cs="黑体"/>
          <w:color w:val="000000"/>
          <w:kern w:val="0"/>
          <w:sz w:val="31"/>
          <w:szCs w:val="31"/>
        </w:rPr>
        <w:t>业支出（款）其他社会保障和就业支出（项）。</w:t>
      </w:r>
      <w:r>
        <w:rPr>
          <w:rFonts w:ascii="仿宋_GB2312" w:hAnsi="仿宋_GB2312" w:eastAsia="仿宋_GB2312" w:cs="仿宋_GB2312"/>
          <w:color w:val="000000"/>
          <w:kern w:val="0"/>
          <w:sz w:val="31"/>
          <w:szCs w:val="31"/>
        </w:rPr>
        <w:t xml:space="preserve">指实行归口 </w:t>
      </w:r>
    </w:p>
    <w:p>
      <w:pPr>
        <w:widowControl/>
        <w:jc w:val="left"/>
      </w:pPr>
      <w:r>
        <w:rPr>
          <w:rFonts w:ascii="仿宋_GB2312" w:hAnsi="仿宋_GB2312" w:eastAsia="仿宋_GB2312" w:cs="仿宋_GB2312"/>
          <w:color w:val="000000"/>
          <w:kern w:val="0"/>
          <w:sz w:val="31"/>
          <w:szCs w:val="31"/>
        </w:rPr>
        <w:t xml:space="preserve">管理的行政单位开支的离退休经费。 </w:t>
      </w:r>
    </w:p>
    <w:p>
      <w:pPr>
        <w:ind w:firstLine="643" w:firstLineChars="200"/>
        <w:rPr>
          <w:rFonts w:ascii="仿宋_GB2312" w:eastAsia="仿宋_GB2312"/>
          <w:b/>
          <w:szCs w:val="32"/>
          <w:highlight w:val="lightGray"/>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ascii="方正小标宋简体" w:eastAsia="方正小标宋简体"/>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ascii="仿宋" w:hAnsi="仿宋" w:eastAsia="仿宋" w:cs="仿宋"/>
          <w:spacing w:val="60"/>
          <w:sz w:val="42"/>
        </w:rPr>
      </w:pPr>
      <w:r>
        <w:rPr>
          <w:rFonts w:hint="eastAsia" w:ascii="仿宋" w:hAnsi="仿宋" w:eastAsia="仿宋" w:cs="仿宋"/>
          <w:spacing w:val="60"/>
          <w:sz w:val="42"/>
        </w:rPr>
        <w:t>第五部分</w:t>
      </w:r>
    </w:p>
    <w:p>
      <w:pPr>
        <w:jc w:val="center"/>
        <w:rPr>
          <w:rFonts w:ascii="仿宋" w:hAnsi="仿宋" w:eastAsia="仿宋" w:cs="仿宋"/>
          <w:spacing w:val="60"/>
          <w:sz w:val="42"/>
        </w:rPr>
      </w:pPr>
    </w:p>
    <w:p>
      <w:pPr>
        <w:jc w:val="center"/>
        <w:rPr>
          <w:rFonts w:ascii="仿宋" w:hAnsi="仿宋" w:eastAsia="仿宋" w:cs="仿宋"/>
          <w:spacing w:val="60"/>
          <w:sz w:val="42"/>
        </w:rPr>
      </w:pPr>
    </w:p>
    <w:p>
      <w:pPr>
        <w:jc w:val="center"/>
        <w:rPr>
          <w:rFonts w:ascii="仿宋" w:hAnsi="仿宋" w:eastAsia="仿宋" w:cs="仿宋"/>
          <w:spacing w:val="60"/>
          <w:sz w:val="48"/>
        </w:rPr>
      </w:pPr>
      <w:r>
        <w:rPr>
          <w:rFonts w:hint="eastAsia" w:ascii="仿宋" w:hAnsi="仿宋" w:eastAsia="仿宋" w:cs="仿宋"/>
          <w:spacing w:val="60"/>
          <w:sz w:val="48"/>
        </w:rPr>
        <w:t xml:space="preserve">  附  件</w:t>
      </w:r>
    </w:p>
    <w:p>
      <w:pPr>
        <w:tabs>
          <w:tab w:val="left" w:pos="5891"/>
        </w:tabs>
        <w:spacing w:line="580" w:lineRule="exact"/>
        <w:rPr>
          <w:rFonts w:ascii="仿宋" w:hAnsi="仿宋" w:eastAsia="仿宋" w:cs="仿宋"/>
          <w:szCs w:val="32"/>
        </w:rPr>
        <w:sectPr>
          <w:pgSz w:w="11906" w:h="16838"/>
          <w:pgMar w:top="2098" w:right="1418" w:bottom="1871" w:left="1531" w:header="851" w:footer="992" w:gutter="0"/>
          <w:cols w:space="720" w:num="1"/>
          <w:docGrid w:type="lines" w:linePitch="312" w:charSpace="0"/>
        </w:sectPr>
      </w:pPr>
    </w:p>
    <w:tbl>
      <w:tblPr>
        <w:tblStyle w:val="4"/>
        <w:tblpPr w:leftFromText="180" w:rightFromText="180" w:vertAnchor="text" w:horzAnchor="page" w:tblpX="2027" w:tblpY="259"/>
        <w:tblOverlap w:val="never"/>
        <w:tblW w:w="13189" w:type="dxa"/>
        <w:tblInd w:w="0" w:type="dxa"/>
        <w:tblLayout w:type="fixed"/>
        <w:tblCellMar>
          <w:top w:w="15" w:type="dxa"/>
          <w:left w:w="15" w:type="dxa"/>
          <w:bottom w:w="15" w:type="dxa"/>
          <w:right w:w="15" w:type="dxa"/>
        </w:tblCellMar>
      </w:tblPr>
      <w:tblGrid>
        <w:gridCol w:w="830"/>
        <w:gridCol w:w="5686"/>
        <w:gridCol w:w="3056"/>
        <w:gridCol w:w="1783"/>
        <w:gridCol w:w="321"/>
        <w:gridCol w:w="1233"/>
        <w:gridCol w:w="280"/>
      </w:tblGrid>
      <w:tr>
        <w:tblPrEx>
          <w:tblCellMar>
            <w:top w:w="15" w:type="dxa"/>
            <w:left w:w="15" w:type="dxa"/>
            <w:bottom w:w="15" w:type="dxa"/>
            <w:right w:w="15" w:type="dxa"/>
          </w:tblCellMar>
        </w:tblPrEx>
        <w:trPr>
          <w:trHeight w:val="459" w:hRule="atLeast"/>
        </w:trPr>
        <w:tc>
          <w:tcPr>
            <w:tcW w:w="13189" w:type="dxa"/>
            <w:gridSpan w:val="7"/>
            <w:noWrap/>
            <w:vAlign w:val="center"/>
          </w:tcPr>
          <w:p>
            <w:pPr>
              <w:ind w:firstLine="1320" w:firstLineChars="300"/>
              <w:jc w:val="center"/>
              <w:rPr>
                <w:sz w:val="44"/>
                <w:szCs w:val="44"/>
              </w:rPr>
            </w:pPr>
            <w:r>
              <w:rPr>
                <w:rFonts w:hint="eastAsia"/>
                <w:sz w:val="44"/>
                <w:szCs w:val="44"/>
              </w:rPr>
              <w:t>2019年度</w:t>
            </w:r>
            <w:r>
              <w:rPr>
                <w:rFonts w:hint="eastAsia"/>
                <w:sz w:val="44"/>
                <w:szCs w:val="44"/>
                <w:lang w:eastAsia="zh-CN"/>
              </w:rPr>
              <w:t>原</w:t>
            </w:r>
            <w:r>
              <w:rPr>
                <w:rFonts w:hint="eastAsia"/>
                <w:sz w:val="44"/>
                <w:szCs w:val="44"/>
              </w:rPr>
              <w:t>威海市文登区农业机械安全监理站部门预算项目绩效自评情况汇总表</w:t>
            </w:r>
          </w:p>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2"/>
          <w:wAfter w:w="1513" w:type="dxa"/>
          <w:trHeight w:val="483" w:hRule="atLeast"/>
        </w:trPr>
        <w:tc>
          <w:tcPr>
            <w:tcW w:w="830" w:type="dxa"/>
            <w:noWrap/>
            <w:vAlign w:val="center"/>
          </w:tcPr>
          <w:p>
            <w:pPr>
              <w:rPr>
                <w:rFonts w:ascii="仿宋_GB2312" w:hAnsi="宋体" w:eastAsia="仿宋_GB2312" w:cs="仿宋_GB2312"/>
                <w:color w:val="000000"/>
                <w:sz w:val="28"/>
                <w:szCs w:val="28"/>
              </w:rPr>
            </w:pPr>
          </w:p>
        </w:tc>
        <w:tc>
          <w:tcPr>
            <w:tcW w:w="5686" w:type="dxa"/>
            <w:noWrap/>
            <w:vAlign w:val="center"/>
          </w:tcPr>
          <w:p>
            <w:pPr>
              <w:rPr>
                <w:rFonts w:ascii="仿宋_GB2312" w:hAnsi="宋体" w:eastAsia="仿宋_GB2312" w:cs="仿宋_GB2312"/>
                <w:color w:val="000000"/>
                <w:sz w:val="28"/>
                <w:szCs w:val="28"/>
              </w:rPr>
            </w:pPr>
          </w:p>
        </w:tc>
        <w:tc>
          <w:tcPr>
            <w:tcW w:w="3056" w:type="dxa"/>
            <w:noWrap/>
            <w:vAlign w:val="center"/>
          </w:tcPr>
          <w:p>
            <w:pPr>
              <w:rPr>
                <w:rFonts w:ascii="仿宋_GB2312" w:hAnsi="宋体" w:eastAsia="仿宋_GB2312" w:cs="仿宋_GB2312"/>
                <w:color w:val="000000"/>
                <w:sz w:val="28"/>
                <w:szCs w:val="28"/>
              </w:rPr>
            </w:pPr>
          </w:p>
        </w:tc>
        <w:tc>
          <w:tcPr>
            <w:tcW w:w="2104" w:type="dxa"/>
            <w:gridSpan w:val="2"/>
            <w:tcBorders>
              <w:bottom w:val="single" w:color="000000" w:sz="4" w:space="0"/>
            </w:tcBorders>
            <w:noWrap/>
            <w:vAlign w:val="center"/>
          </w:tcPr>
          <w:p>
            <w:pPr>
              <w:widowControl/>
              <w:jc w:val="right"/>
              <w:textAlignment w:val="center"/>
              <w:rPr>
                <w:rFonts w:ascii="黑体" w:hAnsi="宋体" w:eastAsia="黑体" w:cs="黑体"/>
                <w:color w:val="000000"/>
                <w:sz w:val="24"/>
              </w:rPr>
            </w:pPr>
            <w:r>
              <w:rPr>
                <w:rFonts w:hint="eastAsia" w:ascii="黑体" w:hAnsi="宋体" w:eastAsia="黑体" w:cs="黑体"/>
                <w:color w:val="000000"/>
                <w:kern w:val="0"/>
                <w:sz w:val="24"/>
              </w:rPr>
              <w:t>单位：万元</w:t>
            </w:r>
          </w:p>
        </w:tc>
      </w:tr>
      <w:tr>
        <w:tblPrEx>
          <w:tblCellMar>
            <w:top w:w="15" w:type="dxa"/>
            <w:left w:w="15" w:type="dxa"/>
            <w:bottom w:w="15" w:type="dxa"/>
            <w:right w:w="15" w:type="dxa"/>
          </w:tblCellMar>
        </w:tblPrEx>
        <w:trPr>
          <w:gridAfter w:val="1"/>
          <w:wAfter w:w="280" w:type="dxa"/>
          <w:trHeight w:val="319" w:hRule="atLeast"/>
        </w:trPr>
        <w:tc>
          <w:tcPr>
            <w:tcW w:w="830" w:type="dxa"/>
            <w:vMerge w:val="restart"/>
            <w:tcBorders>
              <w:top w:val="single" w:color="000000" w:sz="4" w:space="0"/>
              <w:left w:val="single" w:color="000000"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5686" w:type="dxa"/>
            <w:vMerge w:val="restart"/>
            <w:tcBorders>
              <w:top w:val="single" w:color="000000" w:sz="4" w:space="0"/>
              <w:left w:val="single" w:color="auto"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项目名称</w:t>
            </w:r>
          </w:p>
        </w:tc>
        <w:tc>
          <w:tcPr>
            <w:tcW w:w="3056" w:type="dxa"/>
            <w:vMerge w:val="restart"/>
            <w:tcBorders>
              <w:top w:val="single" w:color="000000" w:sz="4" w:space="0"/>
              <w:left w:val="single" w:color="auto"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资金使用单位</w:t>
            </w:r>
          </w:p>
        </w:tc>
        <w:tc>
          <w:tcPr>
            <w:tcW w:w="1783"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得分</w:t>
            </w:r>
          </w:p>
        </w:tc>
        <w:tc>
          <w:tcPr>
            <w:tcW w:w="1554"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等级</w:t>
            </w:r>
          </w:p>
        </w:tc>
      </w:tr>
      <w:tr>
        <w:tblPrEx>
          <w:tblCellMar>
            <w:top w:w="15" w:type="dxa"/>
            <w:left w:w="15" w:type="dxa"/>
            <w:bottom w:w="15" w:type="dxa"/>
            <w:right w:w="15" w:type="dxa"/>
          </w:tblCellMar>
        </w:tblPrEx>
        <w:trPr>
          <w:gridAfter w:val="1"/>
          <w:wAfter w:w="280" w:type="dxa"/>
          <w:trHeight w:val="513"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r>
      <w:tr>
        <w:tblPrEx>
          <w:tblCellMar>
            <w:top w:w="15" w:type="dxa"/>
            <w:left w:w="15" w:type="dxa"/>
            <w:bottom w:w="15" w:type="dxa"/>
            <w:right w:w="15" w:type="dxa"/>
          </w:tblCellMar>
        </w:tblPrEx>
        <w:trPr>
          <w:gridAfter w:val="1"/>
          <w:wAfter w:w="280" w:type="dxa"/>
          <w:trHeight w:val="319"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1</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2</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3</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378"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4</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5</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bl>
    <w:p>
      <w:pPr>
        <w:tabs>
          <w:tab w:val="left" w:pos="5891"/>
        </w:tabs>
        <w:spacing w:line="580" w:lineRule="exact"/>
        <w:rPr>
          <w:rFonts w:ascii="黑体" w:hAnsi="黑体" w:eastAsia="黑体" w:cs="黑体"/>
          <w:szCs w:val="32"/>
        </w:rPr>
      </w:pPr>
    </w:p>
    <w:p>
      <w:pPr>
        <w:rPr>
          <w:rFonts w:ascii="楷体_GB2312" w:eastAsia="楷体_GB2312"/>
          <w:szCs w:val="32"/>
        </w:rPr>
      </w:pPr>
      <w:r>
        <w:rPr>
          <w:rFonts w:hint="eastAsia" w:ascii="楷体_GB2312" w:eastAsia="楷体_GB2312"/>
          <w:szCs w:val="32"/>
        </w:rPr>
        <w:t>本部门无重点绩效评价项目。</w:t>
      </w:r>
    </w:p>
    <w:p>
      <w:pPr>
        <w:tabs>
          <w:tab w:val="left" w:pos="5891"/>
        </w:tabs>
        <w:spacing w:line="580" w:lineRule="exact"/>
        <w:rPr>
          <w:rFonts w:ascii="黑体" w:hAnsi="黑体" w:eastAsia="黑体" w:cs="黑体"/>
          <w:szCs w:val="32"/>
        </w:rPr>
      </w:pPr>
    </w:p>
    <w:p>
      <w:pPr>
        <w:tabs>
          <w:tab w:val="left" w:pos="5891"/>
        </w:tabs>
        <w:spacing w:line="580" w:lineRule="exact"/>
        <w:rPr>
          <w:rFonts w:ascii="黑体" w:hAnsi="黑体" w:eastAsia="黑体" w:cs="黑体"/>
          <w:szCs w:val="32"/>
        </w:rPr>
        <w:sectPr>
          <w:pgSz w:w="16838" w:h="11906" w:orient="landscape"/>
          <w:pgMar w:top="1531" w:right="2098" w:bottom="1417" w:left="1871" w:header="851" w:footer="992" w:gutter="0"/>
          <w:cols w:space="720" w:num="1"/>
          <w:docGrid w:type="lines" w:linePitch="319" w:charSpace="0"/>
        </w:sectPr>
      </w:pPr>
    </w:p>
    <w:p>
      <w:pPr>
        <w:overflowPunct w:val="0"/>
        <w:adjustRightInd w:val="0"/>
        <w:snapToGrid w:val="0"/>
        <w:spacing w:line="580" w:lineRule="exact"/>
        <w:jc w:val="left"/>
        <w:outlineLvl w:val="0"/>
      </w:pPr>
    </w:p>
    <w:sectPr>
      <w:pgSz w:w="11906" w:h="16838"/>
      <w:pgMar w:top="1701" w:right="1531" w:bottom="1701" w:left="1531" w:header="0" w:footer="1418" w:gutter="0"/>
      <w:cols w:space="720" w:num="1"/>
      <w:docGrid w:type="linesAndChars" w:linePitch="61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7"/>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7"/>
        <w:rFonts w:ascii="宋体" w:hAnsi="宋体"/>
        <w:sz w:val="28"/>
        <w:szCs w:val="28"/>
      </w:rPr>
      <w:instrText xml:space="preserve">PAGE  </w:instrText>
    </w:r>
    <w:r>
      <w:rPr>
        <w:rFonts w:ascii="宋体" w:hAnsi="宋体"/>
        <w:sz w:val="28"/>
        <w:szCs w:val="28"/>
      </w:rPr>
      <w:fldChar w:fldCharType="separate"/>
    </w:r>
    <w:r>
      <w:rPr>
        <w:rStyle w:val="7"/>
        <w:rFonts w:ascii="宋体" w:hAnsi="宋体"/>
        <w:sz w:val="28"/>
        <w:szCs w:val="28"/>
      </w:rPr>
      <w:t>20</w:t>
    </w:r>
    <w:r>
      <w:rPr>
        <w:rFonts w:ascii="宋体" w:hAnsi="宋体"/>
        <w:sz w:val="28"/>
        <w:szCs w:val="28"/>
      </w:rPr>
      <w:fldChar w:fldCharType="end"/>
    </w:r>
    <w:r>
      <w:rPr>
        <w:rFonts w:hint="eastAsia" w:ascii="宋体" w:hAnsi="宋体"/>
        <w:sz w:val="28"/>
        <w:szCs w:val="28"/>
      </w:rPr>
      <w:t xml:space="preserve"> —</w:t>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8DDA01"/>
    <w:multiLevelType w:val="singleLevel"/>
    <w:tmpl w:val="C48DDA01"/>
    <w:lvl w:ilvl="0" w:tentative="0">
      <w:start w:val="1"/>
      <w:numFmt w:val="chineseCounting"/>
      <w:suff w:val="nothing"/>
      <w:lvlText w:val="（%1）"/>
      <w:lvlJc w:val="left"/>
      <w:rPr>
        <w:rFonts w:hint="eastAsia"/>
      </w:rPr>
    </w:lvl>
  </w:abstractNum>
  <w:abstractNum w:abstractNumId="1">
    <w:nsid w:val="DB90EE81"/>
    <w:multiLevelType w:val="singleLevel"/>
    <w:tmpl w:val="DB90EE81"/>
    <w:lvl w:ilvl="0" w:tentative="0">
      <w:start w:val="7"/>
      <w:numFmt w:val="chineseCounting"/>
      <w:suff w:val="nothing"/>
      <w:lvlText w:val="%1、"/>
      <w:lvlJc w:val="left"/>
      <w:rPr>
        <w:rFonts w:hint="eastAsia"/>
      </w:rPr>
    </w:lvl>
  </w:abstractNum>
  <w:abstractNum w:abstractNumId="2">
    <w:nsid w:val="1C2C76A1"/>
    <w:multiLevelType w:val="singleLevel"/>
    <w:tmpl w:val="1C2C76A1"/>
    <w:lvl w:ilvl="0" w:tentative="0">
      <w:start w:val="1"/>
      <w:numFmt w:val="decimal"/>
      <w:suff w:val="nothing"/>
      <w:lvlText w:val="%1、"/>
      <w:lvlJc w:val="left"/>
    </w:lvl>
  </w:abstractNum>
  <w:abstractNum w:abstractNumId="3">
    <w:nsid w:val="69E6BA82"/>
    <w:multiLevelType w:val="singleLevel"/>
    <w:tmpl w:val="69E6BA82"/>
    <w:lvl w:ilvl="0" w:tentative="0">
      <w:start w:val="1"/>
      <w:numFmt w:val="decimal"/>
      <w:suff w:val="nothing"/>
      <w:lvlText w:val="%1、"/>
      <w:lvlJc w:val="left"/>
      <w:pPr>
        <w:ind w:left="-2"/>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C377A2"/>
    <w:rsid w:val="00165DDF"/>
    <w:rsid w:val="0017751F"/>
    <w:rsid w:val="002F408A"/>
    <w:rsid w:val="003051C2"/>
    <w:rsid w:val="00332E01"/>
    <w:rsid w:val="0049771E"/>
    <w:rsid w:val="00602B63"/>
    <w:rsid w:val="00637F0D"/>
    <w:rsid w:val="006C6D9F"/>
    <w:rsid w:val="007B6BE5"/>
    <w:rsid w:val="0082179D"/>
    <w:rsid w:val="00827E4B"/>
    <w:rsid w:val="00911FB8"/>
    <w:rsid w:val="00981E64"/>
    <w:rsid w:val="00A263B4"/>
    <w:rsid w:val="00B15D8F"/>
    <w:rsid w:val="00B25AAB"/>
    <w:rsid w:val="00BE5CA8"/>
    <w:rsid w:val="00C36218"/>
    <w:rsid w:val="010B710C"/>
    <w:rsid w:val="0243512B"/>
    <w:rsid w:val="02D71A8B"/>
    <w:rsid w:val="053662F7"/>
    <w:rsid w:val="05481F50"/>
    <w:rsid w:val="0753553D"/>
    <w:rsid w:val="07DE384B"/>
    <w:rsid w:val="089E0743"/>
    <w:rsid w:val="0B0F1547"/>
    <w:rsid w:val="0B61758E"/>
    <w:rsid w:val="0E5739C3"/>
    <w:rsid w:val="13EF3DB0"/>
    <w:rsid w:val="14924111"/>
    <w:rsid w:val="14CF55A0"/>
    <w:rsid w:val="159B73D9"/>
    <w:rsid w:val="15EB6700"/>
    <w:rsid w:val="18327FA4"/>
    <w:rsid w:val="1A6767ED"/>
    <w:rsid w:val="1A766AD8"/>
    <w:rsid w:val="1AF414F6"/>
    <w:rsid w:val="1CC749DD"/>
    <w:rsid w:val="1D7310C3"/>
    <w:rsid w:val="1E040D63"/>
    <w:rsid w:val="1F555E30"/>
    <w:rsid w:val="209C64F9"/>
    <w:rsid w:val="20CF4CA6"/>
    <w:rsid w:val="215A5761"/>
    <w:rsid w:val="21653465"/>
    <w:rsid w:val="22C377A2"/>
    <w:rsid w:val="232143F4"/>
    <w:rsid w:val="264A49DD"/>
    <w:rsid w:val="268205B0"/>
    <w:rsid w:val="28301322"/>
    <w:rsid w:val="28BE3B2E"/>
    <w:rsid w:val="2E5562D2"/>
    <w:rsid w:val="315557AF"/>
    <w:rsid w:val="315B1BA8"/>
    <w:rsid w:val="3435232A"/>
    <w:rsid w:val="3A214CB4"/>
    <w:rsid w:val="3B0E0B0A"/>
    <w:rsid w:val="3E105E6A"/>
    <w:rsid w:val="3F493BEF"/>
    <w:rsid w:val="40B071E5"/>
    <w:rsid w:val="438D588C"/>
    <w:rsid w:val="47F612A3"/>
    <w:rsid w:val="48166F84"/>
    <w:rsid w:val="4B0B26E3"/>
    <w:rsid w:val="4E8A0215"/>
    <w:rsid w:val="507E55BD"/>
    <w:rsid w:val="50FD1D05"/>
    <w:rsid w:val="51F358D8"/>
    <w:rsid w:val="55187B15"/>
    <w:rsid w:val="57D06BEB"/>
    <w:rsid w:val="57F723B6"/>
    <w:rsid w:val="59E336E7"/>
    <w:rsid w:val="5CCA77A7"/>
    <w:rsid w:val="5D144FE0"/>
    <w:rsid w:val="60F300EC"/>
    <w:rsid w:val="61660D05"/>
    <w:rsid w:val="62D66445"/>
    <w:rsid w:val="645819B8"/>
    <w:rsid w:val="64A615C4"/>
    <w:rsid w:val="653E58DE"/>
    <w:rsid w:val="69B24CBC"/>
    <w:rsid w:val="6E905DFF"/>
    <w:rsid w:val="72AB3A67"/>
    <w:rsid w:val="737A1E06"/>
    <w:rsid w:val="74C017BE"/>
    <w:rsid w:val="74D608E3"/>
    <w:rsid w:val="74ED0CBB"/>
    <w:rsid w:val="76067B14"/>
    <w:rsid w:val="760B29C0"/>
    <w:rsid w:val="79EE022C"/>
    <w:rsid w:val="7A3C2B60"/>
    <w:rsid w:val="7DA0703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p0"/>
    <w:basedOn w:val="1"/>
    <w:qFormat/>
    <w:uiPriority w:val="0"/>
    <w:pPr>
      <w:widowControl/>
    </w:pPr>
    <w:rPr>
      <w:kern w:val="0"/>
      <w:sz w:val="20"/>
      <w:szCs w:val="21"/>
    </w:r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chart" Target="charts/chart3.xml"/><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chart" Target="charts/chart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D:\Users\njj\Desktop\&#26032;&#24314;%20XLS%20&#24037;&#20316;&#34920;%20(2).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D:\Users\njj\Desktop\&#26032;&#24314;%20XLS%20&#24037;&#20316;&#34920;%20(3).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[工作簿1]Sheet1!$D$50</c:f>
              <c:strCache>
                <c:ptCount val="1"/>
                <c:pt idx="0">
                  <c:v>本年收入决算</c:v>
                </c:pt>
              </c:strCache>
            </c:strRef>
          </c:tx>
          <c:spPr/>
          <c:explosion val="0"/>
          <c:dPt>
            <c:idx val="0"/>
            <c:bubble3D val="0"/>
            <c:spPr>
              <a:solidFill>
                <a:schemeClr val="accent1"/>
              </a:solidFill>
              <a:ln w="19050">
                <a:solidFill>
                  <a:schemeClr val="lt1"/>
                </a:solidFill>
              </a:ln>
              <a:effectLst/>
            </c:spPr>
          </c:dPt>
          <c:dLbls>
            <c:dLbl>
              <c:idx val="0"/>
              <c:layout>
                <c:manualLayout>
                  <c:x val="0.258332516739328"/>
                  <c:y val="-0.049514494672276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218.22</a:t>
                    </a:r>
                    <a:r>
                      <a:t>, </a:t>
                    </a:r>
                  </a:p>
                  <a:p>
                    <a:pPr defTabSz="914400">
                      <a:defRPr lang="zh-CN" sz="900" b="0" i="0" u="none" strike="noStrike" kern="1200" baseline="0">
                        <a:solidFill>
                          <a:schemeClr val="tx1">
                            <a:lumMod val="75000"/>
                            <a:lumOff val="25000"/>
                          </a:schemeClr>
                        </a:solidFill>
                        <a:latin typeface="+mn-lt"/>
                        <a:ea typeface="+mn-ea"/>
                        <a:cs typeface="+mn-cs"/>
                      </a:defRPr>
                    </a:pPr>
                    <a:r>
                      <a:t>100%</a:t>
                    </a:r>
                  </a:p>
                </c:rich>
              </c:tx>
              <c:dLblPos val="bestFit"/>
              <c:showLegendKey val="0"/>
              <c:showVal val="1"/>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[工作簿1]Sheet1!$E$49</c:f>
              <c:strCache>
                <c:ptCount val="1"/>
                <c:pt idx="0">
                  <c:v>财政拨款收入</c:v>
                </c:pt>
              </c:strCache>
            </c:strRef>
          </c:cat>
          <c:val>
            <c:numRef>
              <c:f>[工作簿1]Sheet1!$E$50</c:f>
              <c:numCache>
                <c:formatCode>General</c:formatCode>
                <c:ptCount val="1"/>
                <c:pt idx="0">
                  <c:v>1258.63</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本年支出决算</a:t>
            </a:r>
          </a:p>
        </c:rich>
      </c:tx>
      <c:layout/>
      <c:overlay val="0"/>
      <c:spPr>
        <a:noFill/>
        <a:ln>
          <a:noFill/>
        </a:ln>
        <a:effectLst/>
      </c:spPr>
    </c:title>
    <c:autoTitleDeleted val="0"/>
    <c:plotArea>
      <c:layout/>
      <c:pieChart>
        <c:varyColors val="1"/>
        <c:ser>
          <c:idx val="0"/>
          <c:order val="0"/>
          <c:spPr/>
          <c:explosion val="0"/>
          <c:dPt>
            <c:idx val="0"/>
            <c:bubble3D val="0"/>
            <c:spPr>
              <a:solidFill>
                <a:srgbClr val="4F81BD"/>
              </a:solidFill>
              <a:ln w="19050">
                <a:solidFill>
                  <a:srgbClr val="FFFFFF"/>
                </a:solidFill>
              </a:ln>
              <a:effectLst/>
            </c:spPr>
          </c:dPt>
          <c:dPt>
            <c:idx val="1"/>
            <c:bubble3D val="0"/>
            <c:spPr>
              <a:solidFill>
                <a:srgbClr val="C0504D"/>
              </a:solidFill>
              <a:ln w="19050">
                <a:solidFill>
                  <a:srgbClr val="FFFFFF"/>
                </a:solidFill>
              </a:ln>
              <a:effectLst/>
            </c:spPr>
          </c:dPt>
          <c:dLbls>
            <c:dLbl>
              <c:idx val="0"/>
              <c:layout>
                <c:manualLayout>
                  <c:x val="0.307826834746197"/>
                  <c:y val="-0.078299595568517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rgbClr val="404040">
                            <a:lumMod val="75000"/>
                            <a:lumOff val="25000"/>
                          </a:srgbClr>
                        </a:solidFill>
                        <a:latin typeface="+mn-lt"/>
                        <a:ea typeface="+mn-ea"/>
                        <a:cs typeface="+mn-cs"/>
                      </a:defRPr>
                    </a:pPr>
                    <a:r>
                      <a:t>210.46, </a:t>
                    </a:r>
                  </a:p>
                  <a:p>
                    <a:pPr defTabSz="914400">
                      <a:defRPr lang="zh-CN" sz="900" b="0" i="0" u="none" strike="noStrike" kern="1200" baseline="0">
                        <a:solidFill>
                          <a:srgbClr val="404040">
                            <a:lumMod val="75000"/>
                            <a:lumOff val="25000"/>
                          </a:srgbClr>
                        </a:solidFill>
                        <a:latin typeface="+mn-lt"/>
                        <a:ea typeface="+mn-ea"/>
                        <a:cs typeface="+mn-cs"/>
                      </a:defRPr>
                    </a:pPr>
                    <a:r>
                      <a:t>96</a:t>
                    </a:r>
                    <a:r>
                      <a:rPr lang="en-US" altLang="zh-CN"/>
                      <a:t>.44</a:t>
                    </a:r>
                    <a:r>
                      <a:t>%</a:t>
                    </a:r>
                  </a:p>
                </c:rich>
              </c:tx>
              <c:dLblPos val="bestFit"/>
              <c:showLegendKey val="0"/>
              <c:showVal val="1"/>
              <c:showCatName val="0"/>
              <c:showSerName val="0"/>
              <c:showPercent val="1"/>
              <c:showBubbleSize val="0"/>
              <c:extLst>
                <c:ext xmlns:c15="http://schemas.microsoft.com/office/drawing/2012/chart" uri="{CE6537A1-D6FC-4f65-9D91-7224C49458BB}">
                  <c15:layout/>
                </c:ext>
              </c:extLst>
            </c:dLbl>
            <c:dLbl>
              <c:idx val="1"/>
              <c:layout>
                <c:manualLayout>
                  <c:x val="-0.196701187786018"/>
                  <c:y val="0.092096063786893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rgbClr val="404040">
                            <a:lumMod val="75000"/>
                            <a:lumOff val="25000"/>
                          </a:srgbClr>
                        </a:solidFill>
                        <a:latin typeface="+mn-lt"/>
                        <a:ea typeface="+mn-ea"/>
                        <a:cs typeface="+mn-cs"/>
                      </a:defRPr>
                    </a:pPr>
                    <a:r>
                      <a:t>7.76, </a:t>
                    </a:r>
                  </a:p>
                  <a:p>
                    <a:pPr defTabSz="914400">
                      <a:defRPr lang="zh-CN" sz="900" b="0" i="0" u="none" strike="noStrike" kern="1200" baseline="0">
                        <a:solidFill>
                          <a:srgbClr val="404040">
                            <a:lumMod val="75000"/>
                            <a:lumOff val="25000"/>
                          </a:srgbClr>
                        </a:solidFill>
                        <a:latin typeface="+mn-lt"/>
                        <a:ea typeface="+mn-ea"/>
                        <a:cs typeface="+mn-cs"/>
                      </a:defRPr>
                    </a:pPr>
                    <a:r>
                      <a:rPr lang="en-US" altLang="zh-CN"/>
                      <a:t>3.56</a:t>
                    </a:r>
                    <a:r>
                      <a:t>%</a:t>
                    </a:r>
                  </a:p>
                </c:rich>
              </c:tx>
              <c:dLblPos val="bestFit"/>
              <c:showLegendKey val="0"/>
              <c:showVal val="1"/>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'[新建 XLS 工作表 (2).xls]Sheet1'!$G$18:$G$19</c:f>
              <c:strCache>
                <c:ptCount val="2"/>
                <c:pt idx="0">
                  <c:v>基本支出</c:v>
                </c:pt>
                <c:pt idx="1">
                  <c:v>项目支出</c:v>
                </c:pt>
              </c:strCache>
            </c:strRef>
          </c:cat>
          <c:val>
            <c:numRef>
              <c:f>'[新建 XLS 工作表 (2).xls]Sheet1'!$H$18:$H$19</c:f>
              <c:numCache>
                <c:formatCode>General</c:formatCode>
                <c:ptCount val="2"/>
                <c:pt idx="0">
                  <c:v>210.46</c:v>
                </c:pt>
                <c:pt idx="1">
                  <c:v>7.76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财政拨款支出决算结构图</a:t>
            </a:r>
          </a:p>
        </c:rich>
      </c:tx>
      <c:layout/>
      <c:overlay val="0"/>
      <c:spPr>
        <a:noFill/>
        <a:ln>
          <a:noFill/>
        </a:ln>
        <a:effectLst/>
      </c:spPr>
    </c:title>
    <c:autoTitleDeleted val="0"/>
    <c:plotArea>
      <c:layout/>
      <c:pieChart>
        <c:varyColors val="1"/>
        <c:ser>
          <c:idx val="0"/>
          <c:order val="0"/>
          <c:spPr/>
          <c:explosion val="0"/>
          <c:dPt>
            <c:idx val="0"/>
            <c:bubble3D val="0"/>
            <c:spPr>
              <a:solidFill>
                <a:srgbClr val="4F81BD"/>
              </a:solidFill>
              <a:ln w="19050">
                <a:solidFill>
                  <a:srgbClr val="FFFFFF"/>
                </a:solidFill>
              </a:ln>
              <a:effectLst/>
            </c:spPr>
          </c:dPt>
          <c:dPt>
            <c:idx val="1"/>
            <c:bubble3D val="0"/>
            <c:spPr>
              <a:solidFill>
                <a:srgbClr val="C0504D"/>
              </a:solidFill>
              <a:ln w="19050">
                <a:solidFill>
                  <a:srgbClr val="FFFFFF"/>
                </a:solidFill>
              </a:ln>
              <a:effectLst/>
            </c:spPr>
          </c:dPt>
          <c:dPt>
            <c:idx val="2"/>
            <c:bubble3D val="0"/>
            <c:spPr>
              <a:solidFill>
                <a:srgbClr val="9BBB59"/>
              </a:solidFill>
              <a:ln w="19050">
                <a:solidFill>
                  <a:srgbClr val="FFFFFF"/>
                </a:solidFill>
              </a:ln>
              <a:effectLst/>
            </c:spPr>
          </c:dPt>
          <c:dPt>
            <c:idx val="3"/>
            <c:bubble3D val="0"/>
            <c:spPr>
              <a:solidFill>
                <a:srgbClr val="8064A2"/>
              </a:solidFill>
              <a:ln w="19050">
                <a:solidFill>
                  <a:srgbClr val="FFFFFF"/>
                </a:solidFill>
              </a:ln>
              <a:effectLst/>
            </c:spPr>
          </c:dPt>
          <c:dLbls>
            <c:dLbl>
              <c:idx val="0"/>
              <c:layout>
                <c:manualLayout>
                  <c:x val="0.00337893095648511"/>
                  <c:y val="-0.01243296576704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rgbClr val="404040">
                            <a:lumMod val="75000"/>
                            <a:lumOff val="25000"/>
                          </a:srgbClr>
                        </a:solidFill>
                        <a:latin typeface="+mn-lt"/>
                        <a:ea typeface="+mn-ea"/>
                        <a:cs typeface="+mn-cs"/>
                      </a:defRPr>
                    </a:pPr>
                    <a:r>
                      <a:t>8.49, </a:t>
                    </a:r>
                    <a:r>
                      <a:rPr lang="en-US" altLang="zh-CN"/>
                      <a:t>3.89</a:t>
                    </a:r>
                    <a:r>
                      <a:t>%</a:t>
                    </a:r>
                  </a:p>
                </c:rich>
              </c:tx>
              <c:dLblPos val="bestFit"/>
              <c:showLegendKey val="0"/>
              <c:showVal val="1"/>
              <c:showCatName val="0"/>
              <c:showSerName val="0"/>
              <c:showPercent val="1"/>
              <c:showBubbleSize val="0"/>
              <c:extLst>
                <c:ext xmlns:c15="http://schemas.microsoft.com/office/drawing/2012/chart" uri="{CE6537A1-D6FC-4f65-9D91-7224C49458BB}">
                  <c15:layout/>
                </c:ext>
              </c:extLst>
            </c:dLbl>
            <c:dLbl>
              <c:idx val="1"/>
              <c:layout>
                <c:manualLayout>
                  <c:x val="0.17754082935714"/>
                  <c:y val="-0.0033839186659315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rgbClr val="404040">
                            <a:lumMod val="75000"/>
                            <a:lumOff val="25000"/>
                          </a:srgbClr>
                        </a:solidFill>
                        <a:latin typeface="+mn-lt"/>
                        <a:ea typeface="+mn-ea"/>
                        <a:cs typeface="+mn-cs"/>
                      </a:defRPr>
                    </a:pPr>
                    <a:r>
                      <a:t>4.7, 2</a:t>
                    </a:r>
                    <a:r>
                      <a:rPr lang="en-US" altLang="zh-CN"/>
                      <a:t>.15</a:t>
                    </a:r>
                    <a:r>
                      <a:t>%</a:t>
                    </a:r>
                  </a:p>
                </c:rich>
              </c:tx>
              <c:dLblPos val="bestFit"/>
              <c:showLegendKey val="0"/>
              <c:showVal val="1"/>
              <c:showCatName val="0"/>
              <c:showSerName val="0"/>
              <c:showPercent val="1"/>
              <c:showBubbleSize val="0"/>
              <c:extLst>
                <c:ext xmlns:c15="http://schemas.microsoft.com/office/drawing/2012/chart" uri="{CE6537A1-D6FC-4f65-9D91-7224C49458BB}">
                  <c15:layout/>
                </c:ext>
              </c:extLst>
            </c:dLbl>
            <c:dLbl>
              <c:idx val="2"/>
              <c:layout>
                <c:manualLayout>
                  <c:x val="-0.24288844300482"/>
                  <c:y val="-0.062819962480361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rgbClr val="404040">
                            <a:lumMod val="75000"/>
                            <a:lumOff val="25000"/>
                          </a:srgbClr>
                        </a:solidFill>
                        <a:latin typeface="+mn-lt"/>
                        <a:ea typeface="+mn-ea"/>
                        <a:cs typeface="+mn-cs"/>
                      </a:defRPr>
                    </a:pPr>
                    <a:r>
                      <a:t>198.22, 9</a:t>
                    </a:r>
                    <a:r>
                      <a:rPr lang="en-US" altLang="zh-CN"/>
                      <a:t>0.83</a:t>
                    </a:r>
                    <a:r>
                      <a:t>%</a:t>
                    </a:r>
                  </a:p>
                </c:rich>
              </c:tx>
              <c:dLblPos val="bestFit"/>
              <c:showLegendKey val="0"/>
              <c:showVal val="1"/>
              <c:showCatName val="0"/>
              <c:showSerName val="0"/>
              <c:showPercent val="1"/>
              <c:showBubbleSize val="0"/>
              <c:extLst>
                <c:ext xmlns:c15="http://schemas.microsoft.com/office/drawing/2012/chart" uri="{CE6537A1-D6FC-4f65-9D91-7224C49458BB}">
                  <c15:layout/>
                </c:ext>
              </c:extLst>
            </c:dLbl>
            <c:dLbl>
              <c:idx val="3"/>
              <c:layout>
                <c:manualLayout>
                  <c:x val="-0.135310073758171"/>
                  <c:y val="-0.0054817856874067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rgbClr val="404040">
                            <a:lumMod val="75000"/>
                            <a:lumOff val="25000"/>
                          </a:srgbClr>
                        </a:solidFill>
                        <a:latin typeface="+mn-lt"/>
                        <a:ea typeface="+mn-ea"/>
                        <a:cs typeface="+mn-cs"/>
                      </a:defRPr>
                    </a:pPr>
                    <a:r>
                      <a:t>6.81, 3</a:t>
                    </a:r>
                    <a:r>
                      <a:rPr lang="en-US" altLang="zh-CN"/>
                      <a:t>.13</a:t>
                    </a:r>
                    <a:r>
                      <a:t>%</a:t>
                    </a:r>
                  </a:p>
                </c:rich>
              </c:tx>
              <c:dLblPos val="bestFit"/>
              <c:showLegendKey val="0"/>
              <c:showVal val="1"/>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'[新建 XLS 工作表 (3).xls]Sheet1'!$G$11:$G$14</c:f>
              <c:strCache>
                <c:ptCount val="4"/>
                <c:pt idx="0">
                  <c:v>社会保障和就业（类）支出</c:v>
                </c:pt>
                <c:pt idx="1">
                  <c:v>卫生健康（类）支出</c:v>
                </c:pt>
                <c:pt idx="2">
                  <c:v>农林水（类）支出</c:v>
                </c:pt>
                <c:pt idx="3">
                  <c:v>住房保障（类）支出</c:v>
                </c:pt>
              </c:strCache>
            </c:strRef>
          </c:cat>
          <c:val>
            <c:numRef>
              <c:f>'[新建 XLS 工作表 (3).xls]Sheet1'!$H$11:$H$14</c:f>
              <c:numCache>
                <c:formatCode>General</c:formatCode>
                <c:ptCount val="4"/>
                <c:pt idx="0">
                  <c:v>8.49</c:v>
                </c:pt>
                <c:pt idx="1">
                  <c:v>4.7</c:v>
                </c:pt>
                <c:pt idx="2">
                  <c:v>198.22</c:v>
                </c:pt>
                <c:pt idx="3">
                  <c:v>6.81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9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spPr>
      <a:ln w="19050">
        <a:solidFill>
          <a:srgbClr val="FFFFFF"/>
        </a:solidFill>
      </a:ln>
    </cs:spPr>
  </cs:dataPoint>
  <cs:dataPoint3D>
    <cs:lnRef idx="0"/>
    <cs:fillRef idx="1">
      <cs:styleClr val="auto"/>
    </cs:fillRef>
    <cs:effectRef idx="0"/>
    <cs:fontRef idx="minor">
      <a:srgbClr val="000000"/>
    </cs:fontRef>
    <cs:spPr>
      <a:ln w="25400">
        <a:solidFill>
          <a:srgbClr val="FFFFFF"/>
        </a:solidFill>
      </a:ln>
    </cs:spPr>
  </cs:dataPoint3D>
  <cs:dataPointLine>
    <cs:lnRef idx="0">
      <cs:styleClr val="auto"/>
    </cs:lnRef>
    <cs:fillRef idx="0"/>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0"/>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404040">
          <a:lumMod val="75000"/>
          <a:lumOff val="25000"/>
        </a:srgbClr>
      </a:solidFill>
      <a:ln w="9525" cap="flat" cmpd="sng" algn="ctr">
        <a:solidFill>
          <a:srgbClr val="595959">
            <a:lumMod val="65000"/>
            <a:lumOff val="35000"/>
          </a:srgbClr>
        </a:solidFill>
        <a:round/>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808080">
            <a:lumMod val="50000"/>
            <a:lumOff val="50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cap="flat" cmpd="sng" algn="ctr">
        <a:solidFill>
          <a:srgbClr val="595959">
            <a:lumMod val="65000"/>
            <a:lumOff val="35000"/>
          </a:srgbClr>
        </a:solidFill>
        <a:round/>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9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spPr>
      <a:ln w="19050">
        <a:solidFill>
          <a:srgbClr val="FFFFFF"/>
        </a:solidFill>
      </a:ln>
    </cs:spPr>
  </cs:dataPoint>
  <cs:dataPoint3D>
    <cs:lnRef idx="0"/>
    <cs:fillRef idx="1">
      <cs:styleClr val="auto"/>
    </cs:fillRef>
    <cs:effectRef idx="0"/>
    <cs:fontRef idx="minor">
      <a:srgbClr val="000000"/>
    </cs:fontRef>
    <cs:spPr>
      <a:ln w="25400">
        <a:solidFill>
          <a:srgbClr val="FFFFFF"/>
        </a:solidFill>
      </a:ln>
    </cs:spPr>
  </cs:dataPoint3D>
  <cs:dataPointLine>
    <cs:lnRef idx="0">
      <cs:styleClr val="auto"/>
    </cs:lnRef>
    <cs:fillRef idx="0"/>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0"/>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404040">
          <a:lumMod val="75000"/>
          <a:lumOff val="25000"/>
        </a:srgbClr>
      </a:solidFill>
      <a:ln w="9525" cap="flat" cmpd="sng" algn="ctr">
        <a:solidFill>
          <a:srgbClr val="595959">
            <a:lumMod val="65000"/>
            <a:lumOff val="35000"/>
          </a:srgbClr>
        </a:solidFill>
        <a:round/>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808080">
            <a:lumMod val="50000"/>
            <a:lumOff val="50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cap="flat" cmpd="sng" algn="ctr">
        <a:solidFill>
          <a:srgbClr val="595959">
            <a:lumMod val="65000"/>
            <a:lumOff val="35000"/>
          </a:srgbClr>
        </a:solidFill>
        <a:round/>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41</Pages>
  <Words>2564</Words>
  <Characters>14615</Characters>
  <Lines>121</Lines>
  <Paragraphs>34</Paragraphs>
  <TotalTime>0</TotalTime>
  <ScaleCrop>false</ScaleCrop>
  <LinksUpToDate>false</LinksUpToDate>
  <CharactersWithSpaces>17145</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2020-09-04T06:15:00Z</dcterms:created>
  <dc:creator>王丽靖</dc:creator>
  <cp:lastModifiedBy>Administrator</cp:lastModifiedBy>
  <cp:lastPrinted>2021-04-17T09:07:00Z</cp:lastPrinted>
  <dcterms:modified xsi:type="dcterms:W3CDTF">2021-04-22T08:57:00Z</dcterms:modified>
  <dc:title>2019年度</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418BF7EEFCAD4D97A6C1CC6DF53D9B80</vt:lpwstr>
  </property>
</Properties>
</file>