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851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5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448" w:hRule="atLeast"/>
        </w:trPr>
        <w:tc>
          <w:tcPr>
            <w:tcW w:w="8516" w:type="dxa"/>
            <w:noWrap w:val="0"/>
            <w:vAlign w:val="top"/>
          </w:tcPr>
          <w:p>
            <w:pPr>
              <w:keepNext w:val="0"/>
              <w:keepLines w:val="0"/>
              <w:pageBreakBefore w:val="0"/>
              <w:widowControl/>
              <w:kinsoku w:val="0"/>
              <w:wordWrap/>
              <w:overflowPunct/>
              <w:topLinePunct w:val="0"/>
              <w:autoSpaceDE w:val="0"/>
              <w:autoSpaceDN w:val="0"/>
              <w:bidi w:val="0"/>
              <w:adjustRightInd w:val="0"/>
              <w:snapToGrid w:val="0"/>
              <w:spacing w:line="400" w:lineRule="exact"/>
              <w:textAlignment w:val="baseline"/>
              <w:rPr>
                <w:rFonts w:ascii="仿宋_GB2312" w:eastAsia="仿宋_GB2312"/>
                <w:sz w:val="28"/>
                <w:szCs w:val="28"/>
              </w:rPr>
            </w:pPr>
            <w:r>
              <w:rPr>
                <w:rFonts w:hint="eastAsia" w:ascii="仿宋_GB2312" w:eastAsia="仿宋_GB2312"/>
                <w:sz w:val="28"/>
                <w:szCs w:val="28"/>
                <w:lang w:eastAsia="zh-CN"/>
              </w:rPr>
              <w:t>区</w:t>
            </w:r>
            <w:r>
              <w:rPr>
                <w:rFonts w:hint="eastAsia" w:ascii="仿宋_GB2312" w:eastAsia="仿宋_GB2312"/>
                <w:sz w:val="28"/>
                <w:szCs w:val="28"/>
              </w:rPr>
              <w:t>级</w:t>
            </w:r>
            <w:r>
              <w:rPr>
                <w:rFonts w:hint="eastAsia" w:ascii="仿宋_GB2312" w:eastAsia="仿宋_GB2312"/>
                <w:sz w:val="28"/>
                <w:szCs w:val="28"/>
                <w:lang w:eastAsia="zh-CN"/>
              </w:rPr>
              <w:t>生态环境</w:t>
            </w:r>
            <w:r>
              <w:rPr>
                <w:rFonts w:hint="eastAsia" w:ascii="仿宋_GB2312" w:eastAsia="仿宋_GB2312"/>
                <w:sz w:val="28"/>
                <w:szCs w:val="28"/>
              </w:rPr>
              <w:t>部门审批意见</w:t>
            </w:r>
          </w:p>
          <w:p>
            <w:pPr>
              <w:keepNext w:val="0"/>
              <w:keepLines w:val="0"/>
              <w:pageBreakBefore w:val="0"/>
              <w:widowControl/>
              <w:kinsoku w:val="0"/>
              <w:wordWrap/>
              <w:overflowPunct/>
              <w:topLinePunct w:val="0"/>
              <w:autoSpaceDE w:val="0"/>
              <w:autoSpaceDN w:val="0"/>
              <w:bidi w:val="0"/>
              <w:adjustRightInd w:val="0"/>
              <w:snapToGrid w:val="0"/>
              <w:spacing w:line="400" w:lineRule="exact"/>
              <w:textAlignment w:val="baseline"/>
              <w:rPr>
                <w:rFonts w:ascii="仿宋_GB2312" w:eastAsia="仿宋_GB2312"/>
                <w:sz w:val="28"/>
                <w:szCs w:val="28"/>
              </w:rPr>
            </w:pPr>
            <w:r>
              <w:rPr>
                <w:rFonts w:hint="eastAsia" w:ascii="仿宋_GB2312" w:eastAsia="仿宋_GB2312"/>
                <w:sz w:val="28"/>
                <w:szCs w:val="28"/>
              </w:rPr>
              <w:t xml:space="preserve">                                    </w:t>
            </w:r>
            <w:bookmarkStart w:id="2" w:name="_GoBack"/>
            <w:bookmarkStart w:id="0" w:name="OLE_LINK1"/>
            <w:bookmarkStart w:id="1" w:name="OLE_LINK2"/>
            <w:r>
              <w:rPr>
                <w:rFonts w:hint="eastAsia" w:ascii="仿宋_GB2312" w:eastAsia="仿宋_GB2312"/>
                <w:sz w:val="28"/>
                <w:szCs w:val="28"/>
              </w:rPr>
              <w:t>威</w:t>
            </w:r>
            <w:r>
              <w:rPr>
                <w:rFonts w:hint="eastAsia" w:ascii="仿宋_GB2312" w:eastAsia="仿宋_GB2312"/>
                <w:sz w:val="28"/>
                <w:szCs w:val="28"/>
                <w:lang w:eastAsia="zh-CN"/>
              </w:rPr>
              <w:t>文</w:t>
            </w:r>
            <w:r>
              <w:rPr>
                <w:rFonts w:hint="eastAsia" w:ascii="仿宋_GB2312" w:eastAsia="仿宋_GB2312"/>
                <w:sz w:val="28"/>
                <w:szCs w:val="28"/>
              </w:rPr>
              <w:t>环辐审表〔20</w:t>
            </w:r>
            <w:r>
              <w:rPr>
                <w:rFonts w:hint="eastAsia" w:ascii="仿宋_GB2312" w:eastAsia="仿宋_GB2312"/>
                <w:sz w:val="28"/>
                <w:szCs w:val="28"/>
                <w:lang w:val="en-US" w:eastAsia="zh-CN"/>
              </w:rPr>
              <w:t>26</w:t>
            </w:r>
            <w:r>
              <w:rPr>
                <w:rFonts w:hint="eastAsia" w:ascii="仿宋_GB2312" w:eastAsia="仿宋_GB2312"/>
                <w:sz w:val="28"/>
                <w:szCs w:val="28"/>
              </w:rPr>
              <w:t>〕</w:t>
            </w:r>
            <w:r>
              <w:rPr>
                <w:rFonts w:hint="eastAsia" w:ascii="仿宋_GB2312" w:eastAsia="仿宋_GB2312"/>
                <w:sz w:val="28"/>
                <w:szCs w:val="28"/>
                <w:lang w:val="en-US" w:eastAsia="zh-CN"/>
              </w:rPr>
              <w:t>1</w:t>
            </w:r>
            <w:r>
              <w:rPr>
                <w:rFonts w:hint="eastAsia" w:ascii="仿宋_GB2312" w:eastAsia="仿宋_GB2312"/>
                <w:sz w:val="28"/>
                <w:szCs w:val="28"/>
              </w:rPr>
              <w:t>号</w:t>
            </w:r>
            <w:bookmarkEnd w:id="0"/>
            <w:bookmarkEnd w:id="1"/>
          </w:p>
          <w:bookmarkEnd w:id="2"/>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经研究，对国网山东省电力公司威海供电公司《山东威海文登西郊110千伏变电站改造工程</w:t>
            </w:r>
            <w:r>
              <w:rPr>
                <w:rFonts w:hint="eastAsia" w:ascii="仿宋_GB2312" w:hAnsi="Times New Roman" w:eastAsia="仿宋_GB2312" w:cs="Times New Roman"/>
                <w:sz w:val="28"/>
                <w:szCs w:val="28"/>
                <w:lang w:val="en-US" w:eastAsia="zh-CN"/>
              </w:rPr>
              <w:t>》提出审批意见如下：</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ascii="仿宋_GB2312" w:eastAsia="仿宋_GB2312"/>
                <w:sz w:val="28"/>
                <w:szCs w:val="28"/>
              </w:rPr>
            </w:pPr>
            <w:r>
              <w:rPr>
                <w:rFonts w:hint="eastAsia" w:ascii="仿宋_GB2312" w:eastAsia="仿宋_GB2312"/>
                <w:sz w:val="28"/>
                <w:szCs w:val="28"/>
              </w:rPr>
              <w:t xml:space="preserve">一、项目主要内容 </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威海文登西郊110千伏变电站改造项目位于山东省威海市文登区环山街道文山路与宅库路交叉路口向西580米，工程建设内容为：新建变电站（主变容量3×63MVA，利旧原站1#、2#主变，</w:t>
            </w:r>
            <w:r>
              <w:rPr>
                <w:rFonts w:hint="default" w:ascii="仿宋_GB2312" w:hAnsi="Times New Roman" w:eastAsia="仿宋_GB2312" w:cs="Times New Roman"/>
                <w:sz w:val="28"/>
                <w:szCs w:val="28"/>
                <w:lang w:val="en-US" w:eastAsia="zh-CN"/>
              </w:rPr>
              <w:t>同时新上1台63MVA，主变户外，110kV配电装置户内GIS布置。</w:t>
            </w:r>
            <w:r>
              <w:rPr>
                <w:rFonts w:hint="eastAsia" w:ascii="仿宋_GB2312" w:hAnsi="Times New Roman" w:eastAsia="仿宋_GB2312" w:cs="Times New Roman"/>
                <w:sz w:val="28"/>
                <w:szCs w:val="28"/>
                <w:lang w:val="en-US" w:eastAsia="zh-CN"/>
              </w:rPr>
              <w:t>配套建设相关配电及无功补偿设施）；新建110kV线路0.47km及杆塔6基，</w:t>
            </w:r>
            <w:r>
              <w:rPr>
                <w:rFonts w:hint="default" w:ascii="仿宋_GB2312" w:hAnsi="Times New Roman" w:eastAsia="仿宋_GB2312" w:cs="Times New Roman"/>
                <w:sz w:val="28"/>
                <w:szCs w:val="28"/>
                <w:lang w:val="en-US" w:eastAsia="zh-CN"/>
              </w:rPr>
              <w:t>其中</w:t>
            </w:r>
            <w:r>
              <w:rPr>
                <w:rFonts w:hint="default" w:ascii="仿宋_GB2312" w:hAnsi="Times New Roman" w:eastAsia="仿宋_GB2312" w:cs="Times New Roman"/>
                <w:sz w:val="28"/>
                <w:szCs w:val="28"/>
                <w:lang w:val="en-US" w:eastAsia="zh"/>
              </w:rPr>
              <w:t>单回架空路径0.265km，双回架空路径0.085</w:t>
            </w:r>
            <w:r>
              <w:rPr>
                <w:rFonts w:hint="eastAsia" w:ascii="仿宋_GB2312" w:hAnsi="Times New Roman" w:eastAsia="仿宋_GB2312" w:cs="Times New Roman"/>
                <w:sz w:val="28"/>
                <w:szCs w:val="28"/>
                <w:lang w:val="en-US" w:eastAsia="zh-CN"/>
              </w:rPr>
              <w:t>k</w:t>
            </w:r>
            <w:r>
              <w:rPr>
                <w:rFonts w:hint="default" w:ascii="仿宋_GB2312" w:hAnsi="Times New Roman" w:eastAsia="仿宋_GB2312" w:cs="Times New Roman"/>
                <w:sz w:val="28"/>
                <w:szCs w:val="28"/>
                <w:lang w:val="en-US" w:eastAsia="zh"/>
              </w:rPr>
              <w:t>m，单回电缆线路0.12km</w:t>
            </w:r>
            <w:r>
              <w:rPr>
                <w:rFonts w:hint="eastAsia" w:ascii="仿宋_GB2312" w:hAnsi="Times New Roman" w:eastAsia="仿宋_GB2312" w:cs="Times New Roman"/>
                <w:sz w:val="28"/>
                <w:szCs w:val="28"/>
                <w:lang w:val="en-US" w:eastAsia="zh-CN"/>
              </w:rPr>
              <w:t>；保留原站南侧建筑物，拆除原站其余设施及部分老旧线路；建设市政供水、消防水池、事故油池、雨污分流等配套公用及环保工程。</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根据《产业结构调整指导目录（2024年本）》、威海市“三线一单”的相关要求，专家意见及现场审查意见等材料，该项目符合国家产业政策，选线符合规划要求，可以满足国家环境保护相关法规和标准的要求。因此，我分局同意按照环境影响报告表中提出的性质、规模、地点、推荐的路径以及环境保护措施进行工程建设。</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二、项目建设及运行中应重点做好的工作</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一）加强施工期环境保护，采取各项污染防治措施。做好扬尘污染防治，减轻施工噪声影响。施工期产生废水妥善处理，不得外排。建筑垃圾、生活垃圾妥善处置，及时清运。尽量选择荒地、灌草地等作为临时施工场地，减少对林地、耕地等植被丰富区域的占用。对施工临时占地，在施工结束后应及时进行生态恢复，包括土地平整、表土回填、植被种植等，使其恢复原有土地功能。</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（二）</w:t>
            </w:r>
            <w:r>
              <w:rPr>
                <w:rFonts w:hint="default" w:ascii="仿宋_GB2312" w:hAnsi="Times New Roman" w:eastAsia="仿宋_GB2312" w:cs="Times New Roman"/>
                <w:sz w:val="28"/>
                <w:szCs w:val="28"/>
                <w:lang w:val="en-US" w:eastAsia="zh-CN"/>
              </w:rPr>
              <w:t>变电站周围的工频电场强度、工频磁感应强度现状检测值均满足《电磁环境控制限值》</w:t>
            </w:r>
            <w:r>
              <w:rPr>
                <w:rFonts w:hint="eastAsia" w:ascii="仿宋_GB2312" w:hAnsi="Times New Roman" w:eastAsia="仿宋_GB2312" w:cs="Times New Roman"/>
                <w:sz w:val="28"/>
                <w:szCs w:val="28"/>
                <w:lang w:val="en-US" w:eastAsia="zh-CN"/>
              </w:rPr>
              <w:t>（</w:t>
            </w:r>
            <w:r>
              <w:rPr>
                <w:rFonts w:hint="default" w:ascii="仿宋_GB2312" w:hAnsi="Times New Roman" w:eastAsia="仿宋_GB2312" w:cs="Times New Roman"/>
                <w:sz w:val="28"/>
                <w:szCs w:val="28"/>
                <w:lang w:val="en-US" w:eastAsia="zh-CN"/>
              </w:rPr>
              <w:t>GB8702-2014</w:t>
            </w:r>
            <w:r>
              <w:rPr>
                <w:rFonts w:hint="eastAsia" w:ascii="仿宋_GB2312" w:hAnsi="Times New Roman" w:eastAsia="仿宋_GB2312" w:cs="Times New Roman"/>
                <w:sz w:val="28"/>
                <w:szCs w:val="28"/>
                <w:lang w:val="en-US" w:eastAsia="zh-CN"/>
              </w:rPr>
              <w:t>）</w:t>
            </w:r>
            <w:r>
              <w:rPr>
                <w:rFonts w:hint="default" w:ascii="仿宋_GB2312" w:hAnsi="Times New Roman" w:eastAsia="仿宋_GB2312" w:cs="Times New Roman"/>
                <w:sz w:val="28"/>
                <w:szCs w:val="28"/>
                <w:lang w:val="en-US" w:eastAsia="zh-CN"/>
              </w:rPr>
              <w:t>中的限值要求</w:t>
            </w:r>
            <w:r>
              <w:rPr>
                <w:rFonts w:hint="eastAsia" w:ascii="仿宋_GB2312" w:hAnsi="Times New Roman" w:eastAsia="仿宋_GB2312" w:cs="Times New Roman"/>
                <w:sz w:val="28"/>
                <w:szCs w:val="28"/>
                <w:lang w:val="en-US" w:eastAsia="zh-CN"/>
              </w:rPr>
              <w:t>。</w:t>
            </w:r>
            <w:r>
              <w:rPr>
                <w:rFonts w:hint="default" w:ascii="仿宋_GB2312" w:hAnsi="Times New Roman" w:eastAsia="仿宋_GB2312" w:cs="Times New Roman"/>
                <w:sz w:val="28"/>
                <w:szCs w:val="28"/>
                <w:lang w:val="en-US" w:eastAsia="zh-CN"/>
              </w:rPr>
              <w:t>110kV</w:t>
            </w:r>
            <w:r>
              <w:rPr>
                <w:rFonts w:hint="eastAsia" w:ascii="仿宋_GB2312" w:hAnsi="Times New Roman" w:eastAsia="仿宋_GB2312" w:cs="Times New Roman"/>
                <w:sz w:val="28"/>
                <w:szCs w:val="28"/>
                <w:lang w:val="en-US" w:eastAsia="zh-CN"/>
              </w:rPr>
              <w:t>架空</w:t>
            </w:r>
            <w:r>
              <w:rPr>
                <w:rFonts w:hint="default" w:ascii="仿宋_GB2312" w:hAnsi="Times New Roman" w:eastAsia="仿宋_GB2312" w:cs="Times New Roman"/>
                <w:sz w:val="28"/>
                <w:szCs w:val="28"/>
                <w:lang w:val="en-US" w:eastAsia="zh-CN"/>
              </w:rPr>
              <w:t>线路运行后，产生的工频电场强度和工频磁感应强度均满足《电磁环境控制限值》（GB8702-2014）的标准要求。</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（三）</w:t>
            </w:r>
            <w:r>
              <w:rPr>
                <w:rFonts w:hint="default" w:ascii="仿宋_GB2312" w:hAnsi="Times New Roman" w:eastAsia="仿宋_GB2312" w:cs="Times New Roman"/>
                <w:sz w:val="28"/>
                <w:szCs w:val="28"/>
                <w:lang w:val="en-US" w:eastAsia="zh-CN"/>
              </w:rPr>
              <w:t>变电站厂界噪声环境满足《</w:t>
            </w:r>
            <w:r>
              <w:rPr>
                <w:rFonts w:hint="eastAsia" w:ascii="仿宋_GB2312" w:hAnsi="Times New Roman" w:eastAsia="仿宋_GB2312" w:cs="Times New Roman"/>
                <w:sz w:val="28"/>
                <w:szCs w:val="28"/>
                <w:lang w:val="en-US" w:eastAsia="zh-CN"/>
              </w:rPr>
              <w:t>声环境质量标准</w:t>
            </w:r>
            <w:r>
              <w:rPr>
                <w:rFonts w:hint="default" w:ascii="仿宋_GB2312" w:hAnsi="Times New Roman" w:eastAsia="仿宋_GB2312" w:cs="Times New Roman"/>
                <w:sz w:val="28"/>
                <w:szCs w:val="28"/>
                <w:lang w:val="en-US" w:eastAsia="zh-CN"/>
              </w:rPr>
              <w:t>》（GB</w:t>
            </w:r>
            <w:r>
              <w:rPr>
                <w:rFonts w:hint="eastAsia" w:ascii="仿宋_GB2312" w:hAnsi="Times New Roman" w:eastAsia="仿宋_GB2312" w:cs="Times New Roman"/>
                <w:sz w:val="28"/>
                <w:szCs w:val="28"/>
                <w:lang w:val="en-US" w:eastAsia="zh-CN"/>
              </w:rPr>
              <w:t>3096</w:t>
            </w:r>
            <w:r>
              <w:rPr>
                <w:rFonts w:hint="default" w:ascii="仿宋_GB2312" w:hAnsi="Times New Roman" w:eastAsia="仿宋_GB2312" w:cs="Times New Roman"/>
                <w:sz w:val="28"/>
                <w:szCs w:val="28"/>
                <w:lang w:val="en-US" w:eastAsia="zh-CN"/>
              </w:rPr>
              <w:t>-2008）中的2类标准要求</w:t>
            </w:r>
            <w:r>
              <w:rPr>
                <w:rFonts w:hint="eastAsia" w:ascii="仿宋_GB2312" w:hAnsi="Times New Roman" w:eastAsia="仿宋_GB2312" w:cs="Times New Roman"/>
                <w:sz w:val="28"/>
                <w:szCs w:val="28"/>
                <w:lang w:val="en-US" w:eastAsia="zh-CN"/>
              </w:rPr>
              <w:t>；架空输电线路路径空地处满足</w:t>
            </w:r>
            <w:r>
              <w:rPr>
                <w:rFonts w:hint="default" w:ascii="仿宋_GB2312" w:hAnsi="Times New Roman" w:eastAsia="仿宋_GB2312" w:cs="Times New Roman"/>
                <w:sz w:val="28"/>
                <w:szCs w:val="28"/>
                <w:lang w:val="en-US" w:eastAsia="zh-CN"/>
              </w:rPr>
              <w:t>《</w:t>
            </w:r>
            <w:r>
              <w:rPr>
                <w:rFonts w:hint="eastAsia" w:ascii="仿宋_GB2312" w:hAnsi="Times New Roman" w:eastAsia="仿宋_GB2312" w:cs="Times New Roman"/>
                <w:sz w:val="28"/>
                <w:szCs w:val="28"/>
                <w:lang w:val="en-US" w:eastAsia="zh-CN"/>
              </w:rPr>
              <w:t>声环境质量标准</w:t>
            </w:r>
            <w:r>
              <w:rPr>
                <w:rFonts w:hint="default" w:ascii="仿宋_GB2312" w:hAnsi="Times New Roman" w:eastAsia="仿宋_GB2312" w:cs="Times New Roman"/>
                <w:sz w:val="28"/>
                <w:szCs w:val="28"/>
                <w:lang w:val="en-US" w:eastAsia="zh-CN"/>
              </w:rPr>
              <w:t>》（GB</w:t>
            </w:r>
            <w:r>
              <w:rPr>
                <w:rFonts w:hint="eastAsia" w:ascii="仿宋_GB2312" w:hAnsi="Times New Roman" w:eastAsia="仿宋_GB2312" w:cs="Times New Roman"/>
                <w:sz w:val="28"/>
                <w:szCs w:val="28"/>
                <w:lang w:val="en-US" w:eastAsia="zh-CN"/>
              </w:rPr>
              <w:t>3096</w:t>
            </w:r>
            <w:r>
              <w:rPr>
                <w:rFonts w:hint="default" w:ascii="仿宋_GB2312" w:hAnsi="Times New Roman" w:eastAsia="仿宋_GB2312" w:cs="Times New Roman"/>
                <w:sz w:val="28"/>
                <w:szCs w:val="28"/>
                <w:lang w:val="en-US" w:eastAsia="zh-CN"/>
              </w:rPr>
              <w:t>-2008）中的2类标准要求</w:t>
            </w:r>
            <w:r>
              <w:rPr>
                <w:rFonts w:hint="eastAsia" w:ascii="仿宋_GB2312" w:hAnsi="Times New Roman" w:eastAsia="仿宋_GB2312" w:cs="Times New Roman"/>
                <w:sz w:val="28"/>
                <w:szCs w:val="28"/>
                <w:lang w:val="en-US" w:eastAsia="zh-CN"/>
              </w:rPr>
              <w:t>；环境敏感目标处声环境满足</w:t>
            </w:r>
            <w:r>
              <w:rPr>
                <w:rFonts w:hint="default" w:ascii="仿宋_GB2312" w:hAnsi="Times New Roman" w:eastAsia="仿宋_GB2312" w:cs="Times New Roman"/>
                <w:sz w:val="28"/>
                <w:szCs w:val="28"/>
                <w:lang w:val="en-US" w:eastAsia="zh-CN"/>
              </w:rPr>
              <w:t>《</w:t>
            </w:r>
            <w:r>
              <w:rPr>
                <w:rFonts w:hint="eastAsia" w:ascii="仿宋_GB2312" w:hAnsi="Times New Roman" w:eastAsia="仿宋_GB2312" w:cs="Times New Roman"/>
                <w:sz w:val="28"/>
                <w:szCs w:val="28"/>
                <w:lang w:val="en-US" w:eastAsia="zh-CN"/>
              </w:rPr>
              <w:t>声环境质量标准</w:t>
            </w:r>
            <w:r>
              <w:rPr>
                <w:rFonts w:hint="default" w:ascii="仿宋_GB2312" w:hAnsi="Times New Roman" w:eastAsia="仿宋_GB2312" w:cs="Times New Roman"/>
                <w:sz w:val="28"/>
                <w:szCs w:val="28"/>
                <w:lang w:val="en-US" w:eastAsia="zh-CN"/>
              </w:rPr>
              <w:t>》（GB</w:t>
            </w:r>
            <w:r>
              <w:rPr>
                <w:rFonts w:hint="eastAsia" w:ascii="仿宋_GB2312" w:hAnsi="Times New Roman" w:eastAsia="仿宋_GB2312" w:cs="Times New Roman"/>
                <w:sz w:val="28"/>
                <w:szCs w:val="28"/>
                <w:lang w:val="en-US" w:eastAsia="zh-CN"/>
              </w:rPr>
              <w:t>3096</w:t>
            </w:r>
            <w:r>
              <w:rPr>
                <w:rFonts w:hint="default" w:ascii="仿宋_GB2312" w:hAnsi="Times New Roman" w:eastAsia="仿宋_GB2312" w:cs="Times New Roman"/>
                <w:sz w:val="28"/>
                <w:szCs w:val="28"/>
                <w:lang w:val="en-US" w:eastAsia="zh-CN"/>
              </w:rPr>
              <w:t>-2008）</w:t>
            </w:r>
            <w:r>
              <w:rPr>
                <w:rFonts w:hint="eastAsia" w:ascii="仿宋_GB2312" w:hAnsi="Times New Roman" w:eastAsia="仿宋_GB2312" w:cs="Times New Roman"/>
                <w:sz w:val="28"/>
                <w:szCs w:val="28"/>
                <w:lang w:val="en-US" w:eastAsia="zh-CN"/>
              </w:rPr>
              <w:t>的4a类标准要求。</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（四）加强公众沟通和科普宣传，及时解决公众提出的合理环境诉求，及时公开项目建设与环境保护信息，主动接受社会监督，妥善化解周边群众关于电磁辐射等相关疑虑。</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三、项目建设必须严格执行环境保护设施与主体工程同时设计、同时施工、同时投产使用的环境保护“三同时”制度，落实各项环境保护措施。项目竣工后，按照规定的标准和程序，对配套建设的环境保护设施进行验收，编制验收报告，除按照国家要求规定需要保密的情形外，你单位应当依法向社会公开验收报告。</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四、若该项目的性质、规模、地点或生态保护、污染防治措施发生重大变动的，你单位应当按要求重新报批环境影响评价文件；发生一般变动的，应该按要求备案。若环评文件自批复之日起超过五年，方决定该项目开工建设，你单位应当将环境影响评价文件报我分局重新审核。</w:t>
            </w:r>
          </w:p>
          <w:p>
            <w:pPr>
              <w:keepNext w:val="0"/>
              <w:keepLines w:val="0"/>
              <w:pageBreakBefore w:val="0"/>
              <w:widowControl/>
              <w:kinsoku w:val="0"/>
              <w:wordWrap/>
              <w:overflowPunct/>
              <w:topLinePunct w:val="0"/>
              <w:autoSpaceDE w:val="0"/>
              <w:autoSpaceDN w:val="0"/>
              <w:bidi w:val="0"/>
              <w:adjustRightInd w:val="0"/>
              <w:snapToGrid w:val="0"/>
              <w:spacing w:line="400" w:lineRule="exact"/>
              <w:ind w:firstLine="560" w:firstLineChars="200"/>
              <w:textAlignment w:val="baseline"/>
              <w:rPr>
                <w:rFonts w:hint="eastAsia" w:ascii="仿宋_GB2312" w:hAnsi="Times New Roman" w:eastAsia="仿宋_GB2312" w:cs="Times New Roman"/>
                <w:sz w:val="28"/>
                <w:szCs w:val="28"/>
                <w:lang w:val="en-US" w:eastAsia="zh-CN"/>
              </w:rPr>
            </w:pPr>
            <w:r>
              <w:rPr>
                <w:rFonts w:hint="eastAsia" w:ascii="仿宋_GB2312" w:hAnsi="Times New Roman" w:eastAsia="仿宋_GB2312" w:cs="Times New Roman"/>
                <w:sz w:val="28"/>
                <w:szCs w:val="28"/>
                <w:lang w:val="en-US" w:eastAsia="zh-CN"/>
              </w:rPr>
              <w:t>五、由威海市生态环境局文登分局负责建设和运营期间的环境保护监督管理，全程落实项目生态保护与污染防治措施的监督检查工作。</w:t>
            </w:r>
          </w:p>
          <w:p>
            <w:pPr>
              <w:rPr>
                <w:rFonts w:hint="default" w:ascii="仿宋_GB2312" w:eastAsia="仿宋_GB2312"/>
                <w:sz w:val="28"/>
                <w:szCs w:val="28"/>
              </w:rPr>
            </w:pPr>
          </w:p>
          <w:p>
            <w:pPr>
              <w:pStyle w:val="4"/>
              <w:rPr>
                <w:rFonts w:hint="default" w:ascii="仿宋_GB2312" w:eastAsia="仿宋_GB2312"/>
                <w:sz w:val="28"/>
                <w:szCs w:val="28"/>
              </w:rPr>
            </w:pPr>
          </w:p>
          <w:p>
            <w:pPr>
              <w:rPr>
                <w:rFonts w:hint="default" w:ascii="仿宋_GB2312" w:eastAsia="仿宋_GB2312"/>
                <w:sz w:val="28"/>
                <w:szCs w:val="28"/>
              </w:rPr>
            </w:pPr>
          </w:p>
          <w:p>
            <w:pPr>
              <w:pStyle w:val="4"/>
              <w:rPr>
                <w:rFonts w:hint="default"/>
              </w:rPr>
            </w:pPr>
          </w:p>
          <w:p>
            <w:pPr>
              <w:tabs>
                <w:tab w:val="left" w:pos="5478"/>
              </w:tabs>
              <w:spacing w:line="340" w:lineRule="exact"/>
              <w:rPr>
                <w:rFonts w:hint="default" w:ascii="仿宋_GB2312" w:eastAsia="仿宋_GB2312"/>
                <w:sz w:val="28"/>
                <w:szCs w:val="28"/>
              </w:rPr>
            </w:pPr>
          </w:p>
          <w:p>
            <w:pPr>
              <w:tabs>
                <w:tab w:val="left" w:pos="5478"/>
              </w:tabs>
              <w:spacing w:line="340" w:lineRule="exact"/>
              <w:rPr>
                <w:rFonts w:hint="default" w:ascii="仿宋_GB2312" w:eastAsia="仿宋_GB2312"/>
                <w:sz w:val="28"/>
                <w:szCs w:val="28"/>
              </w:rPr>
            </w:pPr>
          </w:p>
          <w:p>
            <w:pPr>
              <w:tabs>
                <w:tab w:val="left" w:pos="5478"/>
              </w:tabs>
              <w:spacing w:line="340" w:lineRule="exact"/>
              <w:rPr>
                <w:rFonts w:hint="default" w:ascii="仿宋_GB2312" w:eastAsia="仿宋_GB2312"/>
                <w:sz w:val="28"/>
                <w:szCs w:val="28"/>
              </w:rPr>
            </w:pPr>
          </w:p>
          <w:p>
            <w:pPr>
              <w:pStyle w:val="3"/>
              <w:numPr>
                <w:ilvl w:val="0"/>
                <w:numId w:val="0"/>
              </w:numPr>
              <w:kinsoku w:val="0"/>
              <w:autoSpaceDE w:val="0"/>
              <w:autoSpaceDN w:val="0"/>
              <w:adjustRightInd w:val="0"/>
              <w:snapToGrid w:val="0"/>
              <w:spacing w:line="240" w:lineRule="auto"/>
              <w:jc w:val="left"/>
              <w:textAlignment w:val="baseline"/>
              <w:rPr>
                <w:rFonts w:hint="default" w:ascii="仿宋_GB2312" w:eastAsia="仿宋_GB2312"/>
                <w:sz w:val="28"/>
                <w:szCs w:val="28"/>
              </w:rPr>
            </w:pPr>
          </w:p>
          <w:p>
            <w:pPr>
              <w:pStyle w:val="3"/>
              <w:numPr>
                <w:ilvl w:val="0"/>
                <w:numId w:val="0"/>
              </w:numPr>
              <w:kinsoku w:val="0"/>
              <w:autoSpaceDE w:val="0"/>
              <w:autoSpaceDN w:val="0"/>
              <w:adjustRightInd w:val="0"/>
              <w:snapToGrid w:val="0"/>
              <w:spacing w:line="240" w:lineRule="auto"/>
              <w:jc w:val="left"/>
              <w:textAlignment w:val="baseline"/>
              <w:rPr>
                <w:rFonts w:hint="default" w:ascii="仿宋_GB2312" w:eastAsia="仿宋_GB2312"/>
                <w:sz w:val="28"/>
                <w:szCs w:val="28"/>
              </w:rPr>
            </w:pPr>
          </w:p>
          <w:p>
            <w:pPr>
              <w:pStyle w:val="3"/>
              <w:numPr>
                <w:ilvl w:val="0"/>
                <w:numId w:val="0"/>
              </w:numPr>
              <w:kinsoku w:val="0"/>
              <w:autoSpaceDE w:val="0"/>
              <w:autoSpaceDN w:val="0"/>
              <w:adjustRightInd w:val="0"/>
              <w:snapToGrid w:val="0"/>
              <w:spacing w:line="240" w:lineRule="auto"/>
              <w:jc w:val="left"/>
              <w:textAlignment w:val="baseline"/>
              <w:rPr>
                <w:rFonts w:hint="default" w:ascii="仿宋_GB2312" w:eastAsia="仿宋_GB2312"/>
                <w:sz w:val="28"/>
                <w:szCs w:val="28"/>
              </w:rPr>
            </w:pPr>
          </w:p>
          <w:p>
            <w:pPr>
              <w:tabs>
                <w:tab w:val="left" w:pos="5478"/>
              </w:tabs>
              <w:spacing w:line="340" w:lineRule="exact"/>
              <w:rPr>
                <w:rFonts w:hint="default" w:ascii="仿宋_GB2312" w:eastAsia="仿宋_GB2312"/>
                <w:sz w:val="28"/>
                <w:szCs w:val="28"/>
              </w:rPr>
            </w:pPr>
          </w:p>
          <w:p>
            <w:pPr>
              <w:tabs>
                <w:tab w:val="left" w:pos="5478"/>
              </w:tabs>
              <w:spacing w:line="340" w:lineRule="exact"/>
              <w:rPr>
                <w:rFonts w:hint="default" w:ascii="仿宋_GB2312" w:eastAsia="仿宋_GB2312"/>
                <w:sz w:val="28"/>
                <w:szCs w:val="28"/>
              </w:rPr>
            </w:pPr>
          </w:p>
          <w:p>
            <w:pPr>
              <w:tabs>
                <w:tab w:val="left" w:pos="5478"/>
              </w:tabs>
              <w:spacing w:line="340" w:lineRule="exact"/>
              <w:rPr>
                <w:rFonts w:hint="default" w:ascii="仿宋_GB2312" w:eastAsia="仿宋_GB2312"/>
                <w:sz w:val="28"/>
                <w:szCs w:val="28"/>
              </w:rPr>
            </w:pPr>
          </w:p>
          <w:p>
            <w:pPr>
              <w:pStyle w:val="2"/>
              <w:rPr>
                <w:rFonts w:hint="default"/>
              </w:rPr>
            </w:pPr>
          </w:p>
          <w:p>
            <w:pPr>
              <w:tabs>
                <w:tab w:val="left" w:pos="5478"/>
              </w:tabs>
              <w:spacing w:line="340" w:lineRule="exact"/>
              <w:rPr>
                <w:rFonts w:hint="default" w:ascii="仿宋_GB2312" w:eastAsia="仿宋_GB2312"/>
                <w:sz w:val="28"/>
                <w:szCs w:val="28"/>
              </w:rPr>
            </w:pPr>
          </w:p>
          <w:p>
            <w:pPr>
              <w:tabs>
                <w:tab w:val="left" w:pos="5478"/>
              </w:tabs>
              <w:spacing w:line="340" w:lineRule="exact"/>
              <w:rPr>
                <w:rFonts w:hint="default" w:ascii="仿宋_GB2312" w:eastAsia="仿宋_GB2312"/>
                <w:sz w:val="28"/>
                <w:szCs w:val="28"/>
              </w:rPr>
            </w:pPr>
          </w:p>
          <w:p>
            <w:pPr>
              <w:tabs>
                <w:tab w:val="left" w:pos="5478"/>
              </w:tabs>
              <w:spacing w:line="340" w:lineRule="exact"/>
              <w:rPr>
                <w:rFonts w:hint="eastAsia" w:ascii="仿宋_GB2312" w:eastAsia="仿宋_GB2312"/>
                <w:sz w:val="28"/>
                <w:szCs w:val="28"/>
                <w:lang w:eastAsia="zh-CN"/>
              </w:rPr>
            </w:pPr>
            <w:r>
              <w:rPr>
                <w:rFonts w:hint="default" w:ascii="仿宋_GB2312" w:eastAsia="仿宋_GB2312"/>
                <w:sz w:val="28"/>
                <w:szCs w:val="28"/>
              </w:rPr>
              <w:t xml:space="preserve">经办人（签章）：                                 </w:t>
            </w:r>
            <w:r>
              <w:rPr>
                <w:rFonts w:hint="eastAsia" w:ascii="仿宋_GB2312" w:eastAsia="仿宋_GB2312"/>
                <w:sz w:val="28"/>
                <w:szCs w:val="28"/>
                <w:lang w:eastAsia="zh-CN"/>
              </w:rPr>
              <w:t>（</w:t>
            </w:r>
            <w:r>
              <w:rPr>
                <w:rFonts w:hint="default" w:ascii="仿宋_GB2312" w:eastAsia="仿宋_GB2312"/>
                <w:sz w:val="28"/>
                <w:szCs w:val="28"/>
              </w:rPr>
              <w:t>公章</w:t>
            </w:r>
            <w:r>
              <w:rPr>
                <w:rFonts w:hint="eastAsia" w:ascii="仿宋_GB2312" w:eastAsia="仿宋_GB2312"/>
                <w:sz w:val="28"/>
                <w:szCs w:val="28"/>
                <w:lang w:eastAsia="zh-CN"/>
              </w:rPr>
              <w:t>）</w:t>
            </w:r>
          </w:p>
          <w:p>
            <w:pPr>
              <w:tabs>
                <w:tab w:val="left" w:pos="5478"/>
              </w:tabs>
              <w:spacing w:line="340" w:lineRule="exact"/>
              <w:rPr>
                <w:rFonts w:hint="default" w:ascii="仿宋_GB2312" w:eastAsia="仿宋_GB2312"/>
                <w:sz w:val="28"/>
                <w:szCs w:val="28"/>
              </w:rPr>
            </w:pPr>
          </w:p>
          <w:p>
            <w:pPr>
              <w:spacing w:line="340" w:lineRule="exact"/>
              <w:rPr>
                <w:rFonts w:ascii="仿宋_GB2312" w:eastAsia="仿宋_GB2312"/>
                <w:sz w:val="28"/>
                <w:szCs w:val="28"/>
              </w:rPr>
            </w:pPr>
            <w:r>
              <w:rPr>
                <w:rFonts w:hint="default" w:ascii="仿宋_GB2312" w:eastAsia="仿宋_GB2312"/>
                <w:sz w:val="28"/>
                <w:szCs w:val="28"/>
              </w:rPr>
              <w:t xml:space="preserve">审核人（签章）：           </w:t>
            </w:r>
            <w:r>
              <w:rPr>
                <w:rFonts w:hint="eastAsia" w:ascii="仿宋_GB2312" w:eastAsia="仿宋_GB2312"/>
                <w:sz w:val="28"/>
                <w:szCs w:val="28"/>
                <w:lang w:val="en-US" w:eastAsia="zh-CN"/>
              </w:rPr>
              <w:t xml:space="preserve"> </w:t>
            </w:r>
            <w:r>
              <w:rPr>
                <w:rFonts w:hint="default" w:ascii="仿宋_GB2312" w:eastAsia="仿宋_GB2312"/>
                <w:sz w:val="28"/>
                <w:szCs w:val="28"/>
              </w:rPr>
              <w:t xml:space="preserve">                </w:t>
            </w:r>
            <w:r>
              <w:rPr>
                <w:rFonts w:hint="eastAsia" w:ascii="仿宋_GB2312" w:eastAsia="仿宋_GB2312"/>
                <w:sz w:val="28"/>
                <w:szCs w:val="28"/>
                <w:lang w:val="en-US" w:eastAsia="zh-CN"/>
              </w:rPr>
              <w:t xml:space="preserve"> </w:t>
            </w:r>
            <w:r>
              <w:rPr>
                <w:rFonts w:hint="default" w:ascii="仿宋_GB2312" w:eastAsia="仿宋_GB2312"/>
                <w:sz w:val="28"/>
                <w:szCs w:val="28"/>
              </w:rPr>
              <w:t xml:space="preserve"> 年 </w:t>
            </w:r>
            <w:r>
              <w:rPr>
                <w:rFonts w:hint="eastAsia" w:ascii="仿宋_GB2312" w:eastAsia="仿宋_GB2312"/>
                <w:sz w:val="28"/>
                <w:szCs w:val="28"/>
                <w:lang w:val="en-US" w:eastAsia="zh-CN"/>
              </w:rPr>
              <w:t xml:space="preserve">  </w:t>
            </w:r>
            <w:r>
              <w:rPr>
                <w:rFonts w:hint="default" w:ascii="仿宋_GB2312" w:eastAsia="仿宋_GB2312"/>
                <w:sz w:val="28"/>
                <w:szCs w:val="28"/>
              </w:rPr>
              <w:t xml:space="preserve"> 月</w:t>
            </w:r>
            <w:r>
              <w:rPr>
                <w:rFonts w:hint="eastAsia" w:ascii="仿宋_GB2312" w:eastAsia="仿宋_GB2312"/>
                <w:sz w:val="28"/>
                <w:szCs w:val="28"/>
                <w:lang w:val="en-US" w:eastAsia="zh-CN"/>
              </w:rPr>
              <w:t xml:space="preserve">  </w:t>
            </w:r>
            <w:r>
              <w:rPr>
                <w:rFonts w:hint="default" w:ascii="仿宋_GB2312" w:eastAsia="仿宋_GB2312"/>
                <w:sz w:val="28"/>
                <w:szCs w:val="28"/>
              </w:rPr>
              <w:t xml:space="preserve"> 日</w:t>
            </w:r>
          </w:p>
        </w:tc>
      </w:tr>
    </w:tbl>
    <w:p>
      <w:pPr>
        <w:keepNext w:val="0"/>
        <w:keepLines w:val="0"/>
        <w:pageBreakBefore w:val="0"/>
        <w:widowControl/>
        <w:kinsoku w:val="0"/>
        <w:wordWrap/>
        <w:overflowPunct/>
        <w:topLinePunct w:val="0"/>
        <w:autoSpaceDE w:val="0"/>
        <w:autoSpaceDN w:val="0"/>
        <w:bidi w:val="0"/>
        <w:adjustRightInd w:val="0"/>
        <w:snapToGrid w:val="0"/>
        <w:spacing w:line="240" w:lineRule="auto"/>
        <w:jc w:val="both"/>
        <w:textAlignment w:val="baseline"/>
        <w:rPr>
          <w:rFonts w:ascii="黑体" w:hAnsi="黑体" w:eastAsia="黑体" w:cs="黑体"/>
          <w:sz w:val="25"/>
          <w:szCs w:val="25"/>
        </w:rPr>
      </w:pPr>
    </w:p>
    <w:sectPr>
      <w:footerReference r:id="rId3" w:type="default"/>
      <w:pgSz w:w="11900" w:h="16840"/>
      <w:pgMar w:top="1440" w:right="1800" w:bottom="1440" w:left="1800"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AD0161"/>
    <w:multiLevelType w:val="singleLevel"/>
    <w:tmpl w:val="1DAD0161"/>
    <w:lvl w:ilvl="0" w:tentative="0">
      <w:start w:val="1"/>
      <w:numFmt w:val="bullet"/>
      <w:pStyle w:val="3"/>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useAltKinsokuLineBreakRules/>
    <w:compatSetting w:name="compatibilityMode" w:uri="http://schemas.microsoft.com/office/word" w:val="14"/>
  </w:compat>
  <w:docVars>
    <w:docVar w:name="commondata" w:val="eyJoZGlkIjoiZjFkODMyNmY3ZWMzYmYzOTI0YmU5MzA1YWMxZjZhYjEifQ=="/>
  </w:docVars>
  <w:rsids>
    <w:rsidRoot w:val="00000000"/>
    <w:rsid w:val="4A647BBD"/>
    <w:rsid w:val="4B547414"/>
    <w:rsid w:val="616D64A6"/>
    <w:rsid w:val="751079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next w:val="3"/>
    <w:qFormat/>
    <w:uiPriority w:val="0"/>
    <w:pPr>
      <w:widowControl/>
      <w:snapToGrid w:val="0"/>
      <w:spacing w:before="60" w:after="160" w:line="259" w:lineRule="auto"/>
      <w:ind w:right="113"/>
    </w:pPr>
    <w:rPr>
      <w:kern w:val="0"/>
      <w:sz w:val="18"/>
      <w:szCs w:val="18"/>
    </w:rPr>
  </w:style>
  <w:style w:type="paragraph" w:styleId="3">
    <w:name w:val="List Bullet 5"/>
    <w:basedOn w:val="1"/>
    <w:uiPriority w:val="0"/>
    <w:pPr>
      <w:numPr>
        <w:ilvl w:val="0"/>
        <w:numId w:val="1"/>
      </w:numPr>
    </w:pPr>
  </w:style>
  <w:style w:type="paragraph" w:styleId="4">
    <w:name w:val="Body Text First Indent"/>
    <w:basedOn w:val="1"/>
    <w:next w:val="1"/>
    <w:qFormat/>
    <w:uiPriority w:val="0"/>
    <w:pPr>
      <w:spacing w:after="120" w:line="360" w:lineRule="auto"/>
      <w:ind w:firstLine="420" w:firstLineChars="100"/>
    </w:pPr>
    <w:rPr>
      <w:szCs w:val="24"/>
    </w:rPr>
  </w:style>
  <w:style w:type="table" w:customStyle="1" w:styleId="7">
    <w:name w:val="Table Normal"/>
    <w:semiHidden/>
    <w:unhideWhenUsed/>
    <w:qFormat/>
    <w:uiPriority w:val="0"/>
    <w:tblPr>
      <w:tblLayout w:type="fixed"/>
      <w:tblCellMar>
        <w:top w:w="0" w:type="dxa"/>
        <w:left w:w="0" w:type="dxa"/>
        <w:bottom w:w="0" w:type="dxa"/>
        <w:right w:w="0" w:type="dxa"/>
      </w:tblCellMar>
    </w:tblPr>
  </w:style>
  <w:style w:type="paragraph" w:customStyle="1" w:styleId="8">
    <w:name w:val="Table Text"/>
    <w:basedOn w:val="1"/>
    <w:semiHidden/>
    <w:qFormat/>
    <w:uiPriority w:val="0"/>
    <w:rPr>
      <w:rFonts w:ascii="宋体" w:hAnsi="宋体" w:eastAsia="宋体" w:cs="宋体"/>
      <w:sz w:val="28"/>
      <w:szCs w:val="28"/>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1231</Words>
  <Characters>1399</Characters>
  <TotalTime>1342</TotalTime>
  <ScaleCrop>false</ScaleCrop>
  <LinksUpToDate>false</LinksUpToDate>
  <CharactersWithSpaces>1510</CharactersWithSpaces>
  <Application>WPS Office_11.8.2.7978_F1E327BC-269C-435d-A152-05C5408002CA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2024-01-04T15:27:00Z</dcterms:created>
  <dc:creator>Kingsoft-PDF</dc:creator>
  <cp:lastModifiedBy>小静鱼</cp:lastModifiedBy>
  <cp:lastPrinted>2026-05-18T08:44:39Z</cp:lastPrinted>
  <dcterms:modified xsi:type="dcterms:W3CDTF">2026-05-19T07:05:21Z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2024-01-04T15:27:39Z</vt:filetime>
  </property>
  <property fmtid="{D5CDD505-2E9C-101B-9397-08002B2CF9AE}" pid="4" name="UsrData">
    <vt:lpwstr>65965de183b9c4001f456b72wl</vt:lpwstr>
  </property>
  <property fmtid="{D5CDD505-2E9C-101B-9397-08002B2CF9AE}" pid="5" name="KSOProductBuildVer">
    <vt:lpwstr>2052-11.8.2.7978</vt:lpwstr>
  </property>
  <property fmtid="{D5CDD505-2E9C-101B-9397-08002B2CF9AE}" pid="6" name="ICV">
    <vt:lpwstr>46EBE5ACA0A84637AD1F6124B9E8F1A5_13</vt:lpwstr>
  </property>
  <property fmtid="{D5CDD505-2E9C-101B-9397-08002B2CF9AE}" pid="7" name="KSOTemplateDocerSaveRecord">
    <vt:lpwstr>eyJoZGlkIjoiZjFkODMyNmY3ZWMzYmYzOTI0YmU5MzA1YWMxZjZhYjEiLCJ1c2VySWQiOiIyODIyODM1MjYifQ==</vt:lpwstr>
  </property>
</Properties>
</file>