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威海市文登区人力资源和社会保障局</w:t>
      </w:r>
    </w:p>
    <w:p>
      <w:pPr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信息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工作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年度报告</w:t>
      </w:r>
    </w:p>
    <w:p>
      <w:pPr>
        <w:jc w:val="center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2019年度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）</w:t>
      </w:r>
    </w:p>
    <w:p>
      <w:pPr>
        <w:spacing w:beforeLines="0" w:afterLines="0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lang w:eastAsia="zh-CN"/>
        </w:rPr>
        <w:t>修订后的</w:t>
      </w:r>
      <w:r>
        <w:rPr>
          <w:rFonts w:hint="eastAsia" w:ascii="仿宋_GB2312" w:hAnsi="仿宋_GB2312" w:eastAsia="仿宋_GB2312" w:cs="仿宋_GB2312"/>
          <w:color w:val="000000"/>
          <w:sz w:val="32"/>
        </w:rPr>
        <w:t>《中华人民共和国政府信息公开条例》（以下简称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/>
        </w:rPr>
        <w:t>新条例</w:t>
      </w:r>
      <w:r>
        <w:rPr>
          <w:rFonts w:hint="eastAsia" w:ascii="仿宋_GB2312" w:hAnsi="仿宋_GB2312" w:eastAsia="仿宋_GB2312" w:cs="仿宋_GB2312"/>
          <w:color w:val="000000"/>
          <w:sz w:val="32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/>
        </w:rPr>
        <w:t>已于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  <w:t>2019年5月15日起施行，根据新条例相关规定和《关于政府信息公开工作年度报告有关事项的通知》（国办公开办函〔2019〕60号）要求，区人社局制作并公开2019年度信息公开工作报告。本报告由总体情况、</w:t>
      </w:r>
      <w:r>
        <w:rPr>
          <w:rFonts w:hint="default" w:ascii="仿宋_GB2312" w:hAnsi="仿宋_GB2312" w:eastAsia="仿宋_GB2312" w:cs="仿宋_GB2312"/>
          <w:color w:val="000000"/>
          <w:sz w:val="32"/>
          <w:lang w:val="en-US" w:eastAsia="zh-CN"/>
        </w:rPr>
        <w:t>主动公开政府信息情况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  <w:t>、收到和处理政府信息公开申请情况、</w:t>
      </w:r>
      <w:r>
        <w:rPr>
          <w:rFonts w:hint="default" w:ascii="仿宋_GB2312" w:hAnsi="仿宋_GB2312" w:eastAsia="仿宋_GB2312" w:cs="仿宋_GB2312"/>
          <w:color w:val="000000"/>
          <w:sz w:val="32"/>
          <w:lang w:val="en-US" w:eastAsia="zh-CN"/>
        </w:rPr>
        <w:t>政府信息公开行政复议行政诉讼情况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  <w:t>、</w:t>
      </w:r>
      <w:r>
        <w:rPr>
          <w:rFonts w:hint="default" w:ascii="仿宋_GB2312" w:hAnsi="仿宋_GB2312" w:eastAsia="仿宋_GB2312" w:cs="仿宋_GB2312"/>
          <w:color w:val="000000"/>
          <w:sz w:val="32"/>
          <w:lang w:val="en-US" w:eastAsia="zh-CN"/>
        </w:rPr>
        <w:t>存在的主要问题及改进情况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  <w:t>和</w:t>
      </w:r>
      <w:r>
        <w:rPr>
          <w:rFonts w:hint="default" w:ascii="仿宋_GB2312" w:hAnsi="仿宋_GB2312" w:eastAsia="仿宋_GB2312" w:cs="仿宋_GB2312"/>
          <w:color w:val="000000"/>
          <w:sz w:val="32"/>
          <w:lang w:val="en-US" w:eastAsia="zh-CN"/>
        </w:rPr>
        <w:t>其他需要报告的事项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  <w:t>六部分组成。</w:t>
      </w:r>
    </w:p>
    <w:p>
      <w:pPr>
        <w:widowControl/>
        <w:shd w:val="clear" w:color="auto" w:fill="FFFFFF"/>
        <w:ind w:firstLine="640" w:firstLineChars="200"/>
        <w:rPr>
          <w:rFonts w:hint="eastAsia" w:ascii="黑体" w:hAnsi="黑体" w:eastAsia="黑体" w:cs="黑体"/>
          <w:b w:val="0"/>
          <w:bCs w:val="0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333333"/>
          <w:kern w:val="0"/>
          <w:sz w:val="32"/>
          <w:szCs w:val="32"/>
        </w:rPr>
        <w:t>一、总体情况</w:t>
      </w:r>
    </w:p>
    <w:p>
      <w:pPr>
        <w:spacing w:beforeLines="0" w:afterLines="0"/>
        <w:ind w:firstLine="640" w:firstLineChars="200"/>
        <w:jc w:val="left"/>
        <w:rPr>
          <w:rFonts w:hint="eastAsia" w:ascii="FangSong_GB2312" w:hAnsi="FangSong_GB2312" w:eastAsia="FangSong_GB2312"/>
          <w:color w:val="000000"/>
          <w:sz w:val="32"/>
        </w:rPr>
      </w:pPr>
      <w:r>
        <w:rPr>
          <w:rFonts w:hint="eastAsia" w:ascii="FangSong_GB2312" w:hAnsi="FangSong_GB2312" w:eastAsia="FangSong_GB2312"/>
          <w:color w:val="000000"/>
          <w:sz w:val="32"/>
        </w:rPr>
        <w:t>201</w:t>
      </w:r>
      <w:r>
        <w:rPr>
          <w:rFonts w:hint="eastAsia" w:ascii="FangSong_GB2312" w:hAnsi="FangSong_GB2312" w:eastAsia="FangSong_GB2312"/>
          <w:color w:val="000000"/>
          <w:sz w:val="32"/>
          <w:lang w:val="en-US" w:eastAsia="zh-CN"/>
        </w:rPr>
        <w:t>9</w:t>
      </w:r>
      <w:r>
        <w:rPr>
          <w:rFonts w:hint="eastAsia" w:ascii="FangSong_GB2312" w:hAnsi="FangSong_GB2312" w:eastAsia="FangSong_GB2312"/>
          <w:color w:val="000000"/>
          <w:sz w:val="32"/>
        </w:rPr>
        <w:t>年，威海市文登区人力资源和社会保障局认真贯彻落实</w:t>
      </w:r>
      <w:r>
        <w:rPr>
          <w:rFonts w:hint="eastAsia" w:ascii="FangSong_GB2312" w:hAnsi="FangSong_GB2312" w:eastAsia="FangSong_GB2312"/>
          <w:color w:val="000000"/>
          <w:sz w:val="32"/>
          <w:lang w:eastAsia="zh-CN"/>
        </w:rPr>
        <w:t>新条例要求，稳妥做好新旧条例衔接</w:t>
      </w:r>
      <w:r>
        <w:rPr>
          <w:rFonts w:hint="eastAsia" w:ascii="FangSong_GB2312" w:hAnsi="FangSong_GB2312" w:eastAsia="FangSong_GB2312"/>
          <w:color w:val="000000"/>
          <w:sz w:val="32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  <w:t>根据人员变动及时调整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信息公开工作领导小组成员，确保组织机构健全、工作人员到位、职责分工明确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  <w:t>，</w:t>
      </w:r>
      <w:r>
        <w:rPr>
          <w:rFonts w:hint="eastAsia" w:ascii="FangSong_GB2312" w:hAnsi="FangSong_GB2312" w:eastAsia="FangSong_GB2312"/>
          <w:color w:val="000000"/>
          <w:sz w:val="32"/>
        </w:rPr>
        <w:t>信息公开工作</w:t>
      </w:r>
      <w:r>
        <w:rPr>
          <w:rFonts w:hint="eastAsia" w:ascii="FangSong_GB2312" w:hAnsi="FangSong_GB2312" w:eastAsia="FangSong_GB2312"/>
          <w:color w:val="000000"/>
          <w:sz w:val="32"/>
          <w:lang w:eastAsia="zh-CN"/>
        </w:rPr>
        <w:t>有序推进</w:t>
      </w:r>
      <w:r>
        <w:rPr>
          <w:rFonts w:hint="eastAsia" w:ascii="FangSong_GB2312" w:hAnsi="FangSong_GB2312" w:eastAsia="FangSong_GB2312"/>
          <w:color w:val="000000"/>
          <w:sz w:val="32"/>
        </w:rPr>
        <w:t>。</w:t>
      </w:r>
    </w:p>
    <w:p>
      <w:pPr>
        <w:spacing w:beforeLines="0" w:afterLines="0"/>
        <w:ind w:firstLine="640" w:firstLineChars="200"/>
        <w:jc w:val="left"/>
        <w:rPr>
          <w:rFonts w:hint="eastAsia" w:ascii="FangSong_GB2312" w:hAnsi="FangSong_GB2312" w:eastAsia="FangSong_GB2312"/>
          <w:color w:val="000000"/>
          <w:sz w:val="32"/>
        </w:rPr>
      </w:pPr>
      <w:r>
        <w:rPr>
          <w:rFonts w:hint="eastAsia" w:ascii="FangSong_GB2312" w:hAnsi="FangSong_GB2312" w:eastAsia="FangSong_GB2312"/>
          <w:color w:val="000000"/>
          <w:sz w:val="32"/>
        </w:rPr>
        <w:t>本报告中所列数据的统计期限自2019年1月1日起至2019年12月31日止。本报告以网上公开的形式进行公布。如对本报告有任何疑问，请与</w:t>
      </w:r>
      <w:r>
        <w:rPr>
          <w:rFonts w:hint="eastAsia" w:ascii="FangSong_GB2312" w:hAnsi="FangSong_GB2312" w:eastAsia="FangSong_GB2312"/>
          <w:color w:val="000000"/>
          <w:sz w:val="32"/>
          <w:lang w:eastAsia="zh-CN"/>
        </w:rPr>
        <w:t>威海市文登区人力资源和社会保障局</w:t>
      </w:r>
      <w:r>
        <w:rPr>
          <w:rFonts w:hint="eastAsia" w:ascii="FangSong_GB2312" w:hAnsi="FangSong_GB2312" w:eastAsia="FangSong_GB2312"/>
          <w:color w:val="000000"/>
          <w:sz w:val="32"/>
        </w:rPr>
        <w:t>办公室联系（地址：</w:t>
      </w:r>
      <w:r>
        <w:rPr>
          <w:rFonts w:hint="eastAsia" w:ascii="FangSong_GB2312" w:hAnsi="FangSong_GB2312" w:eastAsia="FangSong_GB2312"/>
          <w:color w:val="000000"/>
          <w:sz w:val="32"/>
          <w:lang w:eastAsia="zh-CN"/>
        </w:rPr>
        <w:t>文登区世纪大道</w:t>
      </w:r>
      <w:r>
        <w:rPr>
          <w:rFonts w:hint="eastAsia" w:ascii="FangSong_GB2312" w:hAnsi="FangSong_GB2312" w:eastAsia="FangSong_GB2312"/>
          <w:color w:val="000000"/>
          <w:sz w:val="32"/>
          <w:lang w:val="en-US" w:eastAsia="zh-CN"/>
        </w:rPr>
        <w:t>84号903室</w:t>
      </w:r>
      <w:r>
        <w:rPr>
          <w:rFonts w:hint="eastAsia" w:ascii="FangSong_GB2312" w:hAnsi="FangSong_GB2312" w:eastAsia="FangSong_GB2312"/>
          <w:color w:val="000000"/>
          <w:sz w:val="32"/>
        </w:rPr>
        <w:t>；邮编：</w:t>
      </w:r>
      <w:r>
        <w:rPr>
          <w:rFonts w:hint="eastAsia" w:ascii="FangSong_GB2312" w:hAnsi="FangSong_GB2312" w:eastAsia="FangSong_GB2312"/>
          <w:color w:val="000000"/>
          <w:sz w:val="32"/>
          <w:lang w:val="en-US" w:eastAsia="zh-CN"/>
        </w:rPr>
        <w:t>264400</w:t>
      </w:r>
      <w:r>
        <w:rPr>
          <w:rFonts w:hint="eastAsia" w:ascii="FangSong_GB2312" w:hAnsi="FangSong_GB2312" w:eastAsia="FangSong_GB2312"/>
          <w:color w:val="000000"/>
          <w:sz w:val="32"/>
        </w:rPr>
        <w:t>；电话：</w:t>
      </w:r>
      <w:r>
        <w:rPr>
          <w:rFonts w:hint="eastAsia" w:ascii="FangSong_GB2312" w:hAnsi="FangSong_GB2312" w:eastAsia="FangSong_GB2312"/>
          <w:color w:val="000000"/>
          <w:sz w:val="32"/>
          <w:lang w:val="en-US" w:eastAsia="zh-CN"/>
        </w:rPr>
        <w:t>0631-8451085</w:t>
      </w:r>
      <w:r>
        <w:rPr>
          <w:rFonts w:hint="eastAsia" w:ascii="FangSong_GB2312" w:hAnsi="FangSong_GB2312" w:eastAsia="FangSong_GB2312"/>
          <w:color w:val="000000"/>
          <w:sz w:val="32"/>
        </w:rPr>
        <w:t>）。</w:t>
      </w:r>
    </w:p>
    <w:p>
      <w:pPr>
        <w:numPr>
          <w:ilvl w:val="0"/>
          <w:numId w:val="0"/>
        </w:numPr>
        <w:spacing w:beforeLines="0" w:afterLines="0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（一）全面公开规范性文件和部门文件。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通过区政府门户网站向社会公开政策文件汇编、部门发布文件等与人社领域相关的政策文件。</w:t>
      </w:r>
    </w:p>
    <w:p>
      <w:pPr>
        <w:numPr>
          <w:ilvl w:val="0"/>
          <w:numId w:val="0"/>
        </w:numPr>
        <w:spacing w:beforeLines="0" w:afterLines="0"/>
        <w:jc w:val="center"/>
      </w:pPr>
    </w:p>
    <w:p>
      <w:pPr>
        <w:numPr>
          <w:ilvl w:val="0"/>
          <w:numId w:val="0"/>
        </w:numPr>
        <w:spacing w:beforeLines="0" w:afterLines="0"/>
        <w:jc w:val="center"/>
      </w:pPr>
      <w:r>
        <w:drawing>
          <wp:inline distT="0" distB="0" distL="114300" distR="114300">
            <wp:extent cx="5258435" cy="2043430"/>
            <wp:effectExtent l="0" t="0" r="18415" b="1397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4"/>
                    <a:srcRect t="11766" b="10005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204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部门文件公开</w:t>
      </w:r>
    </w:p>
    <w:p>
      <w:pPr>
        <w:numPr>
          <w:ilvl w:val="0"/>
          <w:numId w:val="0"/>
        </w:numPr>
        <w:spacing w:beforeLines="0" w:afterLines="0"/>
        <w:jc w:val="left"/>
        <w:rPr>
          <w:rFonts w:hint="eastAsia"/>
          <w:lang w:eastAsia="zh-CN"/>
        </w:rPr>
      </w:pPr>
    </w:p>
    <w:p>
      <w:pPr>
        <w:spacing w:beforeLines="0" w:afterLines="0"/>
        <w:ind w:firstLine="640" w:firstLineChars="200"/>
        <w:jc w:val="left"/>
      </w:pP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（二）</w:t>
      </w:r>
      <w:r>
        <w:rPr>
          <w:rFonts w:hint="eastAsia" w:ascii="楷体_GB2312" w:hAnsi="楷体_GB2312" w:eastAsia="楷体_GB2312" w:cs="楷体_GB2312"/>
          <w:color w:val="000000"/>
          <w:sz w:val="32"/>
        </w:rPr>
        <w:t>拓展信息公开渠道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/>
        </w:rPr>
        <w:t>。</w:t>
      </w:r>
      <w:r>
        <w:rPr>
          <w:rFonts w:hint="eastAsia" w:ascii="FangSong_GB2312" w:hAnsi="FangSong_GB2312" w:eastAsia="FangSong_GB2312"/>
          <w:color w:val="000000"/>
          <w:sz w:val="32"/>
          <w:lang w:eastAsia="zh-CN"/>
        </w:rPr>
        <w:t>在利用好传统媒体平台的基础上，注重开发应用新媒体，成立融媒体工作室，</w:t>
      </w:r>
      <w:r>
        <w:rPr>
          <w:rFonts w:hint="eastAsia" w:ascii="FangSong_GB2312" w:hAnsi="FangSong_GB2312" w:eastAsia="FangSong_GB2312"/>
          <w:color w:val="000000"/>
          <w:sz w:val="32"/>
        </w:rPr>
        <w:t>建立和完善了信息发布与政府信息公开一体服务平台</w:t>
      </w:r>
      <w:r>
        <w:rPr>
          <w:rFonts w:hint="eastAsia" w:ascii="FangSong_GB2312" w:hAnsi="FangSong_GB2312" w:eastAsia="FangSong_GB2312"/>
          <w:color w:val="000000"/>
          <w:sz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主动公开与群众咨询公开相结合，不断提高工作的透明度和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  <w:t>办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</w:rPr>
        <w:t>事效率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2"/>
          <w:lang w:val="en-US" w:eastAsia="zh-CN"/>
        </w:rPr>
        <w:t>2019年，通过区广播电台开展“行风热线”上线访谈2次，</w:t>
      </w:r>
      <w:r>
        <w:rPr>
          <w:rFonts w:hint="eastAsia" w:ascii="仿宋_GB2312" w:hAnsi="仿宋_GB2312" w:eastAsia="仿宋_GB2312" w:cs="仿宋_GB2312"/>
          <w:b w:val="0"/>
          <w:color w:val="333333"/>
          <w:sz w:val="32"/>
          <w:szCs w:val="32"/>
          <w:lang w:val="en-US" w:eastAsia="zh-CN"/>
        </w:rPr>
        <w:t>通过区政府网站主动公开政府信息356条，通过威海市人社局网站主动公开政府信息69条，通过文登人社公众号主动发布信息157条。</w:t>
      </w:r>
    </w:p>
    <w:p>
      <w:pPr>
        <w:spacing w:beforeLines="0" w:afterLines="0"/>
        <w:jc w:val="center"/>
      </w:pPr>
    </w:p>
    <w:p>
      <w:pPr>
        <w:spacing w:beforeLines="0" w:afterLines="0"/>
        <w:jc w:val="center"/>
      </w:pPr>
      <w:r>
        <w:drawing>
          <wp:inline distT="0" distB="0" distL="114300" distR="114300">
            <wp:extent cx="5587365" cy="1652270"/>
            <wp:effectExtent l="0" t="0" r="13335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rcRect t="10295" b="19761"/>
                    <a:stretch>
                      <a:fillRect/>
                    </a:stretch>
                  </pic:blipFill>
                  <pic:spPr>
                    <a:xfrm>
                      <a:off x="0" y="0"/>
                      <a:ext cx="5587365" cy="1652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人社局主要职责、内设机构、领导职责及分工公开</w:t>
      </w:r>
    </w:p>
    <w:p>
      <w:pPr>
        <w:spacing w:beforeLines="0" w:afterLines="0"/>
        <w:ind w:firstLine="420" w:firstLineChars="200"/>
        <w:jc w:val="left"/>
        <w:rPr>
          <w:rFonts w:hint="eastAsia"/>
          <w:lang w:eastAsia="zh-CN"/>
        </w:rPr>
      </w:pPr>
    </w:p>
    <w:p>
      <w:pPr>
        <w:spacing w:beforeLines="0" w:afterLines="0"/>
        <w:jc w:val="left"/>
      </w:pPr>
    </w:p>
    <w:p>
      <w:pPr>
        <w:spacing w:beforeLines="0" w:afterLines="0"/>
        <w:jc w:val="left"/>
      </w:pPr>
      <w:r>
        <w:drawing>
          <wp:inline distT="0" distB="0" distL="114300" distR="114300">
            <wp:extent cx="5608955" cy="2124075"/>
            <wp:effectExtent l="0" t="0" r="1079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rcRect t="11513" b="8920"/>
                    <a:stretch>
                      <a:fillRect/>
                    </a:stretch>
                  </pic:blipFill>
                  <pic:spPr>
                    <a:xfrm>
                      <a:off x="0" y="0"/>
                      <a:ext cx="5608955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eastAsia="zh-CN"/>
        </w:rPr>
      </w:pP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sz w:val="24"/>
          <w:szCs w:val="24"/>
          <w:lang w:eastAsia="zh-CN"/>
        </w:rPr>
        <w:t>政府信息公开指南公开</w:t>
      </w:r>
    </w:p>
    <w:p>
      <w:pPr>
        <w:spacing w:beforeLines="0" w:afterLines="0"/>
        <w:ind w:firstLine="420" w:firstLineChars="200"/>
        <w:jc w:val="left"/>
        <w:rPr>
          <w:rFonts w:hint="eastAsia"/>
          <w:lang w:val="en-US" w:eastAsia="zh-CN"/>
        </w:rPr>
      </w:pPr>
    </w:p>
    <w:p>
      <w:pPr>
        <w:spacing w:beforeLines="0" w:afterLines="0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color w:val="333333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color w:val="333333"/>
          <w:sz w:val="32"/>
          <w:szCs w:val="32"/>
          <w:lang w:val="en-US" w:eastAsia="zh-CN"/>
        </w:rPr>
        <w:t>（三）严格执行“三项制度”公开。</w:t>
      </w:r>
      <w:r>
        <w:rPr>
          <w:rStyle w:val="9"/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一是加强行政执法队伍建设。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严格执行行政执法人员资格管理和持证上岗制度，做到持证上岗、亮证执法、文明执法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。二</w:t>
      </w:r>
      <w:r>
        <w:rPr>
          <w:rStyle w:val="9"/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是加强行政执法程序建设。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进一步规范行政执法调查取证行为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落实行政执法公示制度，积极促进行政执法人员、执法依据、执法流程、执法决定公开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。三</w:t>
      </w:r>
      <w:r>
        <w:rPr>
          <w:rStyle w:val="9"/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是建立健全重大行政</w:t>
      </w:r>
      <w:r>
        <w:rPr>
          <w:rStyle w:val="9"/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执法审核</w:t>
      </w:r>
      <w:r>
        <w:rPr>
          <w:rStyle w:val="9"/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制度</w:t>
      </w:r>
      <w:r>
        <w:rPr>
          <w:rStyle w:val="9"/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建设，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对涉及劳动保障监察处罚案件处理启动重大行政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执法审核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auto"/>
          <w:spacing w:val="0"/>
          <w:sz w:val="32"/>
          <w:szCs w:val="32"/>
        </w:rPr>
        <w:t>程序。</w:t>
      </w:r>
    </w:p>
    <w:p>
      <w:pPr>
        <w:spacing w:beforeLines="0" w:afterLines="0"/>
        <w:jc w:val="left"/>
      </w:pPr>
    </w:p>
    <w:p>
      <w:pPr>
        <w:spacing w:beforeLines="0" w:afterLines="0"/>
        <w:jc w:val="left"/>
      </w:pPr>
      <w:r>
        <w:drawing>
          <wp:inline distT="0" distB="0" distL="114300" distR="114300">
            <wp:extent cx="5608320" cy="1794510"/>
            <wp:effectExtent l="0" t="0" r="11430" b="1524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7"/>
                    <a:srcRect t="5575" b="15648"/>
                    <a:stretch>
                      <a:fillRect/>
                    </a:stretch>
                  </pic:blipFill>
                  <pic:spPr>
                    <a:xfrm>
                      <a:off x="0" y="0"/>
                      <a:ext cx="5608320" cy="179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行政执法事前公开</w:t>
      </w:r>
    </w:p>
    <w:p>
      <w:pPr>
        <w:spacing w:beforeLines="0" w:afterLines="0"/>
        <w:jc w:val="left"/>
      </w:pPr>
    </w:p>
    <w:p>
      <w:pPr>
        <w:spacing w:beforeLines="0" w:afterLines="0"/>
        <w:jc w:val="left"/>
      </w:pPr>
      <w:r>
        <w:drawing>
          <wp:inline distT="0" distB="0" distL="114300" distR="114300">
            <wp:extent cx="5606415" cy="1898015"/>
            <wp:effectExtent l="0" t="0" r="13335" b="698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8"/>
                    <a:srcRect t="7482" b="8439"/>
                    <a:stretch>
                      <a:fillRect/>
                    </a:stretch>
                  </pic:blipFill>
                  <pic:spPr>
                    <a:xfrm>
                      <a:off x="0" y="0"/>
                      <a:ext cx="5606415" cy="1898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行政执法事后公开</w:t>
      </w:r>
    </w:p>
    <w:p>
      <w:pPr>
        <w:spacing w:beforeLines="0" w:afterLines="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numPr>
          <w:ilvl w:val="0"/>
          <w:numId w:val="0"/>
        </w:numPr>
        <w:spacing w:beforeLines="0" w:afterLines="0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lang w:val="zh-CN" w:eastAsia="zh-CN"/>
        </w:rPr>
      </w:pPr>
      <w:r>
        <w:rPr>
          <w:rFonts w:hint="eastAsia" w:ascii="楷体_GB2312" w:hAnsi="楷体_GB2312" w:eastAsia="楷体_GB2312" w:cs="楷体_GB2312"/>
          <w:b w:val="0"/>
          <w:color w:val="auto"/>
          <w:sz w:val="32"/>
          <w:szCs w:val="32"/>
          <w:lang w:val="en-US" w:eastAsia="zh-CN"/>
        </w:rPr>
        <w:t>（四）严格施行行政事业性收费。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lang w:val="en-US" w:eastAsia="zh-CN"/>
        </w:rPr>
        <w:t>2019年度，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lang w:val="zh-CN" w:eastAsia="zh-CN"/>
        </w:rPr>
        <w:t>职业技能鉴定考试缴费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lang w:val="en-US" w:eastAsia="zh-CN"/>
        </w:rPr>
        <w:t>1089人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lang w:val="zh-CN" w:eastAsia="zh-CN"/>
        </w:rPr>
        <w:t>，事业单位面试缴费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szCs w:val="32"/>
          <w:lang w:val="en-US" w:eastAsia="zh-CN"/>
        </w:rPr>
        <w:t>198人，专业技术职务资格评审缴费231人（初级133人、中级98人）。</w:t>
      </w:r>
    </w:p>
    <w:p>
      <w:pPr>
        <w:spacing w:beforeLines="0" w:afterLines="0"/>
        <w:jc w:val="left"/>
      </w:pPr>
    </w:p>
    <w:p>
      <w:pPr>
        <w:spacing w:beforeLines="0" w:afterLines="0"/>
        <w:jc w:val="left"/>
      </w:pPr>
      <w:r>
        <w:drawing>
          <wp:inline distT="0" distB="0" distL="114300" distR="114300">
            <wp:extent cx="5687060" cy="2186305"/>
            <wp:effectExtent l="0" t="0" r="8890" b="444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rcRect t="11921"/>
                    <a:stretch>
                      <a:fillRect/>
                    </a:stretch>
                  </pic:blipFill>
                  <pic:spPr>
                    <a:xfrm>
                      <a:off x="0" y="0"/>
                      <a:ext cx="5687060" cy="218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行政事业性收费目录</w:t>
      </w:r>
    </w:p>
    <w:p>
      <w:pPr>
        <w:spacing w:beforeLines="0" w:afterLines="0"/>
        <w:jc w:val="center"/>
        <w:rPr>
          <w:rFonts w:hint="eastAsia" w:ascii="黑体" w:hAnsi="黑体" w:eastAsia="黑体" w:cs="黑体"/>
          <w:sz w:val="24"/>
          <w:szCs w:val="24"/>
          <w:lang w:val="zh-CN" w:eastAsia="zh-CN"/>
        </w:rPr>
      </w:pPr>
    </w:p>
    <w:p>
      <w:pPr>
        <w:spacing w:beforeLines="0" w:afterLines="0"/>
        <w:ind w:firstLine="640" w:firstLineChars="200"/>
        <w:jc w:val="left"/>
      </w:pPr>
      <w:r>
        <w:rPr>
          <w:rFonts w:hint="eastAsia" w:ascii="楷体_GB2312" w:hAnsi="楷体_GB2312" w:eastAsia="楷体_GB2312" w:cs="楷体_GB2312"/>
          <w:b w:val="0"/>
          <w:color w:val="333333"/>
          <w:sz w:val="32"/>
          <w:szCs w:val="32"/>
          <w:lang w:val="en-US" w:eastAsia="zh-CN"/>
        </w:rPr>
        <w:t>（五）紧盯重点信息公开。</w:t>
      </w:r>
      <w:r>
        <w:rPr>
          <w:rFonts w:hint="eastAsia" w:ascii="仿宋_GB2312" w:hAnsi="仿宋_GB2312" w:eastAsia="仿宋_GB2312" w:cs="仿宋_GB2312"/>
          <w:b w:val="0"/>
          <w:color w:val="333333"/>
          <w:sz w:val="32"/>
          <w:szCs w:val="32"/>
          <w:lang w:val="en-US" w:eastAsia="zh-CN"/>
        </w:rPr>
        <w:t>及时公开2018年决算和2019年预算情况；公开社会保险政策措施及基金收支基本情况；公开就业创业优惠政策及企事业单位的招录信息。</w:t>
      </w:r>
    </w:p>
    <w:p>
      <w:pPr>
        <w:spacing w:beforeLines="0" w:afterLines="0"/>
        <w:ind w:left="0" w:leftChars="0" w:firstLine="0" w:firstLineChars="0"/>
        <w:jc w:val="left"/>
        <w:rPr>
          <w:rFonts w:hint="eastAsia" w:ascii="仿宋_GB2312" w:hAnsi="仿宋_GB2312" w:eastAsia="仿宋_GB2312" w:cs="仿宋_GB2312"/>
          <w:color w:val="000000"/>
          <w:sz w:val="32"/>
          <w:lang w:eastAsia="zh-CN"/>
        </w:rPr>
      </w:pPr>
      <w:r>
        <w:drawing>
          <wp:inline distT="0" distB="0" distL="114300" distR="114300">
            <wp:extent cx="5295900" cy="1400810"/>
            <wp:effectExtent l="0" t="0" r="0" b="889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rcRect t="8951" b="50253"/>
                    <a:stretch>
                      <a:fillRect/>
                    </a:stretch>
                  </pic:blipFill>
                  <pic:spPr>
                    <a:xfrm>
                      <a:off x="0" y="0"/>
                      <a:ext cx="5295900" cy="140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eastAsia="zh-CN"/>
        </w:rPr>
      </w:pP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sz w:val="24"/>
          <w:szCs w:val="24"/>
          <w:lang w:eastAsia="zh-CN"/>
        </w:rPr>
        <w:t>部门预决算公开</w:t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eastAsia="zh-CN"/>
        </w:rPr>
      </w:pPr>
    </w:p>
    <w:p>
      <w:pPr>
        <w:spacing w:beforeLines="0" w:afterLines="0"/>
        <w:ind w:left="0" w:leftChars="0" w:firstLine="0" w:firstLineChars="0"/>
        <w:jc w:val="left"/>
      </w:pPr>
    </w:p>
    <w:p>
      <w:pPr>
        <w:spacing w:beforeLines="0" w:afterLines="0"/>
        <w:ind w:left="0" w:leftChars="0" w:firstLine="0" w:firstLineChars="0"/>
        <w:jc w:val="left"/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</w:pPr>
      <w:r>
        <w:drawing>
          <wp:inline distT="0" distB="0" distL="114300" distR="114300">
            <wp:extent cx="5346700" cy="2185670"/>
            <wp:effectExtent l="0" t="0" r="6350" b="508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rcRect t="11562"/>
                    <a:stretch>
                      <a:fillRect/>
                    </a:stretch>
                  </pic:blipFill>
                  <pic:spPr>
                    <a:xfrm>
                      <a:off x="0" y="0"/>
                      <a:ext cx="5346700" cy="2185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就业和社会保险公开</w:t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ind w:firstLine="640" w:firstLineChars="200"/>
        <w:jc w:val="left"/>
        <w:rPr>
          <w:rFonts w:hint="default" w:ascii="仿宋_GB2312" w:hAnsi="仿宋_GB2312" w:eastAsia="仿宋_GB2312" w:cs="仿宋_GB2312"/>
          <w:color w:val="000000"/>
          <w:sz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（六）妥处政府信息公开申请。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  <w:t>2019年度共受理政府信息公开申请4件，申请人均为自然人，其中当面提交申请2件，网络提交申请2件，依法公开1件，不掌握相关信息2件，需要另行制作1件，4件申请均依法依规按时处结，未出现被行政复议或行政诉讼的情况。</w:t>
      </w:r>
    </w:p>
    <w:p>
      <w:pPr>
        <w:spacing w:beforeLines="0" w:afterLines="0"/>
        <w:jc w:val="left"/>
      </w:pPr>
      <w:r>
        <w:drawing>
          <wp:inline distT="0" distB="0" distL="114300" distR="114300">
            <wp:extent cx="5646420" cy="1107440"/>
            <wp:effectExtent l="0" t="0" r="11430" b="1651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46420" cy="110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政府信息公开申请</w:t>
      </w:r>
    </w:p>
    <w:p>
      <w:pPr>
        <w:spacing w:beforeLines="0" w:afterLines="0"/>
        <w:ind w:firstLine="480" w:firstLineChars="200"/>
        <w:jc w:val="center"/>
        <w:rPr>
          <w:rFonts w:hint="default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ind w:firstLine="640" w:firstLineChars="200"/>
        <w:jc w:val="left"/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color w:val="333333"/>
          <w:sz w:val="32"/>
          <w:szCs w:val="32"/>
          <w:lang w:val="en-US" w:eastAsia="zh-CN"/>
        </w:rPr>
        <w:t>（七）公开人大建议和政协提案结果。</w:t>
      </w:r>
      <w:r>
        <w:rPr>
          <w:rFonts w:hint="eastAsia" w:ascii="仿宋_GB2312" w:hAnsi="仿宋_GB2312" w:eastAsia="仿宋_GB2312" w:cs="仿宋_GB2312"/>
          <w:b w:val="0"/>
          <w:color w:val="333333"/>
          <w:sz w:val="32"/>
          <w:szCs w:val="32"/>
          <w:lang w:val="en-US" w:eastAsia="zh-CN"/>
        </w:rPr>
        <w:t>2019年度办理区政协提案5件，委员反馈满意率为100%，均通过政府网站专栏主动公开。</w:t>
      </w:r>
    </w:p>
    <w:p>
      <w:pPr>
        <w:spacing w:beforeLines="0" w:afterLines="0"/>
        <w:jc w:val="left"/>
      </w:pPr>
    </w:p>
    <w:p>
      <w:pPr>
        <w:spacing w:beforeLines="0" w:afterLines="0"/>
        <w:jc w:val="left"/>
        <w:rPr>
          <w:rFonts w:hint="eastAsia" w:ascii="仿宋_GB2312" w:hAnsi="仿宋_GB2312" w:eastAsia="仿宋_GB2312" w:cs="仿宋_GB2312"/>
          <w:color w:val="000000"/>
          <w:sz w:val="32"/>
          <w:lang w:val="en-US" w:eastAsia="zh-CN"/>
        </w:rPr>
      </w:pPr>
      <w:r>
        <w:drawing>
          <wp:inline distT="0" distB="0" distL="114300" distR="114300">
            <wp:extent cx="5608955" cy="2233930"/>
            <wp:effectExtent l="0" t="0" r="10795" b="1397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rcRect t="10597"/>
                    <a:stretch>
                      <a:fillRect/>
                    </a:stretch>
                  </pic:blipFill>
                  <pic:spPr>
                    <a:xfrm>
                      <a:off x="0" y="0"/>
                      <a:ext cx="5608955" cy="223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  <w:lang w:val="en-US" w:eastAsia="zh-CN"/>
        </w:rPr>
        <w:t>人大建议、政协提案办理</w:t>
      </w:r>
    </w:p>
    <w:p>
      <w:pPr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spacing w:beforeLines="0" w:afterLines="0"/>
        <w:ind w:firstLine="480" w:firstLineChars="200"/>
        <w:jc w:val="center"/>
        <w:rPr>
          <w:rFonts w:hint="eastAsia" w:ascii="黑体" w:hAnsi="黑体" w:eastAsia="黑体" w:cs="黑体"/>
          <w:sz w:val="24"/>
          <w:szCs w:val="24"/>
          <w:lang w:val="en-US" w:eastAsia="zh-CN"/>
        </w:rPr>
      </w:pPr>
    </w:p>
    <w:p>
      <w:pPr>
        <w:widowControl/>
        <w:numPr>
          <w:ilvl w:val="0"/>
          <w:numId w:val="0"/>
        </w:numPr>
        <w:shd w:val="clear" w:color="auto" w:fill="FFFFFF"/>
        <w:ind w:firstLine="640" w:firstLineChars="200"/>
        <w:rPr>
          <w:rFonts w:hint="default" w:ascii="黑体" w:hAnsi="黑体" w:eastAsia="黑体" w:cs="黑体"/>
          <w:b w:val="0"/>
          <w:bCs w:val="0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333333"/>
          <w:kern w:val="0"/>
          <w:sz w:val="32"/>
          <w:szCs w:val="32"/>
          <w:lang w:eastAsia="zh-CN"/>
        </w:rPr>
        <w:t>二、</w:t>
      </w:r>
      <w:r>
        <w:rPr>
          <w:rFonts w:hint="default" w:ascii="黑体" w:hAnsi="黑体" w:eastAsia="黑体" w:cs="黑体"/>
          <w:b w:val="0"/>
          <w:bCs w:val="0"/>
          <w:color w:val="333333"/>
          <w:kern w:val="0"/>
          <w:sz w:val="32"/>
          <w:szCs w:val="32"/>
        </w:rPr>
        <w:t>主动公开政府信息情况</w:t>
      </w:r>
    </w:p>
    <w:tbl>
      <w:tblPr>
        <w:tblStyle w:val="6"/>
        <w:tblW w:w="85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21"/>
        <w:gridCol w:w="2290"/>
        <w:gridCol w:w="1950"/>
        <w:gridCol w:w="187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85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2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9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85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2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9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74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5000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85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29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9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64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9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8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85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82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3829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85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6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82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  <w:jc w:val="center"/>
        </w:trPr>
        <w:tc>
          <w:tcPr>
            <w:tcW w:w="242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229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3829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</w:tbl>
    <w:p>
      <w:pPr>
        <w:rPr>
          <w:rFonts w:hint="default" w:ascii="Times New Roman" w:hAnsi="Times New Roman" w:cs="Times New Roman"/>
          <w:color w:val="333333"/>
          <w:kern w:val="0"/>
          <w:sz w:val="24"/>
        </w:rPr>
      </w:pPr>
      <w:r>
        <w:rPr>
          <w:rFonts w:hint="default" w:ascii="Times New Roman" w:hAnsi="Times New Roman" w:cs="Times New Roman"/>
          <w:color w:val="333333"/>
          <w:kern w:val="0"/>
          <w:sz w:val="24"/>
        </w:rPr>
        <w:br w:type="page"/>
      </w:r>
    </w:p>
    <w:p>
      <w:pPr>
        <w:widowControl/>
        <w:shd w:val="clear" w:color="auto" w:fill="FFFFFF"/>
        <w:ind w:firstLine="480"/>
        <w:rPr>
          <w:rFonts w:hint="default" w:ascii="Times New Roman" w:hAnsi="Times New Roman" w:cs="Times New Roman"/>
          <w:color w:val="333333"/>
          <w:kern w:val="0"/>
          <w:sz w:val="24"/>
        </w:rPr>
      </w:pPr>
    </w:p>
    <w:p>
      <w:pPr>
        <w:widowControl/>
        <w:shd w:val="clear" w:color="auto" w:fill="FFFFFF"/>
        <w:ind w:firstLine="640" w:firstLineChars="200"/>
        <w:rPr>
          <w:rFonts w:hint="eastAsia" w:ascii="黑体" w:hAnsi="黑体" w:eastAsia="黑体" w:cs="黑体"/>
          <w:b w:val="0"/>
          <w:bCs w:val="0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333333"/>
          <w:kern w:val="0"/>
          <w:sz w:val="32"/>
          <w:szCs w:val="32"/>
        </w:rPr>
        <w:t>三、收到和处理政府信息公开申请情况</w:t>
      </w:r>
    </w:p>
    <w:tbl>
      <w:tblPr>
        <w:tblStyle w:val="6"/>
        <w:tblW w:w="865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85"/>
        <w:gridCol w:w="695"/>
        <w:gridCol w:w="2312"/>
        <w:gridCol w:w="777"/>
        <w:gridCol w:w="720"/>
        <w:gridCol w:w="720"/>
        <w:gridCol w:w="857"/>
        <w:gridCol w:w="849"/>
        <w:gridCol w:w="681"/>
        <w:gridCol w:w="66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  <w:jc w:val="center"/>
        </w:trPr>
        <w:tc>
          <w:tcPr>
            <w:tcW w:w="3392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26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  <w:jc w:val="center"/>
        </w:trPr>
        <w:tc>
          <w:tcPr>
            <w:tcW w:w="3392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7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ind w:left="-199" w:leftChars="-95" w:firstLine="0" w:firstLineChars="0"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8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6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2" w:hRule="atLeast"/>
          <w:jc w:val="center"/>
        </w:trPr>
        <w:tc>
          <w:tcPr>
            <w:tcW w:w="3392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7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5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8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68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</w:t>
            </w:r>
          </w:p>
        </w:tc>
        <w:tc>
          <w:tcPr>
            <w:tcW w:w="66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339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339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385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30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eastAsia="楷体" w:cs="Times New Roman"/>
                <w:kern w:val="0"/>
                <w:sz w:val="20"/>
                <w:szCs w:val="20"/>
              </w:rPr>
              <w:t>（</w:t>
            </w:r>
            <w:r>
              <w:rPr>
                <w:rFonts w:hint="default" w:ascii="Times New Roman" w:hAnsi="Times New Roman" w:eastAsia="楷体" w:cs="Times New Roman"/>
                <w:kern w:val="0"/>
                <w:sz w:val="21"/>
                <w:szCs w:val="21"/>
              </w:rPr>
              <w:t>一）予以公开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30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（三）不予公开</w:t>
            </w: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1.属于国家秘密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w w:val="80"/>
                <w:kern w:val="0"/>
                <w:sz w:val="18"/>
                <w:szCs w:val="18"/>
              </w:rPr>
              <w:t>2.其他法律行政法规禁止公开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3.危及“三安全一稳定”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4.保护第三方合法权益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5.属于三类内部事务信息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6.属于四类过程性信息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7.属于行政执法案卷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8.属于行政查询事项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（四）无法提供</w:t>
            </w: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w w:val="80"/>
                <w:kern w:val="0"/>
                <w:sz w:val="18"/>
                <w:szCs w:val="18"/>
              </w:rPr>
              <w:t>1.本机关不掌握相关政府信息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w w:val="80"/>
                <w:kern w:val="0"/>
                <w:sz w:val="18"/>
                <w:szCs w:val="18"/>
              </w:rPr>
              <w:t>2.没有现成信息需要另行制作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w w:val="90"/>
                <w:kern w:val="0"/>
                <w:sz w:val="18"/>
                <w:szCs w:val="18"/>
              </w:rPr>
              <w:t>3.补正后申请内容仍不明确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（五）不予处理</w:t>
            </w: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1.信访举报投诉类申请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2.重复申请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3.要求提供公开出版物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w w:val="90"/>
                <w:kern w:val="0"/>
                <w:sz w:val="18"/>
                <w:szCs w:val="18"/>
              </w:rPr>
              <w:t>4.无正当理由大量反复申请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69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</w:p>
        </w:tc>
        <w:tc>
          <w:tcPr>
            <w:tcW w:w="23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5.要求行政机关确认或重新出具已获取信息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30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（六）其他处理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3" w:hRule="atLeast"/>
          <w:jc w:val="center"/>
        </w:trPr>
        <w:tc>
          <w:tcPr>
            <w:tcW w:w="385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30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</w:pPr>
            <w:r>
              <w:rPr>
                <w:rFonts w:hint="eastAsia" w:ascii="楷体_GB2312" w:hAnsi="楷体_GB2312" w:eastAsia="楷体_GB2312" w:cs="楷体_GB2312"/>
                <w:kern w:val="0"/>
                <w:sz w:val="18"/>
                <w:szCs w:val="18"/>
              </w:rPr>
              <w:t>（七）总计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  <w:jc w:val="center"/>
        </w:trPr>
        <w:tc>
          <w:tcPr>
            <w:tcW w:w="3392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7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</w:tbl>
    <w:p>
      <w:pPr>
        <w:rPr>
          <w:rFonts w:hint="default" w:ascii="Times New Roman" w:hAnsi="Times New Roman" w:cs="Times New Roman"/>
          <w:color w:val="333333"/>
          <w:kern w:val="0"/>
          <w:sz w:val="24"/>
        </w:rPr>
      </w:pPr>
      <w:r>
        <w:rPr>
          <w:rFonts w:hint="default" w:ascii="Times New Roman" w:hAnsi="Times New Roman" w:cs="Times New Roman"/>
          <w:color w:val="333333"/>
          <w:kern w:val="0"/>
          <w:sz w:val="24"/>
        </w:rPr>
        <w:br w:type="page"/>
      </w:r>
    </w:p>
    <w:p>
      <w:pPr>
        <w:widowControl/>
        <w:shd w:val="clear" w:color="auto" w:fill="FFFFFF"/>
        <w:ind w:firstLine="480"/>
        <w:rPr>
          <w:rFonts w:hint="default" w:ascii="Times New Roman" w:hAnsi="Times New Roman" w:cs="Times New Roman"/>
          <w:color w:val="333333"/>
          <w:kern w:val="0"/>
          <w:sz w:val="24"/>
        </w:rPr>
      </w:pPr>
    </w:p>
    <w:p>
      <w:pPr>
        <w:widowControl/>
        <w:shd w:val="clear" w:color="auto" w:fill="FFFFFF"/>
        <w:ind w:firstLine="640" w:firstLineChars="200"/>
        <w:rPr>
          <w:rFonts w:hint="default" w:ascii="黑体" w:hAnsi="黑体" w:eastAsia="黑体" w:cs="黑体"/>
          <w:b w:val="0"/>
          <w:bCs w:val="0"/>
          <w:color w:val="333333"/>
          <w:kern w:val="0"/>
          <w:sz w:val="32"/>
          <w:szCs w:val="32"/>
        </w:rPr>
      </w:pPr>
      <w:r>
        <w:rPr>
          <w:rFonts w:hint="default" w:ascii="黑体" w:hAnsi="黑体" w:eastAsia="黑体" w:cs="黑体"/>
          <w:b w:val="0"/>
          <w:bCs w:val="0"/>
          <w:color w:val="333333"/>
          <w:kern w:val="0"/>
          <w:sz w:val="32"/>
          <w:szCs w:val="32"/>
        </w:rPr>
        <w:t>四、政府信息公开行政复议、行政诉讼情况</w:t>
      </w:r>
    </w:p>
    <w:p>
      <w:pPr>
        <w:widowControl/>
        <w:shd w:val="clear" w:color="auto" w:fill="FFFFFF"/>
        <w:ind w:firstLine="480"/>
        <w:rPr>
          <w:rFonts w:hint="default" w:ascii="Times New Roman" w:hAnsi="Times New Roman" w:cs="Times New Roman"/>
          <w:color w:val="333333"/>
          <w:kern w:val="0"/>
          <w:sz w:val="24"/>
        </w:rPr>
      </w:pPr>
    </w:p>
    <w:tbl>
      <w:tblPr>
        <w:tblStyle w:val="6"/>
        <w:tblW w:w="8659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76"/>
        <w:gridCol w:w="576"/>
        <w:gridCol w:w="576"/>
        <w:gridCol w:w="576"/>
        <w:gridCol w:w="630"/>
        <w:gridCol w:w="524"/>
        <w:gridCol w:w="577"/>
        <w:gridCol w:w="577"/>
        <w:gridCol w:w="577"/>
        <w:gridCol w:w="580"/>
        <w:gridCol w:w="577"/>
        <w:gridCol w:w="577"/>
        <w:gridCol w:w="577"/>
        <w:gridCol w:w="578"/>
        <w:gridCol w:w="5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293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725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57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7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57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3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2835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289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5" w:hRule="atLeast"/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5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5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5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5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5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5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57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58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 w:val="24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jc w:val="center"/>
        </w:trPr>
        <w:tc>
          <w:tcPr>
            <w:tcW w:w="57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lang w:val="en-US" w:eastAsia="zh-CN"/>
              </w:rPr>
              <w:t>0</w:t>
            </w:r>
          </w:p>
        </w:tc>
      </w:tr>
    </w:tbl>
    <w:p>
      <w:pPr>
        <w:widowControl/>
        <w:shd w:val="clear" w:color="auto" w:fill="FFFFFF"/>
        <w:jc w:val="center"/>
        <w:rPr>
          <w:rFonts w:hint="default" w:ascii="Times New Roman" w:hAnsi="Times New Roman" w:cs="Times New Roman"/>
          <w:color w:val="333333"/>
          <w:kern w:val="0"/>
          <w:sz w:val="24"/>
        </w:rPr>
      </w:pPr>
    </w:p>
    <w:p>
      <w:pPr>
        <w:widowControl/>
        <w:shd w:val="clear" w:color="auto" w:fill="FFFFFF"/>
        <w:ind w:firstLine="640" w:firstLineChars="200"/>
        <w:rPr>
          <w:rFonts w:hint="default" w:ascii="黑体" w:hAnsi="黑体" w:eastAsia="黑体" w:cs="黑体"/>
          <w:b w:val="0"/>
          <w:bCs w:val="0"/>
          <w:color w:val="333333"/>
          <w:kern w:val="0"/>
          <w:sz w:val="32"/>
          <w:szCs w:val="32"/>
        </w:rPr>
      </w:pPr>
      <w:r>
        <w:rPr>
          <w:rFonts w:hint="default" w:ascii="黑体" w:hAnsi="黑体" w:eastAsia="黑体" w:cs="黑体"/>
          <w:b w:val="0"/>
          <w:bCs w:val="0"/>
          <w:color w:val="333333"/>
          <w:kern w:val="0"/>
          <w:sz w:val="32"/>
          <w:szCs w:val="32"/>
        </w:rPr>
        <w:t>五、存在的主要问题及改进情况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楷体_GB2312" w:hAnsi="楷体_GB2312" w:eastAsia="楷体_GB2312" w:cs="楷体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工作中存在的主要问题和困难</w:t>
      </w:r>
      <w:r>
        <w:rPr>
          <w:rFonts w:hint="eastAsia" w:ascii="楷体_GB2312" w:hAnsi="楷体_GB2312" w:eastAsia="楷体_GB2312" w:cs="楷体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</w:rPr>
        <w:t>201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</w:rPr>
        <w:t>年，我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  <w:lang w:eastAsia="zh-CN"/>
        </w:rPr>
        <w:t>局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</w:rPr>
        <w:t>在政府信息公开基础性工作等方面取得了新的进展，但还存在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  <w:lang w:eastAsia="zh-CN"/>
        </w:rPr>
        <w:t>政治站位高度不够、公开制度不够完善、公开形式不够丰富、</w:t>
      </w:r>
      <w:r>
        <w:rPr>
          <w:rFonts w:ascii="仿宋_GB2312" w:hAnsi="微软雅黑" w:eastAsia="仿宋_GB2312" w:cs="仿宋_GB2312"/>
          <w:color w:val="555555"/>
          <w:kern w:val="0"/>
          <w:sz w:val="32"/>
          <w:szCs w:val="32"/>
          <w:shd w:val="clear" w:fill="FFFFFF"/>
          <w:lang w:val="en-US" w:eastAsia="zh-CN" w:bidi="ar"/>
        </w:rPr>
        <w:t>开展政策解读较少，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</w:rPr>
        <w:t>个别信息公开不够及时的问题。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</w:rPr>
        <w:t>（二）具体的解决办法及改进措施</w:t>
      </w:r>
      <w:r>
        <w:rPr>
          <w:rFonts w:hint="eastAsia" w:ascii="楷体_GB2312" w:hAnsi="楷体_GB2312" w:eastAsia="楷体_GB2312" w:cs="楷体_GB2312"/>
          <w:b w:val="0"/>
          <w:bCs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</w:rPr>
        <w:t>年，我局将继续加大工作力度，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  <w:lang w:eastAsia="zh-CN"/>
        </w:rPr>
        <w:t>坚持以公开为常态，不公开为例外为基本原则，遵循公正、公平、合法、便民的基本要求，完善工作制度，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</w:rPr>
        <w:t>创新工作方法，拓宽公开渠道，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pacing w:val="0"/>
          <w:sz w:val="32"/>
          <w:szCs w:val="32"/>
          <w:shd w:val="clear" w:fill="FFFFFF"/>
          <w:lang w:eastAsia="zh-CN"/>
        </w:rPr>
        <w:t>用好新媒体，以人民群众更加喜闻乐见的形式，持续、深入、高效地推进政府信息公开工作。</w:t>
      </w:r>
    </w:p>
    <w:p>
      <w:pPr>
        <w:widowControl/>
        <w:shd w:val="clear" w:color="auto" w:fill="FFFFFF"/>
        <w:ind w:firstLine="640" w:firstLineChars="200"/>
        <w:rPr>
          <w:rFonts w:hint="default" w:ascii="黑体" w:hAnsi="黑体" w:eastAsia="黑体" w:cs="黑体"/>
          <w:b w:val="0"/>
          <w:bCs w:val="0"/>
          <w:color w:val="333333"/>
          <w:kern w:val="0"/>
          <w:sz w:val="32"/>
          <w:szCs w:val="32"/>
        </w:rPr>
      </w:pPr>
      <w:r>
        <w:rPr>
          <w:rFonts w:hint="default" w:ascii="黑体" w:hAnsi="黑体" w:eastAsia="黑体" w:cs="黑体"/>
          <w:b w:val="0"/>
          <w:bCs w:val="0"/>
          <w:color w:val="333333"/>
          <w:kern w:val="0"/>
          <w:sz w:val="32"/>
          <w:szCs w:val="32"/>
        </w:rPr>
        <w:t>六、其他需要报告的事项</w:t>
      </w:r>
    </w:p>
    <w:p>
      <w:pPr>
        <w:keepNext w:val="0"/>
        <w:keepLines w:val="0"/>
        <w:widowControl/>
        <w:suppressLineNumbers w:val="0"/>
        <w:wordWrap w:val="0"/>
        <w:autoSpaceDE w:val="0"/>
        <w:autoSpaceDN/>
        <w:spacing w:before="0" w:beforeAutospacing="0" w:after="0" w:afterAutospacing="0" w:line="560" w:lineRule="atLeast"/>
        <w:ind w:right="0" w:firstLine="640" w:firstLineChars="200"/>
        <w:jc w:val="left"/>
        <w:rPr>
          <w:rFonts w:hint="eastAsia" w:ascii="仿宋_GB2312" w:hAnsi="微软雅黑" w:eastAsia="仿宋_GB2312" w:cs="仿宋_GB2312"/>
          <w:color w:val="555555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微软雅黑" w:eastAsia="仿宋_GB2312" w:cs="仿宋_GB2312"/>
          <w:color w:val="555555"/>
          <w:kern w:val="0"/>
          <w:sz w:val="32"/>
          <w:szCs w:val="32"/>
          <w:shd w:val="clear" w:fill="FFFFFF"/>
          <w:lang w:val="en-US" w:eastAsia="zh-CN" w:bidi="ar"/>
        </w:rPr>
        <w:t>无</w:t>
      </w:r>
    </w:p>
    <w:sectPr>
      <w:pgSz w:w="11906" w:h="16838"/>
      <w:pgMar w:top="1984" w:right="1417" w:bottom="1871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FangSong_GB2312">
    <w:altName w:val="仿宋_GB2312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25655F4"/>
    <w:rsid w:val="02C70D51"/>
    <w:rsid w:val="03535AE2"/>
    <w:rsid w:val="049D3995"/>
    <w:rsid w:val="06161FDB"/>
    <w:rsid w:val="09BB2B7A"/>
    <w:rsid w:val="0AB11920"/>
    <w:rsid w:val="0AC104F6"/>
    <w:rsid w:val="0BE0022D"/>
    <w:rsid w:val="0BEB476F"/>
    <w:rsid w:val="0C1A4005"/>
    <w:rsid w:val="0C81016F"/>
    <w:rsid w:val="0CE54A0D"/>
    <w:rsid w:val="0CF777AC"/>
    <w:rsid w:val="0E054EB6"/>
    <w:rsid w:val="0E7537D8"/>
    <w:rsid w:val="0EE864E0"/>
    <w:rsid w:val="0F89399E"/>
    <w:rsid w:val="101F2093"/>
    <w:rsid w:val="10416663"/>
    <w:rsid w:val="10C95875"/>
    <w:rsid w:val="12971075"/>
    <w:rsid w:val="150D1398"/>
    <w:rsid w:val="153F46B7"/>
    <w:rsid w:val="172B6E34"/>
    <w:rsid w:val="19582DF5"/>
    <w:rsid w:val="195B52E1"/>
    <w:rsid w:val="19696186"/>
    <w:rsid w:val="1A044760"/>
    <w:rsid w:val="1AB07C36"/>
    <w:rsid w:val="1AF241FB"/>
    <w:rsid w:val="1B5D38F1"/>
    <w:rsid w:val="1BBE1E52"/>
    <w:rsid w:val="1C5927EB"/>
    <w:rsid w:val="1D69565B"/>
    <w:rsid w:val="1DEC23C9"/>
    <w:rsid w:val="20B15243"/>
    <w:rsid w:val="2152146C"/>
    <w:rsid w:val="22C27850"/>
    <w:rsid w:val="241621D7"/>
    <w:rsid w:val="26220611"/>
    <w:rsid w:val="284670EE"/>
    <w:rsid w:val="288F6F6D"/>
    <w:rsid w:val="28F87B93"/>
    <w:rsid w:val="2B9F5705"/>
    <w:rsid w:val="2E5009DC"/>
    <w:rsid w:val="2F0B23E2"/>
    <w:rsid w:val="30425D98"/>
    <w:rsid w:val="3069420D"/>
    <w:rsid w:val="322F0BDC"/>
    <w:rsid w:val="34B72DB1"/>
    <w:rsid w:val="354F4314"/>
    <w:rsid w:val="35DF12D5"/>
    <w:rsid w:val="36644647"/>
    <w:rsid w:val="37012DBC"/>
    <w:rsid w:val="382845E4"/>
    <w:rsid w:val="394A600A"/>
    <w:rsid w:val="3A7958B5"/>
    <w:rsid w:val="3CC525C8"/>
    <w:rsid w:val="3E861E30"/>
    <w:rsid w:val="40A04108"/>
    <w:rsid w:val="410E4D67"/>
    <w:rsid w:val="41B90682"/>
    <w:rsid w:val="43571114"/>
    <w:rsid w:val="46431380"/>
    <w:rsid w:val="47532B62"/>
    <w:rsid w:val="483E294A"/>
    <w:rsid w:val="4952534E"/>
    <w:rsid w:val="49E1482B"/>
    <w:rsid w:val="4C1C584D"/>
    <w:rsid w:val="4CCD027E"/>
    <w:rsid w:val="4CD442EE"/>
    <w:rsid w:val="4CDB3521"/>
    <w:rsid w:val="4F0508F0"/>
    <w:rsid w:val="4FD37522"/>
    <w:rsid w:val="510F5142"/>
    <w:rsid w:val="51884553"/>
    <w:rsid w:val="52E061D5"/>
    <w:rsid w:val="52EC36E4"/>
    <w:rsid w:val="5345291D"/>
    <w:rsid w:val="53EC6546"/>
    <w:rsid w:val="53EF0CF7"/>
    <w:rsid w:val="59F22DC5"/>
    <w:rsid w:val="5A0F5433"/>
    <w:rsid w:val="5AFC37C6"/>
    <w:rsid w:val="5B107E10"/>
    <w:rsid w:val="5B2F1D6D"/>
    <w:rsid w:val="5DDF3C5F"/>
    <w:rsid w:val="5E176F72"/>
    <w:rsid w:val="606F63FA"/>
    <w:rsid w:val="62F702D4"/>
    <w:rsid w:val="63113E65"/>
    <w:rsid w:val="6543006E"/>
    <w:rsid w:val="66AF1277"/>
    <w:rsid w:val="66B72345"/>
    <w:rsid w:val="670C632F"/>
    <w:rsid w:val="672738C2"/>
    <w:rsid w:val="67DD505B"/>
    <w:rsid w:val="68D94EF1"/>
    <w:rsid w:val="69B54C94"/>
    <w:rsid w:val="6A0F1A38"/>
    <w:rsid w:val="6AF05DA3"/>
    <w:rsid w:val="6B25384F"/>
    <w:rsid w:val="6C295F66"/>
    <w:rsid w:val="6C765DEF"/>
    <w:rsid w:val="6D3C6766"/>
    <w:rsid w:val="6D7712DE"/>
    <w:rsid w:val="6DB057E6"/>
    <w:rsid w:val="6DEB2B1C"/>
    <w:rsid w:val="6F2F51A6"/>
    <w:rsid w:val="71CC4DCA"/>
    <w:rsid w:val="72160F52"/>
    <w:rsid w:val="735040E0"/>
    <w:rsid w:val="743276C9"/>
    <w:rsid w:val="755660B2"/>
    <w:rsid w:val="759B2170"/>
    <w:rsid w:val="764969D6"/>
    <w:rsid w:val="768D17DA"/>
    <w:rsid w:val="77862D76"/>
    <w:rsid w:val="7A634565"/>
    <w:rsid w:val="7B950C28"/>
    <w:rsid w:val="7BAB5CF6"/>
    <w:rsid w:val="7DDC6BBF"/>
    <w:rsid w:val="7F6853C9"/>
    <w:rsid w:val="7FF30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240" w:lineRule="auto"/>
      <w:jc w:val="center"/>
      <w:outlineLvl w:val="0"/>
    </w:pPr>
    <w:rPr>
      <w:rFonts w:ascii="Calibri" w:hAnsi="Calibri" w:eastAsia="仿宋_GB2312" w:cs="Times New Roman"/>
      <w:kern w:val="44"/>
    </w:rPr>
  </w:style>
  <w:style w:type="paragraph" w:styleId="3">
    <w:name w:val="heading 2"/>
    <w:basedOn w:val="1"/>
    <w:next w:val="1"/>
    <w:link w:val="1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240" w:lineRule="auto"/>
      <w:outlineLvl w:val="1"/>
    </w:pPr>
    <w:rPr>
      <w:rFonts w:ascii="Arial" w:hAnsi="Arial" w:eastAsia="仿宋_GB2312" w:cs="Times New Roman"/>
      <w:b/>
      <w:sz w:val="21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rFonts w:ascii="Calibri" w:hAnsi="Calibri" w:eastAsia="仿宋_GB2312" w:cs="Times New Roman"/>
      <w:b/>
      <w:sz w:val="21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llowedHyperlink"/>
    <w:basedOn w:val="8"/>
    <w:qFormat/>
    <w:uiPriority w:val="0"/>
    <w:rPr>
      <w:color w:val="555555"/>
      <w:u w:val="none"/>
    </w:rPr>
  </w:style>
  <w:style w:type="character" w:customStyle="1" w:styleId="11">
    <w:name w:val="标题 2 Char"/>
    <w:link w:val="3"/>
    <w:qFormat/>
    <w:uiPriority w:val="0"/>
    <w:rPr>
      <w:rFonts w:ascii="Arial" w:hAnsi="Arial" w:eastAsia="仿宋_GB2312" w:cs="Times New Roman"/>
      <w:b/>
      <w:sz w:val="21"/>
    </w:rPr>
  </w:style>
  <w:style w:type="paragraph" w:customStyle="1" w:styleId="12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FangSong_GB2312" w:hAnsi="FangSong_GB2312" w:eastAsia="FangSong_GB2312" w:cs="Times New Roman"/>
      <w:color w:val="000000"/>
      <w:sz w:val="24"/>
    </w:rPr>
  </w:style>
  <w:style w:type="character" w:customStyle="1" w:styleId="13">
    <w:name w:val="current"/>
    <w:basedOn w:val="8"/>
    <w:qFormat/>
    <w:uiPriority w:val="0"/>
    <w:rPr>
      <w:color w:val="FFFFFF"/>
      <w:u w:val="none"/>
      <w:bdr w:val="single" w:color="FB6E52" w:sz="6" w:space="0"/>
      <w:shd w:val="clear" w:fill="FB6E52"/>
    </w:rPr>
  </w:style>
  <w:style w:type="character" w:customStyle="1" w:styleId="14">
    <w:name w:val="current1"/>
    <w:basedOn w:val="8"/>
    <w:qFormat/>
    <w:uiPriority w:val="0"/>
    <w:rPr>
      <w:b/>
      <w:color w:val="FFFFFF"/>
      <w:bdr w:val="single" w:color="D80D00" w:sz="6" w:space="0"/>
      <w:shd w:val="clear" w:fill="D80D00"/>
    </w:rPr>
  </w:style>
  <w:style w:type="character" w:customStyle="1" w:styleId="15">
    <w:name w:val="disabled"/>
    <w:basedOn w:val="8"/>
    <w:qFormat/>
    <w:uiPriority w:val="0"/>
    <w:rPr>
      <w:color w:val="CCCCCC"/>
      <w:bdr w:val="single" w:color="F3F3F3" w:sz="6" w:space="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牵手</cp:lastModifiedBy>
  <cp:lastPrinted>2020-01-09T03:12:00Z</cp:lastPrinted>
  <dcterms:modified xsi:type="dcterms:W3CDTF">2021-11-03T03:52:34Z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5FA35DC9832B413F96AE920AD3A937CD</vt:lpwstr>
  </property>
</Properties>
</file>