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eastAsia="方正小标宋简体"/>
          <w:color w:val="000000" w:themeColor="text1"/>
          <w:sz w:val="44"/>
          <w:szCs w:val="44"/>
          <w:lang w:eastAsia="zh-CN"/>
          <w14:textFill>
            <w14:solidFill>
              <w14:schemeClr w14:val="tx1"/>
            </w14:solidFill>
          </w14:textFill>
        </w:rPr>
      </w:pPr>
      <w:bookmarkStart w:id="0" w:name="_Hlk89165240"/>
      <w:r>
        <w:rPr>
          <w:rFonts w:hint="eastAsia" w:ascii="方正小标宋简体" w:eastAsia="方正小标宋简体"/>
          <w:color w:val="000000" w:themeColor="text1"/>
          <w:sz w:val="44"/>
          <w:szCs w:val="44"/>
          <w:lang w:eastAsia="zh-CN"/>
          <w14:textFill>
            <w14:solidFill>
              <w14:schemeClr w14:val="tx1"/>
            </w14:solidFill>
          </w14:textFill>
        </w:rPr>
        <w:t>威海市文登区医疗保障局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eastAsia="方正小标宋简体"/>
          <w:color w:val="000000" w:themeColor="text1"/>
          <w:sz w:val="44"/>
          <w:szCs w:val="44"/>
          <w14:textFill>
            <w14:solidFill>
              <w14:schemeClr w14:val="tx1"/>
            </w14:solidFill>
          </w14:textFill>
        </w:rPr>
      </w:pPr>
      <w:r>
        <w:rPr>
          <w:rFonts w:hint="eastAsia" w:ascii="方正小标宋简体" w:eastAsia="方正小标宋简体"/>
          <w:color w:val="000000" w:themeColor="text1"/>
          <w:sz w:val="44"/>
          <w:szCs w:val="44"/>
          <w:lang w:val="en-US" w:eastAsia="zh-CN"/>
          <w14:textFill>
            <w14:solidFill>
              <w14:schemeClr w14:val="tx1"/>
            </w14:solidFill>
          </w14:textFill>
        </w:rPr>
        <w:t>2022年</w:t>
      </w:r>
      <w:r>
        <w:rPr>
          <w:rFonts w:hint="eastAsia" w:ascii="方正小标宋简体" w:eastAsia="方正小标宋简体"/>
          <w:color w:val="000000" w:themeColor="text1"/>
          <w:sz w:val="44"/>
          <w:szCs w:val="44"/>
          <w14:textFill>
            <w14:solidFill>
              <w14:schemeClr w14:val="tx1"/>
            </w14:solidFill>
          </w14:textFill>
        </w:rPr>
        <w:t>政府信息公开工作年度报告</w:t>
      </w:r>
    </w:p>
    <w:bookmarkEnd w:id="0"/>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olor w:val="000000" w:themeColor="text1"/>
          <w:sz w:val="32"/>
          <w:szCs w:val="32"/>
          <w14:textFill>
            <w14:solidFill>
              <w14:schemeClr w14:val="tx1"/>
            </w14:solidFill>
          </w14:textFill>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根据《中华人民共和国政府信息公开条例》（以下简称《条例》）的规定要求，现公布威海市文登区医疗保障局2022年政府信息公开工作年度报告。</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pP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本报告中所列数据的统计期限自202</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年1月1日起至202</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年12月31日止。本报告的电子版可在威海市文登区人民政府门户网站（http://www.wendeng.gov.cn）</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政府信息公开专栏</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下载。如对</w:t>
      </w:r>
      <w:r>
        <w:rPr>
          <w:rFonts w:hint="default" w:ascii="Times New Roman" w:hAnsi="Times New Roman" w:eastAsia="仿宋_GB2312" w:cs="Times New Roman"/>
          <w:color w:val="000000" w:themeColor="text1"/>
          <w:sz w:val="32"/>
          <w:szCs w:val="32"/>
          <w14:textFill>
            <w14:solidFill>
              <w14:schemeClr w14:val="tx1"/>
            </w14:solidFill>
          </w14:textFill>
        </w:rPr>
        <w:t>本报告有任何疑问，请与威海市文登区医疗保障局办公室联系（地址：文登区世纪大</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道84号130</w:t>
      </w:r>
      <w:r>
        <w:rPr>
          <w:rFonts w:hint="eastAsia"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6</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室；邮编：264400；电话：0631</w:t>
      </w:r>
      <w:r>
        <w:rPr>
          <w:rFonts w:hint="eastAsia"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3773077）。</w:t>
      </w:r>
    </w:p>
    <w:p>
      <w:pPr>
        <w:pStyle w:val="4"/>
        <w:pageBreakBefore w:val="0"/>
        <w:widowControl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val="0"/>
          <w:color w:val="000000" w:themeColor="text1"/>
          <w:sz w:val="32"/>
          <w:szCs w:val="32"/>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一、</w:t>
      </w:r>
      <w:r>
        <w:rPr>
          <w:rFonts w:hint="eastAsia" w:ascii="黑体" w:hAnsi="黑体" w:eastAsia="黑体" w:cs="黑体"/>
          <w:b w:val="0"/>
          <w:bCs w:val="0"/>
          <w:color w:val="000000" w:themeColor="text1"/>
          <w:sz w:val="32"/>
          <w:szCs w:val="32"/>
          <w14:textFill>
            <w14:solidFill>
              <w14:schemeClr w14:val="tx1"/>
            </w14:solidFill>
          </w14:textFill>
        </w:rPr>
        <w:t>总体情况</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2022 年，文登区医疗保障局认真贯彻落实《条例》和省、市、区关于政府信息公开工作的部署要求，遵循“公开为常态、不公开为例外”的原则，创新工作思路，回应社会关切，扎实开展政府信息公开工作，不断提升政府信息公开工作力度和实效。  </w:t>
      </w:r>
    </w:p>
    <w:p>
      <w:pPr>
        <w:pageBreakBefore w:val="0"/>
        <w:widowControl w:val="0"/>
        <w:numPr>
          <w:ilvl w:val="0"/>
          <w:numId w:val="0"/>
        </w:numPr>
        <w:kinsoku/>
        <w:wordWrap/>
        <w:overflowPunct/>
        <w:topLinePunct w:val="0"/>
        <w:autoSpaceDE/>
        <w:autoSpaceDN/>
        <w:bidi w:val="0"/>
        <w:adjustRightInd/>
        <w:snapToGrid/>
        <w:spacing w:line="560" w:lineRule="exact"/>
        <w:ind w:left="630" w:leftChars="0"/>
        <w:textAlignment w:val="auto"/>
        <w:rPr>
          <w:rFonts w:hint="eastAsia" w:ascii="楷体_GB2312" w:hAnsi="楷体_GB2312" w:eastAsia="楷体_GB2312" w:cs="楷体_GB2312"/>
          <w:i w:val="0"/>
          <w:iCs w:val="0"/>
          <w:caps w:val="0"/>
          <w:color w:val="000000" w:themeColor="text1"/>
          <w:spacing w:val="0"/>
          <w:sz w:val="32"/>
          <w:szCs w:val="32"/>
          <w14:textFill>
            <w14:solidFill>
              <w14:schemeClr w14:val="tx1"/>
            </w14:solidFill>
          </w14:textFill>
        </w:rPr>
      </w:pPr>
      <w:r>
        <w:rPr>
          <w:rFonts w:hint="eastAsia" w:ascii="楷体_GB2312" w:hAnsi="楷体_GB2312" w:eastAsia="楷体_GB2312" w:cs="楷体_GB2312"/>
          <w:i w:val="0"/>
          <w:iCs w:val="0"/>
          <w:caps w:val="0"/>
          <w:color w:val="000000" w:themeColor="text1"/>
          <w:spacing w:val="0"/>
          <w:sz w:val="32"/>
          <w:szCs w:val="32"/>
          <w:shd w:val="clear" w:fill="FFFFFF"/>
          <w:lang w:eastAsia="zh-CN"/>
          <w14:textFill>
            <w14:solidFill>
              <w14:schemeClr w14:val="tx1"/>
            </w14:solidFill>
          </w14:textFill>
        </w:rPr>
        <w:t>（一）</w:t>
      </w:r>
      <w:r>
        <w:rPr>
          <w:rFonts w:hint="eastAsia" w:ascii="楷体_GB2312" w:hAnsi="楷体_GB2312" w:eastAsia="楷体_GB2312" w:cs="楷体_GB2312"/>
          <w:i w:val="0"/>
          <w:iCs w:val="0"/>
          <w:caps w:val="0"/>
          <w:color w:val="000000" w:themeColor="text1"/>
          <w:spacing w:val="0"/>
          <w:sz w:val="32"/>
          <w:szCs w:val="32"/>
          <w:shd w:val="clear" w:fill="FFFFFF"/>
          <w14:textFill>
            <w14:solidFill>
              <w14:schemeClr w14:val="tx1"/>
            </w14:solidFill>
          </w14:textFill>
        </w:rPr>
        <w:t>主动公开政府信息情况</w:t>
      </w:r>
    </w:p>
    <w:p>
      <w:pPr>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充分利用政府网站、新闻媒体、微信公众号等对外公开医保信息。完善政策解读机制，创新解读方式，针对涉及面广、关注度高的医保政策，</w:t>
      </w:r>
      <w:r>
        <w:rPr>
          <w:rFonts w:hint="eastAsia" w:ascii="仿宋_GB2312" w:hAnsi="仿宋_GB2312" w:eastAsia="仿宋_GB2312" w:cs="仿宋_GB2312"/>
          <w:sz w:val="32"/>
          <w:szCs w:val="32"/>
          <w:lang w:eastAsia="zh-CN"/>
        </w:rPr>
        <w:t>以</w:t>
      </w:r>
      <w:r>
        <w:rPr>
          <w:rFonts w:hint="eastAsia" w:ascii="仿宋_GB2312" w:hAnsi="仿宋_GB2312" w:eastAsia="仿宋_GB2312" w:cs="仿宋_GB2312"/>
          <w:sz w:val="32"/>
          <w:szCs w:val="32"/>
        </w:rPr>
        <w:t>普通</w:t>
      </w:r>
      <w:r>
        <w:rPr>
          <w:rFonts w:hint="eastAsia" w:ascii="仿宋_GB2312" w:hAnsi="仿宋_GB2312" w:eastAsia="仿宋_GB2312" w:cs="仿宋_GB2312"/>
          <w:sz w:val="32"/>
          <w:szCs w:val="32"/>
          <w:lang w:eastAsia="zh-CN"/>
        </w:rPr>
        <w:t>老百姓</w:t>
      </w:r>
      <w:r>
        <w:rPr>
          <w:rFonts w:hint="eastAsia" w:ascii="仿宋_GB2312" w:hAnsi="仿宋_GB2312" w:eastAsia="仿宋_GB2312" w:cs="仿宋_GB2312"/>
          <w:sz w:val="32"/>
          <w:szCs w:val="32"/>
        </w:rPr>
        <w:t>的立场观点</w:t>
      </w:r>
      <w:r>
        <w:rPr>
          <w:rFonts w:hint="eastAsia" w:ascii="仿宋_GB2312" w:hAnsi="仿宋_GB2312" w:eastAsia="仿宋_GB2312" w:cs="仿宋_GB2312"/>
          <w:sz w:val="32"/>
          <w:szCs w:val="32"/>
          <w:lang w:eastAsia="zh-CN"/>
        </w:rPr>
        <w:t>出发，</w:t>
      </w:r>
      <w:r>
        <w:rPr>
          <w:rFonts w:hint="eastAsia" w:ascii="仿宋_GB2312" w:hAnsi="仿宋_GB2312" w:eastAsia="仿宋_GB2312" w:cs="仿宋_GB2312"/>
          <w:sz w:val="32"/>
          <w:szCs w:val="32"/>
        </w:rPr>
        <w:t>用群众“看得懂”“易接受”的</w:t>
      </w:r>
      <w:r>
        <w:rPr>
          <w:rFonts w:hint="eastAsia" w:ascii="仿宋_GB2312" w:hAnsi="仿宋_GB2312" w:eastAsia="仿宋_GB2312" w:cs="仿宋_GB2312"/>
          <w:sz w:val="32"/>
          <w:szCs w:val="32"/>
          <w:lang w:eastAsia="zh-CN"/>
        </w:rPr>
        <w:t>语言表达，针对</w:t>
      </w:r>
      <w:r>
        <w:rPr>
          <w:rFonts w:hint="eastAsia" w:ascii="仿宋_GB2312" w:hAnsi="仿宋_GB2312" w:eastAsia="仿宋_GB2312" w:cs="仿宋_GB2312"/>
          <w:sz w:val="32"/>
          <w:szCs w:val="32"/>
        </w:rPr>
        <w:t>问题精准解读</w:t>
      </w:r>
      <w:r>
        <w:rPr>
          <w:rFonts w:hint="eastAsia" w:ascii="仿宋_GB2312" w:hAnsi="仿宋_GB2312" w:cs="仿宋_GB2312"/>
          <w:sz w:val="32"/>
          <w:szCs w:val="32"/>
          <w:lang w:val="en-US" w:eastAsia="zh-CN"/>
        </w:rPr>
        <w:t>，</w:t>
      </w:r>
      <w:r>
        <w:rPr>
          <w:rFonts w:hint="eastAsia" w:ascii="仿宋_GB2312" w:hAnsi="仿宋_GB2312" w:eastAsia="仿宋_GB2312" w:cs="仿宋_GB2312"/>
          <w:sz w:val="32"/>
          <w:szCs w:val="32"/>
          <w:lang w:val="en-US" w:eastAsia="zh-CN"/>
        </w:rPr>
        <w:t>强化政策宣传力度。</w:t>
      </w:r>
    </w:p>
    <w:p>
      <w:pPr>
        <w:pageBreakBefore w:val="0"/>
        <w:widowControl w:val="0"/>
        <w:numPr>
          <w:ilvl w:val="0"/>
          <w:numId w:val="0"/>
        </w:numPr>
        <w:kinsoku/>
        <w:wordWrap/>
        <w:overflowPunct/>
        <w:topLinePunct w:val="0"/>
        <w:autoSpaceDE/>
        <w:autoSpaceDN/>
        <w:bidi w:val="0"/>
        <w:adjustRightInd/>
        <w:snapToGrid/>
        <w:spacing w:line="560" w:lineRule="exact"/>
        <w:ind w:left="0" w:leftChars="0" w:firstLine="620" w:firstLineChars="200"/>
        <w:textAlignment w:val="auto"/>
        <w:rPr>
          <w:rFonts w:hint="eastAsia" w:ascii="楷体_GB2312" w:hAnsi="楷体_GB2312" w:eastAsia="楷体_GB2312" w:cs="楷体_GB2312"/>
          <w:i w:val="0"/>
          <w:iCs w:val="0"/>
          <w:caps w:val="0"/>
          <w:color w:val="000000" w:themeColor="text1"/>
          <w:spacing w:val="0"/>
          <w:sz w:val="32"/>
          <w:szCs w:val="32"/>
          <w:shd w:val="clear" w:fill="FFFFFF"/>
          <w:lang w:eastAsia="zh-CN"/>
          <w14:textFill>
            <w14:solidFill>
              <w14:schemeClr w14:val="tx1"/>
            </w14:solidFill>
          </w14:textFill>
        </w:rPr>
      </w:pPr>
      <w:r>
        <w:rPr>
          <w:rFonts w:hint="default" w:ascii="Times New Roman" w:hAnsi="Times New Roman" w:eastAsia="微软雅黑" w:cs="Times New Roman"/>
          <w:i w:val="0"/>
          <w:iCs w:val="0"/>
          <w:caps w:val="0"/>
          <w:color w:val="000000" w:themeColor="text1"/>
          <w:spacing w:val="0"/>
          <w:sz w:val="31"/>
          <w:szCs w:val="31"/>
          <w:shd w:val="clear" w:fill="FFFFFF"/>
          <w14:textFill>
            <w14:solidFill>
              <w14:schemeClr w14:val="tx1"/>
            </w14:solidFill>
          </w14:textFill>
        </w:rPr>
        <w:t>202</w:t>
      </w:r>
      <w:r>
        <w:rPr>
          <w:rFonts w:hint="eastAsia" w:ascii="Times New Roman" w:hAnsi="Times New Roman" w:eastAsia="微软雅黑" w:cs="Times New Roman"/>
          <w:i w:val="0"/>
          <w:iCs w:val="0"/>
          <w:caps w:val="0"/>
          <w:color w:val="000000" w:themeColor="text1"/>
          <w:spacing w:val="0"/>
          <w:sz w:val="31"/>
          <w:szCs w:val="31"/>
          <w:shd w:val="clear" w:fill="FFFFFF"/>
          <w:lang w:val="en-US" w:eastAsia="zh-CN"/>
          <w14:textFill>
            <w14:solidFill>
              <w14:schemeClr w14:val="tx1"/>
            </w14:solidFill>
          </w14:textFill>
        </w:rPr>
        <w:t>2</w:t>
      </w:r>
      <w:r>
        <w:rPr>
          <w:rFonts w:hint="default" w:ascii="Times New Roman" w:hAnsi="Times New Roman" w:eastAsia="仿宋_GB2312" w:cs="Times New Roman"/>
          <w:i w:val="0"/>
          <w:iCs w:val="0"/>
          <w:caps w:val="0"/>
          <w:color w:val="000000" w:themeColor="text1"/>
          <w:spacing w:val="0"/>
          <w:sz w:val="31"/>
          <w:szCs w:val="31"/>
          <w:shd w:val="clear" w:fill="FFFFFF"/>
          <w14:textFill>
            <w14:solidFill>
              <w14:schemeClr w14:val="tx1"/>
            </w14:solidFill>
          </w14:textFill>
        </w:rPr>
        <w:t>年</w:t>
      </w:r>
      <w:r>
        <w:rPr>
          <w:rFonts w:hint="eastAsia" w:ascii="Times New Roman" w:hAnsi="Times New Roman" w:eastAsia="仿宋_GB2312" w:cs="Times New Roman"/>
          <w:i w:val="0"/>
          <w:iCs w:val="0"/>
          <w:caps w:val="0"/>
          <w:color w:val="000000" w:themeColor="text1"/>
          <w:spacing w:val="0"/>
          <w:sz w:val="31"/>
          <w:szCs w:val="31"/>
          <w:shd w:val="clear" w:fill="FFFFFF"/>
          <w:lang w:eastAsia="zh-CN"/>
          <w14:textFill>
            <w14:solidFill>
              <w14:schemeClr w14:val="tx1"/>
            </w14:solidFill>
          </w14:textFill>
        </w:rPr>
        <w:t>度</w:t>
      </w:r>
      <w:r>
        <w:rPr>
          <w:rFonts w:hint="default" w:ascii="Times New Roman" w:hAnsi="Times New Roman" w:eastAsia="仿宋_GB2312" w:cs="Times New Roman"/>
          <w:i w:val="0"/>
          <w:iCs w:val="0"/>
          <w:caps w:val="0"/>
          <w:color w:val="000000" w:themeColor="text1"/>
          <w:spacing w:val="0"/>
          <w:sz w:val="31"/>
          <w:szCs w:val="31"/>
          <w:shd w:val="clear" w:fill="FFFFFF"/>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1"/>
          <w:szCs w:val="31"/>
          <w:shd w:val="clear" w:fill="FFFFFF"/>
          <w:lang w:eastAsia="zh-CN"/>
          <w14:textFill>
            <w14:solidFill>
              <w14:schemeClr w14:val="tx1"/>
            </w14:solidFill>
          </w14:textFill>
        </w:rPr>
        <w:t>我局</w:t>
      </w:r>
      <w:r>
        <w:rPr>
          <w:rFonts w:hint="default" w:ascii="Times New Roman" w:hAnsi="Times New Roman" w:eastAsia="仿宋_GB2312" w:cs="Times New Roman"/>
          <w:i w:val="0"/>
          <w:iCs w:val="0"/>
          <w:caps w:val="0"/>
          <w:color w:val="000000" w:themeColor="text1"/>
          <w:spacing w:val="0"/>
          <w:sz w:val="31"/>
          <w:szCs w:val="31"/>
          <w:shd w:val="clear" w:fill="FFFFFF"/>
          <w14:textFill>
            <w14:solidFill>
              <w14:schemeClr w14:val="tx1"/>
            </w14:solidFill>
          </w14:textFill>
        </w:rPr>
        <w:t>通过威海市文登区政府网站信息公开专栏发布</w:t>
      </w:r>
      <w:r>
        <w:rPr>
          <w:rFonts w:hint="default" w:ascii="Times New Roman" w:hAnsi="Times New Roman" w:eastAsia="仿宋_GB2312" w:cs="Times New Roman"/>
          <w:i w:val="0"/>
          <w:iCs w:val="0"/>
          <w:caps w:val="0"/>
          <w:color w:val="auto"/>
          <w:spacing w:val="0"/>
          <w:sz w:val="31"/>
          <w:szCs w:val="31"/>
          <w:shd w:val="clear" w:fill="FFFFFF"/>
        </w:rPr>
        <w:t>各类工作动态、政策文件、</w:t>
      </w:r>
      <w:r>
        <w:rPr>
          <w:rFonts w:hint="default" w:ascii="Times New Roman" w:hAnsi="Times New Roman" w:eastAsia="仿宋_GB2312" w:cs="Times New Roman"/>
          <w:i w:val="0"/>
          <w:iCs w:val="0"/>
          <w:caps w:val="0"/>
          <w:color w:val="auto"/>
          <w:spacing w:val="0"/>
          <w:sz w:val="31"/>
          <w:szCs w:val="31"/>
          <w:u w:val="none"/>
          <w:shd w:val="clear" w:fill="FFFFFF"/>
        </w:rPr>
        <w:t>公示公告等信息共</w:t>
      </w:r>
      <w:r>
        <w:rPr>
          <w:rFonts w:hint="eastAsia" w:ascii="微软雅黑" w:hAnsi="微软雅黑" w:eastAsia="微软雅黑" w:cs="微软雅黑"/>
          <w:i w:val="0"/>
          <w:iCs w:val="0"/>
          <w:caps w:val="0"/>
          <w:color w:val="auto"/>
          <w:spacing w:val="0"/>
          <w:kern w:val="0"/>
          <w:sz w:val="27"/>
          <w:szCs w:val="27"/>
          <w:u w:val="none"/>
          <w:shd w:val="clear" w:fill="FFFFFF"/>
          <w:lang w:val="en-US" w:eastAsia="zh-CN" w:bidi="ar"/>
        </w:rPr>
        <w:t>133</w:t>
      </w:r>
      <w:r>
        <w:rPr>
          <w:rFonts w:hint="default" w:ascii="Times New Roman" w:hAnsi="Times New Roman" w:eastAsia="仿宋_GB2312" w:cs="Times New Roman"/>
          <w:i w:val="0"/>
          <w:iCs w:val="0"/>
          <w:caps w:val="0"/>
          <w:color w:val="auto"/>
          <w:spacing w:val="0"/>
          <w:sz w:val="31"/>
          <w:szCs w:val="31"/>
          <w:u w:val="none"/>
          <w:shd w:val="clear" w:fill="FFFFFF"/>
        </w:rPr>
        <w:t>条，</w:t>
      </w:r>
      <w:r>
        <w:rPr>
          <w:rFonts w:hint="default" w:ascii="Times New Roman" w:hAnsi="Times New Roman" w:eastAsia="仿宋_GB2312" w:cs="Times New Roman"/>
          <w:i w:val="0"/>
          <w:iCs w:val="0"/>
          <w:caps w:val="0"/>
          <w:color w:val="auto"/>
          <w:spacing w:val="0"/>
          <w:sz w:val="32"/>
          <w:szCs w:val="32"/>
          <w:shd w:val="clear" w:fill="FFFFFF"/>
        </w:rPr>
        <w:t>及时、全面、有效地主动公开政府信息。</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6"/>
        <w:jc w:val="both"/>
        <w:textAlignment w:val="auto"/>
        <w:rPr>
          <w:rFonts w:hint="eastAsia" w:ascii="楷体_GB2312" w:hAnsi="楷体_GB2312" w:eastAsia="楷体_GB2312" w:cs="楷体_GB2312"/>
          <w:i w:val="0"/>
          <w:iCs w:val="0"/>
          <w:caps w:val="0"/>
          <w:color w:val="000000" w:themeColor="text1"/>
          <w:spacing w:val="0"/>
          <w:sz w:val="32"/>
          <w:szCs w:val="32"/>
          <w:shd w:val="clear" w:fill="FFFFFF"/>
          <w14:textFill>
            <w14:solidFill>
              <w14:schemeClr w14:val="tx1"/>
            </w14:solidFill>
          </w14:textFill>
        </w:rPr>
      </w:pPr>
      <w:r>
        <w:rPr>
          <w:rFonts w:hint="eastAsia" w:ascii="楷体_GB2312" w:hAnsi="楷体_GB2312" w:eastAsia="楷体_GB2312" w:cs="楷体_GB2312"/>
          <w:i w:val="0"/>
          <w:iCs w:val="0"/>
          <w:caps w:val="0"/>
          <w:color w:val="000000" w:themeColor="text1"/>
          <w:spacing w:val="0"/>
          <w:sz w:val="32"/>
          <w:szCs w:val="32"/>
          <w:shd w:val="clear" w:fill="FFFFFF"/>
          <w14:textFill>
            <w14:solidFill>
              <w14:schemeClr w14:val="tx1"/>
            </w14:solidFill>
          </w14:textFill>
        </w:rPr>
        <w:t>（二）依申请公开政府信息情况</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6"/>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2022年，我局</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未收到政府信息公开申请。本年度我局无行政复议、行政诉讼情况。</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drawing>
          <wp:inline distT="0" distB="0" distL="114300" distR="114300">
            <wp:extent cx="5611495" cy="4019550"/>
            <wp:effectExtent l="0" t="0" r="8255" b="0"/>
            <wp:docPr id="2" name="图片 2" descr="依申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依申请"/>
                    <pic:cNvPicPr>
                      <a:picLocks noChangeAspect="1"/>
                    </pic:cNvPicPr>
                  </pic:nvPicPr>
                  <pic:blipFill>
                    <a:blip r:embed="rId5"/>
                    <a:stretch>
                      <a:fillRect/>
                    </a:stretch>
                  </pic:blipFill>
                  <pic:spPr>
                    <a:xfrm>
                      <a:off x="0" y="0"/>
                      <a:ext cx="5611495" cy="4019550"/>
                    </a:xfrm>
                    <a:prstGeom prst="rect">
                      <a:avLst/>
                    </a:prstGeom>
                  </pic:spPr>
                </pic:pic>
              </a:graphicData>
            </a:graphic>
          </wp:inline>
        </w:drawing>
      </w:r>
    </w:p>
    <w:p>
      <w:pPr>
        <w:pStyle w:val="7"/>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楷体_GB2312" w:hAnsi="楷体_GB2312" w:eastAsia="楷体_GB2312" w:cs="楷体_GB2312"/>
          <w:i w:val="0"/>
          <w:iCs w:val="0"/>
          <w:caps w:val="0"/>
          <w:color w:val="000000" w:themeColor="text1"/>
          <w:spacing w:val="0"/>
          <w:sz w:val="32"/>
          <w:szCs w:val="32"/>
          <w:shd w:val="clear" w:fill="FFFFFF"/>
          <w14:textFill>
            <w14:solidFill>
              <w14:schemeClr w14:val="tx1"/>
            </w14:solidFill>
          </w14:textFill>
        </w:rPr>
      </w:pPr>
      <w:r>
        <w:rPr>
          <w:rFonts w:hint="eastAsia" w:ascii="楷体_GB2312" w:hAnsi="楷体_GB2312" w:eastAsia="楷体_GB2312" w:cs="楷体_GB2312"/>
          <w:i w:val="0"/>
          <w:iCs w:val="0"/>
          <w:caps w:val="0"/>
          <w:color w:val="000000" w:themeColor="text1"/>
          <w:spacing w:val="0"/>
          <w:sz w:val="32"/>
          <w:szCs w:val="32"/>
          <w:shd w:val="clear" w:fill="FFFFFF"/>
          <w14:textFill>
            <w14:solidFill>
              <w14:schemeClr w14:val="tx1"/>
            </w14:solidFill>
          </w14:textFill>
        </w:rPr>
        <w:t>政府信息管理情况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我局</w:t>
      </w:r>
      <w:r>
        <w:rPr>
          <w:rFonts w:hint="default" w:ascii="仿宋_GB2312" w:hAnsi="仿宋_GB2312" w:eastAsia="仿宋_GB2312" w:cs="仿宋_GB2312"/>
          <w:color w:val="000000" w:themeColor="text1"/>
          <w:sz w:val="32"/>
          <w:szCs w:val="32"/>
          <w:lang w:eastAsia="zh-CN"/>
          <w14:textFill>
            <w14:solidFill>
              <w14:schemeClr w14:val="tx1"/>
            </w14:solidFill>
          </w14:textFill>
        </w:rPr>
        <w:t>高度重视政府信息公开工作，</w:t>
      </w:r>
      <w:r>
        <w:rPr>
          <w:rFonts w:hint="eastAsia" w:ascii="仿宋_GB2312" w:hAnsi="仿宋_GB2312" w:eastAsia="仿宋_GB2312" w:cs="仿宋_GB2312"/>
          <w:color w:val="000000" w:themeColor="text1"/>
          <w:sz w:val="32"/>
          <w:szCs w:val="32"/>
          <w:lang w:eastAsia="zh-CN"/>
          <w14:textFill>
            <w14:solidFill>
              <w14:schemeClr w14:val="tx1"/>
            </w14:solidFill>
          </w14:textFill>
        </w:rPr>
        <w:t>对政府信息进行全生命周期管理，及时、准确、全面发布政府信息；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建立健全信息公开保密审查机制，遵循“先审查后公开”“谁公开谁审查、谁审查谁负责”的原则，</w:t>
      </w:r>
      <w:r>
        <w:rPr>
          <w:rFonts w:hint="default" w:ascii="仿宋_GB2312" w:hAnsi="仿宋_GB2312" w:eastAsia="仿宋_GB2312" w:cs="仿宋_GB2312"/>
          <w:color w:val="000000" w:themeColor="text1"/>
          <w:sz w:val="32"/>
          <w:szCs w:val="32"/>
          <w:lang w:eastAsia="zh-CN"/>
          <w14:textFill>
            <w14:solidFill>
              <w14:schemeClr w14:val="tx1"/>
            </w14:solidFill>
          </w14:textFill>
        </w:rPr>
        <w:t>确保信息发布严密准确。</w:t>
      </w:r>
      <w:r>
        <w:rPr>
          <w:rFonts w:hint="eastAsia"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本</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年度</w:t>
      </w:r>
      <w:r>
        <w:rPr>
          <w:rFonts w:hint="eastAsia" w:ascii="仿宋_GB2312" w:hAnsi="仿宋_GB2312" w:eastAsia="仿宋_GB2312" w:cs="仿宋_GB2312"/>
          <w:color w:val="000000" w:themeColor="text1"/>
          <w:sz w:val="32"/>
          <w:szCs w:val="32"/>
          <w:lang w:eastAsia="zh-CN"/>
          <w14:textFill>
            <w14:solidFill>
              <w14:schemeClr w14:val="tx1"/>
            </w14:solidFill>
          </w14:textFill>
        </w:rPr>
        <w:t>未制定规范性文件。</w:t>
      </w:r>
    </w:p>
    <w:p>
      <w:pPr>
        <w:pStyle w:val="7"/>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630" w:leftChars="0" w:right="0" w:rightChars="0"/>
        <w:jc w:val="both"/>
        <w:textAlignment w:val="auto"/>
        <w:rPr>
          <w:rFonts w:hint="eastAsia" w:ascii="楷体_GB2312" w:hAnsi="楷体_GB2312" w:eastAsia="楷体_GB2312" w:cs="楷体_GB2312"/>
          <w:b w:val="0"/>
          <w:bCs w:val="0"/>
          <w:color w:val="000000" w:themeColor="text1"/>
          <w:sz w:val="32"/>
          <w:szCs w:val="32"/>
          <w14:textFill>
            <w14:solidFill>
              <w14:schemeClr w14:val="tx1"/>
            </w14:solidFill>
          </w14:textFill>
        </w:rPr>
      </w:pPr>
      <w:r>
        <w:rPr>
          <w:rFonts w:hint="eastAsia" w:ascii="楷体_GB2312" w:hAnsi="楷体_GB2312" w:eastAsia="楷体_GB2312" w:cs="楷体_GB2312"/>
          <w:b w:val="0"/>
          <w:bCs w:val="0"/>
          <w:color w:val="000000" w:themeColor="text1"/>
          <w:sz w:val="32"/>
          <w:szCs w:val="32"/>
          <w:lang w:eastAsia="zh-CN"/>
          <w14:textFill>
            <w14:solidFill>
              <w14:schemeClr w14:val="tx1"/>
            </w14:solidFill>
          </w14:textFill>
        </w:rPr>
        <w:t>（四）</w:t>
      </w:r>
      <w:r>
        <w:rPr>
          <w:rFonts w:hint="eastAsia" w:ascii="楷体_GB2312" w:hAnsi="楷体_GB2312" w:eastAsia="楷体_GB2312" w:cs="楷体_GB2312"/>
          <w:b w:val="0"/>
          <w:bCs w:val="0"/>
          <w:color w:val="000000" w:themeColor="text1"/>
          <w:sz w:val="32"/>
          <w:szCs w:val="32"/>
          <w14:textFill>
            <w14:solidFill>
              <w14:schemeClr w14:val="tx1"/>
            </w14:solidFill>
          </w14:textFill>
        </w:rPr>
        <w:t>政府信息公开平台建设</w:t>
      </w:r>
    </w:p>
    <w:p>
      <w:pPr>
        <w:pStyle w:val="7"/>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依托威海市文登区人民政府</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门户网站</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w:t>
      </w:r>
      <w:r>
        <w:rPr>
          <w:rFonts w:hint="eastAsia"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及时更新医保相关栏目内容；充分发挥政务新媒体优势，利用“</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文登医保</w:t>
      </w:r>
      <w:r>
        <w:rPr>
          <w:rFonts w:hint="eastAsia"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微信公众号，</w:t>
      </w:r>
      <w:r>
        <w:rPr>
          <w:rFonts w:hint="eastAsia"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全年</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累计发布</w:t>
      </w:r>
      <w:r>
        <w:rPr>
          <w:rFonts w:hint="eastAsia"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微信公众号</w:t>
      </w:r>
      <w:r>
        <w:rPr>
          <w:rFonts w:hint="eastAsia"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300</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多</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条</w:t>
      </w:r>
      <w:r>
        <w:rPr>
          <w:rFonts w:hint="eastAsia"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，医保动态公众号110余条，阅读量</w:t>
      </w:r>
      <w:r>
        <w:rPr>
          <w:rFonts w:hint="eastAsia" w:ascii="Times New Roman" w:hAnsi="Times New Roman" w:eastAsia="仿宋_GB2312" w:cs="Times New Roman"/>
          <w:i w:val="0"/>
          <w:iCs w:val="0"/>
          <w:caps w:val="0"/>
          <w:color w:val="000000" w:themeColor="text1"/>
          <w:spacing w:val="0"/>
          <w:sz w:val="32"/>
          <w:szCs w:val="32"/>
          <w:u w:val="none"/>
          <w:shd w:val="clear" w:fill="FFFFFF"/>
          <w:lang w:val="en-US" w:eastAsia="zh-CN"/>
          <w14:textFill>
            <w14:solidFill>
              <w14:schemeClr w14:val="tx1"/>
            </w14:solidFill>
          </w14:textFill>
        </w:rPr>
        <w:t>36</w:t>
      </w:r>
      <w:r>
        <w:rPr>
          <w:rFonts w:hint="eastAsia"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万余次</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。本年度，我局共召开新闻发布会</w:t>
      </w:r>
      <w:r>
        <w:rPr>
          <w:rFonts w:hint="eastAsia"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5</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次，</w:t>
      </w:r>
      <w:r>
        <w:rPr>
          <w:rFonts w:hint="eastAsia" w:ascii="仿宋_GB2312" w:hAnsi="仿宋_GB2312" w:eastAsia="仿宋_GB2312" w:cs="仿宋_GB2312"/>
          <w:sz w:val="32"/>
          <w:szCs w:val="32"/>
          <w:lang w:val="en-US" w:eastAsia="zh-CN"/>
        </w:rPr>
        <w:t>解读医保热点问题，回应社会关切。</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参加民生访谈、行风热线，举办政府开放日活动，</w:t>
      </w:r>
      <w:r>
        <w:rPr>
          <w:rFonts w:hint="eastAsia"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组织医保宣讲团镇街宣讲，发放医保政策宣传包，各种途径宣传医保政策，</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加大政府信息公开力度，提高政府信息公开的广度、深度。</w:t>
      </w:r>
    </w:p>
    <w:p>
      <w:pPr>
        <w:pStyle w:val="7"/>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000000" w:themeColor="text1"/>
          <w:spacing w:val="0"/>
          <w:sz w:val="32"/>
          <w:szCs w:val="32"/>
          <w:shd w:val="clear" w:fill="FFFFFF"/>
          <w14:textFill>
            <w14:solidFill>
              <w14:schemeClr w14:val="tx1"/>
            </w14:solidFill>
          </w14:textFill>
        </w:rPr>
      </w:pPr>
      <w:r>
        <w:rPr>
          <w:rFonts w:hint="eastAsia" w:ascii="楷体_GB2312" w:hAnsi="楷体_GB2312" w:eastAsia="楷体_GB2312" w:cs="楷体_GB2312"/>
          <w:i w:val="0"/>
          <w:iCs w:val="0"/>
          <w:caps w:val="0"/>
          <w:color w:val="000000" w:themeColor="text1"/>
          <w:spacing w:val="0"/>
          <w:sz w:val="32"/>
          <w:szCs w:val="32"/>
          <w:shd w:val="clear" w:fill="FFFFFF"/>
          <w14:textFill>
            <w14:solidFill>
              <w14:schemeClr w14:val="tx1"/>
            </w14:solidFill>
          </w14:textFill>
        </w:rPr>
        <w:t>（五）监督保障情况</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pPr>
      <w:r>
        <w:rPr>
          <w:rFonts w:hint="default" w:ascii="Times New Roman" w:hAnsi="Times New Roman" w:eastAsia="仿宋_GB2312" w:cs="Times New Roman"/>
          <w:color w:val="auto"/>
          <w:sz w:val="32"/>
          <w:szCs w:val="32"/>
          <w:highlight w:val="none"/>
          <w:lang w:val="en-US" w:eastAsia="zh-CN"/>
        </w:rPr>
        <w:t>威海市文登区</w:t>
      </w:r>
      <w:r>
        <w:rPr>
          <w:rFonts w:hint="eastAsia" w:ascii="Times New Roman" w:hAnsi="Times New Roman" w:eastAsia="仿宋_GB2312" w:cs="Times New Roman"/>
          <w:color w:val="auto"/>
          <w:sz w:val="32"/>
          <w:szCs w:val="32"/>
          <w:highlight w:val="none"/>
          <w:lang w:val="en-US" w:eastAsia="zh-CN"/>
        </w:rPr>
        <w:t>医疗保障</w:t>
      </w:r>
      <w:r>
        <w:rPr>
          <w:rFonts w:hint="default" w:ascii="Times New Roman" w:hAnsi="Times New Roman" w:eastAsia="仿宋_GB2312" w:cs="Times New Roman"/>
          <w:color w:val="auto"/>
          <w:sz w:val="32"/>
          <w:szCs w:val="32"/>
          <w:highlight w:val="none"/>
          <w:lang w:val="en-US" w:eastAsia="zh-CN"/>
        </w:rPr>
        <w:t>局政府信息公开工作机构和申请受理机构为局办公室，</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安</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排1名</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办</w:t>
      </w:r>
      <w:r>
        <w:rPr>
          <w:rFonts w:hint="eastAsia"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公室</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工作人员负责政府信息公开工作</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，各科室协调配合；拟定年度政府信息公开培训计划，组织人员培训，提高工作人员政府信息公开工作水平；</w:t>
      </w:r>
      <w:r>
        <w:rPr>
          <w:rFonts w:hint="default" w:ascii="Times New Roman" w:hAnsi="Times New Roman" w:eastAsia="仿宋_GB2312" w:cs="Times New Roman"/>
          <w:sz w:val="32"/>
          <w:szCs w:val="32"/>
        </w:rPr>
        <w:t>积极落实政府信息公开工作考核制度，将相关考核结果纳入年度考核内容</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2022年，我局</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政务公开工作未出现投诉、举报等情况。</w:t>
      </w:r>
    </w:p>
    <w:p>
      <w:pPr>
        <w:pStyle w:val="4"/>
        <w:pageBreakBefore w:val="0"/>
        <w:widowControl w:val="0"/>
        <w:numPr>
          <w:ilvl w:val="0"/>
          <w:numId w:val="2"/>
        </w:numPr>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val="0"/>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主动公开政府信息情况</w:t>
      </w:r>
    </w:p>
    <w:p>
      <w:pPr>
        <w:numPr>
          <w:ilvl w:val="0"/>
          <w:numId w:val="0"/>
        </w:numPr>
        <w:jc w:val="center"/>
        <w:rPr>
          <w:rFonts w:hint="eastAsia"/>
          <w:lang w:eastAsia="zh-CN"/>
        </w:rPr>
      </w:pPr>
      <w:bookmarkStart w:id="1" w:name="_GoBack"/>
      <w:bookmarkEnd w:id="1"/>
      <w:r>
        <w:rPr>
          <w:rFonts w:hint="eastAsia"/>
          <w:lang w:eastAsia="zh-CN"/>
        </w:rPr>
        <w:drawing>
          <wp:inline distT="0" distB="0" distL="114300" distR="114300">
            <wp:extent cx="5612130" cy="5227320"/>
            <wp:effectExtent l="0" t="0" r="7620" b="11430"/>
            <wp:docPr id="3" name="图片 3" descr="QQ浏览器截图20230116105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QQ浏览器截图20230116105315"/>
                    <pic:cNvPicPr>
                      <a:picLocks noChangeAspect="1"/>
                    </pic:cNvPicPr>
                  </pic:nvPicPr>
                  <pic:blipFill>
                    <a:blip r:embed="rId6"/>
                    <a:stretch>
                      <a:fillRect/>
                    </a:stretch>
                  </pic:blipFill>
                  <pic:spPr>
                    <a:xfrm>
                      <a:off x="0" y="0"/>
                      <a:ext cx="5612130" cy="5227320"/>
                    </a:xfrm>
                    <a:prstGeom prst="rect">
                      <a:avLst/>
                    </a:prstGeom>
                  </pic:spPr>
                </pic:pic>
              </a:graphicData>
            </a:graphic>
          </wp:inline>
        </w:drawing>
      </w:r>
    </w:p>
    <w:p>
      <w:pPr>
        <w:pageBreakBefore w:val="0"/>
        <w:widowControl w:val="0"/>
        <w:kinsoku/>
        <w:wordWrap/>
        <w:overflowPunct/>
        <w:topLinePunct w:val="0"/>
        <w:autoSpaceDE/>
        <w:autoSpaceDN/>
        <w:bidi w:val="0"/>
        <w:adjustRightInd/>
        <w:snapToGrid/>
        <w:textAlignment w:val="auto"/>
        <w:rPr>
          <w:rFonts w:ascii="仿宋_GB2312" w:eastAsia="仿宋_GB2312"/>
          <w:color w:val="000000" w:themeColor="text1"/>
          <w:sz w:val="32"/>
          <w:szCs w:val="32"/>
          <w14:textFill>
            <w14:solidFill>
              <w14:schemeClr w14:val="tx1"/>
            </w14:solidFill>
          </w14:textFill>
        </w:rPr>
        <w:sectPr>
          <w:footerReference r:id="rId3" w:type="default"/>
          <w:pgSz w:w="11906" w:h="16838"/>
          <w:pgMar w:top="2098" w:right="1531" w:bottom="2098" w:left="1531" w:header="851" w:footer="992" w:gutter="0"/>
          <w:cols w:space="0" w:num="1"/>
          <w:rtlGutter w:val="0"/>
          <w:docGrid w:type="lines" w:linePitch="312" w:charSpace="0"/>
        </w:sectPr>
      </w:pPr>
    </w:p>
    <w:p>
      <w:pPr>
        <w:pStyle w:val="4"/>
        <w:pageBreakBefore w:val="0"/>
        <w:widowControl w:val="0"/>
        <w:numPr>
          <w:ilvl w:val="0"/>
          <w:numId w:val="2"/>
        </w:numPr>
        <w:kinsoku/>
        <w:wordWrap/>
        <w:overflowPunct/>
        <w:topLinePunct w:val="0"/>
        <w:autoSpaceDE/>
        <w:autoSpaceDN/>
        <w:bidi w:val="0"/>
        <w:adjustRightInd/>
        <w:snapToGrid/>
        <w:spacing w:before="0" w:after="0" w:line="560" w:lineRule="exact"/>
        <w:ind w:left="0" w:leftChars="0" w:firstLine="640" w:firstLineChars="200"/>
        <w:textAlignment w:val="auto"/>
        <w:rPr>
          <w:rFonts w:hint="eastAsia" w:ascii="黑体" w:hAnsi="黑体" w:eastAsia="黑体" w:cs="黑体"/>
          <w:b w:val="0"/>
          <w:bCs w:val="0"/>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收到和处理政府信息公开申请情况</w:t>
      </w:r>
    </w:p>
    <w:p>
      <w:pPr>
        <w:numPr>
          <w:ilvl w:val="0"/>
          <w:numId w:val="0"/>
        </w:numPr>
        <w:jc w:val="center"/>
        <w:rPr>
          <w:rFonts w:hint="default"/>
          <w:lang w:val="en-US" w:eastAsia="zh-CN"/>
        </w:rPr>
      </w:pPr>
      <w:r>
        <w:rPr>
          <w:rFonts w:hint="default"/>
          <w:lang w:val="en-US" w:eastAsia="zh-CN"/>
        </w:rPr>
        <w:drawing>
          <wp:inline distT="0" distB="0" distL="114300" distR="114300">
            <wp:extent cx="5628640" cy="8103870"/>
            <wp:effectExtent l="0" t="0" r="10160" b="11430"/>
            <wp:docPr id="4" name="图片 4" descr="C:\Users\Administrator\Desktop\2022年年报\QQ浏览器截图20230117113205.pngQQ浏览器截图20230117113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C:\Users\Administrator\Desktop\2022年年报\QQ浏览器截图20230117113205.pngQQ浏览器截图20230117113205"/>
                    <pic:cNvPicPr>
                      <a:picLocks noChangeAspect="1"/>
                    </pic:cNvPicPr>
                  </pic:nvPicPr>
                  <pic:blipFill>
                    <a:blip r:embed="rId7"/>
                    <a:srcRect/>
                    <a:stretch>
                      <a:fillRect/>
                    </a:stretch>
                  </pic:blipFill>
                  <pic:spPr>
                    <a:xfrm>
                      <a:off x="0" y="0"/>
                      <a:ext cx="5628640" cy="8103870"/>
                    </a:xfrm>
                    <a:prstGeom prst="rect">
                      <a:avLst/>
                    </a:prstGeom>
                  </pic:spPr>
                </pic:pic>
              </a:graphicData>
            </a:graphic>
          </wp:inline>
        </w:drawing>
      </w:r>
    </w:p>
    <w:p>
      <w:pPr>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olor w:val="000000" w:themeColor="text1"/>
          <w:sz w:val="32"/>
          <w:szCs w:val="32"/>
          <w:lang w:eastAsia="zh-CN"/>
          <w14:textFill>
            <w14:solidFill>
              <w14:schemeClr w14:val="tx1"/>
            </w14:solidFill>
          </w14:textFill>
        </w:rPr>
      </w:pPr>
      <w:r>
        <w:rPr>
          <w:rFonts w:hint="eastAsia" w:ascii="黑体" w:hAnsi="黑体" w:eastAsia="黑体"/>
          <w:color w:val="000000" w:themeColor="text1"/>
          <w:sz w:val="32"/>
          <w:szCs w:val="32"/>
          <w:lang w:eastAsia="zh-CN"/>
          <w14:textFill>
            <w14:solidFill>
              <w14:schemeClr w14:val="tx1"/>
            </w14:solidFill>
          </w14:textFill>
        </w:rPr>
        <w:t>因政府信息公开工作被申请行政复议、提起行政诉讼情况</w:t>
      </w:r>
    </w:p>
    <w:p>
      <w:pPr>
        <w:pStyle w:val="2"/>
        <w:numPr>
          <w:ilvl w:val="0"/>
          <w:numId w:val="0"/>
        </w:numPr>
        <w:rPr>
          <w:rFonts w:hint="eastAsia"/>
          <w:lang w:eastAsia="zh-CN"/>
        </w:rPr>
      </w:pPr>
      <w:r>
        <w:rPr>
          <w:rFonts w:hint="eastAsia"/>
          <w:lang w:eastAsia="zh-CN"/>
        </w:rPr>
        <w:drawing>
          <wp:inline distT="0" distB="0" distL="114300" distR="114300">
            <wp:extent cx="5608955" cy="1601470"/>
            <wp:effectExtent l="0" t="0" r="10795" b="17780"/>
            <wp:docPr id="5" name="图片 5" descr="QQ浏览器截图20230116105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QQ浏览器截图20230116105935"/>
                    <pic:cNvPicPr>
                      <a:picLocks noChangeAspect="1"/>
                    </pic:cNvPicPr>
                  </pic:nvPicPr>
                  <pic:blipFill>
                    <a:blip r:embed="rId8"/>
                    <a:stretch>
                      <a:fillRect/>
                    </a:stretch>
                  </pic:blipFill>
                  <pic:spPr>
                    <a:xfrm>
                      <a:off x="0" y="0"/>
                      <a:ext cx="5608955" cy="1601470"/>
                    </a:xfrm>
                    <a:prstGeom prst="rect">
                      <a:avLst/>
                    </a:prstGeom>
                  </pic:spPr>
                </pic:pic>
              </a:graphicData>
            </a:graphic>
          </wp:inline>
        </w:drawing>
      </w:r>
    </w:p>
    <w:p>
      <w:pPr>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五、存在的主要问题及改进情况</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pPr>
      <w:r>
        <w:rPr>
          <w:rFonts w:hint="default" w:ascii="Times New Roman" w:hAnsi="Times New Roman" w:eastAsia="楷体_GB2312" w:cs="Times New Roman"/>
          <w:color w:val="auto"/>
          <w:sz w:val="32"/>
          <w:szCs w:val="32"/>
          <w:highlight w:val="none"/>
          <w:lang w:val="en-US" w:eastAsia="zh-CN"/>
        </w:rPr>
        <w:t>（一）工作中存在的主要问题和困难</w:t>
      </w:r>
      <w:r>
        <w:rPr>
          <w:rFonts w:hint="eastAsia" w:ascii="仿宋_GB2312" w:hAnsi="仿宋_GB2312" w:eastAsia="仿宋_GB2312" w:cs="仿宋_GB2312"/>
          <w:color w:val="auto"/>
          <w:sz w:val="32"/>
          <w:szCs w:val="32"/>
          <w:highlight w:val="none"/>
          <w:lang w:val="en-US" w:eastAsia="zh-CN"/>
        </w:rPr>
        <w:t>。一是</w:t>
      </w:r>
      <w:r>
        <w:rPr>
          <w:rFonts w:hint="eastAsia"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主动公开意识不强，部分栏目在规定更新时间内存在等靠现象；二是</w:t>
      </w:r>
      <w:r>
        <w:rPr>
          <w:rFonts w:hint="default" w:ascii="Times New Roman" w:hAnsi="Times New Roman" w:eastAsia="仿宋_GB2312" w:cs="Times New Roman"/>
          <w:color w:val="auto"/>
          <w:sz w:val="32"/>
          <w:szCs w:val="32"/>
          <w:highlight w:val="none"/>
          <w:lang w:val="en-US" w:eastAsia="zh-CN"/>
        </w:rPr>
        <w:t>政策解读不够灵活</w:t>
      </w:r>
      <w:r>
        <w:rPr>
          <w:rFonts w:hint="eastAsia"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sz w:val="32"/>
          <w:szCs w:val="32"/>
          <w:lang w:val="en-US" w:eastAsia="zh-CN"/>
        </w:rPr>
        <w:t>政策解读术语比较专业，不易被群众理解</w:t>
      </w:r>
      <w:r>
        <w:rPr>
          <w:rFonts w:hint="eastAsia"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pPr>
      <w:r>
        <w:rPr>
          <w:rFonts w:hint="default" w:ascii="Times New Roman" w:hAnsi="Times New Roman" w:eastAsia="楷体_GB2312" w:cs="Times New Roman"/>
          <w:color w:val="auto"/>
          <w:sz w:val="32"/>
          <w:szCs w:val="32"/>
          <w:highlight w:val="none"/>
          <w:lang w:val="en-US" w:eastAsia="zh-CN"/>
        </w:rPr>
        <w:t>（二）具体的解决办法及改进措施</w:t>
      </w:r>
      <w:r>
        <w:rPr>
          <w:rFonts w:hint="default"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sz w:val="32"/>
          <w:szCs w:val="32"/>
          <w:lang w:eastAsia="zh-CN"/>
        </w:rPr>
        <w:t>一是加强政务公开工作培训，提高工作人员信息公开意识，</w:t>
      </w:r>
      <w:r>
        <w:rPr>
          <w:rFonts w:hint="default" w:ascii="Times New Roman" w:hAnsi="Times New Roman" w:eastAsia="仿宋_GB2312" w:cs="Times New Roman"/>
          <w:sz w:val="32"/>
          <w:szCs w:val="32"/>
        </w:rPr>
        <w:t>认真落实政务公开工作规范要求，严格执行相关政策文件规定的主动公开范围和事项，做好《政府信息公开指南》《政府信息公开目录》、重点领域信息等公开工作，做到及时准确公开。</w:t>
      </w:r>
      <w:r>
        <w:rPr>
          <w:rFonts w:hint="eastAsia" w:eastAsia="仿宋_GB2312" w:cs="Times New Roman"/>
          <w:sz w:val="32"/>
          <w:szCs w:val="32"/>
          <w:lang w:eastAsia="zh-CN"/>
        </w:rPr>
        <w:t>二</w:t>
      </w:r>
      <w:r>
        <w:rPr>
          <w:rFonts w:hint="default" w:ascii="Times New Roman" w:hAnsi="Times New Roman" w:eastAsia="仿宋_GB2312" w:cs="Times New Roman"/>
          <w:sz w:val="32"/>
          <w:szCs w:val="32"/>
        </w:rPr>
        <w:t>是提高政策解读质量。</w:t>
      </w:r>
      <w:r>
        <w:rPr>
          <w:rFonts w:hint="eastAsia" w:ascii="Times New Roman" w:hAnsi="Times New Roman" w:eastAsia="仿宋_GB2312" w:cs="Times New Roman"/>
          <w:sz w:val="32"/>
          <w:szCs w:val="32"/>
          <w:lang w:eastAsia="zh-CN"/>
        </w:rPr>
        <w:t>变文字为图片、动漫、视频，多形式、多角度对医保政策进行全面解读，</w:t>
      </w:r>
      <w:r>
        <w:rPr>
          <w:rFonts w:hint="default" w:ascii="Times New Roman" w:hAnsi="Times New Roman" w:eastAsia="仿宋_GB2312" w:cs="Times New Roman"/>
          <w:color w:val="auto"/>
          <w:sz w:val="32"/>
          <w:szCs w:val="32"/>
          <w:highlight w:val="none"/>
          <w:lang w:val="en-US" w:eastAsia="zh-CN"/>
        </w:rPr>
        <w:t>提升政策解读的大众化、通俗化。</w:t>
      </w:r>
    </w:p>
    <w:p>
      <w:pPr>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六、其他需要报告的事项</w:t>
      </w:r>
    </w:p>
    <w:p>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（一）政府信息公开收费情况</w:t>
      </w:r>
    </w:p>
    <w:p>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2022年，威海市文登区医疗保障局未收到政府信息公开申请，无政府信息公开收费。</w:t>
      </w:r>
    </w:p>
    <w:p>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630" w:leftChars="0" w:right="0" w:rightChars="0"/>
        <w:jc w:val="both"/>
        <w:textAlignment w:val="auto"/>
        <w:rPr>
          <w:rFonts w:ascii="微软雅黑" w:hAnsi="微软雅黑" w:eastAsia="微软雅黑" w:cs="微软雅黑"/>
          <w:i w:val="0"/>
          <w:iCs w:val="0"/>
          <w:caps w:val="0"/>
          <w:color w:val="000000" w:themeColor="text1"/>
          <w:spacing w:val="0"/>
          <w:sz w:val="27"/>
          <w:szCs w:val="27"/>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（二）落实上级年度政务公开工作要点情况</w:t>
      </w:r>
    </w:p>
    <w:p>
      <w:pPr>
        <w:pStyle w:val="7"/>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2022年，</w:t>
      </w:r>
      <w:r>
        <w:rPr>
          <w:rFonts w:hint="default" w:ascii="Times New Roman" w:hAnsi="Times New Roman" w:eastAsia="仿宋_GB2312" w:cs="Times New Roman"/>
          <w:color w:val="auto"/>
          <w:sz w:val="32"/>
          <w:szCs w:val="32"/>
          <w:highlight w:val="none"/>
          <w:lang w:val="en-US" w:eastAsia="zh-CN"/>
        </w:rPr>
        <w:t>威海市文登区</w:t>
      </w:r>
      <w:r>
        <w:rPr>
          <w:rFonts w:hint="eastAsia" w:ascii="Times New Roman" w:hAnsi="Times New Roman" w:eastAsia="仿宋_GB2312" w:cs="Times New Roman"/>
          <w:color w:val="auto"/>
          <w:sz w:val="32"/>
          <w:szCs w:val="32"/>
          <w:highlight w:val="none"/>
          <w:lang w:val="en-US" w:eastAsia="zh-CN"/>
        </w:rPr>
        <w:t>医疗保障</w:t>
      </w:r>
      <w:r>
        <w:rPr>
          <w:rFonts w:hint="default" w:ascii="Times New Roman" w:hAnsi="Times New Roman" w:eastAsia="仿宋_GB2312" w:cs="Times New Roman"/>
          <w:color w:val="auto"/>
          <w:sz w:val="32"/>
          <w:szCs w:val="32"/>
          <w:highlight w:val="none"/>
          <w:lang w:val="en-US" w:eastAsia="zh-CN"/>
        </w:rPr>
        <w:t>局</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全面落实文登区政务公开工作</w:t>
      </w:r>
      <w:r>
        <w:rPr>
          <w:rFonts w:hint="eastAsia" w:ascii="仿宋_GB2312" w:hAnsi="Times New Roman" w:eastAsia="仿宋_GB2312" w:cs="仿宋_GB2312"/>
          <w:i w:val="0"/>
          <w:iCs w:val="0"/>
          <w:caps w:val="0"/>
          <w:color w:val="000000" w:themeColor="text1"/>
          <w:spacing w:val="0"/>
          <w:sz w:val="31"/>
          <w:szCs w:val="31"/>
          <w:lang w:val="en-US" w:eastAsia="zh-CN"/>
          <w14:textFill>
            <w14:solidFill>
              <w14:schemeClr w14:val="tx1"/>
            </w14:solidFill>
          </w14:textFill>
        </w:rPr>
        <w:t>要点，</w:t>
      </w:r>
      <w:r>
        <w:rPr>
          <w:rFonts w:hint="eastAsia" w:ascii="仿宋_GB2312" w:hAnsi="Times New Roman" w:eastAsia="仿宋_GB2312" w:cs="仿宋_GB2312"/>
          <w:i w:val="0"/>
          <w:iCs w:val="0"/>
          <w:caps w:val="0"/>
          <w:color w:val="000000" w:themeColor="text1"/>
          <w:spacing w:val="0"/>
          <w:sz w:val="31"/>
          <w:szCs w:val="31"/>
          <w14:textFill>
            <w14:solidFill>
              <w14:schemeClr w14:val="tx1"/>
            </w14:solidFill>
          </w14:textFill>
        </w:rPr>
        <w:t>加强政务公开队伍建设，定期</w:t>
      </w:r>
      <w:r>
        <w:rPr>
          <w:rFonts w:hint="eastAsia" w:ascii="仿宋_GB2312" w:hAnsi="Times New Roman" w:eastAsia="仿宋_GB2312" w:cs="仿宋_GB2312"/>
          <w:i w:val="0"/>
          <w:iCs w:val="0"/>
          <w:caps w:val="0"/>
          <w:color w:val="000000" w:themeColor="text1"/>
          <w:spacing w:val="0"/>
          <w:sz w:val="31"/>
          <w:szCs w:val="31"/>
          <w:lang w:eastAsia="zh-CN"/>
          <w14:textFill>
            <w14:solidFill>
              <w14:schemeClr w14:val="tx1"/>
            </w14:solidFill>
          </w14:textFill>
        </w:rPr>
        <w:t>组织召开专题培训</w:t>
      </w:r>
      <w:r>
        <w:rPr>
          <w:rFonts w:hint="eastAsia" w:ascii="仿宋_GB2312" w:hAnsi="Times New Roman" w:eastAsia="仿宋_GB2312" w:cs="仿宋_GB2312"/>
          <w:i w:val="0"/>
          <w:iCs w:val="0"/>
          <w:caps w:val="0"/>
          <w:color w:val="000000" w:themeColor="text1"/>
          <w:spacing w:val="0"/>
          <w:sz w:val="31"/>
          <w:szCs w:val="31"/>
          <w14:textFill>
            <w14:solidFill>
              <w14:schemeClr w14:val="tx1"/>
            </w14:solidFill>
          </w14:textFill>
        </w:rPr>
        <w:t>，提升业务能力</w:t>
      </w:r>
      <w:r>
        <w:rPr>
          <w:rFonts w:hint="eastAsia" w:ascii="仿宋_GB2312" w:hAnsi="Times New Roman" w:eastAsia="仿宋_GB2312" w:cs="仿宋_GB2312"/>
          <w:i w:val="0"/>
          <w:iCs w:val="0"/>
          <w:caps w:val="0"/>
          <w:color w:val="000000" w:themeColor="text1"/>
          <w:spacing w:val="0"/>
          <w:sz w:val="31"/>
          <w:szCs w:val="31"/>
          <w:lang w:eastAsia="zh-CN"/>
          <w14:textFill>
            <w14:solidFill>
              <w14:schemeClr w14:val="tx1"/>
            </w14:solidFill>
          </w14:textFill>
        </w:rPr>
        <w:t>；</w:t>
      </w:r>
      <w:r>
        <w:rPr>
          <w:rFonts w:hint="eastAsia" w:ascii="仿宋_GB2312" w:hAnsi="Times New Roman" w:eastAsia="仿宋_GB2312" w:cs="仿宋_GB2312"/>
          <w:i w:val="0"/>
          <w:iCs w:val="0"/>
          <w:caps w:val="0"/>
          <w:color w:val="000000" w:themeColor="text1"/>
          <w:spacing w:val="0"/>
          <w:sz w:val="31"/>
          <w:szCs w:val="31"/>
          <w:lang w:val="en-US" w:eastAsia="zh-CN"/>
          <w14:textFill>
            <w14:solidFill>
              <w14:schemeClr w14:val="tx1"/>
            </w14:solidFill>
          </w14:textFill>
        </w:rPr>
        <w:t>加强医疗保障方面重点工作信息公开，</w:t>
      </w:r>
      <w:r>
        <w:rPr>
          <w:rFonts w:hint="default" w:ascii="Times New Roman" w:hAnsi="Times New Roman" w:eastAsia="仿宋_GB2312" w:cs="Times New Roman"/>
          <w:color w:val="auto"/>
          <w:sz w:val="32"/>
          <w:szCs w:val="32"/>
          <w:highlight w:val="none"/>
          <w:lang w:val="en-US" w:eastAsia="zh-CN"/>
        </w:rPr>
        <w:t>确保信息公开的全面性、准确性。</w:t>
      </w:r>
    </w:p>
    <w:p>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（三）人大代表建议、政协委员提案办理结果公开情况</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年</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，威海市文登区医疗保障局共收到政协提案2件，办结率100%，均通过政府网站专栏主动公开。</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本年度，</w:t>
      </w:r>
      <w:r>
        <w:rPr>
          <w:rFonts w:hint="eastAsia" w:ascii="仿宋_GB2312" w:eastAsia="仿宋_GB2312"/>
          <w:color w:val="000000" w:themeColor="text1"/>
          <w:sz w:val="32"/>
          <w:szCs w:val="32"/>
          <w:lang w:eastAsia="zh-CN"/>
          <w14:textFill>
            <w14:solidFill>
              <w14:schemeClr w14:val="tx1"/>
            </w14:solidFill>
          </w14:textFill>
        </w:rPr>
        <w:t>我局未收到</w:t>
      </w:r>
      <w:r>
        <w:rPr>
          <w:rFonts w:ascii="仿宋_GB2312" w:eastAsia="仿宋_GB2312"/>
          <w:color w:val="000000" w:themeColor="text1"/>
          <w:sz w:val="32"/>
          <w:szCs w:val="32"/>
          <w14:textFill>
            <w14:solidFill>
              <w14:schemeClr w14:val="tx1"/>
            </w14:solidFill>
          </w14:textFill>
        </w:rPr>
        <w:t>人大代表建议</w:t>
      </w:r>
      <w:r>
        <w:rPr>
          <w:rFonts w:hint="eastAsia" w:ascii="仿宋_GB2312" w:eastAsia="仿宋_GB2312"/>
          <w:color w:val="000000" w:themeColor="text1"/>
          <w:sz w:val="32"/>
          <w:szCs w:val="32"/>
          <w:lang w:eastAsia="zh-CN"/>
          <w14:textFill>
            <w14:solidFill>
              <w14:schemeClr w14:val="tx1"/>
            </w14:solidFill>
          </w14:textFill>
        </w:rPr>
        <w:t>。</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000000" w:themeColor="text1"/>
          <w:kern w:val="0"/>
          <w:sz w:val="32"/>
          <w:szCs w:val="32"/>
          <w:lang w:val="en-US" w:eastAsia="zh-CN" w:bidi="ar"/>
          <w14:textFill>
            <w14:solidFill>
              <w14:schemeClr w14:val="tx1"/>
            </w14:solidFill>
          </w14:textFill>
        </w:rPr>
      </w:pPr>
      <w:r>
        <w:rPr>
          <w:rFonts w:hint="eastAsia" w:ascii="楷体_GB2312" w:hAnsi="楷体_GB2312" w:eastAsia="楷体_GB2312" w:cs="楷体_GB2312"/>
          <w:color w:val="000000" w:themeColor="text1"/>
          <w:kern w:val="0"/>
          <w:sz w:val="32"/>
          <w:szCs w:val="32"/>
          <w:lang w:val="en-US" w:eastAsia="zh-CN" w:bidi="ar"/>
          <w14:textFill>
            <w14:solidFill>
              <w14:schemeClr w14:val="tx1"/>
            </w14:solidFill>
          </w14:textFill>
        </w:rPr>
        <w:t>（四）年度政务公开工作创新情况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firstLine="640" w:firstLineChars="200"/>
        <w:jc w:val="left"/>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2022年，我局通过举办政府开放日活动，邀请社会各界代表14人，通过实地观摩、随行讲解、座谈交流等方式，对医保工作有了全面直观的认识，增进群众对政府工作的了解，提升政务公开影响力。</w:t>
      </w:r>
    </w:p>
    <w:p>
      <w:pPr>
        <w:pStyle w:val="7"/>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（五）政府信息公开工作年度报告数据统计需要说明的事项</w:t>
      </w:r>
    </w:p>
    <w:p>
      <w:pPr>
        <w:pStyle w:val="7"/>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无</w:t>
      </w:r>
      <w:r>
        <w:rPr>
          <w:rFonts w:hint="eastAsia" w:ascii="Times New Roman" w:hAnsi="Times New Roman" w:eastAsia="仿宋_GB2312" w:cs="Times New Roman"/>
          <w:sz w:val="32"/>
          <w:szCs w:val="32"/>
          <w:lang w:val="en-US" w:eastAsia="zh-CN"/>
        </w:rPr>
        <w:t>。</w:t>
      </w:r>
    </w:p>
    <w:p>
      <w:pPr>
        <w:pStyle w:val="7"/>
        <w:keepNext w:val="0"/>
        <w:keepLines w:val="0"/>
        <w:pageBreakBefore w:val="0"/>
        <w:widowControl/>
        <w:numPr>
          <w:ilvl w:val="0"/>
          <w:numId w:val="3"/>
        </w:numPr>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本行政机关认为需要报告的其他事项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威海市文登区医疗保障局下属事业单位文登区医疗保险事业中心根据区医保局的统一要求，积极推进政务公开相关工作，通过“文登医保”微信公众号、电子屏宣传等形式及时、准确发布各类政府信息。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（七）</w:t>
      </w:r>
      <w:r>
        <w:rPr>
          <w:rFonts w:hint="eastAsia" w:ascii="楷体_GB2312" w:hAnsi="楷体_GB2312" w:eastAsia="楷体_GB2312" w:cs="楷体_GB2312"/>
          <w:sz w:val="32"/>
          <w:szCs w:val="32"/>
        </w:rPr>
        <w:t>其他有关文件专门要求通过政府信息公开工作年度报告予以报告的事项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cs="Times New Roman"/>
          <w:sz w:val="32"/>
          <w:szCs w:val="32"/>
          <w:lang w:val="en-US" w:eastAsia="zh-CN"/>
        </w:rPr>
      </w:pPr>
      <w:r>
        <w:rPr>
          <w:rFonts w:hint="eastAsia" w:ascii="仿宋_GB2312" w:eastAsia="仿宋_GB2312"/>
          <w:sz w:val="32"/>
          <w:szCs w:val="32"/>
          <w:lang w:eastAsia="zh-CN"/>
        </w:rPr>
        <w:t>无。</w:t>
      </w:r>
    </w:p>
    <w:p>
      <w:pPr>
        <w:pStyle w:val="2"/>
        <w:ind w:left="0" w:leftChars="0" w:firstLine="0" w:firstLineChars="0"/>
        <w:rPr>
          <w:rFonts w:hint="eastAsia"/>
          <w:lang w:val="en-US" w:eastAsia="zh-CN"/>
        </w:rPr>
      </w:pPr>
    </w:p>
    <w:p>
      <w:pPr>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威海市文登区医疗保障局    </w:t>
      </w:r>
    </w:p>
    <w:p>
      <w:pPr>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2023年1月</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16</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 xml:space="preserve">日  </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w:t>
      </w:r>
    </w:p>
    <w:sectPr>
      <w:pgSz w:w="11906" w:h="16838"/>
      <w:pgMar w:top="1440" w:right="1474" w:bottom="1440"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等线 Light">
    <w:altName w:val="宋体"/>
    <w:panose1 w:val="02010600030101010101"/>
    <w:charset w:val="86"/>
    <w:family w:val="auto"/>
    <w:pitch w:val="default"/>
    <w:sig w:usb0="00000000" w:usb1="00000000" w:usb2="00000016" w:usb3="00000000" w:csb0="0004000F" w:csb1="00000000"/>
  </w:font>
  <w:font w:name="Menlo">
    <w:altName w:val="Segoe Print"/>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 w:name="等线 Light">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宋体" w:hAnsi="宋体" w:eastAsia="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t>1</w:t>
                          </w:r>
                          <w:r>
                            <w:rPr>
                              <w:rFonts w:hint="eastAsia" w:eastAsia="宋体"/>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t>1</w:t>
                    </w:r>
                    <w:r>
                      <w:rPr>
                        <w:rFonts w:hint="eastAsia" w:eastAsia="宋体"/>
                        <w:sz w:val="1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358DE9"/>
    <w:multiLevelType w:val="singleLevel"/>
    <w:tmpl w:val="C9358DE9"/>
    <w:lvl w:ilvl="0" w:tentative="0">
      <w:start w:val="2"/>
      <w:numFmt w:val="chineseCounting"/>
      <w:suff w:val="nothing"/>
      <w:lvlText w:val="%1、"/>
      <w:lvlJc w:val="left"/>
      <w:rPr>
        <w:rFonts w:hint="eastAsia"/>
      </w:rPr>
    </w:lvl>
  </w:abstractNum>
  <w:abstractNum w:abstractNumId="1">
    <w:nsid w:val="04BE9B38"/>
    <w:multiLevelType w:val="singleLevel"/>
    <w:tmpl w:val="04BE9B38"/>
    <w:lvl w:ilvl="0" w:tentative="0">
      <w:start w:val="3"/>
      <w:numFmt w:val="chineseCounting"/>
      <w:suff w:val="nothing"/>
      <w:lvlText w:val="（%1）"/>
      <w:lvlJc w:val="left"/>
      <w:rPr>
        <w:rFonts w:hint="eastAsia"/>
      </w:rPr>
    </w:lvl>
  </w:abstractNum>
  <w:abstractNum w:abstractNumId="2">
    <w:nsid w:val="4AFB9F81"/>
    <w:multiLevelType w:val="singleLevel"/>
    <w:tmpl w:val="4AFB9F81"/>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BreakWrappedTables/>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IyNTEyYzI5YjQ3ZDYwYThlODdlMjg1NWE2MjUzYzIifQ=="/>
  </w:docVars>
  <w:rsids>
    <w:rsidRoot w:val="00502C34"/>
    <w:rsid w:val="0003350B"/>
    <w:rsid w:val="000500B1"/>
    <w:rsid w:val="0006512C"/>
    <w:rsid w:val="000A57BF"/>
    <w:rsid w:val="000B4F9F"/>
    <w:rsid w:val="000C1FDA"/>
    <w:rsid w:val="00121655"/>
    <w:rsid w:val="00123E53"/>
    <w:rsid w:val="001679FF"/>
    <w:rsid w:val="00180B4F"/>
    <w:rsid w:val="00196721"/>
    <w:rsid w:val="001F026B"/>
    <w:rsid w:val="00203F15"/>
    <w:rsid w:val="00211F6A"/>
    <w:rsid w:val="00243BAF"/>
    <w:rsid w:val="00286BF3"/>
    <w:rsid w:val="002B58BB"/>
    <w:rsid w:val="00315DDF"/>
    <w:rsid w:val="00333740"/>
    <w:rsid w:val="00372E47"/>
    <w:rsid w:val="00384B12"/>
    <w:rsid w:val="00392DAD"/>
    <w:rsid w:val="003C1943"/>
    <w:rsid w:val="004162E7"/>
    <w:rsid w:val="00463EF5"/>
    <w:rsid w:val="004D3C2B"/>
    <w:rsid w:val="004D6D24"/>
    <w:rsid w:val="00502C34"/>
    <w:rsid w:val="00515416"/>
    <w:rsid w:val="00531FBB"/>
    <w:rsid w:val="00552F1D"/>
    <w:rsid w:val="005548EB"/>
    <w:rsid w:val="00612182"/>
    <w:rsid w:val="00683E94"/>
    <w:rsid w:val="006B5301"/>
    <w:rsid w:val="006E2A67"/>
    <w:rsid w:val="00760120"/>
    <w:rsid w:val="007E43CD"/>
    <w:rsid w:val="008244CB"/>
    <w:rsid w:val="00846109"/>
    <w:rsid w:val="00851E51"/>
    <w:rsid w:val="008C68B1"/>
    <w:rsid w:val="00923DE3"/>
    <w:rsid w:val="00990BC0"/>
    <w:rsid w:val="009D1EAC"/>
    <w:rsid w:val="00A9562B"/>
    <w:rsid w:val="00AC0838"/>
    <w:rsid w:val="00AC0B55"/>
    <w:rsid w:val="00B0360E"/>
    <w:rsid w:val="00B06CEF"/>
    <w:rsid w:val="00B82BD5"/>
    <w:rsid w:val="00B846A3"/>
    <w:rsid w:val="00BA1959"/>
    <w:rsid w:val="00BB1402"/>
    <w:rsid w:val="00BD1F13"/>
    <w:rsid w:val="00BD2DFA"/>
    <w:rsid w:val="00BF2FF7"/>
    <w:rsid w:val="00C106D4"/>
    <w:rsid w:val="00C24C5F"/>
    <w:rsid w:val="00C74995"/>
    <w:rsid w:val="00CA2A1F"/>
    <w:rsid w:val="00CE332F"/>
    <w:rsid w:val="00D206E1"/>
    <w:rsid w:val="00DD7168"/>
    <w:rsid w:val="00DF3523"/>
    <w:rsid w:val="00DF7D80"/>
    <w:rsid w:val="00ED6874"/>
    <w:rsid w:val="00ED698F"/>
    <w:rsid w:val="00EE7943"/>
    <w:rsid w:val="00F01622"/>
    <w:rsid w:val="00F03027"/>
    <w:rsid w:val="00F42818"/>
    <w:rsid w:val="00F57A9C"/>
    <w:rsid w:val="00F7173D"/>
    <w:rsid w:val="00F90155"/>
    <w:rsid w:val="00FC01CB"/>
    <w:rsid w:val="00FF3FF5"/>
    <w:rsid w:val="00FF65C3"/>
    <w:rsid w:val="03AA60BD"/>
    <w:rsid w:val="05E82BC0"/>
    <w:rsid w:val="0E4F285B"/>
    <w:rsid w:val="0F9D4E9C"/>
    <w:rsid w:val="12D3100D"/>
    <w:rsid w:val="16B04577"/>
    <w:rsid w:val="177C6F2D"/>
    <w:rsid w:val="1B3E6AF6"/>
    <w:rsid w:val="20D774CB"/>
    <w:rsid w:val="251168BC"/>
    <w:rsid w:val="2E354691"/>
    <w:rsid w:val="2F236894"/>
    <w:rsid w:val="31CB795E"/>
    <w:rsid w:val="34923095"/>
    <w:rsid w:val="361C61B4"/>
    <w:rsid w:val="38961E84"/>
    <w:rsid w:val="3A7E2307"/>
    <w:rsid w:val="3C787E8C"/>
    <w:rsid w:val="4BE5753A"/>
    <w:rsid w:val="4ED76D29"/>
    <w:rsid w:val="4FA23C9D"/>
    <w:rsid w:val="510826FF"/>
    <w:rsid w:val="516571E5"/>
    <w:rsid w:val="53784B50"/>
    <w:rsid w:val="5C7834CB"/>
    <w:rsid w:val="5D0E321C"/>
    <w:rsid w:val="5E63115C"/>
    <w:rsid w:val="601C5E1C"/>
    <w:rsid w:val="64893013"/>
    <w:rsid w:val="6AB911CE"/>
    <w:rsid w:val="6B3B713A"/>
    <w:rsid w:val="6DF15092"/>
    <w:rsid w:val="6FD958CE"/>
    <w:rsid w:val="7A9F71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9"/>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5">
    <w:name w:val="footer"/>
    <w:basedOn w:val="1"/>
    <w:link w:val="18"/>
    <w:unhideWhenUsed/>
    <w:qFormat/>
    <w:uiPriority w:val="99"/>
    <w:pPr>
      <w:tabs>
        <w:tab w:val="center" w:pos="4153"/>
        <w:tab w:val="right" w:pos="8306"/>
      </w:tabs>
      <w:snapToGrid w:val="0"/>
      <w:jc w:val="left"/>
    </w:pPr>
    <w:rPr>
      <w:sz w:val="18"/>
      <w:szCs w:val="18"/>
    </w:rPr>
  </w:style>
  <w:style w:type="paragraph" w:styleId="6">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Strong"/>
    <w:basedOn w:val="9"/>
    <w:qFormat/>
    <w:uiPriority w:val="22"/>
    <w:rPr>
      <w:b/>
    </w:rPr>
  </w:style>
  <w:style w:type="character" w:styleId="11">
    <w:name w:val="FollowedHyperlink"/>
    <w:basedOn w:val="9"/>
    <w:unhideWhenUsed/>
    <w:qFormat/>
    <w:uiPriority w:val="99"/>
    <w:rPr>
      <w:color w:val="337AB7"/>
      <w:u w:val="single"/>
    </w:rPr>
  </w:style>
  <w:style w:type="character" w:styleId="12">
    <w:name w:val="HTML Definition"/>
    <w:basedOn w:val="9"/>
    <w:unhideWhenUsed/>
    <w:qFormat/>
    <w:uiPriority w:val="99"/>
    <w:rPr>
      <w:i/>
    </w:rPr>
  </w:style>
  <w:style w:type="character" w:styleId="13">
    <w:name w:val="Hyperlink"/>
    <w:basedOn w:val="9"/>
    <w:unhideWhenUsed/>
    <w:qFormat/>
    <w:uiPriority w:val="99"/>
    <w:rPr>
      <w:color w:val="337AB7"/>
      <w:u w:val="single"/>
    </w:rPr>
  </w:style>
  <w:style w:type="character" w:styleId="14">
    <w:name w:val="HTML Code"/>
    <w:basedOn w:val="9"/>
    <w:unhideWhenUsed/>
    <w:qFormat/>
    <w:uiPriority w:val="99"/>
    <w:rPr>
      <w:rFonts w:ascii="Menlo" w:hAnsi="Menlo" w:eastAsia="Menlo" w:cs="Menlo"/>
      <w:color w:val="C7254E"/>
      <w:sz w:val="21"/>
      <w:szCs w:val="21"/>
      <w:shd w:val="clear" w:fill="F9F2F4"/>
    </w:rPr>
  </w:style>
  <w:style w:type="character" w:styleId="15">
    <w:name w:val="HTML Keyboard"/>
    <w:basedOn w:val="9"/>
    <w:unhideWhenUsed/>
    <w:qFormat/>
    <w:uiPriority w:val="99"/>
    <w:rPr>
      <w:rFonts w:hint="default" w:ascii="Menlo" w:hAnsi="Menlo" w:eastAsia="Menlo" w:cs="Menlo"/>
      <w:color w:val="FFFFFF"/>
      <w:sz w:val="21"/>
      <w:szCs w:val="21"/>
      <w:shd w:val="clear" w:fill="333333"/>
    </w:rPr>
  </w:style>
  <w:style w:type="character" w:styleId="16">
    <w:name w:val="HTML Sample"/>
    <w:basedOn w:val="9"/>
    <w:unhideWhenUsed/>
    <w:qFormat/>
    <w:uiPriority w:val="99"/>
    <w:rPr>
      <w:rFonts w:hint="default" w:ascii="Menlo" w:hAnsi="Menlo" w:eastAsia="Menlo" w:cs="Menlo"/>
      <w:sz w:val="21"/>
      <w:szCs w:val="21"/>
    </w:rPr>
  </w:style>
  <w:style w:type="character" w:customStyle="1" w:styleId="17">
    <w:name w:val="页眉 字符"/>
    <w:basedOn w:val="9"/>
    <w:link w:val="6"/>
    <w:qFormat/>
    <w:uiPriority w:val="99"/>
    <w:rPr>
      <w:sz w:val="18"/>
      <w:szCs w:val="18"/>
    </w:rPr>
  </w:style>
  <w:style w:type="character" w:customStyle="1" w:styleId="18">
    <w:name w:val="页脚 字符"/>
    <w:basedOn w:val="9"/>
    <w:link w:val="5"/>
    <w:qFormat/>
    <w:uiPriority w:val="99"/>
    <w:rPr>
      <w:sz w:val="18"/>
      <w:szCs w:val="18"/>
    </w:rPr>
  </w:style>
  <w:style w:type="character" w:customStyle="1" w:styleId="19">
    <w:name w:val="标题 1 字符"/>
    <w:basedOn w:val="9"/>
    <w:link w:val="3"/>
    <w:qFormat/>
    <w:uiPriority w:val="9"/>
    <w:rPr>
      <w:b/>
      <w:bCs/>
      <w:kern w:val="44"/>
      <w:sz w:val="44"/>
      <w:szCs w:val="44"/>
    </w:rPr>
  </w:style>
  <w:style w:type="character" w:customStyle="1" w:styleId="20">
    <w:name w:val="标题 2 字符"/>
    <w:basedOn w:val="9"/>
    <w:link w:val="4"/>
    <w:qFormat/>
    <w:uiPriority w:val="9"/>
    <w:rPr>
      <w:rFonts w:asciiTheme="majorHAnsi" w:hAnsiTheme="majorHAnsi" w:eastAsiaTheme="majorEastAsia" w:cstheme="majorBidi"/>
      <w:b/>
      <w:bCs/>
      <w:sz w:val="32"/>
      <w:szCs w:val="32"/>
    </w:rPr>
  </w:style>
  <w:style w:type="paragraph" w:customStyle="1" w:styleId="2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2046</Words>
  <Characters>2143</Characters>
  <Lines>75</Lines>
  <Paragraphs>21</Paragraphs>
  <TotalTime>9</TotalTime>
  <ScaleCrop>false</ScaleCrop>
  <LinksUpToDate>false</LinksUpToDate>
  <CharactersWithSpaces>2156</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2021-09-03T07:57:00Z</dcterms:created>
  <dc:creator>qiyuanhua0168@163.com</dc:creator>
  <cp:lastModifiedBy>WANG.J</cp:lastModifiedBy>
  <cp:lastPrinted>2022-01-26T01:19:00Z</cp:lastPrinted>
  <dcterms:modified xsi:type="dcterms:W3CDTF">2023-01-17T03:37:38Z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DF129ED81B8840638C9BA50994DB17CE</vt:lpwstr>
  </property>
</Properties>
</file>