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i w:val="0"/>
          <w:caps w:val="0"/>
          <w:color w:val="auto"/>
          <w:spacing w:val="0"/>
          <w:kern w:val="0"/>
          <w:sz w:val="44"/>
          <w:szCs w:val="44"/>
          <w:shd w:val="clear" w:fill="FFFFFF"/>
          <w:lang w:val="en-US" w:eastAsia="zh-CN" w:bidi="ar"/>
        </w:rPr>
      </w:pPr>
      <w:r>
        <w:rPr>
          <w:rFonts w:hint="eastAsia" w:ascii="方正小标宋简体" w:hAnsi="方正小标宋简体" w:eastAsia="方正小标宋简体" w:cs="方正小标宋简体"/>
          <w:b w:val="0"/>
          <w:bCs w:val="0"/>
          <w:i w:val="0"/>
          <w:caps w:val="0"/>
          <w:color w:val="auto"/>
          <w:spacing w:val="0"/>
          <w:kern w:val="0"/>
          <w:sz w:val="44"/>
          <w:szCs w:val="44"/>
          <w:shd w:val="clear" w:fill="FFFFFF"/>
          <w:lang w:val="en-US" w:eastAsia="zh-CN" w:bidi="ar"/>
        </w:rPr>
        <w:t>威海市文登区发展和改革局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i w:val="0"/>
          <w:caps w:val="0"/>
          <w:color w:val="auto"/>
          <w:spacing w:val="0"/>
          <w:kern w:val="0"/>
          <w:sz w:val="44"/>
          <w:szCs w:val="44"/>
          <w:shd w:val="clear" w:fill="FFFFFF"/>
          <w:lang w:val="en-US" w:eastAsia="zh-CN" w:bidi="ar"/>
        </w:rPr>
      </w:pPr>
      <w:r>
        <w:rPr>
          <w:rFonts w:hint="eastAsia" w:ascii="方正小标宋简体" w:hAnsi="方正小标宋简体" w:eastAsia="方正小标宋简体" w:cs="方正小标宋简体"/>
          <w:b w:val="0"/>
          <w:bCs w:val="0"/>
          <w:i w:val="0"/>
          <w:caps w:val="0"/>
          <w:color w:val="auto"/>
          <w:spacing w:val="0"/>
          <w:kern w:val="0"/>
          <w:sz w:val="44"/>
          <w:szCs w:val="44"/>
          <w:shd w:val="clear" w:fill="FFFFFF"/>
          <w:lang w:val="en-US" w:eastAsia="zh-CN" w:bidi="ar"/>
        </w:rPr>
        <w:t>2022年政府信息公开工作年度报告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小标宋简体" w:hAnsi="方正小标宋简体" w:eastAsia="方正小标宋简体" w:cs="方正小标宋简体"/>
          <w:i w:val="0"/>
          <w:caps w:val="0"/>
          <w:color w:val="3D3D3D"/>
          <w:spacing w:val="0"/>
          <w:kern w:val="0"/>
          <w:sz w:val="32"/>
          <w:szCs w:val="32"/>
          <w:shd w:val="clear" w:fill="FFFFFF"/>
          <w:lang w:val="en-US" w:eastAsia="zh-CN" w:bidi="ar"/>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kern w:val="0"/>
          <w:sz w:val="32"/>
          <w:szCs w:val="32"/>
          <w:lang w:val="en-US" w:eastAsia="zh-CN"/>
        </w:rPr>
        <w:t>根据《中华人民共和国政府信息公开条例》（以下简称《条例》）的要求，现公布威海市文登区发展和改革局20</w:t>
      </w:r>
      <w:r>
        <w:rPr>
          <w:rFonts w:hint="eastAsia" w:eastAsia="仿宋_GB2312" w:cs="仿宋_GB2312"/>
          <w:kern w:val="0"/>
          <w:sz w:val="32"/>
          <w:szCs w:val="32"/>
          <w:lang w:val="en-US" w:eastAsia="zh-CN"/>
        </w:rPr>
        <w:t>22</w:t>
      </w:r>
      <w:r>
        <w:rPr>
          <w:rFonts w:hint="eastAsia" w:ascii="Times New Roman" w:hAnsi="Times New Roman" w:eastAsia="仿宋_GB2312" w:cs="仿宋_GB2312"/>
          <w:kern w:val="0"/>
          <w:sz w:val="32"/>
          <w:szCs w:val="32"/>
          <w:lang w:val="en-US" w:eastAsia="zh-CN"/>
        </w:rPr>
        <w:t>年政府信息公开工作报告。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本报告中所列数据的统计时限自20</w:t>
      </w:r>
      <w:r>
        <w:rPr>
          <w:rFonts w:hint="eastAsia" w:eastAsia="仿宋_GB2312" w:cs="仿宋_GB2312"/>
          <w:kern w:val="0"/>
          <w:sz w:val="32"/>
          <w:szCs w:val="32"/>
          <w:lang w:val="en-US" w:eastAsia="zh-CN"/>
        </w:rPr>
        <w:t>22</w:t>
      </w:r>
      <w:r>
        <w:rPr>
          <w:rFonts w:hint="eastAsia" w:ascii="Times New Roman" w:hAnsi="Times New Roman" w:eastAsia="仿宋_GB2312" w:cs="仿宋_GB2312"/>
          <w:kern w:val="0"/>
          <w:sz w:val="32"/>
          <w:szCs w:val="32"/>
          <w:lang w:val="en-US" w:eastAsia="zh-CN"/>
        </w:rPr>
        <w:t>年1月1日起至20</w:t>
      </w:r>
      <w:r>
        <w:rPr>
          <w:rFonts w:hint="eastAsia" w:eastAsia="仿宋_GB2312" w:cs="仿宋_GB2312"/>
          <w:kern w:val="0"/>
          <w:sz w:val="32"/>
          <w:szCs w:val="32"/>
          <w:lang w:val="en-US" w:eastAsia="zh-CN"/>
        </w:rPr>
        <w:t>22</w:t>
      </w:r>
      <w:r>
        <w:rPr>
          <w:rFonts w:hint="eastAsia" w:ascii="Times New Roman" w:hAnsi="Times New Roman" w:eastAsia="仿宋_GB2312" w:cs="仿宋_GB2312"/>
          <w:kern w:val="0"/>
          <w:sz w:val="32"/>
          <w:szCs w:val="32"/>
          <w:lang w:val="en-US" w:eastAsia="zh-CN"/>
        </w:rPr>
        <w:t>年12月31日止。本报告的电子版可在威海市文登区人民政府门户网站（http://www.wendeng.gov.cn）</w:t>
      </w:r>
      <w:r>
        <w:rPr>
          <w:rFonts w:hint="eastAsia" w:eastAsia="仿宋_GB2312" w:cs="仿宋_GB2312"/>
          <w:kern w:val="0"/>
          <w:sz w:val="32"/>
          <w:szCs w:val="32"/>
          <w:lang w:val="en-US" w:eastAsia="zh-CN"/>
        </w:rPr>
        <w:t>政府</w:t>
      </w:r>
      <w:r>
        <w:rPr>
          <w:rFonts w:hint="eastAsia" w:ascii="Times New Roman" w:hAnsi="Times New Roman" w:eastAsia="仿宋_GB2312" w:cs="仿宋_GB2312"/>
          <w:kern w:val="0"/>
          <w:sz w:val="32"/>
          <w:szCs w:val="32"/>
          <w:lang w:val="en-US" w:eastAsia="zh-CN"/>
        </w:rPr>
        <w:t>信息公开专栏查阅。如对本报告有疑问，请与威海市文登区发展和改革局办公室联系（地址：威海市文登区世纪大道86号，邮编：264400，电话：0631—8451301）。</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kern w:val="0"/>
          <w:sz w:val="32"/>
          <w:szCs w:val="32"/>
        </w:rPr>
      </w:pPr>
      <w:r>
        <w:rPr>
          <w:rFonts w:hint="eastAsia" w:ascii="黑体" w:hAnsi="黑体" w:eastAsia="黑体" w:cs="黑体"/>
          <w:kern w:val="0"/>
          <w:sz w:val="32"/>
          <w:szCs w:val="32"/>
          <w:lang w:eastAsia="zh-CN"/>
        </w:rPr>
        <w:t>一、总体情况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w:t>
      </w:r>
      <w:r>
        <w:rPr>
          <w:rFonts w:hint="eastAsia" w:eastAsia="仿宋_GB2312" w:cs="仿宋_GB2312"/>
          <w:kern w:val="0"/>
          <w:sz w:val="32"/>
          <w:szCs w:val="32"/>
          <w:lang w:val="en-US" w:eastAsia="zh-CN"/>
        </w:rPr>
        <w:t>2</w:t>
      </w:r>
      <w:r>
        <w:rPr>
          <w:rFonts w:hint="eastAsia" w:ascii="Times New Roman" w:hAnsi="Times New Roman" w:eastAsia="仿宋_GB2312" w:cs="仿宋_GB2312"/>
          <w:kern w:val="0"/>
          <w:sz w:val="32"/>
          <w:szCs w:val="32"/>
          <w:lang w:val="en-US" w:eastAsia="zh-CN"/>
        </w:rPr>
        <w:t>年，威海市文登区发展和改革</w:t>
      </w:r>
      <w:r>
        <w:rPr>
          <w:rFonts w:hint="eastAsia" w:eastAsia="仿宋_GB2312" w:cs="仿宋_GB2312"/>
          <w:kern w:val="0"/>
          <w:sz w:val="32"/>
          <w:szCs w:val="32"/>
          <w:lang w:val="en-US" w:eastAsia="zh-CN"/>
        </w:rPr>
        <w:t>局秉持“应公开尽公开”的工作准则，聚焦群众关切，不断完善信息发布机制，做到及时、准确、高效公开重点信息，积极、规范、全面回应群众需求，不断强化政务公开工作力度，推动我局政务公开工作向纵深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（一）主动公开情况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eastAsia="仿宋_GB2312" w:cs="仿宋_GB2312"/>
          <w:kern w:val="0"/>
          <w:sz w:val="32"/>
          <w:szCs w:val="32"/>
          <w:lang w:val="en-US" w:eastAsia="zh-CN"/>
        </w:rPr>
      </w:pPr>
      <w:r>
        <w:rPr>
          <w:rFonts w:hint="eastAsia" w:eastAsia="仿宋_GB2312" w:cs="仿宋_GB2312"/>
          <w:kern w:val="0"/>
          <w:sz w:val="32"/>
          <w:szCs w:val="32"/>
          <w:lang w:val="en-US" w:eastAsia="zh-CN"/>
        </w:rPr>
        <w:t>全年共主动公开各类法律法规、业务工作、重点领域信息等政府服务信息120条，其中工作动态40条，公告公示7条，政策文件及解读22条，重点领域信息公开19条，其他信息32条。</w:t>
      </w:r>
    </w:p>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eastAsiaTheme="minorEastAsia"/>
          <w:lang w:eastAsia="zh-CN"/>
        </w:rPr>
      </w:pPr>
      <w:r>
        <w:rPr>
          <w:rFonts w:hint="eastAsia" w:eastAsiaTheme="minorEastAsia"/>
          <w:lang w:eastAsia="zh-CN"/>
        </w:rPr>
        <w:drawing>
          <wp:inline distT="0" distB="0" distL="114300" distR="114300">
            <wp:extent cx="5950585" cy="4488180"/>
            <wp:effectExtent l="0" t="0" r="12065" b="7620"/>
            <wp:docPr id="2" name="图片 2" descr="饼状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饼状图"/>
                    <pic:cNvPicPr>
                      <a:picLocks noChangeAspect="1"/>
                    </pic:cNvPicPr>
                  </pic:nvPicPr>
                  <pic:blipFill>
                    <a:blip r:embed="rId4"/>
                    <a:stretch>
                      <a:fillRect/>
                    </a:stretch>
                  </pic:blipFill>
                  <pic:spPr>
                    <a:xfrm>
                      <a:off x="0" y="0"/>
                      <a:ext cx="5950585" cy="448818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（二）依申请公开情况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w:t>
      </w:r>
      <w:r>
        <w:rPr>
          <w:rFonts w:hint="eastAsia" w:eastAsia="仿宋_GB2312" w:cs="仿宋_GB2312"/>
          <w:kern w:val="0"/>
          <w:sz w:val="32"/>
          <w:szCs w:val="32"/>
          <w:lang w:val="en-US" w:eastAsia="zh-CN"/>
        </w:rPr>
        <w:t>2</w:t>
      </w:r>
      <w:r>
        <w:rPr>
          <w:rFonts w:hint="eastAsia" w:ascii="Times New Roman" w:hAnsi="Times New Roman" w:eastAsia="仿宋_GB2312" w:cs="仿宋_GB2312"/>
          <w:kern w:val="0"/>
          <w:sz w:val="32"/>
          <w:szCs w:val="32"/>
          <w:lang w:val="en-US" w:eastAsia="zh-CN"/>
        </w:rPr>
        <w:t>年度，我局共受理政府信息公开申请</w:t>
      </w:r>
      <w:r>
        <w:rPr>
          <w:rFonts w:hint="eastAsia" w:eastAsia="仿宋_GB2312" w:cs="仿宋_GB2312"/>
          <w:kern w:val="0"/>
          <w:sz w:val="32"/>
          <w:szCs w:val="32"/>
          <w:lang w:val="en-US" w:eastAsia="zh-CN"/>
        </w:rPr>
        <w:t>1件</w:t>
      </w:r>
      <w:r>
        <w:rPr>
          <w:rFonts w:hint="eastAsia" w:ascii="Times New Roman" w:hAnsi="Times New Roman" w:eastAsia="仿宋_GB2312" w:cs="仿宋_GB2312"/>
          <w:kern w:val="0"/>
          <w:sz w:val="32"/>
          <w:szCs w:val="32"/>
          <w:lang w:val="en-US" w:eastAsia="zh-CN"/>
        </w:rPr>
        <w:t>，</w:t>
      </w:r>
      <w:r>
        <w:rPr>
          <w:rFonts w:hint="eastAsia" w:eastAsia="仿宋_GB2312" w:cs="仿宋_GB2312"/>
          <w:kern w:val="0"/>
          <w:sz w:val="32"/>
          <w:szCs w:val="32"/>
          <w:lang w:val="en-US" w:eastAsia="zh-CN"/>
        </w:rPr>
        <w:t>比去年减少1件，申请内容为文登区有序用电方案、有序用电名单等，作出</w:t>
      </w:r>
      <w:r>
        <w:rPr>
          <w:rFonts w:hint="default" w:ascii="Times New Roman" w:hAnsi="Times New Roman" w:eastAsia="仿宋_GB2312" w:cs="Times New Roman"/>
          <w:sz w:val="32"/>
          <w:szCs w:val="32"/>
          <w:lang w:eastAsia="zh-CN"/>
        </w:rPr>
        <w:t>予以公开</w:t>
      </w:r>
      <w:r>
        <w:rPr>
          <w:rFonts w:hint="eastAsia" w:eastAsia="仿宋_GB2312" w:cs="仿宋_GB2312"/>
          <w:kern w:val="0"/>
          <w:sz w:val="32"/>
          <w:szCs w:val="32"/>
          <w:lang w:val="en-US" w:eastAsia="zh-CN"/>
        </w:rPr>
        <w:t>答复。</w:t>
      </w:r>
      <w:r>
        <w:rPr>
          <w:rFonts w:hint="eastAsia" w:ascii="Times New Roman" w:hAnsi="Times New Roman" w:eastAsia="仿宋_GB2312" w:cs="仿宋_GB2312"/>
          <w:kern w:val="0"/>
          <w:sz w:val="32"/>
          <w:szCs w:val="32"/>
          <w:lang w:val="en-US" w:eastAsia="zh-CN"/>
        </w:rPr>
        <w:t>全年未发生行政复议、行政诉讼等情况。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仿宋_GB2312"/>
          <w:color w:val="0000FF"/>
          <w:kern w:val="0"/>
          <w:sz w:val="32"/>
          <w:szCs w:val="32"/>
          <w:lang w:val="en-US" w:eastAsia="zh-CN"/>
        </w:rPr>
      </w:pPr>
      <w:r>
        <w:rPr>
          <w:rFonts w:hint="eastAsia" w:ascii="楷体_GB2312" w:hAnsi="楷体_GB2312" w:eastAsia="楷体_GB2312" w:cs="楷体_GB2312"/>
          <w:kern w:val="0"/>
          <w:sz w:val="32"/>
          <w:szCs w:val="32"/>
          <w:lang w:val="en-US" w:eastAsia="zh-CN"/>
        </w:rPr>
        <w:t>（三）政府信息管理情况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kern w:val="0"/>
          <w:sz w:val="32"/>
          <w:szCs w:val="32"/>
          <w:lang w:val="en-US" w:eastAsia="zh-CN"/>
        </w:rPr>
        <w:t>我局</w:t>
      </w:r>
      <w:r>
        <w:rPr>
          <w:rFonts w:hint="eastAsia" w:eastAsia="仿宋_GB2312" w:cs="仿宋_GB2312"/>
          <w:kern w:val="0"/>
          <w:sz w:val="32"/>
          <w:szCs w:val="32"/>
          <w:lang w:val="en-US" w:eastAsia="zh-CN"/>
        </w:rPr>
        <w:t>依托政府信息公开发布协调、保密审查、先审后发工作制度，整合各科室职能，形成健全、高效的政府信息</w:t>
      </w:r>
      <w:r>
        <w:rPr>
          <w:rFonts w:hint="eastAsia" w:ascii="Times New Roman" w:hAnsi="Times New Roman" w:eastAsia="仿宋_GB2312" w:cs="仿宋_GB2312"/>
          <w:kern w:val="0"/>
          <w:sz w:val="32"/>
          <w:szCs w:val="32"/>
          <w:lang w:val="en-US" w:eastAsia="zh-CN"/>
        </w:rPr>
        <w:t>公开工作</w:t>
      </w:r>
      <w:r>
        <w:rPr>
          <w:rFonts w:hint="eastAsia" w:eastAsia="仿宋_GB2312" w:cs="仿宋_GB2312"/>
          <w:kern w:val="0"/>
          <w:sz w:val="32"/>
          <w:szCs w:val="32"/>
          <w:lang w:val="en-US" w:eastAsia="zh-CN"/>
        </w:rPr>
        <w:t>体系。</w:t>
      </w:r>
      <w:r>
        <w:rPr>
          <w:rFonts w:hint="eastAsia" w:eastAsia="仿宋_GB2312" w:cs="仿宋_GB2312"/>
          <w:kern w:val="0"/>
          <w:sz w:val="32"/>
          <w:szCs w:val="32"/>
          <w:highlight w:val="none"/>
          <w:lang w:val="en-US" w:eastAsia="zh-CN"/>
        </w:rPr>
        <w:t>稳步推进</w:t>
      </w:r>
      <w:r>
        <w:rPr>
          <w:rFonts w:hint="eastAsia" w:ascii="Times New Roman" w:hAnsi="Times New Roman" w:eastAsia="仿宋_GB2312" w:cs="仿宋_GB2312"/>
          <w:kern w:val="0"/>
          <w:sz w:val="32"/>
          <w:szCs w:val="32"/>
          <w:highlight w:val="none"/>
          <w:lang w:val="en-US" w:eastAsia="zh-CN"/>
        </w:rPr>
        <w:t>规范性文件</w:t>
      </w:r>
      <w:r>
        <w:rPr>
          <w:rFonts w:hint="eastAsia" w:eastAsia="仿宋_GB2312" w:cs="仿宋_GB2312"/>
          <w:kern w:val="0"/>
          <w:sz w:val="32"/>
          <w:szCs w:val="32"/>
          <w:highlight w:val="none"/>
          <w:lang w:val="en-US" w:eastAsia="zh-CN"/>
        </w:rPr>
        <w:t>审查</w:t>
      </w:r>
      <w:r>
        <w:rPr>
          <w:rFonts w:hint="eastAsia" w:ascii="Times New Roman" w:hAnsi="Times New Roman" w:eastAsia="仿宋_GB2312" w:cs="仿宋_GB2312"/>
          <w:kern w:val="0"/>
          <w:sz w:val="32"/>
          <w:szCs w:val="32"/>
          <w:highlight w:val="none"/>
          <w:lang w:val="en-US" w:eastAsia="zh-CN"/>
        </w:rPr>
        <w:t>管理</w:t>
      </w:r>
      <w:r>
        <w:rPr>
          <w:rFonts w:hint="eastAsia" w:eastAsia="仿宋_GB2312" w:cs="仿宋_GB2312"/>
          <w:kern w:val="0"/>
          <w:sz w:val="32"/>
          <w:szCs w:val="32"/>
          <w:highlight w:val="none"/>
          <w:lang w:val="en-US" w:eastAsia="zh-CN"/>
        </w:rPr>
        <w:t>工作</w:t>
      </w:r>
      <w:r>
        <w:rPr>
          <w:rFonts w:hint="eastAsia" w:ascii="Times New Roman" w:hAnsi="Times New Roman" w:eastAsia="仿宋_GB2312" w:cs="仿宋_GB2312"/>
          <w:kern w:val="0"/>
          <w:sz w:val="32"/>
          <w:szCs w:val="32"/>
          <w:highlight w:val="none"/>
          <w:lang w:val="en-US" w:eastAsia="zh-CN"/>
        </w:rPr>
        <w:t>，202</w:t>
      </w:r>
      <w:r>
        <w:rPr>
          <w:rFonts w:hint="eastAsia" w:eastAsia="仿宋_GB2312" w:cs="仿宋_GB2312"/>
          <w:kern w:val="0"/>
          <w:sz w:val="32"/>
          <w:szCs w:val="32"/>
          <w:highlight w:val="none"/>
          <w:lang w:val="en-US" w:eastAsia="zh-CN"/>
        </w:rPr>
        <w:t>2</w:t>
      </w:r>
      <w:r>
        <w:rPr>
          <w:rFonts w:hint="eastAsia" w:ascii="Times New Roman" w:hAnsi="Times New Roman" w:eastAsia="仿宋_GB2312" w:cs="仿宋_GB2312"/>
          <w:kern w:val="0"/>
          <w:sz w:val="32"/>
          <w:szCs w:val="32"/>
          <w:highlight w:val="none"/>
          <w:lang w:val="en-US" w:eastAsia="zh-CN"/>
        </w:rPr>
        <w:t>年我局</w:t>
      </w:r>
      <w:r>
        <w:rPr>
          <w:rFonts w:hint="eastAsia" w:eastAsia="仿宋_GB2312" w:cs="仿宋_GB2312"/>
          <w:kern w:val="0"/>
          <w:sz w:val="32"/>
          <w:szCs w:val="32"/>
          <w:highlight w:val="none"/>
          <w:lang w:val="en-US" w:eastAsia="zh-CN"/>
        </w:rPr>
        <w:t>共制发6件</w:t>
      </w:r>
      <w:r>
        <w:rPr>
          <w:rFonts w:hint="eastAsia" w:ascii="Times New Roman" w:hAnsi="Times New Roman" w:eastAsia="仿宋_GB2312" w:cs="仿宋_GB2312"/>
          <w:kern w:val="0"/>
          <w:sz w:val="32"/>
          <w:szCs w:val="32"/>
          <w:highlight w:val="none"/>
          <w:lang w:val="en-US" w:eastAsia="zh-CN"/>
        </w:rPr>
        <w:t>规范性文件，废止</w:t>
      </w:r>
      <w:r>
        <w:rPr>
          <w:rFonts w:hint="eastAsia" w:eastAsia="仿宋_GB2312" w:cs="仿宋_GB2312"/>
          <w:kern w:val="0"/>
          <w:sz w:val="32"/>
          <w:szCs w:val="32"/>
          <w:highlight w:val="none"/>
          <w:lang w:val="en-US" w:eastAsia="zh-CN"/>
        </w:rPr>
        <w:t>或失效7件</w:t>
      </w:r>
      <w:r>
        <w:rPr>
          <w:rFonts w:hint="eastAsia" w:ascii="Times New Roman" w:hAnsi="Times New Roman" w:eastAsia="仿宋_GB2312" w:cs="仿宋_GB2312"/>
          <w:kern w:val="0"/>
          <w:sz w:val="32"/>
          <w:szCs w:val="32"/>
          <w:highlight w:val="none"/>
          <w:lang w:val="en-US" w:eastAsia="zh-CN"/>
        </w:rPr>
        <w:t>，</w:t>
      </w:r>
      <w:r>
        <w:rPr>
          <w:rFonts w:hint="eastAsia" w:eastAsia="仿宋_GB2312" w:cs="仿宋_GB2312"/>
          <w:kern w:val="0"/>
          <w:sz w:val="32"/>
          <w:szCs w:val="32"/>
          <w:highlight w:val="none"/>
          <w:lang w:val="en-US" w:eastAsia="zh-CN"/>
        </w:rPr>
        <w:t>已通过政府</w:t>
      </w:r>
      <w:r>
        <w:rPr>
          <w:rFonts w:hint="eastAsia" w:ascii="Times New Roman" w:hAnsi="Times New Roman" w:eastAsia="仿宋_GB2312" w:cs="仿宋_GB2312"/>
          <w:kern w:val="0"/>
          <w:sz w:val="32"/>
          <w:szCs w:val="32"/>
          <w:highlight w:val="none"/>
          <w:lang w:val="en-US" w:eastAsia="zh-CN"/>
        </w:rPr>
        <w:t>网站公示。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（四）政府信息公开平台建设情况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lang w:val="en-US" w:eastAsia="zh-CN"/>
        </w:rPr>
      </w:pPr>
      <w:r>
        <w:rPr>
          <w:rFonts w:hint="eastAsia" w:eastAsia="仿宋_GB2312" w:cs="仿宋_GB2312"/>
          <w:kern w:val="0"/>
          <w:sz w:val="32"/>
          <w:szCs w:val="32"/>
          <w:lang w:val="en-US" w:eastAsia="zh-CN"/>
        </w:rPr>
        <w:t>2022年，“威海市文登区发展和改革局”</w:t>
      </w:r>
      <w:r>
        <w:rPr>
          <w:rFonts w:hint="eastAsia" w:ascii="Times New Roman" w:hAnsi="Times New Roman" w:eastAsia="仿宋_GB2312" w:cs="仿宋_GB2312"/>
          <w:kern w:val="0"/>
          <w:sz w:val="32"/>
          <w:szCs w:val="32"/>
          <w:lang w:val="en-US" w:eastAsia="zh-CN"/>
        </w:rPr>
        <w:t>微信公众号共发布信息</w:t>
      </w:r>
      <w:r>
        <w:rPr>
          <w:rFonts w:hint="eastAsia" w:eastAsia="仿宋_GB2312" w:cs="仿宋_GB2312"/>
          <w:kern w:val="0"/>
          <w:sz w:val="32"/>
          <w:szCs w:val="32"/>
          <w:lang w:val="en-US" w:eastAsia="zh-CN"/>
        </w:rPr>
        <w:t>342</w:t>
      </w:r>
      <w:r>
        <w:rPr>
          <w:rFonts w:hint="eastAsia" w:ascii="Times New Roman" w:hAnsi="Times New Roman" w:eastAsia="仿宋_GB2312" w:cs="仿宋_GB2312"/>
          <w:kern w:val="0"/>
          <w:sz w:val="32"/>
          <w:szCs w:val="32"/>
          <w:lang w:val="en-US" w:eastAsia="zh-CN"/>
        </w:rPr>
        <w:t>条，涉及工作动态、政策解读、政策汇编、疫情防控信息等多个方面。今年，我局通过</w:t>
      </w:r>
      <w:r>
        <w:rPr>
          <w:rFonts w:hint="eastAsia" w:eastAsia="仿宋_GB2312" w:cs="仿宋_GB2312"/>
          <w:kern w:val="0"/>
          <w:sz w:val="32"/>
          <w:szCs w:val="32"/>
          <w:lang w:val="en-US" w:eastAsia="zh-CN"/>
        </w:rPr>
        <w:t>不断加强对</w:t>
      </w:r>
      <w:r>
        <w:rPr>
          <w:rFonts w:hint="default" w:ascii="Times New Roman" w:hAnsi="Times New Roman" w:eastAsia="仿宋_GB2312" w:cs="仿宋_GB2312"/>
          <w:kern w:val="0"/>
          <w:sz w:val="32"/>
          <w:szCs w:val="32"/>
          <w:lang w:val="en-US" w:eastAsia="zh-CN"/>
        </w:rPr>
        <w:t>政府门户网站</w:t>
      </w:r>
      <w:r>
        <w:rPr>
          <w:rFonts w:hint="eastAsia" w:eastAsia="仿宋_GB2312" w:cs="仿宋_GB2312"/>
          <w:kern w:val="0"/>
          <w:sz w:val="32"/>
          <w:szCs w:val="32"/>
          <w:lang w:val="en-US" w:eastAsia="zh-CN"/>
        </w:rPr>
        <w:t>和政务新媒体的规范化、科学化管理，积极推动两大平台协同互联，融合发展，疫情期间，通过广泛发布政策汇编、政策解读等形式，有效提振市场主体信心。举办一场新闻发布会，就服务业扶持政策进行详细解读，引导企业及时用好政策工具，享受政策红利；举办一期“政府开放日”活动，就自来水、天然气、供暖等政府定价商品价格水平及与邻市对比问题进行了详细解读</w:t>
      </w:r>
      <w:r>
        <w:rPr>
          <w:rFonts w:hint="eastAsia" w:ascii="Times New Roman" w:hAnsi="Times New Roman" w:eastAsia="仿宋_GB2312" w:cs="仿宋_GB2312"/>
          <w:kern w:val="0"/>
          <w:sz w:val="32"/>
          <w:szCs w:val="32"/>
          <w:lang w:val="en-US" w:eastAsia="zh-CN"/>
        </w:rPr>
        <w:t>，并针对群众热点问题答疑解惑，进一步增强群众的信任感和满意度，有效提升政府信息公开服务群众的能力和水平。</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（五）监督保障情况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lang w:val="en-US" w:eastAsia="zh-CN"/>
        </w:rPr>
      </w:pPr>
      <w:r>
        <w:rPr>
          <w:rFonts w:hint="eastAsia" w:eastAsia="仿宋_GB2312" w:cs="仿宋_GB2312"/>
          <w:kern w:val="0"/>
          <w:sz w:val="32"/>
          <w:szCs w:val="32"/>
          <w:lang w:val="en-US" w:eastAsia="zh-CN"/>
        </w:rPr>
        <w:t>随着制度体系的日渐完善，我局政务公开工作领导能力逐步提升，由局办公室负责政府信息公开和依申请公开工作，指定一名工作人员专门负责相关工作，充分发挥牵头抓总作用，各科室密切配合，形成政务公开工作的强大合力。今年，我局举办政务公开工作培训会，将</w:t>
      </w:r>
      <w:r>
        <w:rPr>
          <w:rFonts w:hint="eastAsia" w:ascii="Times New Roman" w:hAnsi="Times New Roman" w:eastAsia="仿宋_GB2312" w:cs="仿宋_GB2312"/>
          <w:kern w:val="0"/>
          <w:sz w:val="32"/>
          <w:szCs w:val="32"/>
          <w:lang w:val="en-US" w:eastAsia="zh-CN"/>
        </w:rPr>
        <w:t>《主动公开基本目录》细化分解至各科室，确保公开责任落实到科室、具体到人，有效强化政务公开保障。</w:t>
      </w:r>
    </w:p>
    <w:p>
      <w:pPr>
        <w:keepNext w:val="0"/>
        <w:keepLines w:val="0"/>
        <w:pageBreakBefore w:val="0"/>
        <w:numPr>
          <w:ilvl w:val="0"/>
          <w:numId w:val="1"/>
        </w:numPr>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kern w:val="0"/>
          <w:sz w:val="32"/>
          <w:szCs w:val="32"/>
          <w:lang w:eastAsia="zh-CN"/>
        </w:rPr>
      </w:pPr>
      <w:r>
        <w:rPr>
          <w:rFonts w:hint="default" w:ascii="黑体" w:hAnsi="黑体" w:eastAsia="黑体" w:cs="黑体"/>
          <w:kern w:val="0"/>
          <w:sz w:val="32"/>
          <w:szCs w:val="32"/>
          <w:lang w:eastAsia="zh-CN"/>
        </w:rPr>
        <w:t>主动公开政府信息情况</w:t>
      </w:r>
    </w:p>
    <w:p>
      <w:pPr>
        <w:keepNext w:val="0"/>
        <w:keepLines w:val="0"/>
        <w:pageBreakBefore w:val="0"/>
        <w:numPr>
          <w:ilvl w:val="0"/>
          <w:numId w:val="0"/>
        </w:numPr>
        <w:kinsoku/>
        <w:wordWrap/>
        <w:overflowPunct/>
        <w:topLinePunct w:val="0"/>
        <w:autoSpaceDE/>
        <w:autoSpaceDN/>
        <w:bidi w:val="0"/>
        <w:adjustRightInd/>
        <w:snapToGrid/>
        <w:spacing w:line="240" w:lineRule="auto"/>
        <w:textAlignment w:val="auto"/>
        <w:rPr>
          <w:rFonts w:hint="default" w:ascii="黑体" w:hAnsi="黑体" w:eastAsia="黑体" w:cs="黑体"/>
          <w:kern w:val="0"/>
          <w:sz w:val="32"/>
          <w:szCs w:val="32"/>
          <w:lang w:eastAsia="zh-CN"/>
        </w:rPr>
      </w:pPr>
      <w:r>
        <w:rPr>
          <w:rFonts w:hint="default" w:ascii="黑体" w:hAnsi="黑体" w:eastAsia="黑体" w:cs="黑体"/>
          <w:kern w:val="0"/>
          <w:sz w:val="32"/>
          <w:szCs w:val="32"/>
          <w:lang w:eastAsia="zh-CN"/>
        </w:rPr>
        <w:drawing>
          <wp:inline distT="0" distB="0" distL="114300" distR="114300">
            <wp:extent cx="5787390" cy="7599680"/>
            <wp:effectExtent l="0" t="0" r="3810" b="1270"/>
            <wp:docPr id="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
                    <pic:cNvPicPr>
                      <a:picLocks noChangeAspect="1"/>
                    </pic:cNvPicPr>
                  </pic:nvPicPr>
                  <pic:blipFill>
                    <a:blip r:embed="rId5"/>
                    <a:stretch>
                      <a:fillRect/>
                    </a:stretch>
                  </pic:blipFill>
                  <pic:spPr>
                    <a:xfrm>
                      <a:off x="0" y="0"/>
                      <a:ext cx="5787390" cy="7599680"/>
                    </a:xfrm>
                    <a:prstGeom prst="rect">
                      <a:avLst/>
                    </a:prstGeom>
                  </pic:spPr>
                </pic:pic>
              </a:graphicData>
            </a:graphic>
          </wp:inline>
        </w:drawing>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kern w:val="0"/>
          <w:sz w:val="32"/>
          <w:szCs w:val="32"/>
          <w:lang w:eastAsia="zh-CN"/>
        </w:rPr>
      </w:pPr>
      <w:r>
        <w:rPr>
          <w:rFonts w:hint="eastAsia" w:ascii="黑体" w:hAnsi="黑体" w:eastAsia="黑体" w:cs="黑体"/>
          <w:kern w:val="0"/>
          <w:sz w:val="32"/>
          <w:szCs w:val="32"/>
          <w:lang w:val="en-US" w:eastAsia="zh-CN"/>
        </w:rPr>
        <w:t>三、</w:t>
      </w:r>
      <w:r>
        <w:rPr>
          <w:rFonts w:hint="default" w:ascii="黑体" w:hAnsi="黑体" w:eastAsia="黑体" w:cs="黑体"/>
          <w:kern w:val="0"/>
          <w:sz w:val="32"/>
          <w:szCs w:val="32"/>
          <w:lang w:eastAsia="zh-CN"/>
        </w:rPr>
        <w:t>收到和处理政府信息公开申请情况</w:t>
      </w:r>
    </w:p>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黑体" w:hAnsi="黑体" w:eastAsia="黑体" w:cs="黑体"/>
          <w:kern w:val="0"/>
          <w:sz w:val="32"/>
          <w:szCs w:val="32"/>
          <w:lang w:eastAsia="zh-CN"/>
        </w:rPr>
      </w:pPr>
      <w:r>
        <w:rPr>
          <w:rFonts w:hint="eastAsia" w:ascii="黑体" w:hAnsi="黑体" w:eastAsia="黑体" w:cs="黑体"/>
          <w:kern w:val="0"/>
          <w:sz w:val="32"/>
          <w:szCs w:val="32"/>
          <w:lang w:eastAsia="zh-CN"/>
        </w:rPr>
        <w:drawing>
          <wp:inline distT="0" distB="0" distL="114300" distR="114300">
            <wp:extent cx="5873750" cy="7701280"/>
            <wp:effectExtent l="0" t="0" r="12700" b="13970"/>
            <wp:docPr id="4" name="图片 4" descr="威海市文登区发展和改革局2022年政府信息公开工作年度报告(1)(1)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威海市文登区发展和改革局2022年政府信息公开工作年度报告(1)(1)_04"/>
                    <pic:cNvPicPr>
                      <a:picLocks noChangeAspect="1"/>
                    </pic:cNvPicPr>
                  </pic:nvPicPr>
                  <pic:blipFill>
                    <a:blip r:embed="rId6"/>
                    <a:stretch>
                      <a:fillRect/>
                    </a:stretch>
                  </pic:blipFill>
                  <pic:spPr>
                    <a:xfrm>
                      <a:off x="0" y="0"/>
                      <a:ext cx="5873750" cy="7701280"/>
                    </a:xfrm>
                    <a:prstGeom prst="rect">
                      <a:avLst/>
                    </a:prstGeom>
                  </pic:spPr>
                </pic:pic>
              </a:graphicData>
            </a:graphic>
          </wp:inline>
        </w:drawing>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eastAsia="zh-CN"/>
        </w:rPr>
        <w:t>四、</w:t>
      </w:r>
      <w:r>
        <w:rPr>
          <w:rFonts w:hint="eastAsia" w:ascii="黑体" w:hAnsi="黑体" w:eastAsia="黑体" w:cs="黑体"/>
          <w:kern w:val="0"/>
          <w:sz w:val="32"/>
          <w:szCs w:val="32"/>
          <w:lang w:val="en-US" w:eastAsia="zh-CN"/>
        </w:rPr>
        <w:t>因政府信息公开工作被申请行政复议、提起行政诉讼的情况</w:t>
      </w:r>
    </w:p>
    <w:p>
      <w:pPr>
        <w:keepNext w:val="0"/>
        <w:keepLines w:val="0"/>
        <w:pageBreakBefore w:val="0"/>
        <w:kinsoku/>
        <w:wordWrap/>
        <w:overflowPunct/>
        <w:topLinePunct w:val="0"/>
        <w:autoSpaceDE/>
        <w:autoSpaceDN/>
        <w:bidi w:val="0"/>
        <w:adjustRightInd/>
        <w:snapToGrid/>
        <w:spacing w:line="240" w:lineRule="auto"/>
        <w:textAlignment w:val="auto"/>
        <w:rPr>
          <w:rFonts w:hint="default" w:ascii="黑体" w:hAnsi="黑体" w:eastAsia="黑体" w:cs="黑体"/>
          <w:kern w:val="0"/>
          <w:sz w:val="32"/>
          <w:szCs w:val="32"/>
          <w:lang w:val="en-US" w:eastAsia="zh-CN"/>
        </w:rPr>
      </w:pPr>
      <w:r>
        <w:rPr>
          <w:rFonts w:hint="default" w:ascii="黑体" w:hAnsi="黑体" w:eastAsia="黑体" w:cs="黑体"/>
          <w:kern w:val="0"/>
          <w:sz w:val="32"/>
          <w:szCs w:val="32"/>
          <w:lang w:val="en-US" w:eastAsia="zh-CN"/>
        </w:rPr>
        <w:drawing>
          <wp:inline distT="0" distB="0" distL="114300" distR="114300">
            <wp:extent cx="5587365" cy="1969770"/>
            <wp:effectExtent l="0" t="0" r="13335" b="11430"/>
            <wp:docPr id="6" name="图片 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4"/>
                    <pic:cNvPicPr>
                      <a:picLocks noChangeAspect="1"/>
                    </pic:cNvPicPr>
                  </pic:nvPicPr>
                  <pic:blipFill>
                    <a:blip r:embed="rId7"/>
                    <a:stretch>
                      <a:fillRect/>
                    </a:stretch>
                  </pic:blipFill>
                  <pic:spPr>
                    <a:xfrm>
                      <a:off x="0" y="0"/>
                      <a:ext cx="5587365" cy="1969770"/>
                    </a:xfrm>
                    <a:prstGeom prst="rect">
                      <a:avLst/>
                    </a:prstGeom>
                  </pic:spPr>
                </pic:pic>
              </a:graphicData>
            </a:graphic>
          </wp:inline>
        </w:drawing>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kern w:val="0"/>
          <w:sz w:val="32"/>
          <w:szCs w:val="32"/>
          <w:lang w:eastAsia="zh-CN"/>
        </w:rPr>
      </w:pPr>
      <w:r>
        <w:rPr>
          <w:rFonts w:hint="eastAsia" w:ascii="黑体" w:hAnsi="黑体" w:eastAsia="黑体" w:cs="黑体"/>
          <w:kern w:val="0"/>
          <w:sz w:val="32"/>
          <w:szCs w:val="32"/>
          <w:lang w:eastAsia="zh-CN"/>
        </w:rPr>
        <w:t>五、政府信息公开工作</w:t>
      </w:r>
      <w:r>
        <w:rPr>
          <w:rFonts w:hint="default" w:ascii="黑体" w:hAnsi="黑体" w:eastAsia="黑体" w:cs="黑体"/>
          <w:kern w:val="0"/>
          <w:sz w:val="32"/>
          <w:szCs w:val="32"/>
          <w:lang w:eastAsia="zh-CN"/>
        </w:rPr>
        <w:t>存在的主要问题及改进情况</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eastAsia="仿宋_GB2312" w:cs="仿宋_GB2312"/>
          <w:kern w:val="0"/>
          <w:sz w:val="32"/>
          <w:szCs w:val="32"/>
          <w:lang w:val="en-US" w:eastAsia="zh-CN"/>
        </w:rPr>
      </w:pPr>
      <w:r>
        <w:rPr>
          <w:rFonts w:hint="default" w:eastAsia="仿宋_GB2312" w:cs="仿宋_GB2312"/>
          <w:kern w:val="0"/>
          <w:sz w:val="32"/>
          <w:szCs w:val="32"/>
          <w:lang w:eastAsia="zh-CN"/>
        </w:rPr>
        <w:t>去</w:t>
      </w:r>
      <w:r>
        <w:rPr>
          <w:rFonts w:hint="eastAsia" w:ascii="Times New Roman" w:hAnsi="Times New Roman" w:eastAsia="仿宋_GB2312" w:cs="仿宋_GB2312"/>
          <w:kern w:val="0"/>
          <w:sz w:val="32"/>
          <w:szCs w:val="32"/>
          <w:lang w:val="en-US" w:eastAsia="zh-CN"/>
        </w:rPr>
        <w:t>年，我局政府信息公开工作</w:t>
      </w:r>
      <w:r>
        <w:rPr>
          <w:rFonts w:hint="eastAsia" w:eastAsia="仿宋_GB2312" w:cs="仿宋_GB2312"/>
          <w:kern w:val="0"/>
          <w:sz w:val="32"/>
          <w:szCs w:val="32"/>
          <w:lang w:val="en-US" w:eastAsia="zh-CN"/>
        </w:rPr>
        <w:t>在依申请公开规范性、信息公开深度上仍</w:t>
      </w:r>
      <w:r>
        <w:rPr>
          <w:rFonts w:hint="eastAsia" w:ascii="Times New Roman" w:hAnsi="Times New Roman" w:eastAsia="仿宋_GB2312" w:cs="仿宋_GB2312"/>
          <w:kern w:val="0"/>
          <w:sz w:val="32"/>
          <w:szCs w:val="32"/>
          <w:lang w:val="en-US" w:eastAsia="zh-CN"/>
        </w:rPr>
        <w:t>存在一些不足，</w:t>
      </w:r>
      <w:r>
        <w:rPr>
          <w:rFonts w:hint="eastAsia" w:eastAsia="仿宋_GB2312" w:cs="仿宋_GB2312"/>
          <w:kern w:val="0"/>
          <w:sz w:val="32"/>
          <w:szCs w:val="32"/>
          <w:lang w:val="en-US" w:eastAsia="zh-CN"/>
        </w:rPr>
        <w:t>主要表现为科室虽然熟悉办理流程，但往往答复不规范、不严谨；解读回应形式单一，距离群众关切还有一定距离。我局</w:t>
      </w:r>
      <w:r>
        <w:rPr>
          <w:rFonts w:hint="default" w:eastAsia="仿宋_GB2312" w:cs="仿宋_GB2312"/>
          <w:kern w:val="0"/>
          <w:sz w:val="32"/>
          <w:szCs w:val="32"/>
          <w:lang w:eastAsia="zh-CN"/>
        </w:rPr>
        <w:t>今年改进措施：</w:t>
      </w:r>
      <w:r>
        <w:rPr>
          <w:rFonts w:hint="eastAsia" w:eastAsia="仿宋_GB2312" w:cs="仿宋_GB2312"/>
          <w:kern w:val="0"/>
          <w:sz w:val="32"/>
          <w:szCs w:val="32"/>
          <w:lang w:val="en-US" w:eastAsia="zh-CN"/>
        </w:rPr>
        <w:t>将常态化开展依申请公开规范培训，将依申请公开工作纳入考核，强化督导落实；严格落实主动公开制度，以主动公开基本目录为依据，开展月度通报，季度评比；各科室指定一名联络员承担政务公开具体工作，落实政务公开主体责任，确保政务公开的及时性、规范性、标准性，促进政务公开工作健康有序发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kern w:val="0"/>
          <w:sz w:val="32"/>
          <w:szCs w:val="32"/>
          <w:lang w:eastAsia="zh-CN"/>
        </w:rPr>
      </w:pPr>
      <w:r>
        <w:rPr>
          <w:rFonts w:hint="eastAsia" w:ascii="黑体" w:hAnsi="黑体" w:eastAsia="黑体" w:cs="黑体"/>
          <w:kern w:val="0"/>
          <w:sz w:val="32"/>
          <w:szCs w:val="32"/>
          <w:lang w:eastAsia="zh-CN"/>
        </w:rPr>
        <w:t>六、其他需要报告的事项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（一）收取信息处理费情况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eastAsia="仿宋_GB2312" w:cs="仿宋_GB2312"/>
          <w:kern w:val="0"/>
          <w:sz w:val="32"/>
          <w:szCs w:val="32"/>
          <w:lang w:val="en-US" w:eastAsia="zh-CN"/>
        </w:rPr>
        <w:t>今年我局无收取</w:t>
      </w:r>
      <w:r>
        <w:rPr>
          <w:rFonts w:hint="eastAsia" w:ascii="Times New Roman" w:hAnsi="Times New Roman" w:eastAsia="仿宋_GB2312" w:cs="Times New Roman"/>
          <w:sz w:val="32"/>
          <w:szCs w:val="32"/>
          <w:lang w:val="en-US" w:eastAsia="zh-CN"/>
        </w:rPr>
        <w:t>政府信息公开信息处理费的情况。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（二）人大代表建议及政协提案办理结果公开情况</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kern w:val="0"/>
          <w:sz w:val="32"/>
          <w:szCs w:val="32"/>
          <w:highlight w:val="none"/>
          <w:lang w:val="en-US" w:eastAsia="zh-CN"/>
        </w:rPr>
        <w:t>202</w:t>
      </w:r>
      <w:r>
        <w:rPr>
          <w:rFonts w:hint="eastAsia" w:eastAsia="仿宋_GB2312" w:cs="仿宋_GB2312"/>
          <w:kern w:val="0"/>
          <w:sz w:val="32"/>
          <w:szCs w:val="32"/>
          <w:highlight w:val="none"/>
          <w:lang w:val="en-US" w:eastAsia="zh-CN"/>
        </w:rPr>
        <w:t>2</w:t>
      </w:r>
      <w:r>
        <w:rPr>
          <w:rFonts w:hint="eastAsia" w:ascii="Times New Roman" w:hAnsi="Times New Roman" w:eastAsia="仿宋_GB2312" w:cs="仿宋_GB2312"/>
          <w:kern w:val="0"/>
          <w:sz w:val="32"/>
          <w:szCs w:val="32"/>
          <w:highlight w:val="none"/>
          <w:lang w:val="en-US" w:eastAsia="zh-CN"/>
        </w:rPr>
        <w:t>年，我局承办</w:t>
      </w:r>
      <w:r>
        <w:rPr>
          <w:rFonts w:hint="eastAsia" w:eastAsia="仿宋_GB2312" w:cs="仿宋_GB2312"/>
          <w:kern w:val="0"/>
          <w:sz w:val="32"/>
          <w:szCs w:val="32"/>
          <w:highlight w:val="none"/>
          <w:lang w:val="en-US" w:eastAsia="zh-CN"/>
        </w:rPr>
        <w:t>区十九届人大一次会议代表建议1件，涉及我区电动汽车充电设备建设方面；承办区政协十一届一次会议委员提案3件，涉及供暖质量、新能源车充电桩建设、低碳经济</w:t>
      </w:r>
      <w:r>
        <w:rPr>
          <w:rFonts w:hint="eastAsia" w:ascii="Times New Roman" w:hAnsi="Times New Roman" w:eastAsia="仿宋_GB2312" w:cs="仿宋_GB2312"/>
          <w:kern w:val="0"/>
          <w:sz w:val="32"/>
          <w:szCs w:val="32"/>
          <w:highlight w:val="none"/>
          <w:lang w:val="en-US" w:eastAsia="zh-CN"/>
        </w:rPr>
        <w:t>方面，均已按时办结，相关办理结果已通过政府网站专栏主动公开。</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（三）落实上级年度政务公开工作要点情况</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b/>
          <w:bCs/>
          <w:kern w:val="0"/>
          <w:sz w:val="32"/>
          <w:szCs w:val="32"/>
          <w:highlight w:val="none"/>
          <w:lang w:val="en-US" w:eastAsia="zh-CN"/>
        </w:rPr>
        <w:t>一是</w:t>
      </w:r>
      <w:r>
        <w:rPr>
          <w:rFonts w:hint="eastAsia" w:eastAsia="仿宋_GB2312" w:cs="仿宋_GB2312"/>
          <w:b/>
          <w:bCs/>
          <w:kern w:val="0"/>
          <w:sz w:val="32"/>
          <w:szCs w:val="32"/>
          <w:highlight w:val="none"/>
          <w:lang w:val="en-US" w:eastAsia="zh-CN"/>
        </w:rPr>
        <w:t>严格执行政府信息公开制度</w:t>
      </w:r>
      <w:r>
        <w:rPr>
          <w:rFonts w:hint="eastAsia" w:ascii="Times New Roman" w:hAnsi="Times New Roman" w:eastAsia="仿宋_GB2312" w:cs="仿宋_GB2312"/>
          <w:b/>
          <w:bCs/>
          <w:kern w:val="0"/>
          <w:sz w:val="32"/>
          <w:szCs w:val="32"/>
          <w:highlight w:val="none"/>
          <w:lang w:val="en-US" w:eastAsia="zh-CN"/>
        </w:rPr>
        <w:t>。</w:t>
      </w:r>
      <w:r>
        <w:rPr>
          <w:rFonts w:hint="eastAsia" w:ascii="Times New Roman" w:hAnsi="Times New Roman" w:eastAsia="仿宋_GB2312" w:cs="仿宋_GB2312"/>
          <w:kern w:val="0"/>
          <w:sz w:val="32"/>
          <w:szCs w:val="32"/>
          <w:highlight w:val="none"/>
          <w:lang w:val="en-US" w:eastAsia="zh-CN"/>
        </w:rPr>
        <w:t>对拟公开内容严格落实</w:t>
      </w:r>
      <w:r>
        <w:rPr>
          <w:rFonts w:hint="eastAsia" w:eastAsia="仿宋_GB2312" w:cs="仿宋_GB2312"/>
          <w:kern w:val="0"/>
          <w:sz w:val="32"/>
          <w:szCs w:val="32"/>
          <w:highlight w:val="none"/>
          <w:lang w:val="en-US" w:eastAsia="zh-CN"/>
        </w:rPr>
        <w:t>审校制度</w:t>
      </w:r>
      <w:r>
        <w:rPr>
          <w:rFonts w:hint="eastAsia" w:ascii="Times New Roman" w:hAnsi="Times New Roman" w:eastAsia="仿宋_GB2312" w:cs="仿宋_GB2312"/>
          <w:kern w:val="0"/>
          <w:sz w:val="32"/>
          <w:szCs w:val="32"/>
          <w:highlight w:val="none"/>
          <w:lang w:val="en-US" w:eastAsia="zh-CN"/>
        </w:rPr>
        <w:t>，</w:t>
      </w:r>
      <w:r>
        <w:rPr>
          <w:rFonts w:hint="eastAsia" w:eastAsia="仿宋_GB2312" w:cs="仿宋_GB2312"/>
          <w:kern w:val="0"/>
          <w:sz w:val="32"/>
          <w:szCs w:val="32"/>
          <w:lang w:val="en-US" w:eastAsia="zh-CN"/>
        </w:rPr>
        <w:t>把好保密关、内容关、时效关和形式关</w:t>
      </w:r>
      <w:r>
        <w:rPr>
          <w:rFonts w:hint="eastAsia" w:ascii="Times New Roman" w:hAnsi="Times New Roman" w:eastAsia="仿宋_GB2312" w:cs="仿宋_GB2312"/>
          <w:kern w:val="0"/>
          <w:sz w:val="32"/>
          <w:szCs w:val="32"/>
          <w:highlight w:val="none"/>
          <w:lang w:val="en-US" w:eastAsia="zh-CN"/>
        </w:rPr>
        <w:t>。</w:t>
      </w:r>
      <w:r>
        <w:rPr>
          <w:rFonts w:hint="eastAsia" w:ascii="Times New Roman" w:hAnsi="Times New Roman" w:eastAsia="仿宋_GB2312" w:cs="仿宋_GB2312"/>
          <w:b/>
          <w:bCs/>
          <w:kern w:val="0"/>
          <w:sz w:val="32"/>
          <w:szCs w:val="32"/>
          <w:highlight w:val="none"/>
          <w:lang w:val="en-US" w:eastAsia="zh-CN"/>
        </w:rPr>
        <w:t>二是</w:t>
      </w:r>
      <w:r>
        <w:rPr>
          <w:rFonts w:hint="eastAsia" w:eastAsia="仿宋_GB2312" w:cs="仿宋_GB2312"/>
          <w:b/>
          <w:bCs/>
          <w:kern w:val="0"/>
          <w:sz w:val="32"/>
          <w:szCs w:val="32"/>
          <w:highlight w:val="none"/>
          <w:lang w:val="en-US" w:eastAsia="zh-CN"/>
        </w:rPr>
        <w:t>着力提升政策解读实效</w:t>
      </w:r>
      <w:r>
        <w:rPr>
          <w:rFonts w:hint="eastAsia" w:ascii="Times New Roman" w:hAnsi="Times New Roman" w:eastAsia="仿宋_GB2312" w:cs="仿宋_GB2312"/>
          <w:b/>
          <w:bCs/>
          <w:kern w:val="0"/>
          <w:sz w:val="32"/>
          <w:szCs w:val="32"/>
          <w:highlight w:val="none"/>
          <w:lang w:val="en-US" w:eastAsia="zh-CN"/>
        </w:rPr>
        <w:t>。</w:t>
      </w:r>
      <w:r>
        <w:rPr>
          <w:rFonts w:hint="eastAsia" w:ascii="Times New Roman" w:hAnsi="Times New Roman" w:eastAsia="仿宋_GB2312" w:cs="仿宋_GB2312"/>
          <w:kern w:val="0"/>
          <w:sz w:val="32"/>
          <w:szCs w:val="32"/>
          <w:lang w:val="en-US" w:eastAsia="zh-CN"/>
        </w:rPr>
        <w:t>坚持一文两解读，文字解读突出全面，图文解读突出核心，并在文件发布后三个工作日内及时关联政策解读。</w:t>
      </w:r>
      <w:r>
        <w:rPr>
          <w:rFonts w:hint="eastAsia" w:eastAsia="仿宋_GB2312" w:cs="仿宋_GB2312"/>
          <w:b/>
          <w:bCs/>
          <w:kern w:val="0"/>
          <w:sz w:val="32"/>
          <w:szCs w:val="32"/>
          <w:highlight w:val="none"/>
          <w:lang w:val="en-US" w:eastAsia="zh-CN"/>
        </w:rPr>
        <w:t>三</w:t>
      </w:r>
      <w:r>
        <w:rPr>
          <w:rFonts w:hint="eastAsia" w:ascii="Times New Roman" w:hAnsi="Times New Roman" w:eastAsia="仿宋_GB2312" w:cs="仿宋_GB2312"/>
          <w:b/>
          <w:bCs/>
          <w:kern w:val="0"/>
          <w:sz w:val="32"/>
          <w:szCs w:val="32"/>
          <w:highlight w:val="none"/>
          <w:lang w:val="en-US" w:eastAsia="zh-CN"/>
        </w:rPr>
        <w:t>是</w:t>
      </w:r>
      <w:r>
        <w:rPr>
          <w:rFonts w:hint="eastAsia" w:eastAsia="仿宋_GB2312" w:cs="仿宋_GB2312"/>
          <w:b/>
          <w:bCs/>
          <w:kern w:val="0"/>
          <w:sz w:val="32"/>
          <w:szCs w:val="32"/>
          <w:highlight w:val="none"/>
          <w:lang w:val="en-US" w:eastAsia="zh-CN"/>
        </w:rPr>
        <w:t>持续加强重点民生领域信息</w:t>
      </w:r>
      <w:r>
        <w:rPr>
          <w:rFonts w:hint="eastAsia" w:ascii="Times New Roman" w:hAnsi="Times New Roman" w:eastAsia="仿宋_GB2312" w:cs="仿宋_GB2312"/>
          <w:b/>
          <w:bCs/>
          <w:kern w:val="0"/>
          <w:sz w:val="32"/>
          <w:szCs w:val="32"/>
          <w:highlight w:val="none"/>
          <w:lang w:val="en-US" w:eastAsia="zh-CN"/>
        </w:rPr>
        <w:t>公开。</w:t>
      </w:r>
      <w:r>
        <w:rPr>
          <w:rFonts w:hint="eastAsia" w:ascii="Times New Roman" w:hAnsi="Times New Roman" w:eastAsia="仿宋_GB2312" w:cs="仿宋_GB2312"/>
          <w:kern w:val="0"/>
          <w:sz w:val="32"/>
          <w:szCs w:val="32"/>
          <w:highlight w:val="none"/>
          <w:lang w:val="en-US" w:eastAsia="zh-CN"/>
        </w:rPr>
        <w:t>坚持动态更新公开政府定价、政府指导价的收费目录清单，及时公开并解读价格领域重要文件，真正推动利民惠企政策落地。</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（四）政务公开工作创新情况</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kern w:val="0"/>
          <w:sz w:val="32"/>
          <w:szCs w:val="32"/>
          <w:highlight w:val="none"/>
          <w:lang w:val="en-US" w:eastAsia="zh-CN"/>
        </w:rPr>
        <w:t>疫情期间，作为重要的经济服务部门，为方便企业了解政策，推动复工复产，</w:t>
      </w:r>
      <w:r>
        <w:rPr>
          <w:rFonts w:hint="eastAsia" w:eastAsia="仿宋_GB2312" w:cs="仿宋_GB2312"/>
          <w:kern w:val="0"/>
          <w:sz w:val="32"/>
          <w:szCs w:val="32"/>
          <w:highlight w:val="none"/>
          <w:lang w:val="en-US" w:eastAsia="zh-CN"/>
        </w:rPr>
        <w:t>我</w:t>
      </w:r>
      <w:r>
        <w:rPr>
          <w:rFonts w:hint="eastAsia" w:ascii="Times New Roman" w:hAnsi="Times New Roman" w:eastAsia="仿宋_GB2312" w:cs="仿宋_GB2312"/>
          <w:kern w:val="0"/>
          <w:sz w:val="32"/>
          <w:szCs w:val="32"/>
          <w:highlight w:val="none"/>
          <w:lang w:val="en-US" w:eastAsia="zh-CN"/>
        </w:rPr>
        <w:t>局根据行业类别，制作了由普惠性扶持措施、工业扶持措施、建筑业扶持措施、批发零售业扶持措施、餐饮业扶持措施、房地产业扶持措施、文化旅游业扶持措施、交通运输业扶持措施8部分构成，共汇总国家、省、市级“干货”政策81条的惠企政策解读，并列明出处，标注办理方式、咨询单位和联系电话，形象生动，简单明了。“1”张图，确保企业能够在最短时间内咨询办理相关手续，引导各项惠企政策落实落地，为复工复产和经济社会发展加油提速。</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（五）政府信息公开工作年度报告数据统计需要说明的事项</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kern w:val="0"/>
          <w:sz w:val="32"/>
          <w:szCs w:val="32"/>
          <w:highlight w:val="none"/>
          <w:lang w:val="en-US" w:eastAsia="zh-CN"/>
        </w:rPr>
        <w:t>无。</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（六）本行政机关认为需要报告的其他事项</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kern w:val="0"/>
          <w:sz w:val="32"/>
          <w:szCs w:val="32"/>
          <w:highlight w:val="none"/>
          <w:lang w:val="en-US" w:eastAsia="zh-CN"/>
        </w:rPr>
        <w:t>局所属事业单位</w:t>
      </w:r>
      <w:r>
        <w:rPr>
          <w:rFonts w:hint="eastAsia" w:eastAsia="仿宋_GB2312" w:cs="仿宋_GB2312"/>
          <w:kern w:val="0"/>
          <w:sz w:val="32"/>
          <w:szCs w:val="32"/>
          <w:highlight w:val="none"/>
          <w:lang w:val="en-US" w:eastAsia="zh-CN"/>
        </w:rPr>
        <w:t>严格按照</w:t>
      </w:r>
      <w:r>
        <w:rPr>
          <w:rFonts w:hint="eastAsia" w:ascii="Times New Roman" w:hAnsi="Times New Roman" w:eastAsia="仿宋_GB2312" w:cs="仿宋_GB2312"/>
          <w:kern w:val="0"/>
          <w:sz w:val="32"/>
          <w:szCs w:val="32"/>
          <w:highlight w:val="none"/>
          <w:lang w:val="en-US" w:eastAsia="zh-CN"/>
        </w:rPr>
        <w:t>信息公开工作制度、流程</w:t>
      </w:r>
      <w:r>
        <w:rPr>
          <w:rFonts w:hint="eastAsia" w:eastAsia="仿宋_GB2312" w:cs="仿宋_GB2312"/>
          <w:kern w:val="0"/>
          <w:sz w:val="32"/>
          <w:szCs w:val="32"/>
          <w:highlight w:val="none"/>
          <w:lang w:val="en-US" w:eastAsia="zh-CN"/>
        </w:rPr>
        <w:t>，</w:t>
      </w:r>
      <w:r>
        <w:rPr>
          <w:rFonts w:hint="eastAsia" w:ascii="Times New Roman" w:hAnsi="Times New Roman" w:eastAsia="仿宋_GB2312" w:cs="仿宋_GB2312"/>
          <w:kern w:val="0"/>
          <w:sz w:val="32"/>
          <w:szCs w:val="32"/>
          <w:highlight w:val="none"/>
          <w:lang w:val="en-US" w:eastAsia="zh-CN"/>
        </w:rPr>
        <w:t>依法依规开展信息公开工作，坚持统一领导部署，通过</w:t>
      </w:r>
      <w:r>
        <w:rPr>
          <w:rFonts w:hint="eastAsia" w:eastAsia="仿宋_GB2312" w:cs="仿宋_GB2312"/>
          <w:kern w:val="0"/>
          <w:sz w:val="32"/>
          <w:szCs w:val="32"/>
          <w:highlight w:val="none"/>
          <w:lang w:val="en-US" w:eastAsia="zh-CN"/>
        </w:rPr>
        <w:t>政府</w:t>
      </w:r>
      <w:bookmarkStart w:id="0" w:name="_GoBack"/>
      <w:bookmarkEnd w:id="0"/>
      <w:r>
        <w:rPr>
          <w:rFonts w:hint="eastAsia" w:ascii="Times New Roman" w:hAnsi="Times New Roman" w:eastAsia="仿宋_GB2312" w:cs="仿宋_GB2312"/>
          <w:kern w:val="0"/>
          <w:sz w:val="32"/>
          <w:szCs w:val="32"/>
          <w:highlight w:val="none"/>
          <w:lang w:val="en-US" w:eastAsia="zh-CN"/>
        </w:rPr>
        <w:t>门户网站</w:t>
      </w:r>
      <w:r>
        <w:rPr>
          <w:rFonts w:hint="eastAsia" w:eastAsia="仿宋_GB2312" w:cs="仿宋_GB2312"/>
          <w:kern w:val="0"/>
          <w:sz w:val="32"/>
          <w:szCs w:val="32"/>
          <w:highlight w:val="none"/>
          <w:lang w:val="en-US" w:eastAsia="zh-CN"/>
        </w:rPr>
        <w:t>和</w:t>
      </w:r>
      <w:r>
        <w:rPr>
          <w:rFonts w:hint="eastAsia" w:ascii="Times New Roman" w:hAnsi="Times New Roman" w:eastAsia="仿宋_GB2312" w:cs="仿宋_GB2312"/>
          <w:kern w:val="0"/>
          <w:sz w:val="32"/>
          <w:szCs w:val="32"/>
          <w:highlight w:val="none"/>
          <w:lang w:val="en-US" w:eastAsia="zh-CN"/>
        </w:rPr>
        <w:t>“威海市文登区发展和改革局”公众号发布信息。</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（七）其他有关文件专门要求通过政府信息公开工作年度报告予以报告的事项</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kern w:val="0"/>
          <w:sz w:val="32"/>
          <w:szCs w:val="32"/>
          <w:highlight w:val="none"/>
          <w:lang w:val="en-US" w:eastAsia="zh-CN"/>
        </w:rPr>
        <w:t>无。</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highlight w:val="none"/>
          <w:lang w:val="en-US" w:eastAsia="zh-CN"/>
        </w:rPr>
      </w:pPr>
    </w:p>
    <w:p>
      <w:pPr>
        <w:pStyle w:val="2"/>
        <w:keepNext w:val="0"/>
        <w:keepLines w:val="0"/>
        <w:pageBreakBefore w:val="0"/>
        <w:shd w:val="clear" w:color="auto" w:fill="FFFFFF"/>
        <w:kinsoku/>
        <w:wordWrap w:val="0"/>
        <w:overflowPunct/>
        <w:topLinePunct w:val="0"/>
        <w:autoSpaceDE/>
        <w:autoSpaceDN/>
        <w:bidi w:val="0"/>
        <w:adjustRightInd/>
        <w:snapToGrid/>
        <w:spacing w:before="0" w:beforeAutospacing="0" w:after="0" w:afterAutospacing="0" w:line="560" w:lineRule="exact"/>
        <w:ind w:firstLine="538"/>
        <w:jc w:val="right"/>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威海市文登区发展和改革局    </w:t>
      </w:r>
    </w:p>
    <w:p>
      <w:pPr>
        <w:pStyle w:val="2"/>
        <w:keepNext w:val="0"/>
        <w:keepLines w:val="0"/>
        <w:pageBreakBefore w:val="0"/>
        <w:shd w:val="clear" w:color="auto" w:fill="FFFFFF"/>
        <w:kinsoku/>
        <w:wordWrap w:val="0"/>
        <w:overflowPunct/>
        <w:topLinePunct w:val="0"/>
        <w:autoSpaceDE/>
        <w:autoSpaceDN/>
        <w:bidi w:val="0"/>
        <w:adjustRightInd/>
        <w:snapToGrid/>
        <w:spacing w:before="0" w:beforeAutospacing="0" w:after="0" w:afterAutospacing="0" w:line="560" w:lineRule="exact"/>
        <w:ind w:firstLine="538"/>
        <w:jc w:val="right"/>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2023年1月16日        </w:t>
      </w:r>
    </w:p>
    <w:p>
      <w:pPr>
        <w:keepNext w:val="0"/>
        <w:keepLines w:val="0"/>
        <w:pageBreakBefore w:val="0"/>
        <w:kinsoku/>
        <w:wordWrap/>
        <w:overflowPunct/>
        <w:topLinePunct w:val="0"/>
        <w:autoSpaceDE/>
        <w:autoSpaceDN/>
        <w:bidi w:val="0"/>
        <w:adjustRightInd/>
        <w:snapToGrid/>
        <w:spacing w:line="560" w:lineRule="exact"/>
        <w:textAlignment w:val="auto"/>
      </w:pPr>
    </w:p>
    <w:sectPr>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37B700"/>
    <w:multiLevelType w:val="singleLevel"/>
    <w:tmpl w:val="5C37B700"/>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4Njc1NTllOWY1YTAxZjZjZWVkOThiYmQxNmNlNjgifQ=="/>
    <w:docVar w:name="KSO_WPS_MARK_KEY" w:val="6f2de541-e9b0-4b9e-b392-615523c84efc"/>
  </w:docVars>
  <w:rsids>
    <w:rsidRoot w:val="08063D8E"/>
    <w:rsid w:val="01DB732E"/>
    <w:rsid w:val="03636F3B"/>
    <w:rsid w:val="04E94AA5"/>
    <w:rsid w:val="07F3640C"/>
    <w:rsid w:val="08063D8E"/>
    <w:rsid w:val="08BE3B40"/>
    <w:rsid w:val="08E17F73"/>
    <w:rsid w:val="0D8443A4"/>
    <w:rsid w:val="107730E0"/>
    <w:rsid w:val="10A44D8F"/>
    <w:rsid w:val="116C5D68"/>
    <w:rsid w:val="12AB1EA7"/>
    <w:rsid w:val="12E90846"/>
    <w:rsid w:val="12F02B19"/>
    <w:rsid w:val="131E40C5"/>
    <w:rsid w:val="13601E59"/>
    <w:rsid w:val="151C33CF"/>
    <w:rsid w:val="15A80E65"/>
    <w:rsid w:val="17120E59"/>
    <w:rsid w:val="18EC5427"/>
    <w:rsid w:val="19DC4D1D"/>
    <w:rsid w:val="1B213295"/>
    <w:rsid w:val="1CFF32B3"/>
    <w:rsid w:val="1FB70B4B"/>
    <w:rsid w:val="1FFE616F"/>
    <w:rsid w:val="20A1746F"/>
    <w:rsid w:val="210A6BCE"/>
    <w:rsid w:val="21F16492"/>
    <w:rsid w:val="22073609"/>
    <w:rsid w:val="22C511D6"/>
    <w:rsid w:val="22F64474"/>
    <w:rsid w:val="230E1061"/>
    <w:rsid w:val="23666C1F"/>
    <w:rsid w:val="240A3B26"/>
    <w:rsid w:val="258A2CD6"/>
    <w:rsid w:val="264D245B"/>
    <w:rsid w:val="27183AA3"/>
    <w:rsid w:val="27253411"/>
    <w:rsid w:val="27FE4D88"/>
    <w:rsid w:val="28960134"/>
    <w:rsid w:val="296E7672"/>
    <w:rsid w:val="2A5A0495"/>
    <w:rsid w:val="2ACD50AA"/>
    <w:rsid w:val="2D941C38"/>
    <w:rsid w:val="2DAC0C20"/>
    <w:rsid w:val="2F0974DC"/>
    <w:rsid w:val="2F5341DF"/>
    <w:rsid w:val="2FDB54E3"/>
    <w:rsid w:val="2FF761E9"/>
    <w:rsid w:val="303B6978"/>
    <w:rsid w:val="31931FDD"/>
    <w:rsid w:val="32DE46D8"/>
    <w:rsid w:val="34A441EC"/>
    <w:rsid w:val="34A71265"/>
    <w:rsid w:val="34F17CA5"/>
    <w:rsid w:val="35624744"/>
    <w:rsid w:val="35634769"/>
    <w:rsid w:val="368525FF"/>
    <w:rsid w:val="36C75EA5"/>
    <w:rsid w:val="37771BCE"/>
    <w:rsid w:val="3861209D"/>
    <w:rsid w:val="3A1864D8"/>
    <w:rsid w:val="3BDE396F"/>
    <w:rsid w:val="3D36667D"/>
    <w:rsid w:val="3D5D5687"/>
    <w:rsid w:val="3DAF0508"/>
    <w:rsid w:val="3EF8047B"/>
    <w:rsid w:val="3F872266"/>
    <w:rsid w:val="3FE347CC"/>
    <w:rsid w:val="426914C2"/>
    <w:rsid w:val="446D6B4A"/>
    <w:rsid w:val="44725A9A"/>
    <w:rsid w:val="456B3AC2"/>
    <w:rsid w:val="48FA7DB5"/>
    <w:rsid w:val="49234F09"/>
    <w:rsid w:val="499926B4"/>
    <w:rsid w:val="4A5D3462"/>
    <w:rsid w:val="4BF152EE"/>
    <w:rsid w:val="4E044884"/>
    <w:rsid w:val="4E0F781A"/>
    <w:rsid w:val="4E3644F1"/>
    <w:rsid w:val="4EC6686A"/>
    <w:rsid w:val="4FC005E4"/>
    <w:rsid w:val="50105A5F"/>
    <w:rsid w:val="50DE544C"/>
    <w:rsid w:val="51B00D12"/>
    <w:rsid w:val="51C64D21"/>
    <w:rsid w:val="51F54B20"/>
    <w:rsid w:val="523E6E33"/>
    <w:rsid w:val="53B4772E"/>
    <w:rsid w:val="53CD37E8"/>
    <w:rsid w:val="54492049"/>
    <w:rsid w:val="5637720B"/>
    <w:rsid w:val="568F1A05"/>
    <w:rsid w:val="5765547B"/>
    <w:rsid w:val="57E36310"/>
    <w:rsid w:val="594E4375"/>
    <w:rsid w:val="59C53F70"/>
    <w:rsid w:val="59D31295"/>
    <w:rsid w:val="5A1240FC"/>
    <w:rsid w:val="5B51505D"/>
    <w:rsid w:val="5C697085"/>
    <w:rsid w:val="5D4A6112"/>
    <w:rsid w:val="5E1B1242"/>
    <w:rsid w:val="5E317B77"/>
    <w:rsid w:val="5EB325C7"/>
    <w:rsid w:val="5F654BA4"/>
    <w:rsid w:val="60424568"/>
    <w:rsid w:val="60F26C2B"/>
    <w:rsid w:val="61BA485B"/>
    <w:rsid w:val="62440D79"/>
    <w:rsid w:val="63092AD7"/>
    <w:rsid w:val="63145CF0"/>
    <w:rsid w:val="63314C34"/>
    <w:rsid w:val="637C5C46"/>
    <w:rsid w:val="63BF1457"/>
    <w:rsid w:val="64257C09"/>
    <w:rsid w:val="644F365E"/>
    <w:rsid w:val="64B96ADD"/>
    <w:rsid w:val="64D4400C"/>
    <w:rsid w:val="65413083"/>
    <w:rsid w:val="660B3602"/>
    <w:rsid w:val="67515045"/>
    <w:rsid w:val="686C642F"/>
    <w:rsid w:val="69415407"/>
    <w:rsid w:val="698C6A4B"/>
    <w:rsid w:val="6ADA0ADF"/>
    <w:rsid w:val="6C7D033F"/>
    <w:rsid w:val="6DF8446C"/>
    <w:rsid w:val="6E3B6B8D"/>
    <w:rsid w:val="6E630168"/>
    <w:rsid w:val="6F3003A3"/>
    <w:rsid w:val="6F8D7200"/>
    <w:rsid w:val="70630DF9"/>
    <w:rsid w:val="7090127A"/>
    <w:rsid w:val="732C499F"/>
    <w:rsid w:val="770743EC"/>
    <w:rsid w:val="79892D64"/>
    <w:rsid w:val="7B422B83"/>
    <w:rsid w:val="7C23672A"/>
    <w:rsid w:val="7DA45141"/>
    <w:rsid w:val="7E914434"/>
    <w:rsid w:val="7EB3290F"/>
    <w:rsid w:val="7F324AD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2332</Words>
  <Characters>2413</Characters>
  <Lines>0</Lines>
  <Paragraphs>0</Paragraphs>
  <TotalTime>0</TotalTime>
  <ScaleCrop>false</ScaleCrop>
  <LinksUpToDate>false</LinksUpToDate>
  <CharactersWithSpaces>2425</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2021-01-26T14:06:00Z</dcterms:created>
  <dc:creator>种草的兔叽</dc:creator>
  <cp:lastModifiedBy>种草的兔叽</cp:lastModifiedBy>
  <cp:lastPrinted>2021-01-27T14:45:00Z</cp:lastPrinted>
  <dcterms:modified xsi:type="dcterms:W3CDTF">2024-10-22T02:20:30Z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9D0FB78BB211420A8F625769E22BA326</vt:lpwstr>
  </property>
</Properties>
</file>