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60" w:lineRule="exact"/>
        <w:jc w:val="left"/>
        <w:rPr>
          <w:rFonts w:hint="default" w:ascii="Times New Roman" w:hAnsi="Times New Roman" w:eastAsia="方正小标宋简体" w:cs="Times New Roman"/>
          <w:sz w:val="32"/>
          <w:szCs w:val="32"/>
        </w:rPr>
      </w:pPr>
      <w:r>
        <w:rPr>
          <w:rFonts w:hint="default" w:ascii="Times New Roman" w:hAnsi="Times New Roman" w:eastAsia="方正小标宋简体" w:cs="Times New Roman"/>
          <w:sz w:val="32"/>
          <w:szCs w:val="32"/>
        </w:rPr>
        <w:t>WDDR-2023-0330001</w:t>
      </w:r>
    </w:p>
    <w:p>
      <w:pPr>
        <w:snapToGrid w:val="0"/>
        <w:spacing w:line="560" w:lineRule="exact"/>
        <w:jc w:val="center"/>
        <w:rPr>
          <w:rFonts w:hint="default" w:ascii="Times New Roman" w:hAnsi="Times New Roman" w:eastAsia="方正小标宋简体" w:cs="Times New Roman"/>
          <w:sz w:val="44"/>
          <w:szCs w:val="44"/>
        </w:rPr>
      </w:pPr>
    </w:p>
    <w:p>
      <w:pPr>
        <w:snapToGrid w:val="0"/>
        <w:spacing w:line="560" w:lineRule="exact"/>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威海市文登区城市管理综合行政执法领域</w:t>
      </w:r>
    </w:p>
    <w:p>
      <w:pPr>
        <w:snapToGrid w:val="0"/>
        <w:spacing w:line="560" w:lineRule="exact"/>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信用管理实施办法</w:t>
      </w:r>
    </w:p>
    <w:p>
      <w:pPr>
        <w:pStyle w:val="3"/>
        <w:widowControl w:val="0"/>
        <w:spacing w:before="0" w:beforeAutospacing="0" w:after="0" w:afterAutospacing="0" w:line="540" w:lineRule="exact"/>
        <w:ind w:left="0" w:leftChars="0" w:right="0" w:rightChars="0" w:firstLine="0" w:firstLineChars="0"/>
        <w:jc w:val="center"/>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en-US" w:eastAsia="zh-CN"/>
        </w:rPr>
        <w:t>威文综执发〔2023〕6号</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p>
    <w:p>
      <w:pPr>
        <w:autoSpaceDE w:val="0"/>
        <w:spacing w:line="540" w:lineRule="exact"/>
        <w:jc w:val="center"/>
        <w:rPr>
          <w:rFonts w:hint="default" w:ascii="Times New Roman" w:hAnsi="Times New Roman" w:eastAsia="黑体" w:cs="Times New Roman"/>
          <w:bCs/>
          <w:sz w:val="32"/>
          <w:szCs w:val="32"/>
        </w:rPr>
      </w:pPr>
      <w:r>
        <w:rPr>
          <w:rFonts w:hint="default" w:ascii="Times New Roman" w:hAnsi="Times New Roman" w:eastAsia="黑体" w:cs="Times New Roman"/>
          <w:bCs/>
          <w:sz w:val="32"/>
          <w:szCs w:val="32"/>
        </w:rPr>
        <w:t>第一章  总  则</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第一条  为提高城市管理水平，打造精致城市，建设以信用为核心的城市管理体系，深化我区信用体系建设，根据《国务院关于建立完善守信联合激励和失信联合惩戒制度加快推进社会诚信建设的指导意见》《国务院办公厅关于加强个人诚信体系建设的指导意见》《山东省社会信用条例》《威海市文登区社会成员信用积分和信用评价管理办法》及综合行政执法领域法律法规等有关规定，制定本办法。</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第二条  本办法适用于包括企业、个体工商户、社会组织及其法定代表人、主要负责人、经营者和年满18周岁的自然人等城市管理行政相对人(以下简称“行政相对人”)。</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第三条  本办法所称的城市管理领域信用管理，是指通过信用积分、星级评价，对行政相对人信用信息开展的采集、评价、确定、修复、发布和应用等活动。</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法律、法规、规章及上级规范性文件另有规定的，从其规定。</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第四条 城市管理领域信用管理遵循客观公正、标准统一、分级分类、动态调整的原则。</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第五条 区综合行政执法局负责组织本办法的实施，负责守信行为信息、失信行为信息的归集、上报、异议处理和信用修复等工作。</w:t>
      </w:r>
    </w:p>
    <w:p>
      <w:pPr>
        <w:pStyle w:val="3"/>
        <w:widowControl w:val="0"/>
        <w:shd w:val="clear" w:color="auto" w:fill="FFFFFF"/>
        <w:spacing w:before="0" w:beforeAutospacing="0" w:after="0" w:afterAutospacing="0" w:line="540" w:lineRule="exact"/>
        <w:jc w:val="center"/>
        <w:rPr>
          <w:rFonts w:hint="default" w:ascii="Times New Roman" w:hAnsi="Times New Roman" w:eastAsia="黑体" w:cs="Times New Roman"/>
          <w:kern w:val="2"/>
          <w:sz w:val="32"/>
          <w:szCs w:val="32"/>
        </w:rPr>
      </w:pPr>
      <w:r>
        <w:rPr>
          <w:rFonts w:hint="default" w:ascii="Times New Roman" w:hAnsi="Times New Roman" w:eastAsia="黑体" w:cs="Times New Roman"/>
          <w:bCs/>
          <w:kern w:val="2"/>
          <w:sz w:val="32"/>
          <w:szCs w:val="32"/>
        </w:rPr>
        <w:t>第二章  信用信息采集</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第六条  城市管理领域信用信息采集是指城市管理部门对行政相对人信用信息的记录和收集。</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第七条  行政相对人信用信息包括基本信息、监督检查信息、违法违规信息、承担社会义务的信息以及档案信息等。</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第八条  区综合行政执法局定期对不良信息进行收集、审核后报送区社会信用中心。</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第九条  监督检查信息包括对行政相对人的日常监督检查、专项检查、跟踪检查等结论信息，由执法人员负责采集。</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第十条  违法违规信息包括因违反城市管理法律法规被行政处罚、行政强制执行的信息。</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第十一条  承担社会义务的信息包括行政相对人积极承担城市管理方面的义务、积极参加城市管理方面活动等信息，由行政相对人主动申报或由执法人员提报。</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第十二条  档案信息是指不参与城市管理领域信用评价的历史信息，由区社会信用管理系统自动生成。</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第十三条  城市管理领域信用信息实时采集、应采尽采，确保信用信息的完整性。</w:t>
      </w:r>
    </w:p>
    <w:p>
      <w:pPr>
        <w:pStyle w:val="3"/>
        <w:widowControl w:val="0"/>
        <w:shd w:val="clear" w:color="auto" w:fill="FFFFFF"/>
        <w:spacing w:before="0" w:beforeAutospacing="0" w:after="0" w:afterAutospacing="0" w:line="540" w:lineRule="exact"/>
        <w:jc w:val="center"/>
        <w:rPr>
          <w:rFonts w:hint="default" w:ascii="Times New Roman" w:hAnsi="Times New Roman" w:eastAsia="黑体" w:cs="Times New Roman"/>
          <w:bCs/>
          <w:kern w:val="2"/>
          <w:sz w:val="32"/>
          <w:szCs w:val="32"/>
        </w:rPr>
      </w:pPr>
      <w:r>
        <w:rPr>
          <w:rFonts w:hint="default" w:ascii="Times New Roman" w:hAnsi="Times New Roman" w:eastAsia="黑体" w:cs="Times New Roman"/>
          <w:bCs/>
          <w:kern w:val="2"/>
          <w:sz w:val="32"/>
          <w:szCs w:val="32"/>
        </w:rPr>
        <w:t>第三章  信用积分</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第十四条  城市管理领域信用评价采取信用积分方式实施。</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第十五条  行政相对人的初始信用分为1000分。 行政相对人的信用积分采取加分和减分方式，由基础分+加分-减分得出，坚持教育和惩戒相结合的原则。</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第十六条 行政相对人有下列情况之一的，作为守信信息每次加信用分10分：</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1.参与城市管理宣传教育、活动创建等表现突出的；</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2.积极帮助执法人员劝阻违法违规行为并取得整改效果的；</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3.拾金不昧金额 1 万元以上的；</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4.参加志愿服务时间累计达到 50 小时；</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5.实施其它有助于城市管理活动行为的。</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第十七条 行政相对人有下列情况之一的，作为守信信息每次加信用分20分：</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1.配合城市管理领域执法，且提供的视频、录音、照片等资料能作为证据应用于有关案件查处的；</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2.在城市管理领域相关法律文书上作为见证人签字并配合出庭作证的；</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3.参加志愿服务时间累计达到 100 小时；</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 xml:space="preserve">4.在城市管理领域有其他突出表现受到表彰的。 </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第十八条 行政相对人首次有附件1所列违法违规行为，被作出行政处罚决定的，作为失信信息减信用分10分。</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第十九条 行政相对人因实施城市管理领域违法违规行为被责令整改后，再次实施违法违规行为的，或虽为首次实施违法违规行为但情节严重或拒不整改的，按照《威海市文登区社会成员信用积分和信用评价管理办法》的相关评价指标扣减信用分，标准见附表二和附表三。</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第二十条  信用信息评价的有效期参照《威海市文登区社会成员信用积分和信用评价管理办法》执行。</w:t>
      </w:r>
    </w:p>
    <w:p>
      <w:pPr>
        <w:pStyle w:val="3"/>
        <w:widowControl w:val="0"/>
        <w:shd w:val="clear" w:color="auto" w:fill="FFFFFF"/>
        <w:spacing w:before="0" w:beforeAutospacing="0" w:after="0" w:afterAutospacing="0" w:line="540" w:lineRule="exact"/>
        <w:jc w:val="center"/>
        <w:rPr>
          <w:rFonts w:hint="default" w:ascii="Times New Roman" w:hAnsi="Times New Roman" w:eastAsia="黑体" w:cs="Times New Roman"/>
          <w:bCs/>
          <w:kern w:val="2"/>
          <w:sz w:val="32"/>
          <w:szCs w:val="32"/>
        </w:rPr>
      </w:pPr>
      <w:r>
        <w:rPr>
          <w:rFonts w:hint="default" w:ascii="Times New Roman" w:hAnsi="Times New Roman" w:eastAsia="黑体" w:cs="Times New Roman"/>
          <w:bCs/>
          <w:kern w:val="2"/>
          <w:sz w:val="32"/>
          <w:szCs w:val="32"/>
        </w:rPr>
        <w:t>第四章  信用告知和信用修复</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第二十一条  城市管理领域形成的信用信息，包括加分信息、减分信息，城市管理部门均要以书面的方式告知行政相对人。</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第二十二条  建立信用修复机制，对存在失信行为的行政相对人通过信用加分及参加城市管理志愿活动等方式修复。</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第二十三条  失信行为人改正违法行为、履行处罚决定且在此期间未产生新的不良信用信息，可以向区综合行政执法局申请信用修复。</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第二十四条  行政相对人对其信用信息有异议的，可自收到告知书之日起15个工作日内，向城市管理部门提出异议申请并提交相关证明材料。城市管理部门要将调查核实的结论书面告知行政相对人。</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第二十五条  失信行为人被列入严重失信名单的，除特殊原因外，原则上不作为失信修复对象。</w:t>
      </w:r>
    </w:p>
    <w:p>
      <w:pPr>
        <w:pStyle w:val="3"/>
        <w:widowControl w:val="0"/>
        <w:shd w:val="clear" w:color="auto" w:fill="FFFFFF"/>
        <w:spacing w:before="0" w:beforeAutospacing="0" w:after="0" w:afterAutospacing="0" w:line="540" w:lineRule="exact"/>
        <w:jc w:val="center"/>
        <w:rPr>
          <w:rFonts w:hint="default" w:ascii="Times New Roman" w:hAnsi="Times New Roman" w:eastAsia="黑体" w:cs="Times New Roman"/>
          <w:bCs/>
          <w:kern w:val="2"/>
          <w:sz w:val="32"/>
          <w:szCs w:val="32"/>
        </w:rPr>
      </w:pPr>
      <w:r>
        <w:rPr>
          <w:rFonts w:hint="default" w:ascii="Times New Roman" w:hAnsi="Times New Roman" w:eastAsia="黑体" w:cs="Times New Roman"/>
          <w:bCs/>
          <w:kern w:val="2"/>
          <w:sz w:val="32"/>
          <w:szCs w:val="32"/>
        </w:rPr>
        <w:t>第五章  附则</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rPr>
        <w:t>第二十六条  本办法由文登区综合行政执法局负责解释。</w:t>
      </w:r>
    </w:p>
    <w:p>
      <w:pPr>
        <w:pStyle w:val="3"/>
        <w:widowControl w:val="0"/>
        <w:spacing w:before="0" w:beforeAutospacing="0" w:after="0" w:afterAutospacing="0" w:line="540" w:lineRule="exact"/>
        <w:ind w:firstLine="640" w:firstLineChars="200"/>
        <w:jc w:val="both"/>
        <w:rPr>
          <w:rFonts w:hint="default" w:ascii="Times New Roman" w:hAnsi="Times New Roman" w:eastAsia="仿宋_GB2312" w:cs="Times New Roman"/>
          <w:szCs w:val="32"/>
        </w:rPr>
      </w:pPr>
      <w:r>
        <w:rPr>
          <w:rFonts w:hint="default" w:ascii="Times New Roman" w:hAnsi="Times New Roman" w:eastAsia="仿宋_GB2312" w:cs="Times New Roman"/>
          <w:kern w:val="2"/>
          <w:sz w:val="32"/>
          <w:szCs w:val="32"/>
        </w:rPr>
        <w:t>第二十七条  本办法自2023年10月1日起施行，有效期截止到</w:t>
      </w:r>
      <w:r>
        <w:rPr>
          <w:rFonts w:hint="default" w:ascii="Times New Roman" w:hAnsi="Times New Roman" w:eastAsia="仿宋_GB2312" w:cs="Times New Roman"/>
          <w:kern w:val="2"/>
          <w:sz w:val="32"/>
          <w:szCs w:val="32"/>
          <w:lang w:val="en-US" w:eastAsia="zh-CN"/>
        </w:rPr>
        <w:t>2028</w:t>
      </w:r>
      <w:r>
        <w:rPr>
          <w:rFonts w:hint="default" w:ascii="Times New Roman" w:hAnsi="Times New Roman" w:eastAsia="仿宋_GB2312" w:cs="Times New Roman"/>
          <w:kern w:val="2"/>
          <w:sz w:val="32"/>
          <w:szCs w:val="32"/>
        </w:rPr>
        <w:t>年</w:t>
      </w:r>
      <w:r>
        <w:rPr>
          <w:rFonts w:hint="default" w:ascii="Times New Roman" w:hAnsi="Times New Roman" w:eastAsia="仿宋_GB2312" w:cs="Times New Roman"/>
          <w:kern w:val="2"/>
          <w:sz w:val="32"/>
          <w:szCs w:val="32"/>
          <w:lang w:val="en-US" w:eastAsia="zh-CN"/>
        </w:rPr>
        <w:t>9</w:t>
      </w:r>
      <w:r>
        <w:rPr>
          <w:rFonts w:hint="default" w:ascii="Times New Roman" w:hAnsi="Times New Roman" w:eastAsia="仿宋_GB2312" w:cs="Times New Roman"/>
          <w:kern w:val="2"/>
          <w:sz w:val="32"/>
          <w:szCs w:val="32"/>
        </w:rPr>
        <w:t>月</w:t>
      </w:r>
      <w:r>
        <w:rPr>
          <w:rFonts w:hint="default" w:ascii="Times New Roman" w:hAnsi="Times New Roman" w:eastAsia="仿宋_GB2312" w:cs="Times New Roman"/>
          <w:kern w:val="2"/>
          <w:sz w:val="32"/>
          <w:szCs w:val="32"/>
          <w:lang w:val="en-US" w:eastAsia="zh-CN"/>
        </w:rPr>
        <w:t>30</w:t>
      </w:r>
      <w:r>
        <w:rPr>
          <w:rFonts w:hint="default" w:ascii="Times New Roman" w:hAnsi="Times New Roman" w:eastAsia="仿宋_GB2312" w:cs="Times New Roman"/>
          <w:kern w:val="2"/>
          <w:sz w:val="32"/>
          <w:szCs w:val="32"/>
        </w:rPr>
        <w:t>日。</w:t>
      </w:r>
    </w:p>
    <w:p>
      <w:pPr>
        <w:snapToGrid w:val="0"/>
        <w:spacing w:line="540" w:lineRule="exact"/>
        <w:jc w:val="left"/>
        <w:rPr>
          <w:rFonts w:hint="default" w:ascii="Times New Roman" w:hAnsi="Times New Roman" w:eastAsia="仿宋_GB2312" w:cs="Times New Roman"/>
          <w:kern w:val="0"/>
          <w:szCs w:val="32"/>
        </w:rPr>
      </w:pPr>
    </w:p>
    <w:p>
      <w:pPr>
        <w:pStyle w:val="3"/>
        <w:widowControl w:val="0"/>
        <w:spacing w:before="0" w:beforeAutospacing="0" w:after="0" w:afterAutospacing="0" w:line="540" w:lineRule="exact"/>
        <w:ind w:firstLine="604" w:firstLineChars="2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spacing w:val="1"/>
          <w:w w:val="94"/>
          <w:kern w:val="0"/>
          <w:sz w:val="32"/>
          <w:szCs w:val="32"/>
          <w:fitText w:val="7200" w:id="1010266188"/>
        </w:rPr>
        <w:t>附件：1.城市管理领域轻微失信行为信用信息评价标</w:t>
      </w:r>
      <w:r>
        <w:rPr>
          <w:rFonts w:hint="default" w:ascii="Times New Roman" w:hAnsi="Times New Roman" w:eastAsia="仿宋_GB2312" w:cs="Times New Roman"/>
          <w:spacing w:val="14"/>
          <w:w w:val="94"/>
          <w:kern w:val="0"/>
          <w:sz w:val="32"/>
          <w:szCs w:val="32"/>
          <w:fitText w:val="7200" w:id="1010266188"/>
        </w:rPr>
        <w:t>准</w:t>
      </w:r>
    </w:p>
    <w:p>
      <w:pPr>
        <w:pStyle w:val="3"/>
        <w:widowControl w:val="0"/>
        <w:spacing w:before="0" w:beforeAutospacing="0" w:after="0" w:afterAutospacing="0" w:line="540" w:lineRule="exact"/>
        <w:ind w:firstLine="1575" w:firstLineChars="500"/>
        <w:jc w:val="both"/>
        <w:rPr>
          <w:rFonts w:hint="default" w:ascii="Times New Roman" w:hAnsi="Times New Roman" w:eastAsia="仿宋_GB2312" w:cs="Times New Roman"/>
          <w:kern w:val="2"/>
          <w:sz w:val="32"/>
          <w:szCs w:val="32"/>
        </w:rPr>
      </w:pPr>
      <w:r>
        <w:rPr>
          <w:rFonts w:hint="default" w:ascii="Times New Roman" w:hAnsi="Times New Roman" w:eastAsia="仿宋_GB2312" w:cs="Times New Roman"/>
          <w:spacing w:val="1"/>
          <w:w w:val="98"/>
          <w:kern w:val="0"/>
          <w:sz w:val="32"/>
          <w:szCs w:val="32"/>
          <w:fitText w:val="7200" w:id="1696860368"/>
        </w:rPr>
        <w:t>2.受到行政处罚及行政执行的个人信用信息评价标</w:t>
      </w:r>
      <w:r>
        <w:rPr>
          <w:rFonts w:hint="default" w:ascii="Times New Roman" w:hAnsi="Times New Roman" w:eastAsia="仿宋_GB2312" w:cs="Times New Roman"/>
          <w:spacing w:val="23"/>
          <w:w w:val="98"/>
          <w:kern w:val="0"/>
          <w:sz w:val="32"/>
          <w:szCs w:val="32"/>
          <w:fitText w:val="7200" w:id="1696860368"/>
        </w:rPr>
        <w:t>准</w:t>
      </w:r>
    </w:p>
    <w:p>
      <w:pPr>
        <w:pStyle w:val="3"/>
        <w:widowControl w:val="0"/>
        <w:spacing w:before="0" w:beforeAutospacing="0" w:after="0" w:afterAutospacing="0" w:line="540" w:lineRule="exact"/>
        <w:ind w:firstLine="1575" w:firstLineChars="500"/>
        <w:jc w:val="both"/>
        <w:rPr>
          <w:rFonts w:hint="default" w:ascii="Times New Roman" w:hAnsi="Times New Roman" w:eastAsia="仿宋_GB2312" w:cs="Times New Roman"/>
          <w:kern w:val="0"/>
          <w:sz w:val="32"/>
          <w:szCs w:val="32"/>
        </w:rPr>
      </w:pPr>
      <w:r>
        <w:rPr>
          <w:rFonts w:hint="default" w:ascii="Times New Roman" w:hAnsi="Times New Roman" w:eastAsia="仿宋_GB2312" w:cs="Times New Roman"/>
          <w:spacing w:val="1"/>
          <w:w w:val="98"/>
          <w:kern w:val="0"/>
          <w:sz w:val="32"/>
          <w:szCs w:val="32"/>
          <w:fitText w:val="7200" w:id="2070761531"/>
        </w:rPr>
        <w:t>3.受到行政处罚及行政执行的社会法人信用信息评</w:t>
      </w:r>
      <w:r>
        <w:rPr>
          <w:rFonts w:hint="default" w:ascii="Times New Roman" w:hAnsi="Times New Roman" w:eastAsia="仿宋_GB2312" w:cs="Times New Roman"/>
          <w:spacing w:val="23"/>
          <w:w w:val="98"/>
          <w:kern w:val="0"/>
          <w:sz w:val="32"/>
          <w:szCs w:val="32"/>
          <w:fitText w:val="7200" w:id="2070761531"/>
        </w:rPr>
        <w:t>价</w:t>
      </w:r>
    </w:p>
    <w:p>
      <w:pPr>
        <w:pStyle w:val="3"/>
        <w:widowControl w:val="0"/>
        <w:spacing w:before="0" w:beforeAutospacing="0" w:after="0" w:afterAutospacing="0" w:line="540" w:lineRule="exact"/>
        <w:ind w:firstLine="1600" w:firstLineChars="500"/>
        <w:jc w:val="both"/>
        <w:rPr>
          <w:rFonts w:hint="default" w:ascii="Times New Roman" w:hAnsi="Times New Roman" w:eastAsia="仿宋_GB2312" w:cs="Times New Roman"/>
          <w:kern w:val="0"/>
          <w:sz w:val="32"/>
          <w:szCs w:val="32"/>
        </w:rPr>
      </w:pPr>
    </w:p>
    <w:p>
      <w:pPr>
        <w:pStyle w:val="3"/>
        <w:widowControl w:val="0"/>
        <w:spacing w:before="0" w:beforeAutospacing="0" w:after="0" w:afterAutospacing="0" w:line="540" w:lineRule="exact"/>
        <w:ind w:firstLine="1600" w:firstLineChars="500"/>
        <w:jc w:val="both"/>
        <w:rPr>
          <w:rFonts w:hint="default" w:ascii="Times New Roman" w:hAnsi="Times New Roman" w:eastAsia="仿宋_GB2312" w:cs="Times New Roman"/>
          <w:kern w:val="0"/>
          <w:sz w:val="32"/>
          <w:szCs w:val="32"/>
        </w:rPr>
      </w:pPr>
    </w:p>
    <w:p>
      <w:pPr>
        <w:pStyle w:val="3"/>
        <w:widowControl w:val="0"/>
        <w:spacing w:before="0" w:beforeAutospacing="0" w:after="0" w:afterAutospacing="0" w:line="540" w:lineRule="exact"/>
        <w:ind w:firstLine="1600" w:firstLineChars="500"/>
        <w:jc w:val="right"/>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威海市文登区综合行政执法局</w:t>
      </w:r>
    </w:p>
    <w:p>
      <w:pPr>
        <w:pStyle w:val="3"/>
        <w:widowControl w:val="0"/>
        <w:wordWrap w:val="0"/>
        <w:spacing w:before="0" w:beforeAutospacing="0" w:after="0" w:afterAutospacing="0" w:line="540" w:lineRule="exact"/>
        <w:ind w:firstLine="1600" w:firstLineChars="500"/>
        <w:jc w:val="right"/>
        <w:rPr>
          <w:rFonts w:hint="default"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 xml:space="preserve">2023年9月1日     </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snapToGrid w:val="0"/>
        <w:spacing w:line="480" w:lineRule="exac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附件1：</w:t>
      </w:r>
    </w:p>
    <w:p>
      <w:pPr>
        <w:pStyle w:val="3"/>
        <w:widowControl w:val="0"/>
        <w:shd w:val="clear" w:color="auto" w:fill="FFFFFF"/>
        <w:spacing w:before="0" w:beforeAutospacing="0" w:after="0" w:afterAutospacing="0" w:line="540" w:lineRule="exact"/>
        <w:jc w:val="center"/>
        <w:rPr>
          <w:rFonts w:hint="default" w:ascii="Times New Roman" w:hAnsi="Times New Roman" w:eastAsia="黑体" w:cs="Times New Roman"/>
          <w:bCs/>
          <w:kern w:val="2"/>
          <w:sz w:val="32"/>
          <w:szCs w:val="32"/>
        </w:rPr>
      </w:pPr>
      <w:r>
        <w:rPr>
          <w:rFonts w:hint="default" w:ascii="Times New Roman" w:hAnsi="Times New Roman" w:eastAsia="黑体" w:cs="Times New Roman"/>
          <w:bCs/>
          <w:kern w:val="2"/>
          <w:sz w:val="32"/>
          <w:szCs w:val="32"/>
        </w:rPr>
        <w:t>城市管理领域轻微失信行为信用信息评价标准</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2"/>
        <w:gridCol w:w="6934"/>
        <w:gridCol w:w="13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4" w:hRule="atLeast"/>
        </w:trPr>
        <w:tc>
          <w:tcPr>
            <w:tcW w:w="682" w:type="dxa"/>
            <w:noWrap w:val="0"/>
            <w:vAlign w:val="center"/>
          </w:tcPr>
          <w:p>
            <w:pPr>
              <w:snapToGrid w:val="0"/>
              <w:spacing w:line="400" w:lineRule="exact"/>
              <w:jc w:val="center"/>
              <w:rPr>
                <w:rFonts w:hint="default" w:ascii="Times New Roman" w:hAnsi="Times New Roman" w:eastAsia="黑体" w:cs="Times New Roman"/>
                <w:sz w:val="28"/>
                <w:szCs w:val="28"/>
              </w:rPr>
            </w:pPr>
            <w:r>
              <w:rPr>
                <w:rFonts w:hint="default" w:ascii="Times New Roman" w:hAnsi="Times New Roman" w:eastAsia="黑体" w:cs="Times New Roman"/>
                <w:sz w:val="28"/>
                <w:szCs w:val="28"/>
              </w:rPr>
              <w:t>序号</w:t>
            </w:r>
          </w:p>
        </w:tc>
        <w:tc>
          <w:tcPr>
            <w:tcW w:w="6934" w:type="dxa"/>
            <w:noWrap w:val="0"/>
            <w:vAlign w:val="center"/>
          </w:tcPr>
          <w:p>
            <w:pPr>
              <w:snapToGrid w:val="0"/>
              <w:spacing w:line="400" w:lineRule="exact"/>
              <w:jc w:val="center"/>
              <w:rPr>
                <w:rFonts w:hint="default" w:ascii="Times New Roman" w:hAnsi="Times New Roman" w:eastAsia="黑体" w:cs="Times New Roman"/>
                <w:kern w:val="0"/>
                <w:sz w:val="28"/>
                <w:szCs w:val="28"/>
              </w:rPr>
            </w:pPr>
            <w:r>
              <w:rPr>
                <w:rFonts w:hint="default" w:ascii="Times New Roman" w:hAnsi="Times New Roman" w:eastAsia="黑体" w:cs="Times New Roman"/>
                <w:sz w:val="28"/>
                <w:szCs w:val="28"/>
              </w:rPr>
              <w:t>违法违规行为</w:t>
            </w:r>
          </w:p>
        </w:tc>
        <w:tc>
          <w:tcPr>
            <w:tcW w:w="1304" w:type="dxa"/>
            <w:noWrap w:val="0"/>
            <w:vAlign w:val="center"/>
          </w:tcPr>
          <w:p>
            <w:pPr>
              <w:snapToGrid w:val="0"/>
              <w:spacing w:line="400" w:lineRule="exact"/>
              <w:jc w:val="center"/>
              <w:rPr>
                <w:rFonts w:hint="default" w:ascii="Times New Roman" w:hAnsi="Times New Roman" w:eastAsia="黑体" w:cs="Times New Roman"/>
                <w:kern w:val="0"/>
                <w:sz w:val="28"/>
                <w:szCs w:val="28"/>
              </w:rPr>
            </w:pPr>
            <w:r>
              <w:rPr>
                <w:rFonts w:hint="default" w:ascii="Times New Roman" w:hAnsi="Times New Roman" w:eastAsia="黑体" w:cs="Times New Roman"/>
                <w:sz w:val="28"/>
                <w:szCs w:val="28"/>
              </w:rPr>
              <w:t>减分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atLeast"/>
        </w:trPr>
        <w:tc>
          <w:tcPr>
            <w:tcW w:w="682" w:type="dxa"/>
            <w:noWrap w:val="0"/>
            <w:vAlign w:val="center"/>
          </w:tcPr>
          <w:p>
            <w:pPr>
              <w:snapToGrid w:val="0"/>
              <w:spacing w:line="40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w:t>
            </w:r>
          </w:p>
        </w:tc>
        <w:tc>
          <w:tcPr>
            <w:tcW w:w="6934"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随地吐痰、便溺或者乱扔果皮、纸屑、烟蒂、口香糖、塑料袋、饮料瓶（盒）等废弃物的</w:t>
            </w:r>
          </w:p>
        </w:tc>
        <w:tc>
          <w:tcPr>
            <w:tcW w:w="1304" w:type="dxa"/>
            <w:noWrap w:val="0"/>
            <w:vAlign w:val="center"/>
          </w:tcPr>
          <w:p>
            <w:pPr>
              <w:snapToGrid w:val="0"/>
              <w:spacing w:line="40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atLeast"/>
        </w:trPr>
        <w:tc>
          <w:tcPr>
            <w:tcW w:w="682" w:type="dxa"/>
            <w:noWrap w:val="0"/>
            <w:vAlign w:val="center"/>
          </w:tcPr>
          <w:p>
            <w:pPr>
              <w:snapToGrid w:val="0"/>
              <w:spacing w:line="40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2</w:t>
            </w:r>
          </w:p>
        </w:tc>
        <w:tc>
          <w:tcPr>
            <w:tcW w:w="6934"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sz w:val="28"/>
                <w:szCs w:val="28"/>
              </w:rPr>
              <w:t>不履行责任区卫生清扫保洁义务，或者</w:t>
            </w:r>
            <w:r>
              <w:rPr>
                <w:rFonts w:hint="default" w:ascii="Times New Roman" w:hAnsi="Times New Roman" w:eastAsia="新宋体" w:cs="Times New Roman"/>
                <w:kern w:val="0"/>
                <w:sz w:val="28"/>
                <w:szCs w:val="28"/>
              </w:rPr>
              <w:t>不按照规定倾倒垃圾、污水或者粪便的</w:t>
            </w:r>
          </w:p>
        </w:tc>
        <w:tc>
          <w:tcPr>
            <w:tcW w:w="1304" w:type="dxa"/>
            <w:noWrap w:val="0"/>
            <w:vAlign w:val="center"/>
          </w:tcPr>
          <w:p>
            <w:pPr>
              <w:snapToGrid w:val="0"/>
              <w:spacing w:line="40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atLeast"/>
        </w:trPr>
        <w:tc>
          <w:tcPr>
            <w:tcW w:w="682" w:type="dxa"/>
            <w:noWrap w:val="0"/>
            <w:vAlign w:val="center"/>
          </w:tcPr>
          <w:p>
            <w:pPr>
              <w:snapToGrid w:val="0"/>
              <w:spacing w:line="40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3</w:t>
            </w:r>
          </w:p>
        </w:tc>
        <w:tc>
          <w:tcPr>
            <w:tcW w:w="6934"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未及时清理路面杂物或者补装、更换井盖、沟盖、雨箅等相关设施的</w:t>
            </w:r>
          </w:p>
        </w:tc>
        <w:tc>
          <w:tcPr>
            <w:tcW w:w="1304" w:type="dxa"/>
            <w:noWrap w:val="0"/>
            <w:vAlign w:val="center"/>
          </w:tcPr>
          <w:p>
            <w:pPr>
              <w:snapToGrid w:val="0"/>
              <w:spacing w:line="40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atLeast"/>
        </w:trPr>
        <w:tc>
          <w:tcPr>
            <w:tcW w:w="682" w:type="dxa"/>
            <w:noWrap w:val="0"/>
            <w:vAlign w:val="center"/>
          </w:tcPr>
          <w:p>
            <w:pPr>
              <w:snapToGrid w:val="0"/>
              <w:spacing w:line="40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4</w:t>
            </w:r>
          </w:p>
        </w:tc>
        <w:tc>
          <w:tcPr>
            <w:tcW w:w="6934" w:type="dxa"/>
            <w:noWrap w:val="0"/>
            <w:vAlign w:val="center"/>
          </w:tcPr>
          <w:p>
            <w:pPr>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sz w:val="28"/>
                <w:szCs w:val="28"/>
              </w:rPr>
              <w:t>早（夜）市、早餐、小修理等经营摊点未按照规定地段、时段经营以及不遵守保洁要求的</w:t>
            </w:r>
          </w:p>
        </w:tc>
        <w:tc>
          <w:tcPr>
            <w:tcW w:w="1304" w:type="dxa"/>
            <w:noWrap w:val="0"/>
            <w:vAlign w:val="center"/>
          </w:tcPr>
          <w:p>
            <w:pPr>
              <w:snapToGrid w:val="0"/>
              <w:spacing w:line="40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atLeast"/>
        </w:trPr>
        <w:tc>
          <w:tcPr>
            <w:tcW w:w="682" w:type="dxa"/>
            <w:noWrap w:val="0"/>
            <w:vAlign w:val="center"/>
          </w:tcPr>
          <w:p>
            <w:pPr>
              <w:snapToGrid w:val="0"/>
              <w:spacing w:line="40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5</w:t>
            </w:r>
          </w:p>
        </w:tc>
        <w:tc>
          <w:tcPr>
            <w:tcW w:w="6934" w:type="dxa"/>
            <w:noWrap w:val="0"/>
            <w:vAlign w:val="center"/>
          </w:tcPr>
          <w:p>
            <w:pPr>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sz w:val="28"/>
                <w:szCs w:val="28"/>
              </w:rPr>
              <w:t>城镇道路两侧经营者未按规定引导和规范门前车辆有序停放的</w:t>
            </w:r>
          </w:p>
        </w:tc>
        <w:tc>
          <w:tcPr>
            <w:tcW w:w="1304" w:type="dxa"/>
            <w:noWrap w:val="0"/>
            <w:vAlign w:val="center"/>
          </w:tcPr>
          <w:p>
            <w:pPr>
              <w:snapToGrid w:val="0"/>
              <w:spacing w:line="40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atLeast"/>
        </w:trPr>
        <w:tc>
          <w:tcPr>
            <w:tcW w:w="682" w:type="dxa"/>
            <w:noWrap w:val="0"/>
            <w:vAlign w:val="center"/>
          </w:tcPr>
          <w:p>
            <w:pPr>
              <w:snapToGrid w:val="0"/>
              <w:spacing w:line="40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6</w:t>
            </w:r>
          </w:p>
        </w:tc>
        <w:tc>
          <w:tcPr>
            <w:tcW w:w="6934" w:type="dxa"/>
            <w:noWrap w:val="0"/>
            <w:vAlign w:val="center"/>
          </w:tcPr>
          <w:p>
            <w:pPr>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sz w:val="28"/>
                <w:szCs w:val="28"/>
              </w:rPr>
              <w:t>对他人损害责任区内容貌和环境卫生的行为未进行劝导、制止或举报的</w:t>
            </w:r>
          </w:p>
        </w:tc>
        <w:tc>
          <w:tcPr>
            <w:tcW w:w="1304" w:type="dxa"/>
            <w:noWrap w:val="0"/>
            <w:vAlign w:val="center"/>
          </w:tcPr>
          <w:p>
            <w:pPr>
              <w:snapToGrid w:val="0"/>
              <w:spacing w:line="40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atLeast"/>
        </w:trPr>
        <w:tc>
          <w:tcPr>
            <w:tcW w:w="682" w:type="dxa"/>
            <w:noWrap w:val="0"/>
            <w:vAlign w:val="center"/>
          </w:tcPr>
          <w:p>
            <w:pPr>
              <w:snapToGrid w:val="0"/>
              <w:spacing w:line="40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7</w:t>
            </w:r>
          </w:p>
        </w:tc>
        <w:tc>
          <w:tcPr>
            <w:tcW w:w="6934"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在城镇道路两侧建筑物的顶部、阳台外、窗外堆放、吊挂或者晾晒有碍城镇容貌的物品的</w:t>
            </w:r>
          </w:p>
        </w:tc>
        <w:tc>
          <w:tcPr>
            <w:tcW w:w="1304" w:type="dxa"/>
            <w:noWrap w:val="0"/>
            <w:vAlign w:val="center"/>
          </w:tcPr>
          <w:p>
            <w:pPr>
              <w:snapToGrid w:val="0"/>
              <w:spacing w:line="40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atLeast"/>
        </w:trPr>
        <w:tc>
          <w:tcPr>
            <w:tcW w:w="682" w:type="dxa"/>
            <w:noWrap w:val="0"/>
            <w:vAlign w:val="center"/>
          </w:tcPr>
          <w:p>
            <w:pPr>
              <w:snapToGrid w:val="0"/>
              <w:spacing w:line="40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8</w:t>
            </w:r>
          </w:p>
        </w:tc>
        <w:tc>
          <w:tcPr>
            <w:tcW w:w="6934"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在城镇道路两侧的护栏、线杆、树木、绿篱等处吊挂杂物或者晾晒衣物的</w:t>
            </w:r>
          </w:p>
        </w:tc>
        <w:tc>
          <w:tcPr>
            <w:tcW w:w="1304" w:type="dxa"/>
            <w:noWrap w:val="0"/>
            <w:vAlign w:val="center"/>
          </w:tcPr>
          <w:p>
            <w:pPr>
              <w:snapToGrid w:val="0"/>
              <w:spacing w:line="40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3" w:hRule="atLeast"/>
        </w:trPr>
        <w:tc>
          <w:tcPr>
            <w:tcW w:w="682" w:type="dxa"/>
            <w:noWrap w:val="0"/>
            <w:vAlign w:val="center"/>
          </w:tcPr>
          <w:p>
            <w:pPr>
              <w:snapToGrid w:val="0"/>
              <w:spacing w:line="40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9</w:t>
            </w:r>
          </w:p>
        </w:tc>
        <w:tc>
          <w:tcPr>
            <w:tcW w:w="6934"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擅自饲养鸡、鸭、鹅、兔、羊、猪等家禽家畜或者食用鸽，影响城镇容貌和环境卫生的</w:t>
            </w:r>
          </w:p>
        </w:tc>
        <w:tc>
          <w:tcPr>
            <w:tcW w:w="1304" w:type="dxa"/>
            <w:noWrap w:val="0"/>
            <w:vAlign w:val="center"/>
          </w:tcPr>
          <w:p>
            <w:pPr>
              <w:snapToGrid w:val="0"/>
              <w:spacing w:line="40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trPr>
        <w:tc>
          <w:tcPr>
            <w:tcW w:w="682" w:type="dxa"/>
            <w:noWrap w:val="0"/>
            <w:vAlign w:val="center"/>
          </w:tcPr>
          <w:p>
            <w:pPr>
              <w:snapToGrid w:val="0"/>
              <w:spacing w:line="40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c>
          <w:tcPr>
            <w:tcW w:w="6934"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违反城镇容貌标准在建筑物外部安装空调、太阳能热水器、防盗网、遮阳罩等的</w:t>
            </w:r>
          </w:p>
        </w:tc>
        <w:tc>
          <w:tcPr>
            <w:tcW w:w="1304" w:type="dxa"/>
            <w:noWrap w:val="0"/>
            <w:vAlign w:val="center"/>
          </w:tcPr>
          <w:p>
            <w:pPr>
              <w:snapToGrid w:val="0"/>
              <w:spacing w:line="40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682" w:type="dxa"/>
            <w:noWrap w:val="0"/>
            <w:vAlign w:val="center"/>
          </w:tcPr>
          <w:p>
            <w:pPr>
              <w:snapToGrid w:val="0"/>
              <w:spacing w:line="40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11</w:t>
            </w:r>
          </w:p>
        </w:tc>
        <w:tc>
          <w:tcPr>
            <w:tcW w:w="6934"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在建筑物顶部、阳台外或者窗外擅自搭建鸽舍、棚屋的</w:t>
            </w:r>
          </w:p>
        </w:tc>
        <w:tc>
          <w:tcPr>
            <w:tcW w:w="1304" w:type="dxa"/>
            <w:noWrap w:val="0"/>
            <w:vAlign w:val="center"/>
          </w:tcPr>
          <w:p>
            <w:pPr>
              <w:snapToGrid w:val="0"/>
              <w:spacing w:line="40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3" w:hRule="atLeast"/>
        </w:trPr>
        <w:tc>
          <w:tcPr>
            <w:tcW w:w="68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12</w:t>
            </w:r>
          </w:p>
        </w:tc>
        <w:tc>
          <w:tcPr>
            <w:tcW w:w="6934"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擅自在城镇道路两侧或者公共场所堆放物料的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5" w:hRule="atLeast"/>
        </w:trPr>
        <w:tc>
          <w:tcPr>
            <w:tcW w:w="68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13</w:t>
            </w:r>
          </w:p>
        </w:tc>
        <w:tc>
          <w:tcPr>
            <w:tcW w:w="6934"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擅自在城镇建筑物、构筑物或者其他设施上张贴、张挂宣传品，或者利用实物造型、悬挂物、充气装置等载体设置宣传品的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68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14</w:t>
            </w:r>
          </w:p>
        </w:tc>
        <w:tc>
          <w:tcPr>
            <w:tcW w:w="6934" w:type="dxa"/>
            <w:noWrap w:val="0"/>
            <w:vAlign w:val="center"/>
          </w:tcPr>
          <w:p>
            <w:pPr>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sz w:val="28"/>
                <w:szCs w:val="28"/>
              </w:rPr>
              <w:t>未按规范要求设置户外广告或门头牌匾，或者</w:t>
            </w:r>
            <w:r>
              <w:rPr>
                <w:rFonts w:hint="default" w:ascii="Times New Roman" w:hAnsi="Times New Roman" w:eastAsia="新宋体" w:cs="Times New Roman"/>
                <w:kern w:val="0"/>
                <w:sz w:val="28"/>
                <w:szCs w:val="28"/>
              </w:rPr>
              <w:t>擅自设置大型户外广告、灯箱广告以及其他宣传广告牌匾</w:t>
            </w:r>
            <w:r>
              <w:rPr>
                <w:rFonts w:hint="default" w:ascii="Times New Roman" w:hAnsi="Times New Roman" w:eastAsia="新宋体" w:cs="Times New Roman"/>
                <w:sz w:val="28"/>
                <w:szCs w:val="28"/>
                <w:shd w:val="clear" w:color="auto" w:fill="FFFFFF"/>
              </w:rPr>
              <w:t>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68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15</w:t>
            </w:r>
          </w:p>
        </w:tc>
        <w:tc>
          <w:tcPr>
            <w:tcW w:w="6934" w:type="dxa"/>
            <w:noWrap w:val="0"/>
            <w:vAlign w:val="center"/>
          </w:tcPr>
          <w:p>
            <w:pPr>
              <w:spacing w:line="360" w:lineRule="exact"/>
              <w:rPr>
                <w:rFonts w:hint="default" w:ascii="Times New Roman" w:hAnsi="Times New Roman" w:eastAsia="新宋体" w:cs="Times New Roman"/>
                <w:sz w:val="28"/>
                <w:szCs w:val="28"/>
              </w:rPr>
            </w:pPr>
            <w:r>
              <w:rPr>
                <w:rFonts w:hint="default" w:ascii="Times New Roman" w:hAnsi="Times New Roman" w:eastAsia="新宋体" w:cs="Times New Roman"/>
                <w:sz w:val="28"/>
                <w:szCs w:val="28"/>
                <w:shd w:val="clear" w:color="auto" w:fill="FFFFFF"/>
              </w:rPr>
              <w:t>门头广告、户外广告、牌匾标</w:t>
            </w:r>
            <w:r>
              <w:rPr>
                <w:rFonts w:hint="default" w:ascii="Times New Roman" w:hAnsi="Times New Roman" w:eastAsia="新宋体" w:cs="Times New Roman"/>
                <w:color w:val="auto"/>
                <w:sz w:val="28"/>
                <w:szCs w:val="28"/>
                <w:shd w:val="clear" w:color="auto" w:fill="FFFFFF"/>
              </w:rPr>
              <w:t>识</w:t>
            </w:r>
            <w:r>
              <w:rPr>
                <w:rFonts w:hint="default" w:ascii="Times New Roman" w:hAnsi="Times New Roman" w:eastAsia="新宋体" w:cs="Times New Roman"/>
                <w:color w:val="auto"/>
                <w:sz w:val="28"/>
                <w:szCs w:val="28"/>
                <w:u w:color="FFFFFF" w:themeColor="background1"/>
                <w:shd w:val="clear" w:color="auto" w:fill="FFFFFF"/>
              </w:rPr>
              <w:t>、</w:t>
            </w:r>
            <w:r>
              <w:rPr>
                <w:rFonts w:hint="default" w:ascii="Times New Roman" w:hAnsi="Times New Roman" w:eastAsia="新宋体" w:cs="Times New Roman"/>
                <w:color w:val="auto"/>
                <w:sz w:val="28"/>
                <w:szCs w:val="28"/>
                <w:u w:val="none" w:color="FFFFFF" w:themeColor="background1"/>
                <w:shd w:val="clear" w:color="auto" w:fill="FFFFFF"/>
              </w:rPr>
              <w:t>霓虹灯</w:t>
            </w:r>
            <w:r>
              <w:rPr>
                <w:rFonts w:hint="default" w:ascii="Times New Roman" w:hAnsi="Times New Roman" w:eastAsia="新宋体" w:cs="Times New Roman"/>
                <w:color w:val="auto"/>
                <w:sz w:val="28"/>
                <w:szCs w:val="28"/>
                <w:shd w:val="clear" w:color="auto" w:fill="FFFFFF"/>
              </w:rPr>
              <w:t>、</w:t>
            </w:r>
            <w:r>
              <w:rPr>
                <w:rFonts w:hint="default" w:ascii="Times New Roman" w:hAnsi="Times New Roman" w:eastAsia="新宋体" w:cs="Times New Roman"/>
                <w:sz w:val="28"/>
                <w:szCs w:val="28"/>
                <w:shd w:val="clear" w:color="auto" w:fill="FFFFFF"/>
              </w:rPr>
              <w:t>显示屏幕等陈旧毁损、色彩剥蚀、缺字断亮等，影响城镇容貌或者存在安全隐患的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68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16</w:t>
            </w:r>
          </w:p>
        </w:tc>
        <w:tc>
          <w:tcPr>
            <w:tcW w:w="6934" w:type="dxa"/>
            <w:noWrap w:val="0"/>
            <w:vAlign w:val="center"/>
          </w:tcPr>
          <w:p>
            <w:pPr>
              <w:spacing w:line="360" w:lineRule="exact"/>
              <w:rPr>
                <w:rFonts w:hint="default" w:ascii="Times New Roman" w:hAnsi="Times New Roman" w:eastAsia="新宋体" w:cs="Times New Roman"/>
                <w:sz w:val="28"/>
                <w:szCs w:val="28"/>
              </w:rPr>
            </w:pPr>
            <w:r>
              <w:rPr>
                <w:rFonts w:hint="default" w:ascii="Times New Roman" w:hAnsi="Times New Roman" w:eastAsia="新宋体" w:cs="Times New Roman"/>
                <w:sz w:val="28"/>
                <w:szCs w:val="28"/>
              </w:rPr>
              <w:t>广告位长期空置；未按要求发布公益广告或者应急、预警信息的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trPr>
        <w:tc>
          <w:tcPr>
            <w:tcW w:w="68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17</w:t>
            </w:r>
          </w:p>
        </w:tc>
        <w:tc>
          <w:tcPr>
            <w:tcW w:w="6934"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擅自在建筑物、构筑物的外墙或者公共设施、路面、线杆、树木等处进行张贴、涂写、刻画的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0" w:hRule="atLeast"/>
        </w:trPr>
        <w:tc>
          <w:tcPr>
            <w:tcW w:w="68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18</w:t>
            </w:r>
          </w:p>
        </w:tc>
        <w:tc>
          <w:tcPr>
            <w:tcW w:w="6934"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擅自设置不符合城镇容貌标准、环境卫生标准的建筑物或者设施的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0" w:hRule="atLeast"/>
        </w:trPr>
        <w:tc>
          <w:tcPr>
            <w:tcW w:w="68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19</w:t>
            </w:r>
          </w:p>
        </w:tc>
        <w:tc>
          <w:tcPr>
            <w:tcW w:w="6934" w:type="dxa"/>
            <w:noWrap w:val="0"/>
            <w:vAlign w:val="center"/>
          </w:tcPr>
          <w:p>
            <w:pPr>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城镇道路两侧的经营者超出门窗或者外墙摆卖商品的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5" w:hRule="atLeast"/>
        </w:trPr>
        <w:tc>
          <w:tcPr>
            <w:tcW w:w="68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20</w:t>
            </w:r>
          </w:p>
        </w:tc>
        <w:tc>
          <w:tcPr>
            <w:tcW w:w="6934"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在露天场所、垃圾收集容器内焚烧枝叶、垃圾或者其他废弃物的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6" w:hRule="atLeast"/>
        </w:trPr>
        <w:tc>
          <w:tcPr>
            <w:tcW w:w="68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21</w:t>
            </w:r>
          </w:p>
        </w:tc>
        <w:tc>
          <w:tcPr>
            <w:tcW w:w="6934"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超出建筑物外墙面对建筑物外走廊、阳(平)台进行封闭，或者其外型、规格、色彩不符合城镇容貌标准的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5" w:hRule="atLeast"/>
        </w:trPr>
        <w:tc>
          <w:tcPr>
            <w:tcW w:w="68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22</w:t>
            </w:r>
          </w:p>
        </w:tc>
        <w:tc>
          <w:tcPr>
            <w:tcW w:w="6934"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再生资源回收企业或者个体经营者乱堆乱放或者焚烧废旧物品的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0" w:hRule="atLeast"/>
        </w:trPr>
        <w:tc>
          <w:tcPr>
            <w:tcW w:w="68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sz w:val="28"/>
                <w:szCs w:val="28"/>
              </w:rPr>
              <w:t>23</w:t>
            </w:r>
          </w:p>
        </w:tc>
        <w:tc>
          <w:tcPr>
            <w:tcW w:w="6934"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在公园、道路及其两侧等公共场所抛撒冥纸，焚烧冥纸、逝者遗物和其他丧葬祭奠物品的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1" w:hRule="atLeast"/>
        </w:trPr>
        <w:tc>
          <w:tcPr>
            <w:tcW w:w="68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24</w:t>
            </w:r>
          </w:p>
        </w:tc>
        <w:tc>
          <w:tcPr>
            <w:tcW w:w="6934"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sz w:val="28"/>
                <w:szCs w:val="28"/>
              </w:rPr>
              <w:t>未按规定要求做好清扫积雪以及不配合综合整治的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1" w:hRule="atLeast"/>
        </w:trPr>
        <w:tc>
          <w:tcPr>
            <w:tcW w:w="68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25</w:t>
            </w:r>
          </w:p>
        </w:tc>
        <w:tc>
          <w:tcPr>
            <w:tcW w:w="6934"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在居民住宅楼、未配套设立专用烟道的商住综合楼、商住综合楼内与居住层相邻的楼层内新建、改建、扩建产生油烟、异味、废气的饮食业经营项目的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trPr>
        <w:tc>
          <w:tcPr>
            <w:tcW w:w="682" w:type="dxa"/>
            <w:noWrap w:val="0"/>
            <w:vAlign w:val="center"/>
          </w:tcPr>
          <w:p>
            <w:pPr>
              <w:snapToGrid w:val="0"/>
              <w:spacing w:line="360" w:lineRule="exact"/>
              <w:jc w:val="center"/>
              <w:rPr>
                <w:rFonts w:hint="default" w:ascii="Times New Roman" w:hAnsi="Times New Roman" w:eastAsia="新宋体" w:cs="Times New Roman"/>
                <w:sz w:val="28"/>
                <w:szCs w:val="28"/>
              </w:rPr>
            </w:pPr>
            <w:r>
              <w:rPr>
                <w:rFonts w:hint="default" w:ascii="Times New Roman" w:hAnsi="Times New Roman" w:eastAsia="新宋体" w:cs="Times New Roman"/>
                <w:sz w:val="28"/>
                <w:szCs w:val="28"/>
              </w:rPr>
              <w:t>26</w:t>
            </w:r>
          </w:p>
        </w:tc>
        <w:tc>
          <w:tcPr>
            <w:tcW w:w="6934" w:type="dxa"/>
            <w:noWrap w:val="0"/>
            <w:vAlign w:val="center"/>
          </w:tcPr>
          <w:p>
            <w:pPr>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sz w:val="28"/>
                <w:szCs w:val="28"/>
              </w:rPr>
              <w:t>从事</w:t>
            </w:r>
            <w:r>
              <w:rPr>
                <w:rFonts w:hint="default" w:ascii="Times New Roman" w:hAnsi="Times New Roman" w:eastAsia="新宋体" w:cs="Times New Roman"/>
                <w:sz w:val="28"/>
                <w:szCs w:val="28"/>
                <w:shd w:val="clear" w:color="auto" w:fill="FFFFFF"/>
              </w:rPr>
              <w:t>餐饮经营产生油烟污染的，</w:t>
            </w:r>
            <w:r>
              <w:rPr>
                <w:rFonts w:hint="default" w:ascii="Times New Roman" w:hAnsi="Times New Roman" w:eastAsia="新宋体" w:cs="Times New Roman"/>
                <w:sz w:val="28"/>
                <w:szCs w:val="28"/>
              </w:rPr>
              <w:t>或者油烟排放口设置不符合规定</w:t>
            </w:r>
            <w:r>
              <w:rPr>
                <w:rFonts w:hint="default" w:ascii="Times New Roman" w:hAnsi="Times New Roman" w:eastAsia="新宋体" w:cs="Times New Roman"/>
                <w:sz w:val="28"/>
                <w:szCs w:val="28"/>
                <w:shd w:val="clear" w:color="auto" w:fill="FFFFFF"/>
              </w:rPr>
              <w:t>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trPr>
        <w:tc>
          <w:tcPr>
            <w:tcW w:w="682" w:type="dxa"/>
            <w:noWrap w:val="0"/>
            <w:vAlign w:val="center"/>
          </w:tcPr>
          <w:p>
            <w:pPr>
              <w:snapToGrid w:val="0"/>
              <w:spacing w:line="360" w:lineRule="exact"/>
              <w:jc w:val="center"/>
              <w:rPr>
                <w:rFonts w:hint="default" w:ascii="Times New Roman" w:hAnsi="Times New Roman" w:eastAsia="新宋体" w:cs="Times New Roman"/>
                <w:sz w:val="28"/>
                <w:szCs w:val="28"/>
              </w:rPr>
            </w:pPr>
            <w:r>
              <w:rPr>
                <w:rFonts w:hint="default" w:ascii="Times New Roman" w:hAnsi="Times New Roman" w:eastAsia="新宋体" w:cs="Times New Roman"/>
                <w:sz w:val="28"/>
                <w:szCs w:val="28"/>
              </w:rPr>
              <w:t>27</w:t>
            </w:r>
          </w:p>
        </w:tc>
        <w:tc>
          <w:tcPr>
            <w:tcW w:w="6934" w:type="dxa"/>
            <w:noWrap w:val="0"/>
            <w:vAlign w:val="center"/>
          </w:tcPr>
          <w:p>
            <w:pPr>
              <w:snapToGrid w:val="0"/>
              <w:spacing w:line="360" w:lineRule="exact"/>
              <w:rPr>
                <w:rFonts w:hint="default" w:ascii="Times New Roman" w:hAnsi="Times New Roman" w:eastAsia="新宋体" w:cs="Times New Roman"/>
                <w:sz w:val="28"/>
                <w:szCs w:val="28"/>
              </w:rPr>
            </w:pPr>
            <w:r>
              <w:rPr>
                <w:rFonts w:hint="default" w:ascii="Times New Roman" w:hAnsi="Times New Roman" w:eastAsia="新宋体" w:cs="Times New Roman"/>
                <w:sz w:val="28"/>
                <w:szCs w:val="28"/>
              </w:rPr>
              <w:t>在城市道路、公园、广场等公共场所从事经营活动的无照流动商贩违反规定随意摆摊设点的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4" w:hRule="atLeast"/>
        </w:trPr>
        <w:tc>
          <w:tcPr>
            <w:tcW w:w="682" w:type="dxa"/>
            <w:noWrap w:val="0"/>
            <w:vAlign w:val="center"/>
          </w:tcPr>
          <w:p>
            <w:pPr>
              <w:snapToGrid w:val="0"/>
              <w:spacing w:line="360" w:lineRule="exact"/>
              <w:jc w:val="center"/>
              <w:rPr>
                <w:rFonts w:hint="default" w:ascii="Times New Roman" w:hAnsi="Times New Roman" w:eastAsia="新宋体" w:cs="Times New Roman"/>
                <w:sz w:val="28"/>
                <w:szCs w:val="28"/>
              </w:rPr>
            </w:pPr>
            <w:r>
              <w:rPr>
                <w:rFonts w:hint="default" w:ascii="Times New Roman" w:hAnsi="Times New Roman" w:eastAsia="新宋体" w:cs="Times New Roman"/>
                <w:sz w:val="28"/>
                <w:szCs w:val="28"/>
              </w:rPr>
              <w:t>28</w:t>
            </w:r>
          </w:p>
        </w:tc>
        <w:tc>
          <w:tcPr>
            <w:tcW w:w="6934" w:type="dxa"/>
            <w:noWrap w:val="0"/>
            <w:vAlign w:val="center"/>
          </w:tcPr>
          <w:p>
            <w:pPr>
              <w:spacing w:line="360" w:lineRule="exact"/>
              <w:rPr>
                <w:rFonts w:hint="default" w:ascii="Times New Roman" w:hAnsi="Times New Roman" w:eastAsia="新宋体" w:cs="Times New Roman"/>
                <w:sz w:val="28"/>
                <w:szCs w:val="28"/>
              </w:rPr>
            </w:pPr>
            <w:r>
              <w:rPr>
                <w:rFonts w:hint="default" w:ascii="Times New Roman" w:hAnsi="Times New Roman" w:eastAsia="新宋体" w:cs="Times New Roman"/>
                <w:sz w:val="28"/>
                <w:szCs w:val="28"/>
              </w:rPr>
              <w:t>城镇道路两侧经营者私自设置路锥、地锁、挡车桩（链）等障碍物的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3" w:hRule="atLeast"/>
        </w:trPr>
        <w:tc>
          <w:tcPr>
            <w:tcW w:w="682" w:type="dxa"/>
            <w:noWrap w:val="0"/>
            <w:vAlign w:val="center"/>
          </w:tcPr>
          <w:p>
            <w:pPr>
              <w:snapToGrid w:val="0"/>
              <w:spacing w:line="360" w:lineRule="exact"/>
              <w:jc w:val="center"/>
              <w:rPr>
                <w:rFonts w:hint="default" w:ascii="Times New Roman" w:hAnsi="Times New Roman" w:eastAsia="新宋体" w:cs="Times New Roman"/>
                <w:sz w:val="28"/>
                <w:szCs w:val="28"/>
              </w:rPr>
            </w:pPr>
            <w:r>
              <w:rPr>
                <w:rFonts w:hint="default" w:ascii="Times New Roman" w:hAnsi="Times New Roman" w:eastAsia="新宋体" w:cs="Times New Roman"/>
                <w:sz w:val="28"/>
                <w:szCs w:val="28"/>
              </w:rPr>
              <w:t>29</w:t>
            </w:r>
          </w:p>
        </w:tc>
        <w:tc>
          <w:tcPr>
            <w:tcW w:w="6934" w:type="dxa"/>
            <w:noWrap w:val="0"/>
            <w:vAlign w:val="center"/>
          </w:tcPr>
          <w:p>
            <w:pPr>
              <w:spacing w:line="360" w:lineRule="exact"/>
              <w:rPr>
                <w:rFonts w:hint="default" w:ascii="Times New Roman" w:hAnsi="Times New Roman" w:eastAsia="新宋体" w:cs="Times New Roman"/>
                <w:sz w:val="28"/>
                <w:szCs w:val="28"/>
              </w:rPr>
            </w:pPr>
            <w:r>
              <w:rPr>
                <w:rFonts w:hint="default" w:ascii="Times New Roman" w:hAnsi="Times New Roman" w:eastAsia="新宋体" w:cs="Times New Roman"/>
                <w:sz w:val="28"/>
                <w:szCs w:val="28"/>
              </w:rPr>
              <w:t>在经营门店外设置、使用高音广播喇叭或者采用其他发出高噪声的方法招揽顾客的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2" w:hRule="atLeast"/>
        </w:trPr>
        <w:tc>
          <w:tcPr>
            <w:tcW w:w="682" w:type="dxa"/>
            <w:noWrap w:val="0"/>
            <w:vAlign w:val="center"/>
          </w:tcPr>
          <w:p>
            <w:pPr>
              <w:snapToGrid w:val="0"/>
              <w:spacing w:line="360" w:lineRule="exact"/>
              <w:jc w:val="center"/>
              <w:rPr>
                <w:rFonts w:hint="default" w:ascii="Times New Roman" w:hAnsi="Times New Roman" w:eastAsia="新宋体" w:cs="Times New Roman"/>
                <w:sz w:val="28"/>
                <w:szCs w:val="28"/>
              </w:rPr>
            </w:pPr>
            <w:r>
              <w:rPr>
                <w:rFonts w:hint="default" w:ascii="Times New Roman" w:hAnsi="Times New Roman" w:eastAsia="新宋体" w:cs="Times New Roman"/>
                <w:sz w:val="28"/>
                <w:szCs w:val="28"/>
              </w:rPr>
              <w:t>30</w:t>
            </w:r>
          </w:p>
        </w:tc>
        <w:tc>
          <w:tcPr>
            <w:tcW w:w="6934" w:type="dxa"/>
            <w:noWrap w:val="0"/>
            <w:vAlign w:val="center"/>
          </w:tcPr>
          <w:p>
            <w:pPr>
              <w:spacing w:line="360" w:lineRule="exact"/>
              <w:rPr>
                <w:rFonts w:hint="default" w:ascii="Times New Roman" w:hAnsi="Times New Roman" w:eastAsia="新宋体" w:cs="Times New Roman"/>
                <w:sz w:val="28"/>
                <w:szCs w:val="28"/>
              </w:rPr>
            </w:pPr>
            <w:r>
              <w:rPr>
                <w:rFonts w:hint="default" w:ascii="Times New Roman" w:hAnsi="Times New Roman" w:eastAsia="新宋体" w:cs="Times New Roman"/>
                <w:sz w:val="28"/>
                <w:szCs w:val="28"/>
                <w:shd w:val="clear" w:color="auto" w:fill="FFFFFF"/>
              </w:rPr>
              <w:t>擅自占用、拆除、迁移环境卫生设施或者改变环境卫生设施用途</w:t>
            </w:r>
            <w:r>
              <w:rPr>
                <w:rFonts w:hint="default" w:ascii="Times New Roman" w:hAnsi="Times New Roman" w:eastAsia="新宋体" w:cs="Times New Roman"/>
                <w:sz w:val="28"/>
                <w:szCs w:val="28"/>
              </w:rPr>
              <w:t>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682" w:type="dxa"/>
            <w:noWrap w:val="0"/>
            <w:vAlign w:val="center"/>
          </w:tcPr>
          <w:p>
            <w:pPr>
              <w:snapToGrid w:val="0"/>
              <w:spacing w:line="360" w:lineRule="exact"/>
              <w:jc w:val="center"/>
              <w:rPr>
                <w:rFonts w:hint="default" w:ascii="Times New Roman" w:hAnsi="Times New Roman" w:eastAsia="新宋体" w:cs="Times New Roman"/>
                <w:sz w:val="28"/>
                <w:szCs w:val="28"/>
              </w:rPr>
            </w:pPr>
            <w:r>
              <w:rPr>
                <w:rFonts w:hint="default" w:ascii="Times New Roman" w:hAnsi="Times New Roman" w:eastAsia="新宋体" w:cs="Times New Roman"/>
                <w:sz w:val="28"/>
                <w:szCs w:val="28"/>
              </w:rPr>
              <w:t>31</w:t>
            </w:r>
          </w:p>
        </w:tc>
        <w:tc>
          <w:tcPr>
            <w:tcW w:w="6934" w:type="dxa"/>
            <w:noWrap w:val="0"/>
            <w:vAlign w:val="center"/>
          </w:tcPr>
          <w:p>
            <w:pPr>
              <w:spacing w:line="360" w:lineRule="exact"/>
              <w:rPr>
                <w:rFonts w:hint="default" w:ascii="Times New Roman" w:hAnsi="Times New Roman" w:eastAsia="新宋体" w:cs="Times New Roman"/>
                <w:sz w:val="28"/>
                <w:szCs w:val="28"/>
              </w:rPr>
            </w:pPr>
            <w:r>
              <w:rPr>
                <w:rFonts w:hint="default" w:ascii="Times New Roman" w:hAnsi="Times New Roman" w:eastAsia="新宋体" w:cs="Times New Roman"/>
                <w:sz w:val="28"/>
                <w:szCs w:val="28"/>
              </w:rPr>
              <w:t>侵占</w:t>
            </w:r>
            <w:r>
              <w:rPr>
                <w:rFonts w:hint="default" w:ascii="Times New Roman" w:hAnsi="Times New Roman" w:eastAsia="新宋体" w:cs="Times New Roman"/>
                <w:sz w:val="28"/>
                <w:szCs w:val="28"/>
                <w:shd w:val="clear" w:color="auto" w:fill="FFFFFF"/>
              </w:rPr>
              <w:t>城市绿化用地、</w:t>
            </w:r>
            <w:r>
              <w:rPr>
                <w:rFonts w:hint="default" w:ascii="Times New Roman" w:hAnsi="Times New Roman" w:eastAsia="新宋体" w:cs="Times New Roman"/>
                <w:sz w:val="28"/>
                <w:szCs w:val="28"/>
              </w:rPr>
              <w:t>公共绿地种植蔬菜、果木等的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682" w:type="dxa"/>
            <w:noWrap w:val="0"/>
            <w:vAlign w:val="center"/>
          </w:tcPr>
          <w:p>
            <w:pPr>
              <w:snapToGrid w:val="0"/>
              <w:spacing w:line="360" w:lineRule="exact"/>
              <w:jc w:val="center"/>
              <w:rPr>
                <w:rFonts w:hint="default" w:ascii="Times New Roman" w:hAnsi="Times New Roman" w:eastAsia="新宋体" w:cs="Times New Roman"/>
                <w:sz w:val="28"/>
                <w:szCs w:val="28"/>
              </w:rPr>
            </w:pPr>
            <w:r>
              <w:rPr>
                <w:rFonts w:hint="default" w:ascii="Times New Roman" w:hAnsi="Times New Roman" w:eastAsia="新宋体" w:cs="Times New Roman"/>
                <w:sz w:val="28"/>
                <w:szCs w:val="28"/>
              </w:rPr>
              <w:t>32</w:t>
            </w:r>
          </w:p>
        </w:tc>
        <w:tc>
          <w:tcPr>
            <w:tcW w:w="6934" w:type="dxa"/>
            <w:noWrap w:val="0"/>
            <w:vAlign w:val="center"/>
          </w:tcPr>
          <w:p>
            <w:pPr>
              <w:spacing w:line="360" w:lineRule="exact"/>
              <w:rPr>
                <w:rFonts w:hint="default" w:ascii="Times New Roman" w:hAnsi="Times New Roman" w:eastAsia="新宋体" w:cs="Times New Roman"/>
                <w:sz w:val="28"/>
                <w:szCs w:val="28"/>
              </w:rPr>
            </w:pPr>
            <w:r>
              <w:rPr>
                <w:rFonts w:hint="default" w:ascii="Times New Roman" w:hAnsi="Times New Roman" w:eastAsia="新宋体" w:cs="Times New Roman"/>
                <w:sz w:val="28"/>
                <w:szCs w:val="28"/>
              </w:rPr>
              <w:t>擅自占用或者挖掘城市道路，以及其他损害、侵占城市道路的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9" w:hRule="atLeast"/>
        </w:trPr>
        <w:tc>
          <w:tcPr>
            <w:tcW w:w="682" w:type="dxa"/>
            <w:noWrap w:val="0"/>
            <w:vAlign w:val="center"/>
          </w:tcPr>
          <w:p>
            <w:pPr>
              <w:snapToGrid w:val="0"/>
              <w:spacing w:line="360" w:lineRule="exact"/>
              <w:jc w:val="center"/>
              <w:rPr>
                <w:rFonts w:hint="default" w:ascii="Times New Roman" w:hAnsi="Times New Roman" w:eastAsia="新宋体" w:cs="Times New Roman"/>
                <w:sz w:val="28"/>
                <w:szCs w:val="28"/>
              </w:rPr>
            </w:pPr>
            <w:r>
              <w:rPr>
                <w:rFonts w:hint="default" w:ascii="Times New Roman" w:hAnsi="Times New Roman" w:eastAsia="新宋体" w:cs="Times New Roman"/>
                <w:sz w:val="28"/>
                <w:szCs w:val="28"/>
              </w:rPr>
              <w:t>33</w:t>
            </w:r>
          </w:p>
        </w:tc>
        <w:tc>
          <w:tcPr>
            <w:tcW w:w="6934" w:type="dxa"/>
            <w:noWrap w:val="0"/>
            <w:vAlign w:val="center"/>
          </w:tcPr>
          <w:p>
            <w:pPr>
              <w:snapToGrid w:val="0"/>
              <w:spacing w:line="360" w:lineRule="exact"/>
              <w:rPr>
                <w:rFonts w:hint="default" w:ascii="Times New Roman" w:hAnsi="Times New Roman" w:eastAsia="新宋体" w:cs="Times New Roman"/>
                <w:sz w:val="28"/>
                <w:szCs w:val="28"/>
              </w:rPr>
            </w:pPr>
            <w:r>
              <w:rPr>
                <w:rFonts w:hint="default" w:ascii="Times New Roman" w:hAnsi="Times New Roman" w:eastAsia="新宋体" w:cs="Times New Roman"/>
                <w:sz w:val="28"/>
                <w:szCs w:val="28"/>
                <w:shd w:val="clear" w:color="auto" w:fill="FFFFFF"/>
              </w:rPr>
              <w:t>在城市市区噪声敏感建筑物集中区域内，夜间进行产生环境噪声污染的建筑施工等作业的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5" w:hRule="atLeast"/>
        </w:trPr>
        <w:tc>
          <w:tcPr>
            <w:tcW w:w="682" w:type="dxa"/>
            <w:noWrap w:val="0"/>
            <w:vAlign w:val="center"/>
          </w:tcPr>
          <w:p>
            <w:pPr>
              <w:snapToGrid w:val="0"/>
              <w:spacing w:line="360" w:lineRule="exact"/>
              <w:jc w:val="center"/>
              <w:rPr>
                <w:rFonts w:hint="default" w:ascii="Times New Roman" w:hAnsi="Times New Roman" w:eastAsia="新宋体" w:cs="Times New Roman"/>
                <w:sz w:val="28"/>
                <w:szCs w:val="28"/>
              </w:rPr>
            </w:pPr>
            <w:r>
              <w:rPr>
                <w:rFonts w:hint="default" w:ascii="Times New Roman" w:hAnsi="Times New Roman" w:eastAsia="新宋体" w:cs="Times New Roman"/>
                <w:sz w:val="28"/>
                <w:szCs w:val="28"/>
              </w:rPr>
              <w:t>34</w:t>
            </w:r>
          </w:p>
        </w:tc>
        <w:tc>
          <w:tcPr>
            <w:tcW w:w="6934" w:type="dxa"/>
            <w:noWrap w:val="0"/>
            <w:vAlign w:val="center"/>
          </w:tcPr>
          <w:p>
            <w:pPr>
              <w:widowControl/>
              <w:shd w:val="clear" w:color="auto" w:fill="FFFFFF"/>
              <w:spacing w:line="360" w:lineRule="exact"/>
              <w:rPr>
                <w:rFonts w:hint="default" w:ascii="Times New Roman" w:hAnsi="Times New Roman" w:eastAsia="新宋体" w:cs="Times New Roman"/>
                <w:sz w:val="28"/>
                <w:szCs w:val="28"/>
                <w:shd w:val="clear" w:color="auto" w:fill="FFFFFF"/>
              </w:rPr>
            </w:pPr>
            <w:r>
              <w:rPr>
                <w:rFonts w:hint="default" w:ascii="Times New Roman" w:hAnsi="Times New Roman" w:eastAsia="新宋体" w:cs="Times New Roman"/>
                <w:sz w:val="28"/>
                <w:szCs w:val="28"/>
                <w:shd w:val="clear" w:color="auto" w:fill="FFFFFF"/>
              </w:rPr>
              <w:t>在城镇道路上行驶的机动车带泥上路</w:t>
            </w:r>
            <w:r>
              <w:rPr>
                <w:rFonts w:hint="default" w:ascii="Times New Roman" w:hAnsi="Times New Roman" w:eastAsia="新宋体" w:cs="Times New Roman"/>
                <w:sz w:val="28"/>
                <w:szCs w:val="28"/>
                <w:shd w:val="clear" w:color="auto" w:fill="FFFFFF"/>
              </w:rPr>
              <w:t>；</w:t>
            </w:r>
            <w:r>
              <w:rPr>
                <w:rFonts w:hint="default" w:ascii="Times New Roman" w:hAnsi="Times New Roman" w:eastAsia="新宋体" w:cs="Times New Roman"/>
                <w:sz w:val="28"/>
                <w:szCs w:val="28"/>
                <w:shd w:val="clear" w:color="auto" w:fill="FFFFFF"/>
              </w:rPr>
              <w:t>运输砂石、土方、渣土、混凝土、灰浆等散体、流体物质或者生活垃圾、建筑垃圾</w:t>
            </w:r>
            <w:r>
              <w:rPr>
                <w:rFonts w:hint="default" w:ascii="Times New Roman" w:hAnsi="Times New Roman" w:eastAsia="新宋体" w:cs="Times New Roman"/>
                <w:sz w:val="28"/>
                <w:szCs w:val="28"/>
                <w:shd w:val="clear" w:color="auto" w:fill="FFFFFF"/>
              </w:rPr>
              <w:t>的</w:t>
            </w:r>
            <w:r>
              <w:rPr>
                <w:rFonts w:hint="default" w:ascii="Times New Roman" w:hAnsi="Times New Roman" w:eastAsia="新宋体" w:cs="Times New Roman"/>
                <w:sz w:val="28"/>
                <w:szCs w:val="28"/>
                <w:shd w:val="clear" w:color="auto" w:fill="FFFFFF"/>
              </w:rPr>
              <w:t>车辆</w:t>
            </w:r>
            <w:r>
              <w:rPr>
                <w:rFonts w:hint="default" w:ascii="Times New Roman" w:hAnsi="Times New Roman" w:eastAsia="新宋体" w:cs="Times New Roman"/>
                <w:sz w:val="28"/>
                <w:szCs w:val="28"/>
                <w:shd w:val="clear" w:color="auto" w:fill="FFFFFF"/>
              </w:rPr>
              <w:t>未</w:t>
            </w:r>
            <w:r>
              <w:rPr>
                <w:rFonts w:hint="default" w:ascii="Times New Roman" w:hAnsi="Times New Roman" w:eastAsia="新宋体" w:cs="Times New Roman"/>
                <w:sz w:val="28"/>
                <w:szCs w:val="28"/>
                <w:shd w:val="clear" w:color="auto" w:fill="FFFFFF"/>
              </w:rPr>
              <w:t>采取覆盖、密闭措施</w:t>
            </w:r>
            <w:r>
              <w:rPr>
                <w:rFonts w:hint="default" w:ascii="Times New Roman" w:hAnsi="Times New Roman" w:eastAsia="新宋体" w:cs="Times New Roman"/>
                <w:sz w:val="28"/>
                <w:szCs w:val="28"/>
                <w:shd w:val="clear" w:color="auto" w:fill="FFFFFF"/>
              </w:rPr>
              <w:t>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682" w:type="dxa"/>
            <w:noWrap w:val="0"/>
            <w:vAlign w:val="center"/>
          </w:tcPr>
          <w:p>
            <w:pPr>
              <w:snapToGrid w:val="0"/>
              <w:spacing w:line="360" w:lineRule="exact"/>
              <w:jc w:val="center"/>
              <w:rPr>
                <w:rFonts w:hint="default" w:ascii="Times New Roman" w:hAnsi="Times New Roman" w:eastAsia="新宋体" w:cs="Times New Roman"/>
                <w:sz w:val="28"/>
                <w:szCs w:val="28"/>
              </w:rPr>
            </w:pPr>
            <w:r>
              <w:rPr>
                <w:rFonts w:hint="default" w:ascii="Times New Roman" w:hAnsi="Times New Roman" w:eastAsia="新宋体" w:cs="Times New Roman"/>
                <w:sz w:val="28"/>
                <w:szCs w:val="28"/>
              </w:rPr>
              <w:t>35</w:t>
            </w:r>
          </w:p>
        </w:tc>
        <w:tc>
          <w:tcPr>
            <w:tcW w:w="6934" w:type="dxa"/>
            <w:noWrap w:val="0"/>
            <w:vAlign w:val="center"/>
          </w:tcPr>
          <w:p>
            <w:pPr>
              <w:widowControl/>
              <w:shd w:val="clear" w:color="auto" w:fill="FFFFFF"/>
              <w:spacing w:line="360" w:lineRule="exact"/>
              <w:rPr>
                <w:rFonts w:hint="default" w:ascii="Times New Roman" w:hAnsi="Times New Roman" w:eastAsia="新宋体" w:cs="Times New Roman"/>
                <w:sz w:val="28"/>
                <w:szCs w:val="28"/>
                <w:shd w:val="clear" w:color="auto" w:fill="FFFFFF"/>
              </w:rPr>
            </w:pPr>
            <w:r>
              <w:rPr>
                <w:rFonts w:hint="default" w:ascii="Times New Roman" w:hAnsi="Times New Roman" w:eastAsia="新宋体" w:cs="Times New Roman"/>
                <w:sz w:val="28"/>
                <w:szCs w:val="28"/>
                <w:shd w:val="clear" w:color="auto" w:fill="FFFFFF"/>
              </w:rPr>
              <w:t>养犬人携犬出户未及时清除犬粪的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trPr>
        <w:tc>
          <w:tcPr>
            <w:tcW w:w="682" w:type="dxa"/>
            <w:noWrap w:val="0"/>
            <w:vAlign w:val="center"/>
          </w:tcPr>
          <w:p>
            <w:pPr>
              <w:snapToGrid w:val="0"/>
              <w:spacing w:line="360" w:lineRule="exact"/>
              <w:jc w:val="center"/>
              <w:rPr>
                <w:rFonts w:hint="default" w:ascii="Times New Roman" w:hAnsi="Times New Roman" w:eastAsia="新宋体" w:cs="Times New Roman"/>
                <w:sz w:val="28"/>
                <w:szCs w:val="28"/>
              </w:rPr>
            </w:pPr>
            <w:r>
              <w:rPr>
                <w:rFonts w:hint="default" w:ascii="Times New Roman" w:hAnsi="Times New Roman" w:eastAsia="新宋体" w:cs="Times New Roman"/>
                <w:sz w:val="28"/>
                <w:szCs w:val="28"/>
              </w:rPr>
              <w:t>36</w:t>
            </w:r>
          </w:p>
        </w:tc>
        <w:tc>
          <w:tcPr>
            <w:tcW w:w="6934" w:type="dxa"/>
            <w:noWrap w:val="0"/>
            <w:vAlign w:val="center"/>
          </w:tcPr>
          <w:p>
            <w:pPr>
              <w:widowControl/>
              <w:shd w:val="clear" w:color="auto" w:fill="FFFFFF"/>
              <w:spacing w:line="360" w:lineRule="exact"/>
              <w:rPr>
                <w:rFonts w:hint="default" w:ascii="Times New Roman" w:hAnsi="Times New Roman" w:eastAsia="新宋体" w:cs="Times New Roman"/>
                <w:sz w:val="28"/>
                <w:szCs w:val="28"/>
                <w:shd w:val="clear" w:color="auto" w:fill="FFFFFF"/>
              </w:rPr>
            </w:pPr>
            <w:r>
              <w:rPr>
                <w:rFonts w:hint="default" w:ascii="Times New Roman" w:hAnsi="Times New Roman" w:eastAsia="新宋体" w:cs="Times New Roman"/>
                <w:sz w:val="28"/>
                <w:szCs w:val="28"/>
              </w:rPr>
              <w:t>违反生活垃圾分类收集、回收利用制度的</w:t>
            </w:r>
          </w:p>
        </w:tc>
        <w:tc>
          <w:tcPr>
            <w:tcW w:w="130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bl>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snapToGrid w:val="0"/>
        <w:spacing w:line="480" w:lineRule="exac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附件2：</w:t>
      </w:r>
    </w:p>
    <w:p>
      <w:pPr>
        <w:snapToGrid w:val="0"/>
        <w:spacing w:line="480" w:lineRule="exact"/>
        <w:jc w:val="center"/>
        <w:rPr>
          <w:rFonts w:hint="default" w:ascii="Times New Roman" w:hAnsi="Times New Roman" w:eastAsia="黑体" w:cs="Times New Roman"/>
          <w:bCs/>
          <w:sz w:val="32"/>
          <w:szCs w:val="32"/>
        </w:rPr>
      </w:pPr>
      <w:r>
        <w:rPr>
          <w:rFonts w:hint="default" w:ascii="Times New Roman" w:hAnsi="Times New Roman" w:eastAsia="黑体" w:cs="Times New Roman"/>
          <w:bCs/>
          <w:sz w:val="32"/>
          <w:szCs w:val="32"/>
        </w:rPr>
        <w:t>受到行政处罚及行政执行的个人信用信息评价标准</w:t>
      </w: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4"/>
        <w:gridCol w:w="702"/>
        <w:gridCol w:w="6546"/>
        <w:gridCol w:w="10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jc w:val="center"/>
        </w:trPr>
        <w:tc>
          <w:tcPr>
            <w:tcW w:w="564" w:type="dxa"/>
            <w:noWrap w:val="0"/>
            <w:vAlign w:val="center"/>
          </w:tcPr>
          <w:p>
            <w:pPr>
              <w:snapToGrid w:val="0"/>
              <w:spacing w:line="360" w:lineRule="exact"/>
              <w:jc w:val="center"/>
              <w:rPr>
                <w:rFonts w:hint="default" w:ascii="Times New Roman" w:hAnsi="Times New Roman" w:eastAsia="黑体" w:cs="Times New Roman"/>
                <w:sz w:val="28"/>
                <w:szCs w:val="28"/>
              </w:rPr>
            </w:pPr>
            <w:r>
              <w:rPr>
                <w:rFonts w:hint="default" w:ascii="Times New Roman" w:hAnsi="Times New Roman" w:eastAsia="黑体" w:cs="Times New Roman"/>
                <w:sz w:val="28"/>
                <w:szCs w:val="28"/>
              </w:rPr>
              <w:t>分项</w:t>
            </w:r>
          </w:p>
        </w:tc>
        <w:tc>
          <w:tcPr>
            <w:tcW w:w="702" w:type="dxa"/>
            <w:noWrap w:val="0"/>
            <w:vAlign w:val="center"/>
          </w:tcPr>
          <w:p>
            <w:pPr>
              <w:snapToGrid w:val="0"/>
              <w:spacing w:line="360" w:lineRule="exact"/>
              <w:jc w:val="center"/>
              <w:rPr>
                <w:rFonts w:hint="default" w:ascii="Times New Roman" w:hAnsi="Times New Roman" w:eastAsia="黑体" w:cs="Times New Roman"/>
                <w:sz w:val="28"/>
                <w:szCs w:val="28"/>
              </w:rPr>
            </w:pPr>
            <w:r>
              <w:rPr>
                <w:rFonts w:hint="default" w:ascii="Times New Roman" w:hAnsi="Times New Roman" w:eastAsia="黑体" w:cs="Times New Roman"/>
                <w:sz w:val="28"/>
                <w:szCs w:val="28"/>
              </w:rPr>
              <w:t>序号</w:t>
            </w:r>
          </w:p>
        </w:tc>
        <w:tc>
          <w:tcPr>
            <w:tcW w:w="6546" w:type="dxa"/>
            <w:noWrap w:val="0"/>
            <w:vAlign w:val="center"/>
          </w:tcPr>
          <w:p>
            <w:pPr>
              <w:snapToGrid w:val="0"/>
              <w:spacing w:line="360" w:lineRule="exact"/>
              <w:jc w:val="center"/>
              <w:rPr>
                <w:rFonts w:hint="default" w:ascii="Times New Roman" w:hAnsi="Times New Roman" w:eastAsia="黑体" w:cs="Times New Roman"/>
                <w:kern w:val="0"/>
                <w:sz w:val="28"/>
                <w:szCs w:val="28"/>
              </w:rPr>
            </w:pPr>
            <w:r>
              <w:rPr>
                <w:rFonts w:hint="default" w:ascii="Times New Roman" w:hAnsi="Times New Roman" w:eastAsia="黑体" w:cs="Times New Roman"/>
                <w:sz w:val="28"/>
                <w:szCs w:val="28"/>
              </w:rPr>
              <w:t>评价标准</w:t>
            </w:r>
          </w:p>
        </w:tc>
        <w:tc>
          <w:tcPr>
            <w:tcW w:w="1048" w:type="dxa"/>
            <w:noWrap w:val="0"/>
            <w:vAlign w:val="center"/>
          </w:tcPr>
          <w:p>
            <w:pPr>
              <w:snapToGrid w:val="0"/>
              <w:spacing w:line="360" w:lineRule="exact"/>
              <w:jc w:val="center"/>
              <w:rPr>
                <w:rFonts w:hint="default" w:ascii="Times New Roman" w:hAnsi="Times New Roman" w:eastAsia="黑体" w:cs="Times New Roman"/>
                <w:kern w:val="0"/>
                <w:sz w:val="28"/>
                <w:szCs w:val="28"/>
              </w:rPr>
            </w:pPr>
            <w:r>
              <w:rPr>
                <w:rFonts w:hint="default" w:ascii="Times New Roman" w:hAnsi="Times New Roman" w:eastAsia="黑体" w:cs="Times New Roman"/>
                <w:sz w:val="28"/>
                <w:szCs w:val="28"/>
              </w:rPr>
              <w:t>减分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jc w:val="center"/>
        </w:trPr>
        <w:tc>
          <w:tcPr>
            <w:tcW w:w="564" w:type="dxa"/>
            <w:vMerge w:val="restart"/>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行政</w:t>
            </w:r>
          </w:p>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处罚</w:t>
            </w:r>
          </w:p>
        </w:tc>
        <w:tc>
          <w:tcPr>
            <w:tcW w:w="70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w:t>
            </w:r>
          </w:p>
        </w:tc>
        <w:tc>
          <w:tcPr>
            <w:tcW w:w="6546"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处以警告行政处罚的</w:t>
            </w:r>
          </w:p>
        </w:tc>
        <w:tc>
          <w:tcPr>
            <w:tcW w:w="1048"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jc w:val="center"/>
        </w:trPr>
        <w:tc>
          <w:tcPr>
            <w:tcW w:w="564" w:type="dxa"/>
            <w:vMerge w:val="continue"/>
            <w:noWrap w:val="0"/>
            <w:vAlign w:val="center"/>
          </w:tcPr>
          <w:p>
            <w:pPr>
              <w:snapToGrid w:val="0"/>
              <w:spacing w:line="360" w:lineRule="exact"/>
              <w:jc w:val="center"/>
              <w:rPr>
                <w:rFonts w:hint="default" w:ascii="Times New Roman" w:hAnsi="Times New Roman" w:eastAsia="新宋体" w:cs="Times New Roman"/>
                <w:kern w:val="0"/>
                <w:sz w:val="28"/>
                <w:szCs w:val="28"/>
              </w:rPr>
            </w:pPr>
          </w:p>
        </w:tc>
        <w:tc>
          <w:tcPr>
            <w:tcW w:w="70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2</w:t>
            </w:r>
          </w:p>
        </w:tc>
        <w:tc>
          <w:tcPr>
            <w:tcW w:w="6546"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处以低限罚款行政处罚的</w:t>
            </w:r>
          </w:p>
        </w:tc>
        <w:tc>
          <w:tcPr>
            <w:tcW w:w="1048"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jc w:val="center"/>
        </w:trPr>
        <w:tc>
          <w:tcPr>
            <w:tcW w:w="564" w:type="dxa"/>
            <w:vMerge w:val="continue"/>
            <w:noWrap w:val="0"/>
            <w:vAlign w:val="center"/>
          </w:tcPr>
          <w:p>
            <w:pPr>
              <w:snapToGrid w:val="0"/>
              <w:spacing w:line="360" w:lineRule="exact"/>
              <w:jc w:val="center"/>
              <w:rPr>
                <w:rFonts w:hint="default" w:ascii="Times New Roman" w:hAnsi="Times New Roman" w:eastAsia="新宋体" w:cs="Times New Roman"/>
                <w:kern w:val="0"/>
                <w:sz w:val="28"/>
                <w:szCs w:val="28"/>
              </w:rPr>
            </w:pPr>
          </w:p>
        </w:tc>
        <w:tc>
          <w:tcPr>
            <w:tcW w:w="70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3</w:t>
            </w:r>
          </w:p>
        </w:tc>
        <w:tc>
          <w:tcPr>
            <w:tcW w:w="6546"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处以较重罚款行政处罚的</w:t>
            </w:r>
          </w:p>
        </w:tc>
        <w:tc>
          <w:tcPr>
            <w:tcW w:w="1048"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jc w:val="center"/>
        </w:trPr>
        <w:tc>
          <w:tcPr>
            <w:tcW w:w="564" w:type="dxa"/>
            <w:vMerge w:val="continue"/>
            <w:noWrap w:val="0"/>
            <w:vAlign w:val="center"/>
          </w:tcPr>
          <w:p>
            <w:pPr>
              <w:snapToGrid w:val="0"/>
              <w:spacing w:line="360" w:lineRule="exact"/>
              <w:jc w:val="center"/>
              <w:rPr>
                <w:rFonts w:hint="default" w:ascii="Times New Roman" w:hAnsi="Times New Roman" w:eastAsia="新宋体" w:cs="Times New Roman"/>
                <w:kern w:val="0"/>
                <w:sz w:val="28"/>
                <w:szCs w:val="28"/>
              </w:rPr>
            </w:pPr>
          </w:p>
        </w:tc>
        <w:tc>
          <w:tcPr>
            <w:tcW w:w="70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4</w:t>
            </w:r>
          </w:p>
        </w:tc>
        <w:tc>
          <w:tcPr>
            <w:tcW w:w="6546"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处以高限罚款行政处罚的</w:t>
            </w:r>
          </w:p>
        </w:tc>
        <w:tc>
          <w:tcPr>
            <w:tcW w:w="1048"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64" w:type="dxa"/>
            <w:vMerge w:val="continue"/>
            <w:noWrap w:val="0"/>
            <w:vAlign w:val="center"/>
          </w:tcPr>
          <w:p>
            <w:pPr>
              <w:snapToGrid w:val="0"/>
              <w:spacing w:line="360" w:lineRule="exact"/>
              <w:jc w:val="center"/>
              <w:rPr>
                <w:rFonts w:hint="default" w:ascii="Times New Roman" w:hAnsi="Times New Roman" w:eastAsia="新宋体" w:cs="Times New Roman"/>
                <w:kern w:val="0"/>
                <w:sz w:val="28"/>
                <w:szCs w:val="28"/>
              </w:rPr>
            </w:pPr>
          </w:p>
        </w:tc>
        <w:tc>
          <w:tcPr>
            <w:tcW w:w="70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5</w:t>
            </w:r>
          </w:p>
        </w:tc>
        <w:tc>
          <w:tcPr>
            <w:tcW w:w="6546"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处以没收违法所得、没收非法财物1000元（含）以下的</w:t>
            </w:r>
          </w:p>
        </w:tc>
        <w:tc>
          <w:tcPr>
            <w:tcW w:w="1048"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64" w:type="dxa"/>
            <w:vMerge w:val="continue"/>
            <w:noWrap w:val="0"/>
            <w:vAlign w:val="center"/>
          </w:tcPr>
          <w:p>
            <w:pPr>
              <w:snapToGrid w:val="0"/>
              <w:spacing w:line="360" w:lineRule="exact"/>
              <w:jc w:val="center"/>
              <w:rPr>
                <w:rFonts w:hint="default" w:ascii="Times New Roman" w:hAnsi="Times New Roman" w:eastAsia="新宋体" w:cs="Times New Roman"/>
                <w:kern w:val="0"/>
                <w:sz w:val="28"/>
                <w:szCs w:val="28"/>
              </w:rPr>
            </w:pPr>
          </w:p>
        </w:tc>
        <w:tc>
          <w:tcPr>
            <w:tcW w:w="70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6</w:t>
            </w:r>
          </w:p>
        </w:tc>
        <w:tc>
          <w:tcPr>
            <w:tcW w:w="6546"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处以没收违法所得、没收非法财物1001元-5000元（含）以下的</w:t>
            </w:r>
          </w:p>
        </w:tc>
        <w:tc>
          <w:tcPr>
            <w:tcW w:w="1048"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64" w:type="dxa"/>
            <w:vMerge w:val="continue"/>
            <w:noWrap w:val="0"/>
            <w:vAlign w:val="center"/>
          </w:tcPr>
          <w:p>
            <w:pPr>
              <w:snapToGrid w:val="0"/>
              <w:spacing w:line="360" w:lineRule="exact"/>
              <w:jc w:val="center"/>
              <w:rPr>
                <w:rFonts w:hint="default" w:ascii="Times New Roman" w:hAnsi="Times New Roman" w:eastAsia="新宋体" w:cs="Times New Roman"/>
                <w:kern w:val="0"/>
                <w:sz w:val="28"/>
                <w:szCs w:val="28"/>
              </w:rPr>
            </w:pPr>
          </w:p>
        </w:tc>
        <w:tc>
          <w:tcPr>
            <w:tcW w:w="70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7</w:t>
            </w:r>
          </w:p>
        </w:tc>
        <w:tc>
          <w:tcPr>
            <w:tcW w:w="6546"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处以没收违法所得、没收非法财物5001元-10000元（含）以下的</w:t>
            </w:r>
          </w:p>
        </w:tc>
        <w:tc>
          <w:tcPr>
            <w:tcW w:w="1048"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64" w:type="dxa"/>
            <w:vMerge w:val="continue"/>
            <w:noWrap w:val="0"/>
            <w:vAlign w:val="center"/>
          </w:tcPr>
          <w:p>
            <w:pPr>
              <w:snapToGrid w:val="0"/>
              <w:spacing w:line="360" w:lineRule="exact"/>
              <w:jc w:val="center"/>
              <w:rPr>
                <w:rFonts w:hint="default" w:ascii="Times New Roman" w:hAnsi="Times New Roman" w:eastAsia="新宋体" w:cs="Times New Roman"/>
                <w:kern w:val="0"/>
                <w:sz w:val="28"/>
                <w:szCs w:val="28"/>
              </w:rPr>
            </w:pPr>
          </w:p>
        </w:tc>
        <w:tc>
          <w:tcPr>
            <w:tcW w:w="70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8</w:t>
            </w:r>
          </w:p>
        </w:tc>
        <w:tc>
          <w:tcPr>
            <w:tcW w:w="6546"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处以没收违法所得、没收非法财物10000元（不含）以上的</w:t>
            </w:r>
          </w:p>
        </w:tc>
        <w:tc>
          <w:tcPr>
            <w:tcW w:w="1048"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jc w:val="center"/>
        </w:trPr>
        <w:tc>
          <w:tcPr>
            <w:tcW w:w="564" w:type="dxa"/>
            <w:vMerge w:val="continue"/>
            <w:noWrap w:val="0"/>
            <w:vAlign w:val="center"/>
          </w:tcPr>
          <w:p>
            <w:pPr>
              <w:snapToGrid w:val="0"/>
              <w:spacing w:line="360" w:lineRule="exact"/>
              <w:jc w:val="center"/>
              <w:rPr>
                <w:rFonts w:hint="default" w:ascii="Times New Roman" w:hAnsi="Times New Roman" w:eastAsia="新宋体" w:cs="Times New Roman"/>
                <w:kern w:val="0"/>
                <w:sz w:val="28"/>
                <w:szCs w:val="28"/>
              </w:rPr>
            </w:pPr>
          </w:p>
        </w:tc>
        <w:tc>
          <w:tcPr>
            <w:tcW w:w="70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9</w:t>
            </w:r>
          </w:p>
        </w:tc>
        <w:tc>
          <w:tcPr>
            <w:tcW w:w="6546"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处暂扣许可证行政处罚的</w:t>
            </w:r>
          </w:p>
        </w:tc>
        <w:tc>
          <w:tcPr>
            <w:tcW w:w="1048"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jc w:val="center"/>
        </w:trPr>
        <w:tc>
          <w:tcPr>
            <w:tcW w:w="564" w:type="dxa"/>
            <w:vMerge w:val="continue"/>
            <w:noWrap w:val="0"/>
            <w:vAlign w:val="center"/>
          </w:tcPr>
          <w:p>
            <w:pPr>
              <w:snapToGrid w:val="0"/>
              <w:spacing w:line="360" w:lineRule="exact"/>
              <w:jc w:val="center"/>
              <w:rPr>
                <w:rFonts w:hint="default" w:ascii="Times New Roman" w:hAnsi="Times New Roman" w:eastAsia="新宋体" w:cs="Times New Roman"/>
                <w:kern w:val="0"/>
                <w:sz w:val="28"/>
                <w:szCs w:val="28"/>
              </w:rPr>
            </w:pPr>
          </w:p>
        </w:tc>
        <w:tc>
          <w:tcPr>
            <w:tcW w:w="70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c>
          <w:tcPr>
            <w:tcW w:w="6546"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受到其他行政处罚的</w:t>
            </w:r>
          </w:p>
        </w:tc>
        <w:tc>
          <w:tcPr>
            <w:tcW w:w="1048"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jc w:val="center"/>
        </w:trPr>
        <w:tc>
          <w:tcPr>
            <w:tcW w:w="564" w:type="dxa"/>
            <w:vMerge w:val="continue"/>
            <w:noWrap w:val="0"/>
            <w:vAlign w:val="center"/>
          </w:tcPr>
          <w:p>
            <w:pPr>
              <w:snapToGrid w:val="0"/>
              <w:spacing w:line="360" w:lineRule="exact"/>
              <w:jc w:val="center"/>
              <w:rPr>
                <w:rFonts w:hint="default" w:ascii="Times New Roman" w:hAnsi="Times New Roman" w:eastAsia="新宋体" w:cs="Times New Roman"/>
                <w:kern w:val="0"/>
                <w:sz w:val="28"/>
                <w:szCs w:val="28"/>
              </w:rPr>
            </w:pPr>
          </w:p>
        </w:tc>
        <w:tc>
          <w:tcPr>
            <w:tcW w:w="70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11</w:t>
            </w:r>
          </w:p>
        </w:tc>
        <w:tc>
          <w:tcPr>
            <w:tcW w:w="6546"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未履行发生效力被处以低限罚款行政处罚的</w:t>
            </w:r>
          </w:p>
        </w:tc>
        <w:tc>
          <w:tcPr>
            <w:tcW w:w="1048"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jc w:val="center"/>
        </w:trPr>
        <w:tc>
          <w:tcPr>
            <w:tcW w:w="564" w:type="dxa"/>
            <w:vMerge w:val="continue"/>
            <w:noWrap w:val="0"/>
            <w:vAlign w:val="center"/>
          </w:tcPr>
          <w:p>
            <w:pPr>
              <w:snapToGrid w:val="0"/>
              <w:spacing w:line="360" w:lineRule="exact"/>
              <w:jc w:val="center"/>
              <w:rPr>
                <w:rFonts w:hint="default" w:ascii="Times New Roman" w:hAnsi="Times New Roman" w:eastAsia="新宋体" w:cs="Times New Roman"/>
                <w:kern w:val="0"/>
                <w:sz w:val="28"/>
                <w:szCs w:val="28"/>
              </w:rPr>
            </w:pPr>
          </w:p>
        </w:tc>
        <w:tc>
          <w:tcPr>
            <w:tcW w:w="70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12</w:t>
            </w:r>
          </w:p>
        </w:tc>
        <w:tc>
          <w:tcPr>
            <w:tcW w:w="6546"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未履行发生效力被处以较重罚款行政处罚的</w:t>
            </w:r>
          </w:p>
        </w:tc>
        <w:tc>
          <w:tcPr>
            <w:tcW w:w="1048"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jc w:val="center"/>
        </w:trPr>
        <w:tc>
          <w:tcPr>
            <w:tcW w:w="564" w:type="dxa"/>
            <w:vMerge w:val="continue"/>
            <w:noWrap w:val="0"/>
            <w:vAlign w:val="center"/>
          </w:tcPr>
          <w:p>
            <w:pPr>
              <w:snapToGrid w:val="0"/>
              <w:spacing w:line="360" w:lineRule="exact"/>
              <w:jc w:val="center"/>
              <w:rPr>
                <w:rFonts w:hint="default" w:ascii="Times New Roman" w:hAnsi="Times New Roman" w:eastAsia="新宋体" w:cs="Times New Roman"/>
                <w:kern w:val="0"/>
                <w:sz w:val="28"/>
                <w:szCs w:val="28"/>
              </w:rPr>
            </w:pPr>
          </w:p>
        </w:tc>
        <w:tc>
          <w:tcPr>
            <w:tcW w:w="70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13</w:t>
            </w:r>
          </w:p>
        </w:tc>
        <w:tc>
          <w:tcPr>
            <w:tcW w:w="6546"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未履行发生效力被处以高限罚款行政处罚的</w:t>
            </w:r>
          </w:p>
        </w:tc>
        <w:tc>
          <w:tcPr>
            <w:tcW w:w="1048"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jc w:val="center"/>
        </w:trPr>
        <w:tc>
          <w:tcPr>
            <w:tcW w:w="564" w:type="dxa"/>
            <w:vMerge w:val="continue"/>
            <w:noWrap w:val="0"/>
            <w:vAlign w:val="center"/>
          </w:tcPr>
          <w:p>
            <w:pPr>
              <w:snapToGrid w:val="0"/>
              <w:spacing w:line="360" w:lineRule="exact"/>
              <w:jc w:val="center"/>
              <w:rPr>
                <w:rFonts w:hint="default" w:ascii="Times New Roman" w:hAnsi="Times New Roman" w:eastAsia="新宋体" w:cs="Times New Roman"/>
                <w:kern w:val="0"/>
                <w:sz w:val="28"/>
                <w:szCs w:val="28"/>
              </w:rPr>
            </w:pPr>
          </w:p>
        </w:tc>
        <w:tc>
          <w:tcPr>
            <w:tcW w:w="70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14</w:t>
            </w:r>
          </w:p>
        </w:tc>
        <w:tc>
          <w:tcPr>
            <w:tcW w:w="6546"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未履行发生效力的其它行政处罚的</w:t>
            </w:r>
          </w:p>
        </w:tc>
        <w:tc>
          <w:tcPr>
            <w:tcW w:w="1048"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64" w:type="dxa"/>
            <w:vMerge w:val="restart"/>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行政</w:t>
            </w:r>
          </w:p>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执行</w:t>
            </w:r>
          </w:p>
        </w:tc>
        <w:tc>
          <w:tcPr>
            <w:tcW w:w="70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w:t>
            </w:r>
          </w:p>
        </w:tc>
        <w:tc>
          <w:tcPr>
            <w:tcW w:w="6546"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受到责令改正、责令停工、责令清除、限期</w:t>
            </w:r>
          </w:p>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清理、限期拆除、限期履行等的</w:t>
            </w:r>
          </w:p>
        </w:tc>
        <w:tc>
          <w:tcPr>
            <w:tcW w:w="1048"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6" w:hRule="atLeast"/>
          <w:jc w:val="center"/>
        </w:trPr>
        <w:tc>
          <w:tcPr>
            <w:tcW w:w="564" w:type="dxa"/>
            <w:vMerge w:val="continue"/>
            <w:noWrap w:val="0"/>
            <w:vAlign w:val="center"/>
          </w:tcPr>
          <w:p>
            <w:pPr>
              <w:spacing w:line="360" w:lineRule="exact"/>
              <w:rPr>
                <w:rFonts w:hint="default" w:ascii="Times New Roman" w:hAnsi="Times New Roman" w:eastAsia="新宋体" w:cs="Times New Roman"/>
                <w:sz w:val="28"/>
                <w:szCs w:val="28"/>
              </w:rPr>
            </w:pPr>
          </w:p>
        </w:tc>
        <w:tc>
          <w:tcPr>
            <w:tcW w:w="70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2</w:t>
            </w:r>
          </w:p>
        </w:tc>
        <w:tc>
          <w:tcPr>
            <w:tcW w:w="6546" w:type="dxa"/>
            <w:noWrap w:val="0"/>
            <w:vAlign w:val="center"/>
          </w:tcPr>
          <w:p>
            <w:pPr>
              <w:snapToGrid w:val="0"/>
              <w:spacing w:line="360" w:lineRule="exact"/>
              <w:jc w:val="lef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被实施限制公民人身自由、查封场所设施或者财物、扣押财物、冻结存款汇款等行政强制措施的</w:t>
            </w:r>
          </w:p>
        </w:tc>
        <w:tc>
          <w:tcPr>
            <w:tcW w:w="1048"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5" w:hRule="atLeast"/>
          <w:jc w:val="center"/>
        </w:trPr>
        <w:tc>
          <w:tcPr>
            <w:tcW w:w="564" w:type="dxa"/>
            <w:vMerge w:val="continue"/>
            <w:noWrap w:val="0"/>
            <w:vAlign w:val="center"/>
          </w:tcPr>
          <w:p>
            <w:pPr>
              <w:spacing w:line="360" w:lineRule="exact"/>
              <w:rPr>
                <w:rFonts w:hint="default" w:ascii="Times New Roman" w:hAnsi="Times New Roman" w:eastAsia="新宋体" w:cs="Times New Roman"/>
                <w:sz w:val="28"/>
                <w:szCs w:val="28"/>
              </w:rPr>
            </w:pPr>
          </w:p>
        </w:tc>
        <w:tc>
          <w:tcPr>
            <w:tcW w:w="70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3</w:t>
            </w:r>
          </w:p>
        </w:tc>
        <w:tc>
          <w:tcPr>
            <w:tcW w:w="6546" w:type="dxa"/>
            <w:noWrap w:val="0"/>
            <w:vAlign w:val="center"/>
          </w:tcPr>
          <w:p>
            <w:pPr>
              <w:snapToGrid w:val="0"/>
              <w:spacing w:line="360" w:lineRule="exact"/>
              <w:jc w:val="lef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被实施加处罚款或者滞纳金、划拨存款汇款、拍卖或者依法处理查封扣押的场所设施或者财物、排除妨碍、恢复原状、代履行等行政强制执行方式的</w:t>
            </w:r>
          </w:p>
        </w:tc>
        <w:tc>
          <w:tcPr>
            <w:tcW w:w="1048"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9" w:hRule="atLeast"/>
          <w:jc w:val="center"/>
        </w:trPr>
        <w:tc>
          <w:tcPr>
            <w:tcW w:w="564" w:type="dxa"/>
            <w:vMerge w:val="continue"/>
            <w:noWrap w:val="0"/>
            <w:vAlign w:val="center"/>
          </w:tcPr>
          <w:p>
            <w:pPr>
              <w:spacing w:line="360" w:lineRule="exact"/>
              <w:rPr>
                <w:rFonts w:hint="default" w:ascii="Times New Roman" w:hAnsi="Times New Roman" w:eastAsia="新宋体" w:cs="Times New Roman"/>
                <w:sz w:val="28"/>
                <w:szCs w:val="28"/>
              </w:rPr>
            </w:pPr>
          </w:p>
        </w:tc>
        <w:tc>
          <w:tcPr>
            <w:tcW w:w="70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4</w:t>
            </w:r>
          </w:p>
        </w:tc>
        <w:tc>
          <w:tcPr>
            <w:tcW w:w="6546" w:type="dxa"/>
            <w:noWrap w:val="0"/>
            <w:vAlign w:val="center"/>
          </w:tcPr>
          <w:p>
            <w:pPr>
              <w:snapToGrid w:val="0"/>
              <w:spacing w:line="360" w:lineRule="exact"/>
              <w:jc w:val="lef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未履行行政强制措施、强制决定的</w:t>
            </w:r>
          </w:p>
        </w:tc>
        <w:tc>
          <w:tcPr>
            <w:tcW w:w="1048"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jc w:val="center"/>
        </w:trPr>
        <w:tc>
          <w:tcPr>
            <w:tcW w:w="564" w:type="dxa"/>
            <w:vMerge w:val="continue"/>
            <w:noWrap w:val="0"/>
            <w:vAlign w:val="center"/>
          </w:tcPr>
          <w:p>
            <w:pPr>
              <w:spacing w:line="360" w:lineRule="exact"/>
              <w:rPr>
                <w:rFonts w:hint="default" w:ascii="Times New Roman" w:hAnsi="Times New Roman" w:eastAsia="新宋体" w:cs="Times New Roman"/>
                <w:sz w:val="28"/>
                <w:szCs w:val="28"/>
              </w:rPr>
            </w:pPr>
          </w:p>
        </w:tc>
        <w:tc>
          <w:tcPr>
            <w:tcW w:w="702"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5</w:t>
            </w:r>
          </w:p>
        </w:tc>
        <w:tc>
          <w:tcPr>
            <w:tcW w:w="6546" w:type="dxa"/>
            <w:noWrap w:val="0"/>
            <w:vAlign w:val="center"/>
          </w:tcPr>
          <w:p>
            <w:pPr>
              <w:snapToGrid w:val="0"/>
              <w:spacing w:line="360" w:lineRule="exact"/>
              <w:jc w:val="lef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部分不履行发生效力的仲裁、裁决和行政复议决定的</w:t>
            </w:r>
          </w:p>
        </w:tc>
        <w:tc>
          <w:tcPr>
            <w:tcW w:w="1048"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－50</w:t>
            </w:r>
          </w:p>
        </w:tc>
      </w:tr>
    </w:tbl>
    <w:p>
      <w:pPr>
        <w:snapToGrid w:val="0"/>
        <w:spacing w:line="360" w:lineRule="exact"/>
        <w:jc w:val="center"/>
        <w:rPr>
          <w:rFonts w:hint="default" w:ascii="Times New Roman" w:hAnsi="Times New Roman" w:eastAsia="新宋体" w:cs="Times New Roman"/>
          <w:sz w:val="28"/>
          <w:szCs w:val="28"/>
        </w:rPr>
      </w:pPr>
    </w:p>
    <w:p>
      <w:pPr>
        <w:rPr>
          <w:rFonts w:hint="default" w:ascii="Times New Roman" w:hAnsi="Times New Roman" w:eastAsia="新宋体" w:cs="Times New Roman"/>
          <w:sz w:val="28"/>
          <w:szCs w:val="28"/>
        </w:rPr>
      </w:pPr>
      <w:r>
        <w:rPr>
          <w:rFonts w:hint="default" w:ascii="Times New Roman" w:hAnsi="Times New Roman" w:eastAsia="新宋体" w:cs="Times New Roman"/>
          <w:sz w:val="28"/>
          <w:szCs w:val="28"/>
        </w:rPr>
        <w:br w:type="page"/>
      </w:r>
    </w:p>
    <w:p>
      <w:pPr>
        <w:snapToGrid w:val="0"/>
        <w:spacing w:line="480" w:lineRule="exac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附件3：</w:t>
      </w:r>
    </w:p>
    <w:p>
      <w:pPr>
        <w:snapToGrid w:val="0"/>
        <w:spacing w:line="360" w:lineRule="exact"/>
        <w:jc w:val="center"/>
        <w:rPr>
          <w:rFonts w:hint="default" w:ascii="Times New Roman" w:hAnsi="Times New Roman" w:eastAsia="黑体" w:cs="Times New Roman"/>
          <w:szCs w:val="32"/>
        </w:rPr>
      </w:pPr>
    </w:p>
    <w:p>
      <w:pPr>
        <w:snapToGrid w:val="0"/>
        <w:spacing w:line="480" w:lineRule="exact"/>
        <w:jc w:val="center"/>
        <w:rPr>
          <w:rFonts w:hint="default" w:ascii="Times New Roman" w:hAnsi="Times New Roman" w:eastAsia="黑体" w:cs="Times New Roman"/>
          <w:bCs/>
          <w:sz w:val="32"/>
          <w:szCs w:val="32"/>
        </w:rPr>
      </w:pPr>
      <w:r>
        <w:rPr>
          <w:rFonts w:hint="default" w:ascii="Times New Roman" w:hAnsi="Times New Roman" w:eastAsia="黑体" w:cs="Times New Roman"/>
          <w:bCs/>
          <w:sz w:val="32"/>
          <w:szCs w:val="32"/>
        </w:rPr>
        <w:t>受到行政处罚及行政执行的社会法人信用信息评价标准</w:t>
      </w: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4"/>
        <w:gridCol w:w="694"/>
        <w:gridCol w:w="6531"/>
        <w:gridCol w:w="10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5" w:hRule="atLeast"/>
          <w:jc w:val="center"/>
        </w:trPr>
        <w:tc>
          <w:tcPr>
            <w:tcW w:w="724" w:type="dxa"/>
            <w:noWrap w:val="0"/>
            <w:vAlign w:val="center"/>
          </w:tcPr>
          <w:p>
            <w:pPr>
              <w:snapToGrid w:val="0"/>
              <w:spacing w:line="360" w:lineRule="exact"/>
              <w:jc w:val="center"/>
              <w:rPr>
                <w:rFonts w:hint="default" w:ascii="Times New Roman" w:hAnsi="Times New Roman" w:eastAsia="黑体" w:cs="Times New Roman"/>
                <w:sz w:val="28"/>
                <w:szCs w:val="28"/>
              </w:rPr>
            </w:pPr>
            <w:r>
              <w:rPr>
                <w:rFonts w:hint="default" w:ascii="Times New Roman" w:hAnsi="Times New Roman" w:eastAsia="黑体" w:cs="Times New Roman"/>
                <w:sz w:val="28"/>
                <w:szCs w:val="28"/>
              </w:rPr>
              <w:t>分项</w:t>
            </w:r>
          </w:p>
        </w:tc>
        <w:tc>
          <w:tcPr>
            <w:tcW w:w="694" w:type="dxa"/>
            <w:noWrap w:val="0"/>
            <w:vAlign w:val="center"/>
          </w:tcPr>
          <w:p>
            <w:pPr>
              <w:snapToGrid w:val="0"/>
              <w:spacing w:line="360" w:lineRule="exact"/>
              <w:jc w:val="center"/>
              <w:rPr>
                <w:rFonts w:hint="default" w:ascii="Times New Roman" w:hAnsi="Times New Roman" w:eastAsia="黑体" w:cs="Times New Roman"/>
                <w:sz w:val="28"/>
                <w:szCs w:val="28"/>
              </w:rPr>
            </w:pPr>
            <w:r>
              <w:rPr>
                <w:rFonts w:hint="default" w:ascii="Times New Roman" w:hAnsi="Times New Roman" w:eastAsia="黑体" w:cs="Times New Roman"/>
                <w:sz w:val="28"/>
                <w:szCs w:val="28"/>
              </w:rPr>
              <w:t>序号</w:t>
            </w:r>
          </w:p>
        </w:tc>
        <w:tc>
          <w:tcPr>
            <w:tcW w:w="6531" w:type="dxa"/>
            <w:noWrap w:val="0"/>
            <w:vAlign w:val="center"/>
          </w:tcPr>
          <w:p>
            <w:pPr>
              <w:snapToGrid w:val="0"/>
              <w:spacing w:line="360" w:lineRule="exact"/>
              <w:jc w:val="center"/>
              <w:rPr>
                <w:rFonts w:hint="default" w:ascii="Times New Roman" w:hAnsi="Times New Roman" w:eastAsia="黑体" w:cs="Times New Roman"/>
                <w:sz w:val="28"/>
                <w:szCs w:val="28"/>
              </w:rPr>
            </w:pPr>
            <w:r>
              <w:rPr>
                <w:rFonts w:hint="default" w:ascii="Times New Roman" w:hAnsi="Times New Roman" w:eastAsia="黑体" w:cs="Times New Roman"/>
                <w:sz w:val="28"/>
                <w:szCs w:val="28"/>
              </w:rPr>
              <w:t>评价标准</w:t>
            </w:r>
          </w:p>
        </w:tc>
        <w:tc>
          <w:tcPr>
            <w:tcW w:w="1047" w:type="dxa"/>
            <w:noWrap w:val="0"/>
            <w:vAlign w:val="center"/>
          </w:tcPr>
          <w:p>
            <w:pPr>
              <w:snapToGrid w:val="0"/>
              <w:spacing w:line="360" w:lineRule="exact"/>
              <w:jc w:val="center"/>
              <w:rPr>
                <w:rFonts w:hint="default" w:ascii="Times New Roman" w:hAnsi="Times New Roman" w:eastAsia="黑体" w:cs="Times New Roman"/>
                <w:sz w:val="28"/>
                <w:szCs w:val="28"/>
              </w:rPr>
            </w:pPr>
            <w:r>
              <w:rPr>
                <w:rFonts w:hint="default" w:ascii="Times New Roman" w:hAnsi="Times New Roman" w:eastAsia="黑体" w:cs="Times New Roman"/>
                <w:sz w:val="28"/>
                <w:szCs w:val="28"/>
              </w:rPr>
              <w:t>减分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2" w:hRule="exact"/>
          <w:jc w:val="center"/>
        </w:trPr>
        <w:tc>
          <w:tcPr>
            <w:tcW w:w="724" w:type="dxa"/>
            <w:vMerge w:val="restart"/>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行政</w:t>
            </w:r>
          </w:p>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处罚</w:t>
            </w:r>
          </w:p>
        </w:tc>
        <w:tc>
          <w:tcPr>
            <w:tcW w:w="69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w:t>
            </w:r>
          </w:p>
        </w:tc>
        <w:tc>
          <w:tcPr>
            <w:tcW w:w="6531"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被处以警告行政处罚的</w:t>
            </w:r>
          </w:p>
        </w:tc>
        <w:tc>
          <w:tcPr>
            <w:tcW w:w="1047"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exact"/>
          <w:jc w:val="center"/>
        </w:trPr>
        <w:tc>
          <w:tcPr>
            <w:tcW w:w="724" w:type="dxa"/>
            <w:vMerge w:val="continue"/>
            <w:noWrap w:val="0"/>
            <w:vAlign w:val="center"/>
          </w:tcPr>
          <w:p>
            <w:pPr>
              <w:snapToGrid w:val="0"/>
              <w:spacing w:line="360" w:lineRule="exact"/>
              <w:jc w:val="left"/>
              <w:rPr>
                <w:rFonts w:hint="default" w:ascii="Times New Roman" w:hAnsi="Times New Roman" w:eastAsia="新宋体" w:cs="Times New Roman"/>
                <w:kern w:val="0"/>
                <w:sz w:val="28"/>
                <w:szCs w:val="28"/>
              </w:rPr>
            </w:pPr>
          </w:p>
        </w:tc>
        <w:tc>
          <w:tcPr>
            <w:tcW w:w="69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2</w:t>
            </w:r>
          </w:p>
        </w:tc>
        <w:tc>
          <w:tcPr>
            <w:tcW w:w="6531"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被处以低限罚款行政处罚的</w:t>
            </w:r>
          </w:p>
        </w:tc>
        <w:tc>
          <w:tcPr>
            <w:tcW w:w="1047"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2" w:hRule="exact"/>
          <w:jc w:val="center"/>
        </w:trPr>
        <w:tc>
          <w:tcPr>
            <w:tcW w:w="724" w:type="dxa"/>
            <w:vMerge w:val="continue"/>
            <w:noWrap w:val="0"/>
            <w:vAlign w:val="center"/>
          </w:tcPr>
          <w:p>
            <w:pPr>
              <w:snapToGrid w:val="0"/>
              <w:spacing w:line="360" w:lineRule="exact"/>
              <w:jc w:val="left"/>
              <w:rPr>
                <w:rFonts w:hint="default" w:ascii="Times New Roman" w:hAnsi="Times New Roman" w:eastAsia="新宋体" w:cs="Times New Roman"/>
                <w:kern w:val="0"/>
                <w:sz w:val="28"/>
                <w:szCs w:val="28"/>
              </w:rPr>
            </w:pPr>
          </w:p>
        </w:tc>
        <w:tc>
          <w:tcPr>
            <w:tcW w:w="69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3</w:t>
            </w:r>
          </w:p>
        </w:tc>
        <w:tc>
          <w:tcPr>
            <w:tcW w:w="6531"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被处以较重罚款行政处罚的</w:t>
            </w:r>
          </w:p>
        </w:tc>
        <w:tc>
          <w:tcPr>
            <w:tcW w:w="1047"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exact"/>
          <w:jc w:val="center"/>
        </w:trPr>
        <w:tc>
          <w:tcPr>
            <w:tcW w:w="724" w:type="dxa"/>
            <w:vMerge w:val="continue"/>
            <w:noWrap w:val="0"/>
            <w:vAlign w:val="center"/>
          </w:tcPr>
          <w:p>
            <w:pPr>
              <w:snapToGrid w:val="0"/>
              <w:spacing w:line="360" w:lineRule="exact"/>
              <w:jc w:val="left"/>
              <w:rPr>
                <w:rFonts w:hint="default" w:ascii="Times New Roman" w:hAnsi="Times New Roman" w:eastAsia="新宋体" w:cs="Times New Roman"/>
                <w:kern w:val="0"/>
                <w:sz w:val="28"/>
                <w:szCs w:val="28"/>
              </w:rPr>
            </w:pPr>
          </w:p>
        </w:tc>
        <w:tc>
          <w:tcPr>
            <w:tcW w:w="69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4</w:t>
            </w:r>
          </w:p>
        </w:tc>
        <w:tc>
          <w:tcPr>
            <w:tcW w:w="6531"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被处以高限罚款行政处罚的</w:t>
            </w:r>
          </w:p>
        </w:tc>
        <w:tc>
          <w:tcPr>
            <w:tcW w:w="1047"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4" w:hRule="exact"/>
          <w:jc w:val="center"/>
        </w:trPr>
        <w:tc>
          <w:tcPr>
            <w:tcW w:w="724" w:type="dxa"/>
            <w:vMerge w:val="continue"/>
            <w:noWrap w:val="0"/>
            <w:vAlign w:val="center"/>
          </w:tcPr>
          <w:p>
            <w:pPr>
              <w:snapToGrid w:val="0"/>
              <w:spacing w:line="360" w:lineRule="exact"/>
              <w:jc w:val="left"/>
              <w:rPr>
                <w:rFonts w:hint="default" w:ascii="Times New Roman" w:hAnsi="Times New Roman" w:eastAsia="新宋体" w:cs="Times New Roman"/>
                <w:kern w:val="0"/>
                <w:sz w:val="28"/>
                <w:szCs w:val="28"/>
              </w:rPr>
            </w:pPr>
          </w:p>
        </w:tc>
        <w:tc>
          <w:tcPr>
            <w:tcW w:w="69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5</w:t>
            </w:r>
          </w:p>
        </w:tc>
        <w:tc>
          <w:tcPr>
            <w:tcW w:w="6531"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处以没收违法所得、没收非法财物1万元（含）以下的</w:t>
            </w:r>
          </w:p>
        </w:tc>
        <w:tc>
          <w:tcPr>
            <w:tcW w:w="1047"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1" w:hRule="exact"/>
          <w:jc w:val="center"/>
        </w:trPr>
        <w:tc>
          <w:tcPr>
            <w:tcW w:w="724" w:type="dxa"/>
            <w:vMerge w:val="continue"/>
            <w:noWrap w:val="0"/>
            <w:vAlign w:val="center"/>
          </w:tcPr>
          <w:p>
            <w:pPr>
              <w:snapToGrid w:val="0"/>
              <w:spacing w:line="360" w:lineRule="exact"/>
              <w:jc w:val="left"/>
              <w:rPr>
                <w:rFonts w:hint="default" w:ascii="Times New Roman" w:hAnsi="Times New Roman" w:eastAsia="新宋体" w:cs="Times New Roman"/>
                <w:kern w:val="0"/>
                <w:sz w:val="28"/>
                <w:szCs w:val="28"/>
              </w:rPr>
            </w:pPr>
          </w:p>
        </w:tc>
        <w:tc>
          <w:tcPr>
            <w:tcW w:w="69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6</w:t>
            </w:r>
          </w:p>
        </w:tc>
        <w:tc>
          <w:tcPr>
            <w:tcW w:w="6531"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处以没收违法所得、没收非法财物1万元—5 万元（含）的</w:t>
            </w:r>
          </w:p>
        </w:tc>
        <w:tc>
          <w:tcPr>
            <w:tcW w:w="1047"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exact"/>
          <w:jc w:val="center"/>
        </w:trPr>
        <w:tc>
          <w:tcPr>
            <w:tcW w:w="724" w:type="dxa"/>
            <w:vMerge w:val="continue"/>
            <w:noWrap w:val="0"/>
            <w:vAlign w:val="center"/>
          </w:tcPr>
          <w:p>
            <w:pPr>
              <w:snapToGrid w:val="0"/>
              <w:spacing w:line="360" w:lineRule="exact"/>
              <w:jc w:val="left"/>
              <w:rPr>
                <w:rFonts w:hint="default" w:ascii="Times New Roman" w:hAnsi="Times New Roman" w:eastAsia="新宋体" w:cs="Times New Roman"/>
                <w:kern w:val="0"/>
                <w:sz w:val="28"/>
                <w:szCs w:val="28"/>
              </w:rPr>
            </w:pPr>
          </w:p>
        </w:tc>
        <w:tc>
          <w:tcPr>
            <w:tcW w:w="69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7</w:t>
            </w:r>
          </w:p>
        </w:tc>
        <w:tc>
          <w:tcPr>
            <w:tcW w:w="6531"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处以没收违法所得、没收非法财物5万元—10 万元（含）的</w:t>
            </w:r>
          </w:p>
        </w:tc>
        <w:tc>
          <w:tcPr>
            <w:tcW w:w="1047"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0" w:hRule="exact"/>
          <w:jc w:val="center"/>
        </w:trPr>
        <w:tc>
          <w:tcPr>
            <w:tcW w:w="724" w:type="dxa"/>
            <w:vMerge w:val="continue"/>
            <w:noWrap w:val="0"/>
            <w:vAlign w:val="center"/>
          </w:tcPr>
          <w:p>
            <w:pPr>
              <w:snapToGrid w:val="0"/>
              <w:spacing w:line="360" w:lineRule="exact"/>
              <w:jc w:val="left"/>
              <w:rPr>
                <w:rFonts w:hint="default" w:ascii="Times New Roman" w:hAnsi="Times New Roman" w:eastAsia="新宋体" w:cs="Times New Roman"/>
                <w:kern w:val="0"/>
                <w:sz w:val="28"/>
                <w:szCs w:val="28"/>
              </w:rPr>
            </w:pPr>
          </w:p>
        </w:tc>
        <w:tc>
          <w:tcPr>
            <w:tcW w:w="69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8</w:t>
            </w:r>
          </w:p>
        </w:tc>
        <w:tc>
          <w:tcPr>
            <w:tcW w:w="6531"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处以没收违法所得、没收非法财物10 万元以上的</w:t>
            </w:r>
          </w:p>
        </w:tc>
        <w:tc>
          <w:tcPr>
            <w:tcW w:w="1047"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exact"/>
          <w:jc w:val="center"/>
        </w:trPr>
        <w:tc>
          <w:tcPr>
            <w:tcW w:w="724" w:type="dxa"/>
            <w:vMerge w:val="continue"/>
            <w:noWrap w:val="0"/>
            <w:vAlign w:val="center"/>
          </w:tcPr>
          <w:p>
            <w:pPr>
              <w:snapToGrid w:val="0"/>
              <w:spacing w:line="360" w:lineRule="exact"/>
              <w:jc w:val="left"/>
              <w:rPr>
                <w:rFonts w:hint="default" w:ascii="Times New Roman" w:hAnsi="Times New Roman" w:eastAsia="新宋体" w:cs="Times New Roman"/>
                <w:kern w:val="0"/>
                <w:sz w:val="28"/>
                <w:szCs w:val="28"/>
              </w:rPr>
            </w:pPr>
          </w:p>
        </w:tc>
        <w:tc>
          <w:tcPr>
            <w:tcW w:w="69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9</w:t>
            </w:r>
          </w:p>
        </w:tc>
        <w:tc>
          <w:tcPr>
            <w:tcW w:w="6531"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受到其他行政处罚的</w:t>
            </w:r>
          </w:p>
        </w:tc>
        <w:tc>
          <w:tcPr>
            <w:tcW w:w="1047"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8" w:hRule="exact"/>
          <w:jc w:val="center"/>
        </w:trPr>
        <w:tc>
          <w:tcPr>
            <w:tcW w:w="724" w:type="dxa"/>
            <w:vMerge w:val="continue"/>
            <w:noWrap w:val="0"/>
            <w:vAlign w:val="center"/>
          </w:tcPr>
          <w:p>
            <w:pPr>
              <w:snapToGrid w:val="0"/>
              <w:spacing w:line="360" w:lineRule="exact"/>
              <w:jc w:val="left"/>
              <w:rPr>
                <w:rFonts w:hint="default" w:ascii="Times New Roman" w:hAnsi="Times New Roman" w:eastAsia="新宋体" w:cs="Times New Roman"/>
                <w:kern w:val="0"/>
                <w:sz w:val="28"/>
                <w:szCs w:val="28"/>
              </w:rPr>
            </w:pPr>
          </w:p>
        </w:tc>
        <w:tc>
          <w:tcPr>
            <w:tcW w:w="69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c>
          <w:tcPr>
            <w:tcW w:w="6531"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不履行发生效力行政处罚决定的</w:t>
            </w:r>
          </w:p>
        </w:tc>
        <w:tc>
          <w:tcPr>
            <w:tcW w:w="1047"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0" w:hRule="atLeast"/>
          <w:jc w:val="center"/>
        </w:trPr>
        <w:tc>
          <w:tcPr>
            <w:tcW w:w="724" w:type="dxa"/>
            <w:vMerge w:val="restart"/>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行政</w:t>
            </w:r>
          </w:p>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执行</w:t>
            </w:r>
          </w:p>
        </w:tc>
        <w:tc>
          <w:tcPr>
            <w:tcW w:w="69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w:t>
            </w:r>
          </w:p>
        </w:tc>
        <w:tc>
          <w:tcPr>
            <w:tcW w:w="6531" w:type="dxa"/>
            <w:noWrap w:val="0"/>
            <w:vAlign w:val="center"/>
          </w:tcPr>
          <w:p>
            <w:pPr>
              <w:snapToGrid w:val="0"/>
              <w:spacing w:line="360" w:lineRule="exac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被实施查封场所设施或者财物、扣押财物、冻结存款汇款等行政强制措施的</w:t>
            </w:r>
          </w:p>
        </w:tc>
        <w:tc>
          <w:tcPr>
            <w:tcW w:w="1047"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3" w:hRule="atLeast"/>
          <w:jc w:val="center"/>
        </w:trPr>
        <w:tc>
          <w:tcPr>
            <w:tcW w:w="724" w:type="dxa"/>
            <w:vMerge w:val="continue"/>
            <w:noWrap w:val="0"/>
            <w:vAlign w:val="center"/>
          </w:tcPr>
          <w:p>
            <w:pPr>
              <w:snapToGrid w:val="0"/>
              <w:spacing w:line="360" w:lineRule="exact"/>
              <w:jc w:val="center"/>
              <w:rPr>
                <w:rFonts w:hint="default" w:ascii="Times New Roman" w:hAnsi="Times New Roman" w:eastAsia="新宋体" w:cs="Times New Roman"/>
                <w:kern w:val="0"/>
                <w:sz w:val="28"/>
                <w:szCs w:val="28"/>
              </w:rPr>
            </w:pPr>
          </w:p>
        </w:tc>
        <w:tc>
          <w:tcPr>
            <w:tcW w:w="69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2</w:t>
            </w:r>
          </w:p>
        </w:tc>
        <w:tc>
          <w:tcPr>
            <w:tcW w:w="6531" w:type="dxa"/>
            <w:noWrap w:val="0"/>
            <w:vAlign w:val="center"/>
          </w:tcPr>
          <w:p>
            <w:pPr>
              <w:snapToGrid w:val="0"/>
              <w:spacing w:line="360" w:lineRule="exact"/>
              <w:jc w:val="lef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被实施加处罚款或者滞纳金、划拨存款汇款、拍卖或者依法处理查封扣押的场所设施或者财物、排除妨碍、恢复原状、代履行等行政强制执行方式的</w:t>
            </w:r>
          </w:p>
        </w:tc>
        <w:tc>
          <w:tcPr>
            <w:tcW w:w="1047"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5" w:hRule="atLeast"/>
          <w:jc w:val="center"/>
        </w:trPr>
        <w:tc>
          <w:tcPr>
            <w:tcW w:w="724" w:type="dxa"/>
            <w:vMerge w:val="continue"/>
            <w:noWrap w:val="0"/>
            <w:vAlign w:val="center"/>
          </w:tcPr>
          <w:p>
            <w:pPr>
              <w:snapToGrid w:val="0"/>
              <w:spacing w:line="360" w:lineRule="exact"/>
              <w:jc w:val="center"/>
              <w:rPr>
                <w:rFonts w:hint="default" w:ascii="Times New Roman" w:hAnsi="Times New Roman" w:eastAsia="新宋体" w:cs="Times New Roman"/>
                <w:kern w:val="0"/>
                <w:sz w:val="28"/>
                <w:szCs w:val="28"/>
              </w:rPr>
            </w:pPr>
          </w:p>
        </w:tc>
        <w:tc>
          <w:tcPr>
            <w:tcW w:w="69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3</w:t>
            </w:r>
          </w:p>
        </w:tc>
        <w:tc>
          <w:tcPr>
            <w:tcW w:w="6531" w:type="dxa"/>
            <w:noWrap w:val="0"/>
            <w:vAlign w:val="center"/>
          </w:tcPr>
          <w:p>
            <w:pPr>
              <w:snapToGrid w:val="0"/>
              <w:spacing w:line="360" w:lineRule="exact"/>
              <w:jc w:val="lef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被责令改正、责令关闭、责令停工、责令清</w:t>
            </w:r>
          </w:p>
          <w:p>
            <w:pPr>
              <w:snapToGrid w:val="0"/>
              <w:spacing w:line="360" w:lineRule="exact"/>
              <w:jc w:val="lef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除、限期履行等的</w:t>
            </w:r>
          </w:p>
        </w:tc>
        <w:tc>
          <w:tcPr>
            <w:tcW w:w="1047"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1" w:hRule="atLeast"/>
          <w:jc w:val="center"/>
        </w:trPr>
        <w:tc>
          <w:tcPr>
            <w:tcW w:w="724" w:type="dxa"/>
            <w:vMerge w:val="continue"/>
            <w:noWrap w:val="0"/>
            <w:vAlign w:val="center"/>
          </w:tcPr>
          <w:p>
            <w:pPr>
              <w:snapToGrid w:val="0"/>
              <w:spacing w:line="360" w:lineRule="exact"/>
              <w:jc w:val="center"/>
              <w:rPr>
                <w:rFonts w:hint="default" w:ascii="Times New Roman" w:hAnsi="Times New Roman" w:eastAsia="新宋体" w:cs="Times New Roman"/>
                <w:kern w:val="0"/>
                <w:sz w:val="28"/>
                <w:szCs w:val="28"/>
              </w:rPr>
            </w:pPr>
          </w:p>
        </w:tc>
        <w:tc>
          <w:tcPr>
            <w:tcW w:w="69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4</w:t>
            </w:r>
          </w:p>
        </w:tc>
        <w:tc>
          <w:tcPr>
            <w:tcW w:w="6531" w:type="dxa"/>
            <w:noWrap w:val="0"/>
            <w:vAlign w:val="center"/>
          </w:tcPr>
          <w:p>
            <w:pPr>
              <w:snapToGrid w:val="0"/>
              <w:spacing w:line="360" w:lineRule="exact"/>
              <w:jc w:val="lef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不履行发生效力的行政强制措施、行政强制执行等的</w:t>
            </w:r>
          </w:p>
        </w:tc>
        <w:tc>
          <w:tcPr>
            <w:tcW w:w="1047"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724" w:type="dxa"/>
            <w:vMerge w:val="continue"/>
            <w:noWrap w:val="0"/>
            <w:vAlign w:val="center"/>
          </w:tcPr>
          <w:p>
            <w:pPr>
              <w:snapToGrid w:val="0"/>
              <w:spacing w:line="360" w:lineRule="exact"/>
              <w:jc w:val="center"/>
              <w:rPr>
                <w:rFonts w:hint="default" w:ascii="Times New Roman" w:hAnsi="Times New Roman" w:eastAsia="新宋体" w:cs="Times New Roman"/>
                <w:kern w:val="0"/>
                <w:sz w:val="28"/>
                <w:szCs w:val="28"/>
              </w:rPr>
            </w:pPr>
          </w:p>
        </w:tc>
        <w:tc>
          <w:tcPr>
            <w:tcW w:w="694"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5</w:t>
            </w:r>
          </w:p>
        </w:tc>
        <w:tc>
          <w:tcPr>
            <w:tcW w:w="6531" w:type="dxa"/>
            <w:noWrap w:val="0"/>
            <w:vAlign w:val="center"/>
          </w:tcPr>
          <w:p>
            <w:pPr>
              <w:snapToGrid w:val="0"/>
              <w:spacing w:line="360" w:lineRule="exact"/>
              <w:jc w:val="left"/>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部分不履行发生效力的仲裁、裁决和行政复议决定的</w:t>
            </w:r>
          </w:p>
        </w:tc>
        <w:tc>
          <w:tcPr>
            <w:tcW w:w="1047" w:type="dxa"/>
            <w:noWrap w:val="0"/>
            <w:vAlign w:val="center"/>
          </w:tcPr>
          <w:p>
            <w:pPr>
              <w:snapToGrid w:val="0"/>
              <w:spacing w:line="360" w:lineRule="exact"/>
              <w:jc w:val="center"/>
              <w:rPr>
                <w:rFonts w:hint="default" w:ascii="Times New Roman" w:hAnsi="Times New Roman" w:eastAsia="新宋体" w:cs="Times New Roman"/>
                <w:kern w:val="0"/>
                <w:sz w:val="28"/>
                <w:szCs w:val="28"/>
              </w:rPr>
            </w:pPr>
            <w:r>
              <w:rPr>
                <w:rFonts w:hint="default" w:ascii="Times New Roman" w:hAnsi="Times New Roman" w:eastAsia="新宋体" w:cs="Times New Roman"/>
                <w:kern w:val="0"/>
                <w:sz w:val="28"/>
                <w:szCs w:val="28"/>
              </w:rPr>
              <w:t>－50</w:t>
            </w:r>
          </w:p>
        </w:tc>
      </w:tr>
    </w:tbl>
    <w:p>
      <w:pPr>
        <w:snapToGrid w:val="0"/>
        <w:spacing w:line="360" w:lineRule="exact"/>
        <w:rPr>
          <w:rFonts w:hint="default" w:ascii="Times New Roman" w:hAnsi="Times New Roman" w:eastAsia="新宋体" w:cs="Times New Roman"/>
          <w:sz w:val="28"/>
          <w:szCs w:val="28"/>
        </w:rPr>
      </w:pPr>
    </w:p>
    <w:p>
      <w:pPr>
        <w:snapToGrid w:val="0"/>
        <w:spacing w:line="360" w:lineRule="exact"/>
        <w:rPr>
          <w:rFonts w:hint="default" w:ascii="Times New Roman" w:hAnsi="Times New Roman" w:eastAsia="新宋体" w:cs="Times New Roman"/>
          <w:sz w:val="28"/>
          <w:szCs w:val="28"/>
        </w:rPr>
      </w:pPr>
    </w:p>
    <w:p>
      <w:pPr>
        <w:rPr>
          <w:rFonts w:hint="default" w:ascii="Times New Roman" w:hAnsi="Times New Roman" w:cs="Times New Roman"/>
        </w:rPr>
      </w:pPr>
      <w:bookmarkStart w:id="0" w:name="_GoBack"/>
      <w:bookmarkEnd w:id="0"/>
    </w:p>
    <w:sectPr>
      <w:pgSz w:w="11906" w:h="16838"/>
      <w:pgMar w:top="2098" w:right="1531" w:bottom="187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新宋体">
    <w:panose1 w:val="02010609030101010101"/>
    <w:charset w:val="86"/>
    <w:family w:val="modern"/>
    <w:pitch w:val="default"/>
    <w:sig w:usb0="00000283" w:usb1="288F0000" w:usb2="0000000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c4YzE4Y2NmZDJlNTY3Njk4N2ViZWJkZDI3OTc2YzUifQ=="/>
  </w:docVars>
  <w:rsids>
    <w:rsidRoot w:val="00000000"/>
    <w:rsid w:val="10E71D21"/>
    <w:rsid w:val="183D2325"/>
    <w:rsid w:val="3DA05698"/>
    <w:rsid w:val="73FD53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BodyText1I2"/>
    <w:basedOn w:val="1"/>
    <w:qFormat/>
    <w:uiPriority w:val="0"/>
    <w:pPr>
      <w:spacing w:line="240" w:lineRule="auto"/>
      <w:ind w:firstLine="420" w:firstLineChars="200"/>
      <w:jc w:val="both"/>
    </w:pPr>
  </w:style>
  <w:style w:type="paragraph" w:styleId="3">
    <w:name w:val="Normal (Web)"/>
    <w:basedOn w:val="1"/>
    <w:qFormat/>
    <w:uiPriority w:val="99"/>
    <w:pPr>
      <w:widowControl/>
      <w:spacing w:before="100" w:beforeAutospacing="1" w:after="100" w:afterAutospacing="1"/>
      <w:jc w:val="left"/>
    </w:pPr>
    <w:rPr>
      <w:rFonts w:ascii="宋体" w:hAnsi="宋体" w:cs="宋体"/>
      <w:kern w:val="0"/>
      <w:sz w:val="24"/>
    </w:rPr>
  </w:style>
  <w:style w:type="character" w:styleId="6">
    <w:name w:val="Hyperlink"/>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2023-10-19T02:35:00Z</dcterms:created>
  <dc:creator>Administrator</dc:creator>
  <cp:lastModifiedBy>凌</cp:lastModifiedBy>
  <dcterms:modified xsi:type="dcterms:W3CDTF">2023-11-09T06:59:18Z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07A304BEC1F644E1801012902E7CAAF1_12</vt:lpwstr>
  </property>
</Properties>
</file>