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051302">
      <w:pPr>
        <w:keepNext w:val="0"/>
        <w:keepLines w:val="0"/>
        <w:pageBreakBefore w:val="0"/>
        <w:widowControl w:val="0"/>
        <w:kinsoku/>
        <w:wordWrap/>
        <w:overflowPunct/>
        <w:topLinePunct w:val="0"/>
        <w:autoSpaceDE/>
        <w:autoSpaceDN/>
        <w:bidi w:val="0"/>
        <w:adjustRightInd/>
        <w:snapToGrid/>
        <w:spacing w:before="86" w:line="560" w:lineRule="exact"/>
        <w:jc w:val="both"/>
        <w:textAlignment w:val="auto"/>
        <w:rPr>
          <w:rFonts w:hint="eastAsia" w:ascii="宋体" w:hAnsi="宋体" w:eastAsia="黑体" w:cs="黑体"/>
          <w:b w:val="0"/>
          <w:bCs w:val="0"/>
          <w:sz w:val="32"/>
          <w:szCs w:val="32"/>
        </w:rPr>
      </w:pPr>
      <w:r>
        <w:rPr>
          <w:rFonts w:hint="eastAsia" w:ascii="宋体" w:hAnsi="宋体" w:eastAsia="黑体" w:cs="黑体"/>
          <w:b w:val="0"/>
          <w:bCs w:val="0"/>
          <w:spacing w:val="-13"/>
          <w:sz w:val="32"/>
          <w:szCs w:val="32"/>
        </w:rPr>
        <w:t>WDDR</w:t>
      </w:r>
      <w:r>
        <w:rPr>
          <w:rFonts w:hint="eastAsia" w:ascii="宋体" w:hAnsi="宋体" w:eastAsia="黑体" w:cs="黑体"/>
          <w:b w:val="0"/>
          <w:bCs w:val="0"/>
          <w:spacing w:val="-13"/>
          <w:sz w:val="32"/>
          <w:szCs w:val="32"/>
          <w:lang w:val="en-US" w:eastAsia="zh-CN"/>
        </w:rPr>
        <w:t>-</w:t>
      </w:r>
      <w:r>
        <w:rPr>
          <w:rFonts w:hint="eastAsia" w:ascii="宋体" w:hAnsi="宋体" w:eastAsia="黑体" w:cs="黑体"/>
          <w:b w:val="0"/>
          <w:bCs w:val="0"/>
          <w:spacing w:val="-13"/>
          <w:sz w:val="32"/>
          <w:szCs w:val="32"/>
        </w:rPr>
        <w:t>202</w:t>
      </w:r>
      <w:r>
        <w:rPr>
          <w:rFonts w:hint="eastAsia" w:ascii="宋体" w:hAnsi="宋体" w:eastAsia="黑体" w:cs="黑体"/>
          <w:b w:val="0"/>
          <w:bCs w:val="0"/>
          <w:spacing w:val="-13"/>
          <w:sz w:val="32"/>
          <w:szCs w:val="32"/>
          <w:lang w:val="en-US" w:eastAsia="zh-CN"/>
        </w:rPr>
        <w:t>1</w:t>
      </w:r>
      <w:r>
        <w:rPr>
          <w:rFonts w:hint="eastAsia" w:ascii="宋体" w:hAnsi="宋体" w:eastAsia="黑体" w:cs="黑体"/>
          <w:b w:val="0"/>
          <w:bCs w:val="0"/>
          <w:spacing w:val="-13"/>
          <w:sz w:val="32"/>
          <w:szCs w:val="32"/>
        </w:rPr>
        <w:t>-0040001</w:t>
      </w:r>
    </w:p>
    <w:p w14:paraId="3130DD85">
      <w:pPr>
        <w:keepNext w:val="0"/>
        <w:keepLines w:val="0"/>
        <w:pageBreakBefore w:val="0"/>
        <w:widowControl w:val="0"/>
        <w:kinsoku/>
        <w:wordWrap/>
        <w:overflowPunct/>
        <w:topLinePunct w:val="0"/>
        <w:autoSpaceDE/>
        <w:autoSpaceDN/>
        <w:bidi w:val="0"/>
        <w:adjustRightInd/>
        <w:snapToGrid/>
        <w:spacing w:line="703" w:lineRule="exact"/>
        <w:jc w:val="both"/>
        <w:textAlignment w:val="auto"/>
        <w:rPr>
          <w:rFonts w:hint="eastAsia" w:ascii="宋体" w:hAnsi="宋体" w:eastAsia="方正小标宋简体" w:cs="方正小标宋简体"/>
          <w:sz w:val="72"/>
          <w:szCs w:val="72"/>
          <w:lang w:eastAsia="zh-CN"/>
        </w:rPr>
      </w:pPr>
    </w:p>
    <w:p w14:paraId="2CE5696F">
      <w:pPr>
        <w:keepNext w:val="0"/>
        <w:keepLines w:val="0"/>
        <w:pageBreakBefore w:val="0"/>
        <w:widowControl w:val="0"/>
        <w:kinsoku/>
        <w:wordWrap/>
        <w:overflowPunct/>
        <w:topLinePunct w:val="0"/>
        <w:autoSpaceDE/>
        <w:autoSpaceDN/>
        <w:bidi w:val="0"/>
        <w:adjustRightInd/>
        <w:snapToGrid/>
        <w:spacing w:line="510" w:lineRule="exact"/>
        <w:jc w:val="center"/>
        <w:textAlignment w:val="auto"/>
        <w:rPr>
          <w:rFonts w:hint="eastAsia" w:ascii="宋体" w:hAnsi="宋体" w:eastAsia="仿宋_GB2312" w:cs="仿宋_GB2312"/>
          <w:spacing w:val="9"/>
          <w:sz w:val="32"/>
          <w:szCs w:val="32"/>
        </w:rPr>
      </w:pPr>
    </w:p>
    <w:p w14:paraId="045512EC">
      <w:pPr>
        <w:keepNext w:val="0"/>
        <w:keepLines w:val="0"/>
        <w:pageBreakBefore w:val="0"/>
        <w:widowControl w:val="0"/>
        <w:kinsoku/>
        <w:wordWrap/>
        <w:overflowPunct/>
        <w:topLinePunct w:val="0"/>
        <w:autoSpaceDE/>
        <w:autoSpaceDN/>
        <w:bidi w:val="0"/>
        <w:adjustRightInd/>
        <w:snapToGrid/>
        <w:spacing w:line="510" w:lineRule="exact"/>
        <w:jc w:val="center"/>
        <w:textAlignment w:val="auto"/>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关于印发《文登区关于加快工业和信息产业</w:t>
      </w:r>
    </w:p>
    <w:p w14:paraId="62FA8007">
      <w:pPr>
        <w:keepNext w:val="0"/>
        <w:keepLines w:val="0"/>
        <w:pageBreakBefore w:val="0"/>
        <w:widowControl w:val="0"/>
        <w:kinsoku/>
        <w:wordWrap/>
        <w:overflowPunct/>
        <w:topLinePunct w:val="0"/>
        <w:autoSpaceDE/>
        <w:autoSpaceDN/>
        <w:bidi w:val="0"/>
        <w:adjustRightInd/>
        <w:snapToGrid/>
        <w:spacing w:line="510" w:lineRule="exact"/>
        <w:jc w:val="center"/>
        <w:textAlignment w:val="auto"/>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发展的扶持意见》的通知</w:t>
      </w:r>
    </w:p>
    <w:p w14:paraId="5D920ED0">
      <w:pPr>
        <w:keepNext w:val="0"/>
        <w:keepLines w:val="0"/>
        <w:pageBreakBefore w:val="0"/>
        <w:widowControl w:val="0"/>
        <w:kinsoku/>
        <w:wordWrap/>
        <w:overflowPunct/>
        <w:topLinePunct w:val="0"/>
        <w:autoSpaceDE/>
        <w:autoSpaceDN/>
        <w:bidi w:val="0"/>
        <w:adjustRightInd/>
        <w:snapToGrid/>
        <w:spacing w:line="510" w:lineRule="exact"/>
        <w:jc w:val="both"/>
        <w:textAlignment w:val="auto"/>
        <w:rPr>
          <w:rFonts w:hint="default" w:ascii="宋体" w:hAnsi="宋体" w:eastAsia="仿宋_GB2312" w:cs="仿宋_GB2312"/>
          <w:spacing w:val="9"/>
          <w:sz w:val="32"/>
          <w:szCs w:val="32"/>
          <w:lang w:val="en-US" w:eastAsia="zh-CN"/>
        </w:rPr>
      </w:pPr>
    </w:p>
    <w:p w14:paraId="6188ECDE">
      <w:pPr>
        <w:keepNext w:val="0"/>
        <w:keepLines w:val="0"/>
        <w:pageBreakBefore w:val="0"/>
        <w:widowControl w:val="0"/>
        <w:kinsoku/>
        <w:wordWrap/>
        <w:overflowPunct/>
        <w:topLinePunct w:val="0"/>
        <w:autoSpaceDE/>
        <w:autoSpaceDN/>
        <w:bidi w:val="0"/>
        <w:adjustRightInd/>
        <w:snapToGrid/>
        <w:spacing w:line="51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各镇人民政府，各街道办事处，开发区、金山管委，区政府各部门、单位：</w:t>
      </w:r>
    </w:p>
    <w:p w14:paraId="3126E62E">
      <w:pPr>
        <w:keepNext w:val="0"/>
        <w:keepLines w:val="0"/>
        <w:pageBreakBefore w:val="0"/>
        <w:widowControl w:val="0"/>
        <w:kinsoku/>
        <w:wordWrap/>
        <w:overflowPunct/>
        <w:topLinePunct w:val="0"/>
        <w:autoSpaceDE/>
        <w:autoSpaceDN/>
        <w:bidi w:val="0"/>
        <w:adjustRightInd/>
        <w:snapToGrid/>
        <w:spacing w:line="51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经区委、区政府研究同意，现将《文登区关于加快工业和信息产业发展的扶持意见》印发给你们，请遵照执行。</w:t>
      </w:r>
    </w:p>
    <w:p w14:paraId="56DA5B02">
      <w:pPr>
        <w:keepNext w:val="0"/>
        <w:keepLines w:val="0"/>
        <w:pageBreakBefore w:val="0"/>
        <w:widowControl w:val="0"/>
        <w:kinsoku/>
        <w:wordWrap/>
        <w:overflowPunct/>
        <w:topLinePunct w:val="0"/>
        <w:autoSpaceDE/>
        <w:autoSpaceDN/>
        <w:bidi w:val="0"/>
        <w:adjustRightInd/>
        <w:snapToGrid/>
        <w:spacing w:line="510" w:lineRule="exact"/>
        <w:ind w:left="0" w:leftChars="0"/>
        <w:jc w:val="distribute"/>
        <w:textAlignment w:val="auto"/>
        <w:rPr>
          <w:rFonts w:hint="eastAsia" w:ascii="仿宋_GB2312" w:hAnsi="仿宋_GB2312" w:eastAsia="仿宋_GB2312" w:cs="仿宋_GB2312"/>
          <w:sz w:val="32"/>
          <w:szCs w:val="32"/>
          <w:lang w:val="en-US" w:eastAsia="zh-CN"/>
        </w:rPr>
      </w:pPr>
    </w:p>
    <w:p w14:paraId="1F345EC3">
      <w:pPr>
        <w:keepNext w:val="0"/>
        <w:keepLines w:val="0"/>
        <w:pageBreakBefore w:val="0"/>
        <w:widowControl w:val="0"/>
        <w:kinsoku/>
        <w:wordWrap/>
        <w:overflowPunct/>
        <w:topLinePunct w:val="0"/>
        <w:autoSpaceDE/>
        <w:autoSpaceDN/>
        <w:bidi w:val="0"/>
        <w:adjustRightInd/>
        <w:snapToGrid/>
        <w:spacing w:line="510" w:lineRule="exact"/>
        <w:ind w:left="0" w:leftChars="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威海市文登区工业和信息化局           威海市文登区财政局</w:t>
      </w:r>
    </w:p>
    <w:p w14:paraId="73D78813">
      <w:pPr>
        <w:keepNext w:val="0"/>
        <w:keepLines w:val="0"/>
        <w:pageBreakBefore w:val="0"/>
        <w:widowControl w:val="0"/>
        <w:kinsoku/>
        <w:wordWrap/>
        <w:overflowPunct/>
        <w:topLinePunct w:val="0"/>
        <w:autoSpaceDE/>
        <w:autoSpaceDN/>
        <w:bidi w:val="0"/>
        <w:adjustRightInd/>
        <w:snapToGrid/>
        <w:spacing w:line="510" w:lineRule="exact"/>
        <w:ind w:left="0" w:leftChars="0" w:firstLine="3840" w:firstLineChars="1200"/>
        <w:jc w:val="both"/>
        <w:textAlignment w:val="auto"/>
        <w:rPr>
          <w:rFonts w:hint="eastAsia" w:ascii="仿宋_GB2312" w:hAnsi="仿宋_GB2312" w:eastAsia="仿宋_GB2312" w:cs="仿宋_GB2312"/>
          <w:sz w:val="32"/>
          <w:szCs w:val="32"/>
          <w:lang w:val="en-US" w:eastAsia="zh-CN"/>
        </w:rPr>
      </w:pPr>
    </w:p>
    <w:p w14:paraId="35413AD0">
      <w:pPr>
        <w:keepNext w:val="0"/>
        <w:keepLines w:val="0"/>
        <w:pageBreakBefore w:val="0"/>
        <w:widowControl w:val="0"/>
        <w:kinsoku/>
        <w:wordWrap/>
        <w:overflowPunct/>
        <w:topLinePunct w:val="0"/>
        <w:autoSpaceDE/>
        <w:autoSpaceDN/>
        <w:bidi w:val="0"/>
        <w:adjustRightInd/>
        <w:snapToGrid/>
        <w:spacing w:line="510" w:lineRule="exact"/>
        <w:ind w:left="0" w:leftChars="0" w:firstLine="3840" w:firstLineChars="120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威海市文登区地方金融监督管理局</w:t>
      </w:r>
    </w:p>
    <w:p w14:paraId="452E321D">
      <w:pPr>
        <w:keepNext w:val="0"/>
        <w:keepLines w:val="0"/>
        <w:pageBreakBefore w:val="0"/>
        <w:widowControl w:val="0"/>
        <w:kinsoku/>
        <w:wordWrap/>
        <w:overflowPunct/>
        <w:topLinePunct w:val="0"/>
        <w:autoSpaceDE/>
        <w:autoSpaceDN/>
        <w:bidi w:val="0"/>
        <w:adjustRightInd/>
        <w:snapToGrid/>
        <w:spacing w:line="510" w:lineRule="exact"/>
        <w:ind w:firstLine="5440" w:firstLineChars="17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2021年6月7日</w:t>
      </w:r>
    </w:p>
    <w:p w14:paraId="3544A8E6">
      <w:pPr>
        <w:keepNext w:val="0"/>
        <w:keepLines w:val="0"/>
        <w:pageBreakBefore w:val="0"/>
        <w:widowControl w:val="0"/>
        <w:kinsoku/>
        <w:wordWrap/>
        <w:overflowPunct/>
        <w:topLinePunct w:val="0"/>
        <w:autoSpaceDE/>
        <w:autoSpaceDN/>
        <w:bidi w:val="0"/>
        <w:adjustRightInd/>
        <w:snapToGrid/>
        <w:spacing w:line="510" w:lineRule="exact"/>
        <w:ind w:firstLine="5440" w:firstLineChars="1700"/>
        <w:jc w:val="both"/>
        <w:textAlignment w:val="auto"/>
        <w:rPr>
          <w:rFonts w:hint="eastAsia" w:ascii="宋体" w:hAnsi="宋体" w:eastAsia="楷体_GB2312" w:cs="楷体_GB2312"/>
          <w:sz w:val="32"/>
          <w:szCs w:val="32"/>
          <w:lang w:val="en-US" w:eastAsia="zh-CN"/>
        </w:rPr>
      </w:pPr>
    </w:p>
    <w:p w14:paraId="02158652">
      <w:pPr>
        <w:keepNext w:val="0"/>
        <w:keepLines w:val="0"/>
        <w:pageBreakBefore w:val="0"/>
        <w:widowControl w:val="0"/>
        <w:kinsoku/>
        <w:wordWrap/>
        <w:overflowPunct/>
        <w:topLinePunct w:val="0"/>
        <w:autoSpaceDE/>
        <w:autoSpaceDN/>
        <w:bidi w:val="0"/>
        <w:adjustRightInd/>
        <w:snapToGrid/>
        <w:spacing w:line="510" w:lineRule="exact"/>
        <w:ind w:firstLine="5440" w:firstLineChars="1700"/>
        <w:jc w:val="both"/>
        <w:textAlignment w:val="auto"/>
        <w:rPr>
          <w:rFonts w:hint="eastAsia" w:ascii="宋体" w:hAnsi="宋体" w:eastAsia="楷体_GB2312" w:cs="楷体_GB2312"/>
          <w:sz w:val="32"/>
          <w:szCs w:val="32"/>
          <w:lang w:val="en-US" w:eastAsia="zh-CN"/>
        </w:rPr>
      </w:pPr>
    </w:p>
    <w:p w14:paraId="64831A38">
      <w:pPr>
        <w:keepNext w:val="0"/>
        <w:keepLines w:val="0"/>
        <w:pageBreakBefore w:val="0"/>
        <w:widowControl w:val="0"/>
        <w:kinsoku/>
        <w:wordWrap/>
        <w:overflowPunct/>
        <w:topLinePunct w:val="0"/>
        <w:autoSpaceDE/>
        <w:autoSpaceDN/>
        <w:bidi w:val="0"/>
        <w:adjustRightInd/>
        <w:snapToGrid/>
        <w:spacing w:line="510" w:lineRule="exact"/>
        <w:ind w:firstLine="5440" w:firstLineChars="1700"/>
        <w:jc w:val="both"/>
        <w:textAlignment w:val="auto"/>
        <w:rPr>
          <w:rFonts w:hint="eastAsia" w:ascii="宋体" w:hAnsi="宋体" w:eastAsia="楷体_GB2312" w:cs="楷体_GB2312"/>
          <w:sz w:val="32"/>
          <w:szCs w:val="32"/>
          <w:lang w:val="en-US" w:eastAsia="zh-CN"/>
        </w:rPr>
      </w:pPr>
    </w:p>
    <w:p w14:paraId="2230FC08">
      <w:pPr>
        <w:keepNext w:val="0"/>
        <w:keepLines w:val="0"/>
        <w:pageBreakBefore w:val="0"/>
        <w:widowControl w:val="0"/>
        <w:kinsoku/>
        <w:wordWrap/>
        <w:overflowPunct/>
        <w:topLinePunct w:val="0"/>
        <w:autoSpaceDE/>
        <w:autoSpaceDN/>
        <w:bidi w:val="0"/>
        <w:adjustRightInd/>
        <w:snapToGrid/>
        <w:spacing w:line="510" w:lineRule="exact"/>
        <w:ind w:firstLine="5440" w:firstLineChars="1700"/>
        <w:jc w:val="both"/>
        <w:textAlignment w:val="auto"/>
        <w:rPr>
          <w:rFonts w:hint="eastAsia" w:ascii="宋体" w:hAnsi="宋体" w:eastAsia="楷体_GB2312" w:cs="楷体_GB2312"/>
          <w:sz w:val="32"/>
          <w:szCs w:val="32"/>
          <w:lang w:val="en-US" w:eastAsia="zh-CN"/>
        </w:rPr>
      </w:pPr>
    </w:p>
    <w:p w14:paraId="66DD80B7">
      <w:pPr>
        <w:keepNext w:val="0"/>
        <w:keepLines w:val="0"/>
        <w:pageBreakBefore w:val="0"/>
        <w:widowControl w:val="0"/>
        <w:kinsoku/>
        <w:wordWrap/>
        <w:overflowPunct/>
        <w:topLinePunct w:val="0"/>
        <w:autoSpaceDE/>
        <w:autoSpaceDN/>
        <w:bidi w:val="0"/>
        <w:adjustRightInd/>
        <w:snapToGrid/>
        <w:spacing w:line="510" w:lineRule="exact"/>
        <w:ind w:firstLine="5440" w:firstLineChars="1700"/>
        <w:jc w:val="both"/>
        <w:textAlignment w:val="auto"/>
        <w:rPr>
          <w:rFonts w:hint="eastAsia" w:ascii="宋体" w:hAnsi="宋体" w:eastAsia="楷体_GB2312" w:cs="楷体_GB2312"/>
          <w:sz w:val="32"/>
          <w:szCs w:val="32"/>
          <w:lang w:val="en-US" w:eastAsia="zh-CN"/>
        </w:rPr>
      </w:pPr>
    </w:p>
    <w:p w14:paraId="7072E1A9">
      <w:pPr>
        <w:keepNext w:val="0"/>
        <w:keepLines w:val="0"/>
        <w:pageBreakBefore w:val="0"/>
        <w:widowControl w:val="0"/>
        <w:kinsoku/>
        <w:wordWrap/>
        <w:overflowPunct/>
        <w:topLinePunct w:val="0"/>
        <w:autoSpaceDE/>
        <w:autoSpaceDN/>
        <w:bidi w:val="0"/>
        <w:adjustRightInd/>
        <w:snapToGrid/>
        <w:spacing w:line="510" w:lineRule="exact"/>
        <w:ind w:firstLine="5440" w:firstLineChars="1700"/>
        <w:jc w:val="both"/>
        <w:textAlignment w:val="auto"/>
        <w:rPr>
          <w:rFonts w:hint="eastAsia" w:ascii="宋体" w:hAnsi="宋体" w:eastAsia="楷体_GB2312" w:cs="楷体_GB2312"/>
          <w:sz w:val="32"/>
          <w:szCs w:val="32"/>
          <w:lang w:val="en-US" w:eastAsia="zh-CN"/>
        </w:rPr>
      </w:pPr>
    </w:p>
    <w:p w14:paraId="23D13510">
      <w:pPr>
        <w:keepNext w:val="0"/>
        <w:keepLines w:val="0"/>
        <w:pageBreakBefore w:val="0"/>
        <w:widowControl w:val="0"/>
        <w:kinsoku/>
        <w:wordWrap/>
        <w:overflowPunct/>
        <w:topLinePunct w:val="0"/>
        <w:autoSpaceDE/>
        <w:autoSpaceDN/>
        <w:bidi w:val="0"/>
        <w:adjustRightInd/>
        <w:snapToGrid/>
        <w:spacing w:line="510" w:lineRule="exact"/>
        <w:ind w:firstLine="5440" w:firstLineChars="1700"/>
        <w:jc w:val="both"/>
        <w:textAlignment w:val="auto"/>
        <w:rPr>
          <w:rFonts w:hint="default" w:ascii="宋体" w:hAnsi="宋体" w:eastAsia="楷体_GB2312" w:cs="楷体_GB2312"/>
          <w:sz w:val="32"/>
          <w:szCs w:val="32"/>
          <w:lang w:val="en-US" w:eastAsia="zh-CN"/>
        </w:rPr>
      </w:pPr>
    </w:p>
    <w:p w14:paraId="1EA2DB2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7A3389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文登区关于加快工业和信息产业发展</w:t>
      </w:r>
    </w:p>
    <w:p w14:paraId="1931C0A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的扶持意见</w:t>
      </w:r>
    </w:p>
    <w:p w14:paraId="20D2386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7C40B08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为深入实施新旧动能转换重大工程，进一步优化工业和信息产业发展环境，加快推进制造业高质量发展，特制订本意见。</w:t>
      </w:r>
    </w:p>
    <w:p w14:paraId="6927823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t>一、适用范围</w:t>
      </w:r>
    </w:p>
    <w:p w14:paraId="4811B07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在我区注册登记、纳税、财务制度健全的工业和信息服务业企业。</w:t>
      </w:r>
    </w:p>
    <w:p w14:paraId="66D4AEA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t>二、扶持方向和标准</w:t>
      </w:r>
    </w:p>
    <w:p w14:paraId="232EF6C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1</w:t>
      </w:r>
      <w:r>
        <w:rPr>
          <w:rFonts w:hint="eastAsia" w:ascii="宋体" w:hAnsi="宋体" w:eastAsia="仿宋_GB2312" w:cs="仿宋_GB2312"/>
          <w:sz w:val="32"/>
          <w:szCs w:val="32"/>
          <w:lang w:val="en-US" w:eastAsia="zh-CN"/>
        </w:rPr>
        <w:t>．</w:t>
      </w:r>
      <w:r>
        <w:rPr>
          <w:rFonts w:hint="eastAsia" w:ascii="宋体" w:hAnsi="宋体" w:eastAsia="楷体_GB2312" w:cs="楷体_GB2312"/>
          <w:sz w:val="32"/>
          <w:szCs w:val="32"/>
          <w:lang w:val="en-US" w:eastAsia="zh-CN"/>
        </w:rPr>
        <w:t>鼓励企业冲击新目标。</w:t>
      </w:r>
      <w:r>
        <w:rPr>
          <w:rFonts w:hint="default" w:ascii="宋体" w:hAnsi="宋体" w:eastAsia="仿宋_GB2312" w:cs="仿宋_GB2312"/>
          <w:sz w:val="32"/>
          <w:szCs w:val="32"/>
          <w:lang w:val="en-US" w:eastAsia="zh-CN"/>
        </w:rPr>
        <w:t>对冲击新目标企业新上项目，享受招商引资项目同等政策。对当年缴纳地方级税收500万元以上且纳税前20名的企业，以企业地方经济发展贡献的2%为基数，结合当年地方级税收增减幅度对企业高管进行奖励。冲击新目标行动后备库企业年营业收入较上年增长10%</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含</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至20%的，给予10万元奖励；年营业收入较上年增长超过20%</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含</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的，给予20万元奖励。</w:t>
      </w:r>
    </w:p>
    <w:p w14:paraId="69CD256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2</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鼓励企业做优做强。</w:t>
      </w:r>
      <w:r>
        <w:rPr>
          <w:rFonts w:hint="default" w:ascii="宋体" w:hAnsi="宋体" w:eastAsia="仿宋_GB2312" w:cs="仿宋_GB2312"/>
          <w:sz w:val="32"/>
          <w:szCs w:val="32"/>
          <w:lang w:val="en-US" w:eastAsia="zh-CN"/>
        </w:rPr>
        <w:t>对当年入选山东省制造业单项冠军企业给予5万元一次性奖励；对当年认定的国家级、山东省服务型制造示范企业</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平台</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分别给予50万元、30万元一次性奖励；对当年被认定为国家级、省级工业设计中心等创新平台的企业，分别给予100万元、25万元一次性奖励；对当年被认定为省级制造业创新中心，给予50万元一次性奖励；对当年认定的国家级、省级技术创新示范企业、质量标杆企业，分别给予20万元、10万元一次性奖励；对当年认定的省级</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一企一技术研发中心</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企业，给予5万元一次性奖励；对当年认定的山东省企业管理创新成果奖的企业，给予10万元一次性奖励；对当年入选山东省</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瞪羚</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示范</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培育</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企业的，给予10万元一次性奖励；对当年认定的国家级</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专精特新</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小巨人</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企业，给予20万元一次性奖励；对当年认定的省级、市级</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专精特新</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企业，分别给予5万元、3万元一次性奖励。</w:t>
      </w:r>
    </w:p>
    <w:p w14:paraId="79A4D78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3</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鼓励企业智能化改造。</w:t>
      </w:r>
      <w:r>
        <w:rPr>
          <w:rFonts w:hint="default" w:ascii="宋体" w:hAnsi="宋体" w:eastAsia="仿宋_GB2312" w:cs="仿宋_GB2312"/>
          <w:sz w:val="32"/>
          <w:szCs w:val="32"/>
          <w:lang w:val="en-US" w:eastAsia="zh-CN"/>
        </w:rPr>
        <w:t>顺应产业升级趋势，支持企业购置使用智能化设备</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含自制设备及工业机器人自带系统</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,减少企业生产用工总量、优化工艺技术流程、提高劳动生产率和产品优质率，对当年采购智能化设备50万元以上的</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以设备购置发票为准</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,按照认定金额的10%给予补助，单个企业补助不超过300万元。</w:t>
      </w:r>
    </w:p>
    <w:p w14:paraId="37AD1DF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4</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鼓励企业绿色发展。</w:t>
      </w:r>
      <w:r>
        <w:rPr>
          <w:rFonts w:hint="default" w:ascii="宋体" w:hAnsi="宋体" w:eastAsia="仿宋_GB2312" w:cs="仿宋_GB2312"/>
          <w:sz w:val="32"/>
          <w:szCs w:val="32"/>
          <w:lang w:val="en-US" w:eastAsia="zh-CN"/>
        </w:rPr>
        <w:t>推动工业企业绿色制造体系建设，对入选国家级、省级、市级绿色园区、绿色工厂、绿色供应链名单的企业</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单位</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,分别给予25万元、20万元、15万元一次性奖励。</w:t>
      </w:r>
    </w:p>
    <w:p w14:paraId="3ADE2C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5</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鼓励工业互联网建设。</w:t>
      </w:r>
      <w:r>
        <w:rPr>
          <w:rFonts w:hint="default" w:ascii="宋体" w:hAnsi="宋体" w:eastAsia="仿宋_GB2312" w:cs="仿宋_GB2312"/>
          <w:sz w:val="32"/>
          <w:szCs w:val="32"/>
          <w:lang w:val="en-US" w:eastAsia="zh-CN"/>
        </w:rPr>
        <w:t>对认定为国家级、省级工业</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产业</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互联网平台、制造业与互联网融合发展、5G、大数据产业发展试点示范企业</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项目</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的，分别给予20万元、10万元一次性奖励。对当年通过国家</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两化</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融合管理体系评定、省级两化融合贯标试点的企业，分别给予10万元、5万元一次性奖励。</w:t>
      </w:r>
    </w:p>
    <w:p w14:paraId="14A7C01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6</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鼓励小微企业升规纳统。</w:t>
      </w:r>
      <w:r>
        <w:rPr>
          <w:rFonts w:hint="default" w:ascii="宋体" w:hAnsi="宋体" w:eastAsia="仿宋_GB2312" w:cs="仿宋_GB2312"/>
          <w:sz w:val="32"/>
          <w:szCs w:val="32"/>
          <w:lang w:val="en-US" w:eastAsia="zh-CN"/>
        </w:rPr>
        <w:t>对当年新达到规模以上工业企业标准并列入统计范围的企业，在纳统年度给予2万元扶持；对纳统后次年营业收入增幅10%以上的企业，再给予3万元扶持。企业因非经营性原因导致退库的，列入失信记录，追回已奖补资金。</w:t>
      </w:r>
    </w:p>
    <w:p w14:paraId="44A5156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7</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鼓励中小企业发展壮大。</w:t>
      </w:r>
      <w:r>
        <w:rPr>
          <w:rFonts w:hint="default" w:ascii="宋体" w:hAnsi="宋体" w:eastAsia="仿宋_GB2312" w:cs="仿宋_GB2312"/>
          <w:sz w:val="32"/>
          <w:szCs w:val="32"/>
          <w:lang w:val="en-US" w:eastAsia="zh-CN"/>
        </w:rPr>
        <w:t>对年主营业务收入1000万元以上、连续两年实缴税金年均增长20%以上且不出现年度负增长，具有一定规模、企业管理规范、注重研发创新、产品市场竞争力强的高成长型企业，当年地方级税收达到20万元以上的，按地方经济发展贡献10%的标准给予奖励，单个企业奖励上限不超过20万元。</w:t>
      </w:r>
    </w:p>
    <w:p w14:paraId="57E998F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8</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鼓励软件服务业发展。</w:t>
      </w:r>
      <w:r>
        <w:rPr>
          <w:rFonts w:hint="default" w:ascii="宋体" w:hAnsi="宋体" w:eastAsia="仿宋_GB2312" w:cs="仿宋_GB2312"/>
          <w:sz w:val="32"/>
          <w:szCs w:val="32"/>
          <w:lang w:val="en-US" w:eastAsia="zh-CN"/>
        </w:rPr>
        <w:t>对新通过软件能力成熟度模型集成</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CMMI</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3级、4级、5级评估认证的企业，分别给予10万元、20万元、30万元奖励。</w:t>
      </w:r>
    </w:p>
    <w:p w14:paraId="3A50958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9</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鼓励企业拓宽融资渠道。</w:t>
      </w:r>
      <w:r>
        <w:rPr>
          <w:rFonts w:hint="default" w:ascii="宋体" w:hAnsi="宋体" w:eastAsia="仿宋_GB2312" w:cs="仿宋_GB2312"/>
          <w:sz w:val="32"/>
          <w:szCs w:val="32"/>
          <w:lang w:val="en-US" w:eastAsia="zh-CN"/>
        </w:rPr>
        <w:t>积极组织企业利用中小企业集合信托、集合票据等融资新模式进行融资，对确需银行贷款而又缺少有效抵押物的企业，协调采取担保公司担保、融资租赁等方式予以解决。对工业企业使用担保贷款的，按实际产生的一年期担保费用的50%</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年化担保费率不超过2%</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,给予一次性补助，单个企业补助不超过10万元。</w:t>
      </w:r>
    </w:p>
    <w:p w14:paraId="6210E07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default" w:ascii="宋体" w:hAnsi="宋体" w:eastAsia="仿宋_GB2312" w:cs="仿宋_GB2312"/>
          <w:sz w:val="32"/>
          <w:szCs w:val="32"/>
          <w:lang w:val="en-US" w:eastAsia="zh-CN"/>
        </w:rPr>
        <w:t>10</w:t>
      </w:r>
      <w:r>
        <w:rPr>
          <w:rFonts w:hint="eastAsia" w:ascii="宋体" w:hAnsi="宋体" w:eastAsia="仿宋_GB2312" w:cs="仿宋_GB2312"/>
          <w:sz w:val="32"/>
          <w:szCs w:val="32"/>
          <w:lang w:val="en-US" w:eastAsia="zh-CN"/>
        </w:rPr>
        <w:t>．</w:t>
      </w:r>
      <w:r>
        <w:rPr>
          <w:rFonts w:hint="eastAsia" w:ascii="楷体_GB2312" w:hAnsi="楷体_GB2312" w:eastAsia="楷体_GB2312" w:cs="楷体_GB2312"/>
          <w:sz w:val="32"/>
          <w:szCs w:val="32"/>
          <w:lang w:val="en-US" w:eastAsia="zh-CN"/>
        </w:rPr>
        <w:t>鼓励企业上市挂牌。</w:t>
      </w:r>
    </w:p>
    <w:p w14:paraId="5021503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1</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已与中介机构签订辅导协议的拟上市挂牌企业，以签订辅导协议之日的上一年度为基准年度，境内外上市企业连续三个会计年度，</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新三板</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挂牌企业连续二个会计年度，期间当年形成的并经有关部门确认的区级地方经济发展贡献较基准年度增长部分的50%,于次年第一季度前补助给企业，每年最高补助500万元。</w:t>
      </w:r>
    </w:p>
    <w:p w14:paraId="3FE4CB8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2</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因土地差价调账而增加的地方经济发展贡献部分，按实际发生额实行等额补助，最高补助500万元。</w:t>
      </w:r>
    </w:p>
    <w:p w14:paraId="1DE3E75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未按要求完成目标的，享受的补助资金予以退回。</w:t>
      </w:r>
    </w:p>
    <w:p w14:paraId="39D8317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黑体" w:hAnsi="黑体" w:eastAsia="黑体" w:cs="黑体"/>
          <w:sz w:val="32"/>
          <w:szCs w:val="32"/>
          <w:lang w:val="en-US" w:eastAsia="zh-CN"/>
        </w:rPr>
        <w:t>三、附则</w:t>
      </w:r>
    </w:p>
    <w:p w14:paraId="7FCA248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(一)本意见扶持政策，按照《文登区产业发展扶持专项资金管理办法》</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威文财字〔2021〕12号</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的规定申请、审批，每年度集中认定兑现一次。</w:t>
      </w:r>
    </w:p>
    <w:p w14:paraId="6446F0F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二</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本文所涉及资金由获得补助的单位统筹使用，专款专用，不得用于与工业和信息产业发展无关的支出；对于不符合资金使用规定的企业</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个人</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进行资金收回、并将其列入不良行为记录等惩戒。</w:t>
      </w:r>
    </w:p>
    <w:p w14:paraId="443A602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三</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实施期间，本意见与上级政策不符的，按上级政策执行。本意见涉及的扶持资金与本区域内其他政策涉及的同类扶持资金不重复执行，按就高原则给予扶持。</w:t>
      </w:r>
    </w:p>
    <w:p w14:paraId="7FC6E89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四</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本意见由区工信局、财政局、区地方金融监督管理局负责解释。</w:t>
      </w:r>
    </w:p>
    <w:p w14:paraId="4A2AEA2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五</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本文自2021年7月7日生效，有效期至2021年12月31日，对于2021年以来，符合上述扶持标准的企业，按该意见执行。《文登区关于加快工业和信息产业发展的扶持意见》</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威文工信字〔2020〕7号</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同时废止。</w:t>
      </w:r>
    </w:p>
    <w:p w14:paraId="4BFEBA2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496B318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附件：</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文登区关于加快工业和信息产业发展的扶持意见</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的认定要求及流程</w:t>
      </w:r>
    </w:p>
    <w:p w14:paraId="52B2B0F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31C1DBA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19858B1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1BE6361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6C0520B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6F51F53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36F9D67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3E2525C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29EFC01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50CF0BE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7610566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038B78E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7CC1027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37613B5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331A286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bookmarkStart w:id="0" w:name="_GoBack"/>
      <w:bookmarkEnd w:id="0"/>
    </w:p>
    <w:p w14:paraId="7AF4B37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w:t>
      </w:r>
    </w:p>
    <w:p w14:paraId="13DE594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3C0A24B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《文登区关于加快工业和信息产业发展</w:t>
      </w:r>
    </w:p>
    <w:p w14:paraId="3C98FF4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的扶持意见》的认定要求及流程</w:t>
      </w:r>
    </w:p>
    <w:p w14:paraId="776CE51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仿宋_GB2312" w:cs="仿宋_GB2312"/>
          <w:sz w:val="32"/>
          <w:szCs w:val="32"/>
          <w:lang w:val="en-US" w:eastAsia="zh-CN"/>
        </w:rPr>
      </w:pPr>
    </w:p>
    <w:p w14:paraId="1D35072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一、鼓励企业冲击新目标</w:t>
      </w:r>
    </w:p>
    <w:p w14:paraId="5AD776F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工信局、区财政局聘请第三方机构对当年缴纳地方级税收500万元以上且纳税前20名的企业缴纳地方级税收情况进行审核，按照企业当年地方级税收×2%×(1±a%)进行测算，提出初步扶持意见。冲击新目标行动后备库企业营业收入增幅由区工信局根据区统计局、区税务局出具的营业收入核实证明提出初步扶持意见。</w:t>
      </w:r>
    </w:p>
    <w:p w14:paraId="219C705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二、鼓励企业做优做强</w:t>
      </w:r>
    </w:p>
    <w:p w14:paraId="3D45F98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区工信局根据国家工信部、省工信厅公布的制造业单项冠军示范、服务型制造、省级企业管理创新成果奖企业等公告文件和名单，提出初步扶持意见。</w:t>
      </w:r>
    </w:p>
    <w:p w14:paraId="7A5EEF1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三、鼓励企业智能化改造</w:t>
      </w:r>
    </w:p>
    <w:p w14:paraId="22AF301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区工信局与区财政局聘请第三方机构专家现场查看设备</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含自制设备及工业机器人自带系统</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对企业购置智能化设备和智能化制造系统性能是否符合面向工业领域的多关节机械手或多自由度的机器装置，能否靠自身动力和控制能力以及具有视觉感知功能来实现各种功能等条件进行鉴定，对企业提供的当年购置生产性设备购置合同、发票/进口设备报关单、银行付款凭证进行审核，提出初步扶持意见。</w:t>
      </w:r>
    </w:p>
    <w:p w14:paraId="604A9C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黑体" w:hAnsi="黑体" w:eastAsia="黑体" w:cs="黑体"/>
          <w:sz w:val="32"/>
          <w:szCs w:val="32"/>
          <w:lang w:val="en-US" w:eastAsia="zh-CN"/>
        </w:rPr>
        <w:t>四、鼓励企业绿色发展</w:t>
      </w:r>
    </w:p>
    <w:p w14:paraId="2DDC741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区工信局根据上级批复的绿色园区、绿色工厂、绿色供应链名单等认定文件，提出初步扶持意见。</w:t>
      </w:r>
    </w:p>
    <w:p w14:paraId="3ABD7E0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五、鼓励工业互联网建设</w:t>
      </w:r>
    </w:p>
    <w:p w14:paraId="0DC0CFE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对获得省级以上各类试点示范项目、两化融合管理体系认定、两化融合贯标试点单位的企业，区工信局根据上级批复文件</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公示、证书</w:t>
      </w:r>
      <w:r>
        <w:rPr>
          <w:rFonts w:hint="eastAsia" w:ascii="宋体" w:hAnsi="宋体" w:eastAsia="仿宋_GB2312" w:cs="仿宋_GB2312"/>
          <w:sz w:val="32"/>
          <w:szCs w:val="32"/>
          <w:lang w:val="en-US" w:eastAsia="zh-CN"/>
        </w:rPr>
        <w:t>）</w:t>
      </w:r>
      <w:r>
        <w:rPr>
          <w:rFonts w:hint="default" w:ascii="宋体" w:hAnsi="宋体" w:eastAsia="仿宋_GB2312" w:cs="仿宋_GB2312"/>
          <w:sz w:val="32"/>
          <w:szCs w:val="32"/>
          <w:lang w:val="en-US" w:eastAsia="zh-CN"/>
        </w:rPr>
        <w:t>,提出初步扶持意见。</w:t>
      </w:r>
    </w:p>
    <w:p w14:paraId="51C6704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六、鼓励小微企业升规纳统</w:t>
      </w:r>
    </w:p>
    <w:p w14:paraId="38AA4B2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区工信局根据区统计局出具的当年纳统证明文件提出初步扶持意见。纳统次年由区统计局审核企业是否符合规模以上企业条件，通过审核后由区工信局提出纳统次年扶持意见。</w:t>
      </w:r>
    </w:p>
    <w:p w14:paraId="19B512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七、鼓励中小企业发展壮大</w:t>
      </w:r>
    </w:p>
    <w:p w14:paraId="568CF4F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区工信局会区同财政局聘请第三方机构对提出申请的企业进行审核，出具报告，提出初步扶持意见。</w:t>
      </w:r>
    </w:p>
    <w:p w14:paraId="7F930A5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八、鼓励软件服务业发展</w:t>
      </w:r>
    </w:p>
    <w:p w14:paraId="7CF731C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对获得CMMI评估认证的软件企业，区工信局根据评估认定证书进行审核，提出初步扶持意见。</w:t>
      </w:r>
    </w:p>
    <w:p w14:paraId="0384D95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黑体" w:hAnsi="黑体" w:eastAsia="黑体" w:cs="黑体"/>
          <w:sz w:val="32"/>
          <w:szCs w:val="32"/>
          <w:lang w:val="en-US" w:eastAsia="zh-CN"/>
        </w:rPr>
        <w:t>九、鼓励企业拓宽融资渠道</w:t>
      </w:r>
    </w:p>
    <w:p w14:paraId="1D07A5D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区工信局会同区财政局聘请第三方机构对提出申请的企业进行审核，出具报告，提出初步扶持意见。</w:t>
      </w:r>
    </w:p>
    <w:p w14:paraId="0FDC2C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十、鼓励企业上市挂牌</w:t>
      </w:r>
    </w:p>
    <w:p w14:paraId="0A03BE3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区地方金融监督管理局会同区财政局、区工信局，根据上级批复文件，提出初步扶持意见。</w:t>
      </w:r>
    </w:p>
    <w:p w14:paraId="47F33EC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eastAsia" w:ascii="黑体" w:hAnsi="黑体" w:eastAsia="黑体" w:cs="黑体"/>
          <w:sz w:val="32"/>
          <w:szCs w:val="32"/>
          <w:lang w:val="en-US" w:eastAsia="zh-CN"/>
        </w:rPr>
        <w:t>十一、附则</w:t>
      </w:r>
    </w:p>
    <w:p w14:paraId="22F1D8A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仿宋_GB2312"/>
          <w:sz w:val="32"/>
          <w:szCs w:val="32"/>
          <w:lang w:val="en-US" w:eastAsia="zh-CN"/>
        </w:rPr>
      </w:pPr>
      <w:r>
        <w:rPr>
          <w:rFonts w:hint="default" w:ascii="宋体" w:hAnsi="宋体" w:eastAsia="仿宋_GB2312" w:cs="仿宋_GB2312"/>
          <w:sz w:val="32"/>
          <w:szCs w:val="32"/>
          <w:lang w:val="en-US" w:eastAsia="zh-CN"/>
        </w:rPr>
        <w:t>区工信局、区地方金融监督管理局将初步扶持资金使用意见进行汇总，报送至区财政局，并根据区财政局出具的复审意见进行修改完善，由分管区长牵头研究确定后向社会公示，经公示无异议后报区政府审议通过并拨付企业扶持资金。</w:t>
      </w:r>
    </w:p>
    <w:p w14:paraId="265EC4B4">
      <w:pPr>
        <w:keepNext w:val="0"/>
        <w:keepLines w:val="0"/>
        <w:pageBreakBefore w:val="0"/>
        <w:widowControl w:val="0"/>
        <w:numPr>
          <w:ilvl w:val="0"/>
          <w:numId w:val="0"/>
        </w:numPr>
        <w:tabs>
          <w:tab w:val="left" w:pos="6695"/>
        </w:tabs>
        <w:kinsoku/>
        <w:wordWrap/>
        <w:overflowPunct w:val="0"/>
        <w:topLinePunct w:val="0"/>
        <w:autoSpaceDE/>
        <w:autoSpaceDN/>
        <w:bidi w:val="0"/>
        <w:adjustRightInd/>
        <w:snapToGrid w:val="0"/>
        <w:spacing w:beforeLines="0" w:line="240" w:lineRule="auto"/>
        <w:ind w:firstLine="0" w:firstLineChars="0"/>
        <w:jc w:val="left"/>
        <w:textAlignment w:val="auto"/>
        <w:rPr>
          <w:rFonts w:hint="default" w:ascii="宋体" w:hAnsi="宋体" w:eastAsia="仿宋_GB2312" w:cs="仿宋_GB2312"/>
          <w:sz w:val="32"/>
          <w:szCs w:val="32"/>
          <w:lang w:val="en-US" w:eastAsia="zh-CN"/>
        </w:rPr>
      </w:pPr>
    </w:p>
    <w:sectPr>
      <w:footerReference r:id="rId3" w:type="default"/>
      <w:type w:val="continuous"/>
      <w:pgSz w:w="11906" w:h="16838"/>
      <w:pgMar w:top="2098" w:right="1531" w:bottom="2098" w:left="1531" w:header="850" w:footer="151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6D55B3">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AAAB3C">
                          <w:pPr>
                            <w:pStyle w:val="2"/>
                            <w:keepNext w:val="0"/>
                            <w:keepLines w:val="0"/>
                            <w:pageBreakBefore w:val="0"/>
                            <w:widowControl w:val="0"/>
                            <w:kinsoku/>
                            <w:wordWrap/>
                            <w:overflowPunct/>
                            <w:topLinePunct w:val="0"/>
                            <w:bidi w:val="0"/>
                            <w:adjustRightInd/>
                            <w:snapToGrid w:val="0"/>
                            <w:ind w:left="210" w:leftChars="100" w:right="210" w:righ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3AAAAB3C">
                    <w:pPr>
                      <w:pStyle w:val="2"/>
                      <w:keepNext w:val="0"/>
                      <w:keepLines w:val="0"/>
                      <w:pageBreakBefore w:val="0"/>
                      <w:widowControl w:val="0"/>
                      <w:kinsoku/>
                      <w:wordWrap/>
                      <w:overflowPunct/>
                      <w:topLinePunct w:val="0"/>
                      <w:bidi w:val="0"/>
                      <w:adjustRightInd/>
                      <w:snapToGrid w:val="0"/>
                      <w:ind w:left="210" w:leftChars="100" w:right="210" w:righ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C4C5AC">
                          <w:pPr>
                            <w:pStyle w:val="2"/>
                            <w:keepNext w:val="0"/>
                            <w:keepLines w:val="0"/>
                            <w:pageBreakBefore w:val="0"/>
                            <w:widowControl w:val="0"/>
                            <w:kinsoku/>
                            <w:wordWrap/>
                            <w:overflowPunct/>
                            <w:topLinePunct w:val="0"/>
                            <w:bidi w:val="0"/>
                            <w:adjustRightInd/>
                            <w:snapToGrid w:val="0"/>
                            <w:ind w:right="210" w:rightChars="100"/>
                            <w:jc w:val="both"/>
                            <w:textAlignment w:val="auto"/>
                            <w:rPr>
                              <w:rFonts w:hint="eastAsia" w:ascii="宋体" w:hAnsi="宋体" w:eastAsia="宋体" w:cs="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BC4C5AC">
                    <w:pPr>
                      <w:pStyle w:val="2"/>
                      <w:keepNext w:val="0"/>
                      <w:keepLines w:val="0"/>
                      <w:pageBreakBefore w:val="0"/>
                      <w:widowControl w:val="0"/>
                      <w:kinsoku/>
                      <w:wordWrap/>
                      <w:overflowPunct/>
                      <w:topLinePunct w:val="0"/>
                      <w:bidi w:val="0"/>
                      <w:adjustRightInd/>
                      <w:snapToGrid w:val="0"/>
                      <w:ind w:right="210" w:rightChars="100"/>
                      <w:jc w:val="both"/>
                      <w:textAlignment w:val="auto"/>
                      <w:rPr>
                        <w:rFonts w:hint="eastAsia" w:ascii="宋体" w:hAnsi="宋体" w:eastAsia="宋体" w:cs="宋体"/>
                        <w:sz w:val="28"/>
                        <w:szCs w:val="28"/>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98"/>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1A09FD"/>
    <w:rsid w:val="06224324"/>
    <w:rsid w:val="0C415ED2"/>
    <w:rsid w:val="19292534"/>
    <w:rsid w:val="26FD3900"/>
    <w:rsid w:val="2B4A4549"/>
    <w:rsid w:val="32AC20E8"/>
    <w:rsid w:val="34773B42"/>
    <w:rsid w:val="41591539"/>
    <w:rsid w:val="469174C9"/>
    <w:rsid w:val="48B67198"/>
    <w:rsid w:val="53166783"/>
    <w:rsid w:val="6848469A"/>
    <w:rsid w:val="73C446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footnote text"/>
    <w:basedOn w:val="1"/>
    <w:unhideWhenUsed/>
    <w:qFormat/>
    <w:uiPriority w:val="99"/>
    <w:pPr>
      <w:snapToGrid w:val="0"/>
      <w:jc w:val="left"/>
    </w:pPr>
    <w:rPr>
      <w:sz w:val="18"/>
      <w:szCs w:val="18"/>
    </w:rPr>
  </w:style>
  <w:style w:type="character" w:customStyle="1" w:styleId="7">
    <w:name w:val="NormalCharacter"/>
    <w:qFormat/>
    <w:uiPriority w:val="0"/>
    <w:rPr>
      <w:kern w:val="2"/>
      <w:sz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3230</Words>
  <Characters>3341</Characters>
  <Lines>0</Lines>
  <Paragraphs>0</Paragraphs>
  <TotalTime>5</TotalTime>
  <ScaleCrop>false</ScaleCrop>
  <LinksUpToDate>false</LinksUpToDate>
  <CharactersWithSpaces>3352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2025-09-16T07:03:00Z</dcterms:created>
  <dc:creator>Administrator</dc:creator>
  <cp:lastModifiedBy>小怪兽</cp:lastModifiedBy>
  <dcterms:modified xsi:type="dcterms:W3CDTF">2025-09-18T02:19:41Z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eyJoZGlkIjoiMTMwYTQ0YWI1NjBiYTJiNTg1NTM5NTAzODljYTYyYmUiLCJ1c2VySWQiOiI5OTk1OTYzNTUifQ==</vt:lpwstr>
  </property>
  <property fmtid="{D5CDD505-2E9C-101B-9397-08002B2CF9AE}" pid="4" name="ICV">
    <vt:lpwstr>58B1C1492EC8497CA79DD1E1C8E80ED8_13</vt:lpwstr>
  </property>
</Properties>
</file>