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val="0"/>
        <w:autoSpaceDN w:val="0"/>
        <w:bidi w:val="0"/>
        <w:adjustRightInd/>
        <w:snapToGrid/>
        <w:spacing w:before="0" w:line="600" w:lineRule="exact"/>
        <w:ind w:left="295" w:right="454" w:firstLine="0"/>
        <w:jc w:val="center"/>
        <w:textAlignment w:val="auto"/>
        <w:rPr>
          <w:rFonts w:hint="eastAsia" w:ascii="方正小标宋简体" w:hAnsi="方正小标宋简体" w:eastAsia="方正小标宋简体" w:cs="方正小标宋简体"/>
          <w:i w:val="0"/>
          <w:iCs/>
          <w:color w:val="auto"/>
          <w:spacing w:val="0"/>
          <w:w w:val="100"/>
          <w:sz w:val="44"/>
          <w:szCs w:val="44"/>
          <w:lang w:eastAsia="zh-CN"/>
        </w:rPr>
      </w:pPr>
      <w:r>
        <w:rPr>
          <w:rFonts w:hint="eastAsia" w:ascii="方正小标宋简体" w:hAnsi="方正小标宋简体" w:eastAsia="方正小标宋简体" w:cs="方正小标宋简体"/>
          <w:i w:val="0"/>
          <w:iCs/>
          <w:color w:val="auto"/>
          <w:spacing w:val="0"/>
          <w:w w:val="100"/>
          <w:sz w:val="44"/>
          <w:szCs w:val="44"/>
          <w:lang w:eastAsia="zh-CN"/>
        </w:rPr>
        <w:t>威海市畜牧业发展中心</w:t>
      </w:r>
    </w:p>
    <w:p>
      <w:pPr>
        <w:keepNext w:val="0"/>
        <w:keepLines w:val="0"/>
        <w:pageBreakBefore w:val="0"/>
        <w:widowControl w:val="0"/>
        <w:kinsoku/>
        <w:wordWrap/>
        <w:overflowPunct/>
        <w:topLinePunct w:val="0"/>
        <w:autoSpaceDE w:val="0"/>
        <w:autoSpaceDN w:val="0"/>
        <w:bidi w:val="0"/>
        <w:adjustRightInd/>
        <w:snapToGrid/>
        <w:spacing w:before="0" w:line="600" w:lineRule="exact"/>
        <w:ind w:left="295" w:right="454" w:firstLine="0"/>
        <w:jc w:val="center"/>
        <w:textAlignment w:val="auto"/>
        <w:rPr>
          <w:rFonts w:hint="eastAsia" w:ascii="方正小标宋简体" w:hAnsi="方正小标宋简体" w:eastAsia="方正小标宋简体" w:cs="方正小标宋简体"/>
          <w:i w:val="0"/>
          <w:iCs/>
          <w:color w:val="auto"/>
          <w:spacing w:val="0"/>
          <w:w w:val="100"/>
          <w:sz w:val="44"/>
          <w:szCs w:val="44"/>
        </w:rPr>
      </w:pPr>
      <w:r>
        <w:rPr>
          <w:rFonts w:hint="eastAsia" w:ascii="方正小标宋简体" w:hAnsi="方正小标宋简体" w:eastAsia="方正小标宋简体" w:cs="方正小标宋简体"/>
          <w:i w:val="0"/>
          <w:iCs/>
          <w:color w:val="auto"/>
          <w:spacing w:val="0"/>
          <w:w w:val="100"/>
          <w:sz w:val="44"/>
          <w:szCs w:val="44"/>
        </w:rPr>
        <w:t>关于印发《</w:t>
      </w:r>
      <w:r>
        <w:rPr>
          <w:rFonts w:hint="eastAsia" w:ascii="方正小标宋简体" w:hAnsi="方正小标宋简体" w:eastAsia="方正小标宋简体" w:cs="方正小标宋简体"/>
          <w:i w:val="0"/>
          <w:iCs/>
          <w:color w:val="auto"/>
          <w:spacing w:val="0"/>
          <w:w w:val="100"/>
          <w:sz w:val="44"/>
          <w:szCs w:val="44"/>
          <w:lang w:eastAsia="zh-CN"/>
        </w:rPr>
        <w:t>威海市</w:t>
      </w:r>
      <w:r>
        <w:rPr>
          <w:rFonts w:hint="eastAsia" w:ascii="方正小标宋简体" w:hAnsi="方正小标宋简体" w:eastAsia="方正小标宋简体" w:cs="方正小标宋简体"/>
          <w:i w:val="0"/>
          <w:iCs/>
          <w:color w:val="auto"/>
          <w:spacing w:val="0"/>
          <w:w w:val="100"/>
          <w:sz w:val="44"/>
          <w:szCs w:val="44"/>
        </w:rPr>
        <w:t>动物疫病强制免疫计划</w:t>
      </w:r>
    </w:p>
    <w:p>
      <w:pPr>
        <w:keepNext w:val="0"/>
        <w:keepLines w:val="0"/>
        <w:pageBreakBefore w:val="0"/>
        <w:widowControl w:val="0"/>
        <w:kinsoku/>
        <w:wordWrap/>
        <w:overflowPunct/>
        <w:topLinePunct w:val="0"/>
        <w:autoSpaceDE w:val="0"/>
        <w:autoSpaceDN w:val="0"/>
        <w:bidi w:val="0"/>
        <w:adjustRightInd/>
        <w:snapToGrid/>
        <w:spacing w:before="0" w:line="600" w:lineRule="exact"/>
        <w:ind w:left="295" w:right="454" w:firstLine="0"/>
        <w:jc w:val="center"/>
        <w:textAlignment w:val="auto"/>
        <w:rPr>
          <w:rFonts w:hint="eastAsia" w:ascii="方正小标宋简体" w:hAnsi="方正小标宋简体" w:eastAsia="方正小标宋简体" w:cs="方正小标宋简体"/>
          <w:i w:val="0"/>
          <w:iCs/>
          <w:color w:val="auto"/>
          <w:spacing w:val="0"/>
          <w:w w:val="100"/>
          <w:sz w:val="44"/>
          <w:szCs w:val="44"/>
        </w:rPr>
      </w:pPr>
      <w:r>
        <w:rPr>
          <w:rFonts w:hint="eastAsia" w:ascii="方正小标宋简体" w:hAnsi="方正小标宋简体" w:eastAsia="方正小标宋简体" w:cs="方正小标宋简体"/>
          <w:i w:val="0"/>
          <w:iCs/>
          <w:color w:val="auto"/>
          <w:spacing w:val="0"/>
          <w:w w:val="100"/>
          <w:sz w:val="44"/>
          <w:szCs w:val="44"/>
        </w:rPr>
        <w:t>（2023-2025 年）》的通知</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0"/>
        <w:jc w:val="both"/>
        <w:textAlignment w:val="auto"/>
        <w:rPr>
          <w:rFonts w:ascii="方正小标宋简体"/>
          <w:i w:val="0"/>
          <w:iCs/>
          <w:color w:val="auto"/>
          <w:spacing w:val="0"/>
          <w:w w:val="100"/>
          <w:sz w:val="36"/>
        </w:rPr>
      </w:pP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right="277"/>
        <w:jc w:val="both"/>
        <w:textAlignment w:val="auto"/>
        <w:rPr>
          <w:rFonts w:hint="eastAsia" w:ascii="仿宋_GB2312" w:eastAsia="仿宋_GB2312"/>
          <w:color w:val="auto"/>
          <w:spacing w:val="0"/>
          <w:w w:val="100"/>
          <w:sz w:val="32"/>
          <w:szCs w:val="32"/>
          <w:lang w:eastAsia="zh-CN"/>
        </w:rPr>
      </w:pPr>
      <w:r>
        <w:rPr>
          <w:rFonts w:hint="eastAsia" w:ascii="仿宋_GB2312" w:eastAsia="仿宋_GB2312"/>
          <w:color w:val="auto"/>
          <w:spacing w:val="0"/>
          <w:w w:val="100"/>
          <w:sz w:val="32"/>
          <w:szCs w:val="32"/>
        </w:rPr>
        <w:t>各</w:t>
      </w:r>
      <w:r>
        <w:rPr>
          <w:rFonts w:hint="eastAsia" w:ascii="仿宋_GB2312" w:eastAsia="仿宋_GB2312"/>
          <w:color w:val="auto"/>
          <w:spacing w:val="0"/>
          <w:w w:val="100"/>
          <w:sz w:val="32"/>
          <w:szCs w:val="32"/>
          <w:lang w:eastAsia="zh-CN"/>
        </w:rPr>
        <w:t>区</w:t>
      </w:r>
      <w:r>
        <w:rPr>
          <w:rFonts w:hint="eastAsia" w:ascii="仿宋_GB2312" w:eastAsia="仿宋_GB2312"/>
          <w:color w:val="auto"/>
          <w:spacing w:val="0"/>
          <w:w w:val="100"/>
          <w:sz w:val="32"/>
          <w:szCs w:val="32"/>
        </w:rPr>
        <w:t>市</w:t>
      </w:r>
      <w:r>
        <w:rPr>
          <w:rFonts w:hint="eastAsia" w:ascii="仿宋_GB2312" w:eastAsia="仿宋_GB2312"/>
          <w:color w:val="auto"/>
          <w:spacing w:val="0"/>
          <w:w w:val="100"/>
          <w:sz w:val="32"/>
          <w:szCs w:val="32"/>
          <w:lang w:eastAsia="zh-CN"/>
        </w:rPr>
        <w:t>畜牧兽医事业发展中心</w:t>
      </w:r>
      <w:r>
        <w:rPr>
          <w:rFonts w:hint="eastAsia" w:ascii="仿宋_GB2312" w:eastAsia="仿宋_GB2312"/>
          <w:color w:val="auto"/>
          <w:spacing w:val="0"/>
          <w:w w:val="100"/>
          <w:sz w:val="32"/>
          <w:szCs w:val="32"/>
        </w:rPr>
        <w:t>，</w:t>
      </w:r>
      <w:r>
        <w:rPr>
          <w:rFonts w:hint="eastAsia" w:ascii="仿宋_GB2312" w:eastAsia="仿宋_GB2312"/>
          <w:color w:val="auto"/>
          <w:spacing w:val="0"/>
          <w:w w:val="100"/>
          <w:sz w:val="32"/>
          <w:szCs w:val="32"/>
          <w:lang w:eastAsia="zh-CN"/>
        </w:rPr>
        <w:t>乳山市农业农村局，国家级开发区社会工作部，南海新区农业海洋局：</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right="277" w:firstLine="640" w:firstLineChars="20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为切实做好全</w:t>
      </w:r>
      <w:r>
        <w:rPr>
          <w:rFonts w:hint="eastAsia" w:ascii="仿宋_GB2312" w:hAnsi="仿宋_GB2312" w:eastAsia="仿宋_GB2312" w:cs="仿宋_GB2312"/>
          <w:color w:val="auto"/>
          <w:spacing w:val="0"/>
          <w:w w:val="100"/>
          <w:sz w:val="32"/>
          <w:szCs w:val="32"/>
          <w:lang w:eastAsia="zh-CN"/>
        </w:rPr>
        <w:t>市</w:t>
      </w:r>
      <w:r>
        <w:rPr>
          <w:rFonts w:hint="eastAsia" w:ascii="仿宋_GB2312" w:hAnsi="仿宋_GB2312" w:eastAsia="仿宋_GB2312" w:cs="仿宋_GB2312"/>
          <w:color w:val="auto"/>
          <w:spacing w:val="0"/>
          <w:w w:val="100"/>
          <w:sz w:val="32"/>
          <w:szCs w:val="32"/>
        </w:rPr>
        <w:t>动物疫病强制免疫工作，根据《</w:t>
      </w:r>
      <w:r>
        <w:rPr>
          <w:rFonts w:hint="eastAsia" w:ascii="仿宋_GB2312" w:hAnsi="仿宋_GB2312" w:eastAsia="仿宋_GB2312" w:cs="仿宋_GB2312"/>
          <w:color w:val="auto"/>
          <w:spacing w:val="0"/>
          <w:w w:val="100"/>
          <w:sz w:val="32"/>
          <w:szCs w:val="32"/>
          <w:lang w:eastAsia="zh-CN"/>
        </w:rPr>
        <w:t>山东省</w:t>
      </w:r>
      <w:r>
        <w:rPr>
          <w:rFonts w:hint="eastAsia" w:ascii="仿宋_GB2312" w:hAnsi="仿宋_GB2312" w:eastAsia="仿宋_GB2312" w:cs="仿宋_GB2312"/>
          <w:color w:val="auto"/>
          <w:spacing w:val="0"/>
          <w:w w:val="100"/>
          <w:sz w:val="32"/>
          <w:szCs w:val="32"/>
        </w:rPr>
        <w:t>动物疫病强制免疫</w:t>
      </w:r>
      <w:r>
        <w:rPr>
          <w:rFonts w:hint="eastAsia" w:ascii="仿宋_GB2312" w:hAnsi="仿宋_GB2312" w:eastAsia="仿宋_GB2312" w:cs="仿宋_GB2312"/>
          <w:color w:val="auto"/>
          <w:spacing w:val="0"/>
          <w:w w:val="100"/>
          <w:sz w:val="32"/>
          <w:szCs w:val="32"/>
          <w:lang w:eastAsia="zh-CN"/>
        </w:rPr>
        <w:t>计划</w:t>
      </w:r>
      <w:r>
        <w:rPr>
          <w:rFonts w:hint="eastAsia" w:ascii="仿宋_GB2312" w:hAnsi="仿宋_GB2312" w:eastAsia="仿宋_GB2312" w:cs="仿宋_GB2312"/>
          <w:color w:val="auto"/>
          <w:spacing w:val="0"/>
          <w:w w:val="100"/>
          <w:sz w:val="32"/>
          <w:szCs w:val="32"/>
        </w:rPr>
        <w:t>（202</w:t>
      </w:r>
      <w:r>
        <w:rPr>
          <w:rFonts w:hint="eastAsia" w:ascii="仿宋_GB2312" w:hAnsi="仿宋_GB2312" w:eastAsia="仿宋_GB2312" w:cs="仿宋_GB2312"/>
          <w:color w:val="auto"/>
          <w:spacing w:val="0"/>
          <w:w w:val="100"/>
          <w:sz w:val="32"/>
          <w:szCs w:val="32"/>
          <w:lang w:val="en-US" w:eastAsia="zh-CN"/>
        </w:rPr>
        <w:t>3</w:t>
      </w:r>
      <w:r>
        <w:rPr>
          <w:rFonts w:hint="eastAsia" w:ascii="仿宋_GB2312" w:hAnsi="仿宋_GB2312" w:eastAsia="仿宋_GB2312" w:cs="仿宋_GB2312"/>
          <w:color w:val="auto"/>
          <w:spacing w:val="0"/>
          <w:w w:val="100"/>
          <w:sz w:val="32"/>
          <w:szCs w:val="32"/>
        </w:rPr>
        <w:t>-2025年）》和《</w:t>
      </w:r>
      <w:r>
        <w:rPr>
          <w:rFonts w:hint="eastAsia" w:ascii="仿宋_GB2312" w:hAnsi="仿宋_GB2312" w:eastAsia="仿宋_GB2312" w:cs="仿宋_GB2312"/>
          <w:color w:val="auto"/>
          <w:spacing w:val="0"/>
          <w:w w:val="100"/>
          <w:sz w:val="32"/>
          <w:szCs w:val="32"/>
          <w:lang w:eastAsia="zh-CN"/>
        </w:rPr>
        <w:t>威海市</w:t>
      </w:r>
      <w:r>
        <w:rPr>
          <w:rFonts w:hint="eastAsia" w:ascii="仿宋_GB2312" w:hAnsi="仿宋_GB2312" w:eastAsia="仿宋_GB2312" w:cs="仿宋_GB2312"/>
          <w:color w:val="auto"/>
          <w:spacing w:val="0"/>
          <w:w w:val="100"/>
          <w:sz w:val="32"/>
          <w:szCs w:val="32"/>
        </w:rPr>
        <w:t>动物疫病强制免疫“先打后补”实施方案（2023版）》等有关规定，结合我</w:t>
      </w:r>
      <w:r>
        <w:rPr>
          <w:rFonts w:hint="eastAsia" w:ascii="仿宋_GB2312" w:hAnsi="仿宋_GB2312" w:eastAsia="仿宋_GB2312" w:cs="仿宋_GB2312"/>
          <w:color w:val="auto"/>
          <w:spacing w:val="0"/>
          <w:w w:val="100"/>
          <w:sz w:val="32"/>
          <w:szCs w:val="32"/>
          <w:lang w:eastAsia="zh-CN"/>
        </w:rPr>
        <w:t>市</w:t>
      </w:r>
      <w:r>
        <w:rPr>
          <w:rFonts w:hint="eastAsia" w:ascii="仿宋_GB2312" w:hAnsi="仿宋_GB2312" w:eastAsia="仿宋_GB2312" w:cs="仿宋_GB2312"/>
          <w:color w:val="auto"/>
          <w:spacing w:val="0"/>
          <w:w w:val="100"/>
          <w:sz w:val="32"/>
          <w:szCs w:val="32"/>
        </w:rPr>
        <w:t>实际，</w:t>
      </w:r>
      <w:r>
        <w:rPr>
          <w:rFonts w:hint="eastAsia" w:ascii="仿宋_GB2312" w:hAnsi="仿宋_GB2312" w:eastAsia="仿宋_GB2312" w:cs="仿宋_GB2312"/>
          <w:color w:val="auto"/>
          <w:spacing w:val="0"/>
          <w:w w:val="100"/>
          <w:sz w:val="32"/>
          <w:szCs w:val="32"/>
          <w:lang w:eastAsia="zh-CN"/>
        </w:rPr>
        <w:t>市畜牧业发展中心</w:t>
      </w:r>
      <w:r>
        <w:rPr>
          <w:rFonts w:hint="eastAsia" w:ascii="仿宋_GB2312" w:hAnsi="仿宋_GB2312" w:eastAsia="仿宋_GB2312" w:cs="仿宋_GB2312"/>
          <w:color w:val="auto"/>
          <w:spacing w:val="0"/>
          <w:w w:val="100"/>
          <w:sz w:val="32"/>
          <w:szCs w:val="32"/>
        </w:rPr>
        <w:t>组织制定了《</w:t>
      </w:r>
      <w:r>
        <w:rPr>
          <w:rFonts w:hint="eastAsia" w:ascii="仿宋_GB2312" w:hAnsi="仿宋_GB2312" w:eastAsia="仿宋_GB2312" w:cs="仿宋_GB2312"/>
          <w:color w:val="auto"/>
          <w:spacing w:val="0"/>
          <w:w w:val="100"/>
          <w:sz w:val="32"/>
          <w:szCs w:val="32"/>
          <w:lang w:eastAsia="zh-CN"/>
        </w:rPr>
        <w:t>威海市</w:t>
      </w:r>
      <w:r>
        <w:rPr>
          <w:rFonts w:hint="eastAsia" w:ascii="仿宋_GB2312" w:hAnsi="仿宋_GB2312" w:eastAsia="仿宋_GB2312" w:cs="仿宋_GB2312"/>
          <w:color w:val="auto"/>
          <w:spacing w:val="0"/>
          <w:w w:val="100"/>
          <w:sz w:val="32"/>
          <w:szCs w:val="32"/>
        </w:rPr>
        <w:t>动物疫病强制免疫计划（2023-2025年）》</w:t>
      </w:r>
      <w:r>
        <w:rPr>
          <w:rFonts w:hint="eastAsia" w:ascii="仿宋_GB2312" w:hAnsi="仿宋_GB2312" w:eastAsia="仿宋_GB2312" w:cs="仿宋_GB2312"/>
          <w:color w:val="auto"/>
          <w:spacing w:val="0"/>
          <w:w w:val="100"/>
          <w:sz w:val="32"/>
          <w:szCs w:val="32"/>
          <w:lang w:eastAsia="zh-CN"/>
        </w:rPr>
        <w:t>，</w:t>
      </w:r>
      <w:r>
        <w:rPr>
          <w:rFonts w:hint="eastAsia" w:ascii="仿宋_GB2312" w:hAnsi="仿宋_GB2312" w:eastAsia="仿宋_GB2312" w:cs="仿宋_GB2312"/>
          <w:color w:val="auto"/>
          <w:spacing w:val="0"/>
          <w:w w:val="100"/>
          <w:sz w:val="32"/>
          <w:szCs w:val="32"/>
        </w:rPr>
        <w:t>现印发给你们，请遵照执行。</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0"/>
        <w:jc w:val="both"/>
        <w:textAlignment w:val="auto"/>
        <w:rPr>
          <w:rFonts w:hint="eastAsia" w:ascii="仿宋_GB2312" w:hAnsi="仿宋_GB2312" w:eastAsia="仿宋_GB2312" w:cs="仿宋_GB2312"/>
          <w:color w:val="auto"/>
          <w:spacing w:val="0"/>
          <w:w w:val="100"/>
          <w:sz w:val="32"/>
          <w:szCs w:val="32"/>
        </w:rPr>
      </w:pP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0"/>
        <w:jc w:val="both"/>
        <w:textAlignment w:val="auto"/>
        <w:rPr>
          <w:rFonts w:hint="eastAsia" w:ascii="仿宋_GB2312" w:hAnsi="仿宋_GB2312" w:eastAsia="仿宋_GB2312" w:cs="仿宋_GB2312"/>
          <w:color w:val="auto"/>
          <w:spacing w:val="0"/>
          <w:w w:val="100"/>
          <w:sz w:val="32"/>
          <w:szCs w:val="32"/>
        </w:rPr>
      </w:pP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right="599" w:firstLine="3840" w:firstLineChars="1200"/>
        <w:jc w:val="both"/>
        <w:textAlignment w:val="auto"/>
        <w:rPr>
          <w:rFonts w:hint="eastAsia" w:ascii="仿宋_GB2312" w:hAnsi="仿宋_GB2312" w:eastAsia="仿宋_GB2312" w:cs="仿宋_GB2312"/>
          <w:color w:val="auto"/>
          <w:spacing w:val="0"/>
          <w:w w:val="100"/>
          <w:sz w:val="32"/>
          <w:szCs w:val="32"/>
          <w:lang w:eastAsia="zh-CN"/>
        </w:rPr>
      </w:pPr>
      <w:r>
        <w:rPr>
          <w:rFonts w:hint="eastAsia" w:ascii="仿宋_GB2312" w:hAnsi="仿宋_GB2312" w:eastAsia="仿宋_GB2312" w:cs="仿宋_GB2312"/>
          <w:color w:val="auto"/>
          <w:spacing w:val="0"/>
          <w:w w:val="100"/>
          <w:sz w:val="32"/>
          <w:szCs w:val="32"/>
          <w:lang w:eastAsia="zh-CN"/>
        </w:rPr>
        <w:t>威海市畜牧业发展中心</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right="599" w:firstLine="4480" w:firstLineChars="1400"/>
        <w:jc w:val="both"/>
        <w:textAlignment w:val="auto"/>
        <w:rPr>
          <w:color w:val="auto"/>
          <w:spacing w:val="0"/>
          <w:w w:val="100"/>
        </w:rPr>
      </w:pPr>
      <w:r>
        <w:rPr>
          <w:rFonts w:hint="eastAsia" w:ascii="仿宋_GB2312" w:hAnsi="仿宋_GB2312" w:eastAsia="仿宋_GB2312" w:cs="仿宋_GB2312"/>
          <w:color w:val="auto"/>
          <w:spacing w:val="0"/>
          <w:w w:val="100"/>
          <w:sz w:val="32"/>
          <w:szCs w:val="32"/>
        </w:rPr>
        <w:t>2023年1月1</w:t>
      </w:r>
      <w:r>
        <w:rPr>
          <w:rFonts w:hint="eastAsia" w:ascii="仿宋_GB2312" w:hAnsi="仿宋_GB2312" w:eastAsia="仿宋_GB2312" w:cs="仿宋_GB2312"/>
          <w:color w:val="auto"/>
          <w:spacing w:val="0"/>
          <w:w w:val="100"/>
          <w:sz w:val="32"/>
          <w:szCs w:val="32"/>
          <w:lang w:val="en-US" w:eastAsia="zh-CN"/>
        </w:rPr>
        <w:t>7</w:t>
      </w:r>
      <w:r>
        <w:rPr>
          <w:rFonts w:hint="eastAsia" w:ascii="仿宋_GB2312" w:hAnsi="仿宋_GB2312" w:eastAsia="仿宋_GB2312" w:cs="仿宋_GB2312"/>
          <w:color w:val="auto"/>
          <w:spacing w:val="0"/>
          <w:w w:val="100"/>
          <w:sz w:val="32"/>
          <w:szCs w:val="32"/>
        </w:rPr>
        <w:t>日</w:t>
      </w:r>
    </w:p>
    <w:p>
      <w:pPr>
        <w:keepNext w:val="0"/>
        <w:keepLines w:val="0"/>
        <w:pageBreakBefore w:val="0"/>
        <w:widowControl w:val="0"/>
        <w:kinsoku/>
        <w:wordWrap/>
        <w:overflowPunct/>
        <w:topLinePunct w:val="0"/>
        <w:autoSpaceDE w:val="0"/>
        <w:autoSpaceDN w:val="0"/>
        <w:bidi w:val="0"/>
        <w:adjustRightInd/>
        <w:snapToGrid/>
        <w:spacing w:before="0" w:after="0" w:line="600" w:lineRule="exact"/>
        <w:jc w:val="both"/>
        <w:textAlignment w:val="auto"/>
        <w:rPr>
          <w:color w:val="auto"/>
          <w:spacing w:val="0"/>
          <w:w w:val="100"/>
        </w:rPr>
        <w:sectPr>
          <w:footerReference r:id="rId5" w:type="default"/>
          <w:footerReference r:id="rId6" w:type="even"/>
          <w:type w:val="continuous"/>
          <w:pgSz w:w="11910" w:h="16840"/>
          <w:pgMar w:top="2098" w:right="1587" w:bottom="2098" w:left="1587" w:header="720" w:footer="969" w:gutter="0"/>
          <w:pgNumType w:start="1"/>
          <w:cols w:space="0" w:num="1"/>
          <w:rtlGutter w:val="0"/>
          <w:docGrid w:linePitch="0" w:charSpace="0"/>
        </w:sectPr>
      </w:pPr>
    </w:p>
    <w:p>
      <w:pPr>
        <w:pStyle w:val="2"/>
        <w:keepNext w:val="0"/>
        <w:keepLines w:val="0"/>
        <w:pageBreakBefore w:val="0"/>
        <w:widowControl w:val="0"/>
        <w:kinsoku/>
        <w:wordWrap/>
        <w:overflowPunct/>
        <w:topLinePunct w:val="0"/>
        <w:autoSpaceDE w:val="0"/>
        <w:autoSpaceDN w:val="0"/>
        <w:bidi w:val="0"/>
        <w:adjustRightInd/>
        <w:snapToGrid/>
        <w:spacing w:before="0" w:line="600" w:lineRule="exact"/>
        <w:ind w:right="452"/>
        <w:jc w:val="center"/>
        <w:textAlignment w:val="auto"/>
        <w:rPr>
          <w:i w:val="0"/>
          <w:iCs/>
          <w:color w:val="auto"/>
          <w:spacing w:val="0"/>
          <w:w w:val="100"/>
          <w:sz w:val="44"/>
        </w:rPr>
      </w:pPr>
      <w:r>
        <w:rPr>
          <w:rFonts w:hint="eastAsia"/>
          <w:i w:val="0"/>
          <w:iCs/>
          <w:color w:val="auto"/>
          <w:spacing w:val="0"/>
          <w:w w:val="100"/>
          <w:sz w:val="44"/>
          <w:lang w:eastAsia="zh-CN"/>
        </w:rPr>
        <w:t>威海市</w:t>
      </w:r>
      <w:r>
        <w:rPr>
          <w:i w:val="0"/>
          <w:iCs/>
          <w:color w:val="auto"/>
          <w:spacing w:val="0"/>
          <w:w w:val="100"/>
          <w:sz w:val="44"/>
        </w:rPr>
        <w:t>动物疫病强制免疫计划</w:t>
      </w:r>
    </w:p>
    <w:p>
      <w:pPr>
        <w:keepNext w:val="0"/>
        <w:keepLines w:val="0"/>
        <w:pageBreakBefore w:val="0"/>
        <w:widowControl w:val="0"/>
        <w:kinsoku/>
        <w:wordWrap/>
        <w:overflowPunct/>
        <w:topLinePunct w:val="0"/>
        <w:autoSpaceDE w:val="0"/>
        <w:autoSpaceDN w:val="0"/>
        <w:bidi w:val="0"/>
        <w:adjustRightInd/>
        <w:snapToGrid/>
        <w:spacing w:before="0" w:line="600" w:lineRule="exact"/>
        <w:ind w:left="295" w:right="455" w:firstLine="0"/>
        <w:jc w:val="center"/>
        <w:textAlignment w:val="auto"/>
        <w:rPr>
          <w:rFonts w:hint="eastAsia" w:ascii="方正小标宋简体" w:eastAsia="方正小标宋简体"/>
          <w:i w:val="0"/>
          <w:iCs/>
          <w:color w:val="auto"/>
          <w:spacing w:val="0"/>
          <w:w w:val="100"/>
          <w:sz w:val="44"/>
        </w:rPr>
      </w:pPr>
      <w:r>
        <w:rPr>
          <w:rFonts w:hint="eastAsia" w:ascii="方正小标宋简体" w:eastAsia="方正小标宋简体"/>
          <w:i w:val="0"/>
          <w:iCs/>
          <w:color w:val="auto"/>
          <w:spacing w:val="0"/>
          <w:w w:val="100"/>
          <w:sz w:val="44"/>
        </w:rPr>
        <w:t>（2023-2025年）</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0"/>
        <w:jc w:val="both"/>
        <w:textAlignment w:val="auto"/>
        <w:rPr>
          <w:rFonts w:ascii="方正小标宋简体"/>
          <w:i/>
          <w:color w:val="auto"/>
          <w:spacing w:val="0"/>
          <w:w w:val="100"/>
          <w:sz w:val="42"/>
        </w:rPr>
      </w:pP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right="277" w:firstLine="64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为切实做好全</w:t>
      </w:r>
      <w:r>
        <w:rPr>
          <w:rFonts w:hint="eastAsia" w:ascii="仿宋_GB2312" w:hAnsi="仿宋_GB2312" w:eastAsia="仿宋_GB2312" w:cs="仿宋_GB2312"/>
          <w:color w:val="auto"/>
          <w:spacing w:val="0"/>
          <w:w w:val="100"/>
          <w:sz w:val="32"/>
          <w:szCs w:val="32"/>
          <w:lang w:eastAsia="zh-CN"/>
        </w:rPr>
        <w:t>市</w:t>
      </w:r>
      <w:r>
        <w:rPr>
          <w:rFonts w:hint="eastAsia" w:ascii="仿宋_GB2312" w:hAnsi="仿宋_GB2312" w:eastAsia="仿宋_GB2312" w:cs="仿宋_GB2312"/>
          <w:color w:val="auto"/>
          <w:spacing w:val="0"/>
          <w:w w:val="100"/>
          <w:sz w:val="32"/>
          <w:szCs w:val="32"/>
        </w:rPr>
        <w:t>动物疫病强制免疫工作，根据《</w:t>
      </w:r>
      <w:r>
        <w:rPr>
          <w:rFonts w:hint="eastAsia" w:ascii="仿宋_GB2312" w:hAnsi="仿宋_GB2312" w:eastAsia="仿宋_GB2312" w:cs="仿宋_GB2312"/>
          <w:color w:val="auto"/>
          <w:spacing w:val="0"/>
          <w:w w:val="100"/>
          <w:sz w:val="32"/>
          <w:szCs w:val="32"/>
          <w:lang w:eastAsia="zh-CN"/>
        </w:rPr>
        <w:t>山东省</w:t>
      </w:r>
      <w:r>
        <w:rPr>
          <w:rFonts w:hint="eastAsia" w:ascii="仿宋_GB2312" w:hAnsi="仿宋_GB2312" w:eastAsia="仿宋_GB2312" w:cs="仿宋_GB2312"/>
          <w:color w:val="auto"/>
          <w:spacing w:val="0"/>
          <w:w w:val="100"/>
          <w:sz w:val="32"/>
          <w:szCs w:val="32"/>
        </w:rPr>
        <w:t>动物疫病强制免疫</w:t>
      </w:r>
      <w:r>
        <w:rPr>
          <w:rFonts w:hint="eastAsia" w:ascii="仿宋_GB2312" w:hAnsi="仿宋_GB2312" w:eastAsia="仿宋_GB2312" w:cs="仿宋_GB2312"/>
          <w:color w:val="auto"/>
          <w:spacing w:val="0"/>
          <w:w w:val="100"/>
          <w:sz w:val="32"/>
          <w:szCs w:val="32"/>
          <w:lang w:eastAsia="zh-CN"/>
        </w:rPr>
        <w:t>计划</w:t>
      </w:r>
      <w:r>
        <w:rPr>
          <w:rFonts w:hint="eastAsia" w:ascii="仿宋_GB2312" w:hAnsi="仿宋_GB2312" w:eastAsia="仿宋_GB2312" w:cs="仿宋_GB2312"/>
          <w:color w:val="auto"/>
          <w:spacing w:val="0"/>
          <w:w w:val="100"/>
          <w:sz w:val="32"/>
          <w:szCs w:val="32"/>
        </w:rPr>
        <w:t>（202</w:t>
      </w:r>
      <w:r>
        <w:rPr>
          <w:rFonts w:hint="eastAsia" w:ascii="仿宋_GB2312" w:hAnsi="仿宋_GB2312" w:eastAsia="仿宋_GB2312" w:cs="仿宋_GB2312"/>
          <w:color w:val="auto"/>
          <w:spacing w:val="0"/>
          <w:w w:val="100"/>
          <w:sz w:val="32"/>
          <w:szCs w:val="32"/>
          <w:lang w:val="en-US" w:eastAsia="zh-CN"/>
        </w:rPr>
        <w:t>3</w:t>
      </w:r>
      <w:r>
        <w:rPr>
          <w:rFonts w:hint="eastAsia" w:ascii="仿宋_GB2312" w:hAnsi="仿宋_GB2312" w:eastAsia="仿宋_GB2312" w:cs="仿宋_GB2312"/>
          <w:color w:val="auto"/>
          <w:spacing w:val="0"/>
          <w:w w:val="100"/>
          <w:sz w:val="32"/>
          <w:szCs w:val="32"/>
        </w:rPr>
        <w:t>-2025年）》和《</w:t>
      </w:r>
      <w:r>
        <w:rPr>
          <w:rFonts w:hint="eastAsia" w:ascii="仿宋_GB2312" w:hAnsi="仿宋_GB2312" w:eastAsia="仿宋_GB2312" w:cs="仿宋_GB2312"/>
          <w:color w:val="auto"/>
          <w:spacing w:val="0"/>
          <w:w w:val="100"/>
          <w:sz w:val="32"/>
          <w:szCs w:val="32"/>
          <w:lang w:eastAsia="zh-CN"/>
        </w:rPr>
        <w:t>威海市</w:t>
      </w:r>
      <w:r>
        <w:rPr>
          <w:rFonts w:hint="eastAsia" w:ascii="仿宋_GB2312" w:hAnsi="仿宋_GB2312" w:eastAsia="仿宋_GB2312" w:cs="仿宋_GB2312"/>
          <w:color w:val="auto"/>
          <w:spacing w:val="0"/>
          <w:w w:val="100"/>
          <w:sz w:val="32"/>
          <w:szCs w:val="32"/>
        </w:rPr>
        <w:t>动物疫病强制免疫“先打后补”实施方案（2023版）》等有关规定，结合我</w:t>
      </w:r>
      <w:r>
        <w:rPr>
          <w:rFonts w:hint="eastAsia" w:ascii="仿宋_GB2312" w:hAnsi="仿宋_GB2312" w:eastAsia="仿宋_GB2312" w:cs="仿宋_GB2312"/>
          <w:color w:val="auto"/>
          <w:spacing w:val="0"/>
          <w:w w:val="100"/>
          <w:sz w:val="32"/>
          <w:szCs w:val="32"/>
          <w:lang w:eastAsia="zh-CN"/>
        </w:rPr>
        <w:t>市</w:t>
      </w:r>
      <w:r>
        <w:rPr>
          <w:rFonts w:hint="eastAsia" w:ascii="仿宋_GB2312" w:hAnsi="仿宋_GB2312" w:eastAsia="仿宋_GB2312" w:cs="仿宋_GB2312"/>
          <w:color w:val="auto"/>
          <w:spacing w:val="0"/>
          <w:w w:val="100"/>
          <w:sz w:val="32"/>
          <w:szCs w:val="32"/>
        </w:rPr>
        <w:t>实际，制定本方案。</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760"/>
        <w:jc w:val="both"/>
        <w:textAlignment w:val="auto"/>
        <w:rPr>
          <w:rFonts w:hint="eastAsia" w:ascii="CESI黑体-GB2312" w:hAnsi="CESI黑体-GB2312" w:eastAsia="CESI黑体-GB2312" w:cs="CESI黑体-GB2312"/>
          <w:color w:val="auto"/>
          <w:spacing w:val="0"/>
          <w:w w:val="100"/>
          <w:sz w:val="32"/>
          <w:szCs w:val="32"/>
        </w:rPr>
      </w:pPr>
      <w:r>
        <w:rPr>
          <w:rFonts w:hint="eastAsia" w:ascii="CESI黑体-GB2312" w:hAnsi="CESI黑体-GB2312" w:eastAsia="CESI黑体-GB2312" w:cs="CESI黑体-GB2312"/>
          <w:color w:val="auto"/>
          <w:spacing w:val="0"/>
          <w:w w:val="100"/>
          <w:sz w:val="32"/>
          <w:szCs w:val="32"/>
        </w:rPr>
        <w:t>一、总体要求</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right="277" w:firstLine="640"/>
        <w:jc w:val="both"/>
        <w:textAlignment w:val="auto"/>
        <w:rPr>
          <w:rFonts w:hint="eastAsia" w:ascii="仿宋_GB2312" w:hAnsi="仿宋_GB2312" w:eastAsia="仿宋_GB2312" w:cs="仿宋_GB2312"/>
          <w:color w:val="auto"/>
          <w:spacing w:val="0"/>
          <w:w w:val="100"/>
          <w:sz w:val="32"/>
          <w:szCs w:val="32"/>
        </w:rPr>
      </w:pPr>
      <w:r>
        <w:rPr>
          <w:rFonts w:hint="eastAsia" w:ascii="楷体_GB2312" w:hAnsi="楷体_GB2312" w:eastAsia="楷体_GB2312" w:cs="楷体_GB2312"/>
          <w:color w:val="auto"/>
          <w:spacing w:val="0"/>
          <w:w w:val="100"/>
          <w:sz w:val="32"/>
          <w:szCs w:val="32"/>
        </w:rPr>
        <w:t>（一）指导思想。</w:t>
      </w:r>
      <w:r>
        <w:rPr>
          <w:rFonts w:hint="eastAsia" w:ascii="仿宋_GB2312" w:hAnsi="仿宋_GB2312" w:eastAsia="仿宋_GB2312" w:cs="仿宋_GB2312"/>
          <w:color w:val="auto"/>
          <w:spacing w:val="0"/>
          <w:w w:val="100"/>
          <w:sz w:val="32"/>
          <w:szCs w:val="32"/>
        </w:rPr>
        <w:t>按照保供固安全、振兴畅循环的工作定位，立足维护养殖业发展安全、公共卫生安全和生物安全大局，坚持防疫优先，扎实开展动物疫病强制免疫，切实筑牢动物防疫屏障。</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right="118" w:firstLine="640"/>
        <w:jc w:val="both"/>
        <w:textAlignment w:val="auto"/>
        <w:rPr>
          <w:rFonts w:hint="eastAsia" w:ascii="仿宋_GB2312" w:hAnsi="仿宋_GB2312" w:eastAsia="仿宋_GB2312" w:cs="仿宋_GB2312"/>
          <w:color w:val="auto"/>
          <w:spacing w:val="0"/>
          <w:w w:val="100"/>
          <w:sz w:val="32"/>
          <w:szCs w:val="32"/>
        </w:rPr>
      </w:pPr>
      <w:r>
        <w:rPr>
          <w:rFonts w:hint="eastAsia" w:ascii="楷体_GB2312" w:hAnsi="楷体_GB2312" w:eastAsia="楷体_GB2312" w:cs="楷体_GB2312"/>
          <w:color w:val="auto"/>
          <w:spacing w:val="0"/>
          <w:w w:val="100"/>
          <w:sz w:val="32"/>
          <w:szCs w:val="32"/>
        </w:rPr>
        <w:t>（二）基本原则。</w:t>
      </w:r>
      <w:r>
        <w:rPr>
          <w:rFonts w:hint="eastAsia" w:ascii="仿宋_GB2312" w:hAnsi="仿宋_GB2312" w:eastAsia="仿宋_GB2312" w:cs="仿宋_GB2312"/>
          <w:color w:val="auto"/>
          <w:spacing w:val="0"/>
          <w:w w:val="100"/>
          <w:sz w:val="32"/>
          <w:szCs w:val="32"/>
        </w:rPr>
        <w:t>坚持人病兽防、关口前移，预防为主、应免尽免，落实完善免疫效果评价制度，强化疫苗质量管理和使用效果跟踪监测，保证“真苗、真打、真有效”。</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760"/>
        <w:jc w:val="both"/>
        <w:textAlignment w:val="auto"/>
        <w:rPr>
          <w:rFonts w:hint="eastAsia" w:ascii="CESI黑体-GB2312" w:hAnsi="CESI黑体-GB2312" w:eastAsia="CESI黑体-GB2312" w:cs="CESI黑体-GB2312"/>
          <w:color w:val="auto"/>
          <w:spacing w:val="0"/>
          <w:w w:val="100"/>
          <w:sz w:val="32"/>
          <w:szCs w:val="32"/>
        </w:rPr>
      </w:pPr>
      <w:r>
        <w:rPr>
          <w:rFonts w:hint="eastAsia" w:ascii="CESI黑体-GB2312" w:hAnsi="CESI黑体-GB2312" w:eastAsia="CESI黑体-GB2312" w:cs="CESI黑体-GB2312"/>
          <w:color w:val="auto"/>
          <w:spacing w:val="0"/>
          <w:w w:val="100"/>
          <w:sz w:val="32"/>
          <w:szCs w:val="32"/>
        </w:rPr>
        <w:t>二、强制免疫病种及要求</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right="265" w:firstLine="640"/>
        <w:jc w:val="both"/>
        <w:textAlignment w:val="auto"/>
        <w:rPr>
          <w:rFonts w:hint="eastAsia" w:ascii="仿宋_GB2312" w:hAnsi="仿宋_GB2312" w:eastAsia="仿宋_GB2312" w:cs="仿宋_GB2312"/>
          <w:color w:val="auto"/>
          <w:spacing w:val="0"/>
          <w:w w:val="100"/>
          <w:sz w:val="32"/>
          <w:szCs w:val="32"/>
        </w:rPr>
      </w:pPr>
      <w:r>
        <w:rPr>
          <w:rFonts w:hint="eastAsia" w:ascii="楷体_GB2312" w:hAnsi="楷体_GB2312" w:eastAsia="楷体_GB2312" w:cs="楷体_GB2312"/>
          <w:color w:val="auto"/>
          <w:spacing w:val="0"/>
          <w:w w:val="100"/>
          <w:sz w:val="32"/>
          <w:szCs w:val="32"/>
        </w:rPr>
        <w:t>（一）免疫病种。</w:t>
      </w:r>
      <w:r>
        <w:rPr>
          <w:rFonts w:hint="eastAsia" w:ascii="仿宋_GB2312" w:hAnsi="仿宋_GB2312" w:eastAsia="仿宋_GB2312" w:cs="仿宋_GB2312"/>
          <w:color w:val="auto"/>
          <w:spacing w:val="0"/>
          <w:w w:val="100"/>
          <w:sz w:val="32"/>
          <w:szCs w:val="32"/>
        </w:rPr>
        <w:t>高致病性禽流感、口蹄疫、小反刍兽疫，各</w:t>
      </w:r>
      <w:r>
        <w:rPr>
          <w:rFonts w:hint="eastAsia" w:ascii="仿宋_GB2312" w:hAnsi="仿宋_GB2312" w:eastAsia="仿宋_GB2312" w:cs="仿宋_GB2312"/>
          <w:color w:val="auto"/>
          <w:spacing w:val="0"/>
          <w:w w:val="100"/>
          <w:sz w:val="32"/>
          <w:szCs w:val="32"/>
          <w:lang w:eastAsia="zh-CN"/>
        </w:rPr>
        <w:t>区市</w:t>
      </w:r>
      <w:r>
        <w:rPr>
          <w:rFonts w:hint="eastAsia" w:ascii="仿宋_GB2312" w:hAnsi="仿宋_GB2312" w:eastAsia="仿宋_GB2312" w:cs="仿宋_GB2312"/>
          <w:color w:val="auto"/>
          <w:spacing w:val="0"/>
          <w:w w:val="100"/>
          <w:sz w:val="32"/>
          <w:szCs w:val="32"/>
        </w:rPr>
        <w:t>可以根据辖区内动物疫病流行状况，对猪瘟、新城疫、猪繁殖与呼吸综合征、牛结节性皮肤病、狂犬病、炭疽、羊痘等疫病实施全面免疫。</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760"/>
        <w:jc w:val="both"/>
        <w:textAlignment w:val="auto"/>
        <w:rPr>
          <w:rFonts w:hint="eastAsia" w:ascii="楷体_GB2312" w:hAnsi="楷体_GB2312" w:eastAsia="楷体_GB2312" w:cs="楷体_GB2312"/>
          <w:color w:val="auto"/>
          <w:spacing w:val="0"/>
          <w:w w:val="100"/>
          <w:sz w:val="32"/>
          <w:szCs w:val="32"/>
        </w:rPr>
      </w:pPr>
      <w:r>
        <w:rPr>
          <w:rFonts w:hint="eastAsia" w:ascii="楷体_GB2312" w:hAnsi="楷体_GB2312" w:eastAsia="楷体_GB2312" w:cs="楷体_GB2312"/>
          <w:color w:val="auto"/>
          <w:spacing w:val="0"/>
          <w:w w:val="100"/>
          <w:sz w:val="32"/>
          <w:szCs w:val="32"/>
        </w:rPr>
        <w:t>（二）免疫动物种类和区域</w:t>
      </w:r>
    </w:p>
    <w:p>
      <w:pPr>
        <w:keepNext w:val="0"/>
        <w:keepLines w:val="0"/>
        <w:pageBreakBefore w:val="0"/>
        <w:widowControl w:val="0"/>
        <w:kinsoku/>
        <w:wordWrap/>
        <w:overflowPunct/>
        <w:topLinePunct w:val="0"/>
        <w:autoSpaceDE w:val="0"/>
        <w:autoSpaceDN w:val="0"/>
        <w:bidi w:val="0"/>
        <w:adjustRightInd/>
        <w:snapToGrid/>
        <w:spacing w:before="0" w:line="600" w:lineRule="exact"/>
        <w:ind w:left="760" w:right="0" w:firstLine="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b/>
          <w:color w:val="auto"/>
          <w:spacing w:val="0"/>
          <w:w w:val="100"/>
          <w:sz w:val="32"/>
          <w:szCs w:val="32"/>
        </w:rPr>
        <w:t>高致病性禽流感</w:t>
      </w:r>
      <w:r>
        <w:rPr>
          <w:rFonts w:hint="eastAsia" w:ascii="仿宋_GB2312" w:hAnsi="仿宋_GB2312" w:eastAsia="仿宋_GB2312" w:cs="仿宋_GB2312"/>
          <w:color w:val="auto"/>
          <w:spacing w:val="0"/>
          <w:w w:val="100"/>
          <w:sz w:val="32"/>
          <w:szCs w:val="32"/>
        </w:rPr>
        <w:t>：对全</w:t>
      </w:r>
      <w:r>
        <w:rPr>
          <w:rFonts w:hint="eastAsia" w:ascii="仿宋_GB2312" w:hAnsi="仿宋_GB2312" w:eastAsia="仿宋_GB2312" w:cs="仿宋_GB2312"/>
          <w:color w:val="auto"/>
          <w:spacing w:val="0"/>
          <w:w w:val="100"/>
          <w:sz w:val="32"/>
          <w:szCs w:val="32"/>
          <w:lang w:eastAsia="zh-CN"/>
        </w:rPr>
        <w:t>市</w:t>
      </w:r>
      <w:r>
        <w:rPr>
          <w:rFonts w:hint="eastAsia" w:ascii="仿宋_GB2312" w:hAnsi="仿宋_GB2312" w:eastAsia="仿宋_GB2312" w:cs="仿宋_GB2312"/>
          <w:color w:val="auto"/>
          <w:spacing w:val="0"/>
          <w:w w:val="100"/>
          <w:sz w:val="32"/>
          <w:szCs w:val="32"/>
        </w:rPr>
        <w:t>所有鸡、鸭、鹅、鹌鹑等人工</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right="265"/>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饲养的禽类，进行H5亚型和H7亚型高致病性禽流感免疫。对供研究和疫苗生产用的家禽、进口国（地区）明确要求不得实施高致病性禽流感免疫的出口家禽，以及因其他特殊原因不免疫的，有关养殖场户按照非免备案的有关要求到县级农业农村（畜牧兽医）主管部门申请同意后，可不实施免疫。</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right="280" w:firstLine="64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市县两级动物疫病预防与控制机构要加大对高致病性禽流感非免企业的抽检力度，强化病原学和血清学监测，一旦发现异常情况，严格按照应急预案的要求果断处置。</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76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b/>
          <w:color w:val="auto"/>
          <w:spacing w:val="0"/>
          <w:w w:val="100"/>
          <w:sz w:val="32"/>
          <w:szCs w:val="32"/>
        </w:rPr>
        <w:t>口蹄疫</w:t>
      </w:r>
      <w:r>
        <w:rPr>
          <w:rFonts w:hint="eastAsia" w:ascii="仿宋_GB2312" w:hAnsi="仿宋_GB2312" w:eastAsia="仿宋_GB2312" w:cs="仿宋_GB2312"/>
          <w:color w:val="auto"/>
          <w:spacing w:val="0"/>
          <w:w w:val="100"/>
          <w:sz w:val="32"/>
          <w:szCs w:val="32"/>
        </w:rPr>
        <w:t>：对全</w:t>
      </w:r>
      <w:r>
        <w:rPr>
          <w:rFonts w:hint="eastAsia" w:ascii="仿宋_GB2312" w:hAnsi="仿宋_GB2312" w:eastAsia="仿宋_GB2312" w:cs="仿宋_GB2312"/>
          <w:color w:val="auto"/>
          <w:spacing w:val="0"/>
          <w:w w:val="100"/>
          <w:sz w:val="32"/>
          <w:szCs w:val="32"/>
          <w:lang w:eastAsia="zh-CN"/>
        </w:rPr>
        <w:t>市</w:t>
      </w:r>
      <w:r>
        <w:rPr>
          <w:rFonts w:hint="eastAsia" w:ascii="仿宋_GB2312" w:hAnsi="仿宋_GB2312" w:eastAsia="仿宋_GB2312" w:cs="仿宋_GB2312"/>
          <w:color w:val="auto"/>
          <w:spacing w:val="0"/>
          <w:w w:val="100"/>
          <w:sz w:val="32"/>
          <w:szCs w:val="32"/>
        </w:rPr>
        <w:t>所有牛、羊、骆驼、鹿进行O型和A型口</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right="11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蹄疫免疫；对全</w:t>
      </w:r>
      <w:r>
        <w:rPr>
          <w:rFonts w:hint="eastAsia" w:ascii="仿宋_GB2312" w:hAnsi="仿宋_GB2312" w:eastAsia="仿宋_GB2312" w:cs="仿宋_GB2312"/>
          <w:color w:val="auto"/>
          <w:spacing w:val="0"/>
          <w:w w:val="100"/>
          <w:sz w:val="32"/>
          <w:szCs w:val="32"/>
          <w:lang w:eastAsia="zh-CN"/>
        </w:rPr>
        <w:t>市</w:t>
      </w:r>
      <w:r>
        <w:rPr>
          <w:rFonts w:hint="eastAsia" w:ascii="仿宋_GB2312" w:hAnsi="仿宋_GB2312" w:eastAsia="仿宋_GB2312" w:cs="仿宋_GB2312"/>
          <w:color w:val="auto"/>
          <w:spacing w:val="0"/>
          <w:w w:val="100"/>
          <w:sz w:val="32"/>
          <w:szCs w:val="32"/>
        </w:rPr>
        <w:t>所有猪进行O型口蹄疫免疫，确需对猪实施A型口蹄疫免疫的养殖场户，向县级农业农村（畜牧兽医） 主管部门申请同意后，可实施免疫。</w:t>
      </w:r>
    </w:p>
    <w:p>
      <w:pPr>
        <w:keepNext w:val="0"/>
        <w:keepLines w:val="0"/>
        <w:pageBreakBefore w:val="0"/>
        <w:widowControl w:val="0"/>
        <w:kinsoku/>
        <w:wordWrap/>
        <w:overflowPunct/>
        <w:topLinePunct w:val="0"/>
        <w:autoSpaceDE w:val="0"/>
        <w:autoSpaceDN w:val="0"/>
        <w:bidi w:val="0"/>
        <w:adjustRightInd/>
        <w:snapToGrid/>
        <w:spacing w:before="0" w:line="600" w:lineRule="exact"/>
        <w:ind w:right="0" w:firstLine="643" w:firstLineChars="20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b/>
          <w:color w:val="auto"/>
          <w:spacing w:val="0"/>
          <w:w w:val="100"/>
          <w:sz w:val="32"/>
          <w:szCs w:val="32"/>
        </w:rPr>
        <w:t>小反刍兽疫</w:t>
      </w:r>
      <w:r>
        <w:rPr>
          <w:rFonts w:hint="eastAsia" w:ascii="仿宋_GB2312" w:hAnsi="仿宋_GB2312" w:eastAsia="仿宋_GB2312" w:cs="仿宋_GB2312"/>
          <w:color w:val="auto"/>
          <w:spacing w:val="0"/>
          <w:w w:val="100"/>
          <w:sz w:val="32"/>
          <w:szCs w:val="32"/>
        </w:rPr>
        <w:t>：对全</w:t>
      </w:r>
      <w:r>
        <w:rPr>
          <w:rFonts w:hint="eastAsia" w:ascii="仿宋_GB2312" w:hAnsi="仿宋_GB2312" w:eastAsia="仿宋_GB2312" w:cs="仿宋_GB2312"/>
          <w:color w:val="auto"/>
          <w:spacing w:val="0"/>
          <w:w w:val="100"/>
          <w:sz w:val="32"/>
          <w:szCs w:val="32"/>
          <w:lang w:eastAsia="zh-CN"/>
        </w:rPr>
        <w:t>市</w:t>
      </w:r>
      <w:r>
        <w:rPr>
          <w:rFonts w:hint="eastAsia" w:ascii="仿宋_GB2312" w:hAnsi="仿宋_GB2312" w:eastAsia="仿宋_GB2312" w:cs="仿宋_GB2312"/>
          <w:color w:val="auto"/>
          <w:spacing w:val="0"/>
          <w:w w:val="100"/>
          <w:sz w:val="32"/>
          <w:szCs w:val="32"/>
        </w:rPr>
        <w:t>所有应免羊只进行小反刍兽疫免疫。拟开展非免疫无疫区建设的区域，逐级上报省畜牧</w:t>
      </w:r>
      <w:r>
        <w:rPr>
          <w:rFonts w:hint="default" w:ascii="仿宋_GB2312" w:hAnsi="仿宋_GB2312" w:eastAsia="仿宋_GB2312" w:cs="仿宋_GB2312"/>
          <w:color w:val="auto"/>
          <w:spacing w:val="0"/>
          <w:w w:val="100"/>
          <w:sz w:val="32"/>
          <w:szCs w:val="32"/>
          <w:lang w:val="en"/>
        </w:rPr>
        <w:t>兽医</w:t>
      </w:r>
      <w:r>
        <w:rPr>
          <w:rFonts w:hint="eastAsia" w:ascii="仿宋_GB2312" w:hAnsi="仿宋_GB2312" w:eastAsia="仿宋_GB2312" w:cs="仿宋_GB2312"/>
          <w:color w:val="auto"/>
          <w:spacing w:val="0"/>
          <w:w w:val="100"/>
          <w:sz w:val="32"/>
          <w:szCs w:val="32"/>
        </w:rPr>
        <w:t>局同意后，可不实施免疫。</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right="277" w:firstLine="640"/>
        <w:jc w:val="both"/>
        <w:textAlignment w:val="auto"/>
        <w:rPr>
          <w:rFonts w:hint="eastAsia" w:ascii="仿宋_GB2312" w:hAnsi="仿宋_GB2312" w:eastAsia="仿宋_GB2312" w:cs="仿宋_GB2312"/>
          <w:color w:val="auto"/>
          <w:spacing w:val="0"/>
          <w:w w:val="100"/>
          <w:sz w:val="32"/>
          <w:szCs w:val="32"/>
        </w:rPr>
      </w:pPr>
      <w:r>
        <w:rPr>
          <w:rFonts w:hint="eastAsia" w:ascii="楷体_GB2312" w:hAnsi="楷体_GB2312" w:eastAsia="楷体_GB2312" w:cs="楷体_GB2312"/>
          <w:color w:val="auto"/>
          <w:spacing w:val="0"/>
          <w:w w:val="100"/>
          <w:sz w:val="32"/>
          <w:szCs w:val="32"/>
        </w:rPr>
        <w:t>（三）免疫要求。</w:t>
      </w:r>
      <w:r>
        <w:rPr>
          <w:rFonts w:hint="eastAsia" w:ascii="仿宋_GB2312" w:hAnsi="仿宋_GB2312" w:eastAsia="仿宋_GB2312" w:cs="仿宋_GB2312"/>
          <w:color w:val="auto"/>
          <w:spacing w:val="0"/>
          <w:w w:val="100"/>
          <w:sz w:val="32"/>
          <w:szCs w:val="32"/>
        </w:rPr>
        <w:t>高致病性禽流感、口蹄疫、小反刍兽疫等强制免疫动物疫病的群体免疫密度应常年</w:t>
      </w:r>
      <w:r>
        <w:rPr>
          <w:rFonts w:hint="eastAsia" w:ascii="仿宋_GB2312" w:hAnsi="仿宋_GB2312" w:eastAsia="仿宋_GB2312" w:cs="仿宋_GB2312"/>
          <w:color w:val="auto"/>
          <w:spacing w:val="0"/>
          <w:w w:val="100"/>
          <w:position w:val="1"/>
          <w:sz w:val="32"/>
          <w:szCs w:val="32"/>
        </w:rPr>
        <w:t>保持在90</w:t>
      </w:r>
      <w:r>
        <w:rPr>
          <w:rFonts w:hint="eastAsia" w:ascii="仿宋_GB2312" w:hAnsi="仿宋_GB2312" w:eastAsia="仿宋_GB2312" w:cs="仿宋_GB2312"/>
          <w:color w:val="auto"/>
          <w:spacing w:val="0"/>
          <w:w w:val="100"/>
          <w:sz w:val="32"/>
          <w:szCs w:val="32"/>
        </w:rPr>
        <w:drawing>
          <wp:inline distT="0" distB="0" distL="0" distR="0">
            <wp:extent cx="85090" cy="154940"/>
            <wp:effectExtent l="0" t="0" r="0" b="0"/>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png"/>
                    <pic:cNvPicPr>
                      <a:picLocks noChangeAspect="1"/>
                    </pic:cNvPicPr>
                  </pic:nvPicPr>
                  <pic:blipFill>
                    <a:blip r:embed="rId12" cstate="print"/>
                    <a:stretch>
                      <a:fillRect/>
                    </a:stretch>
                  </pic:blipFill>
                  <pic:spPr>
                    <a:xfrm>
                      <a:off x="0" y="0"/>
                      <a:ext cx="85724" cy="155574"/>
                    </a:xfrm>
                    <a:prstGeom prst="rect">
                      <a:avLst/>
                    </a:prstGeom>
                  </pic:spPr>
                </pic:pic>
              </a:graphicData>
            </a:graphic>
          </wp:inline>
        </w:drawing>
      </w:r>
      <w:r>
        <w:rPr>
          <w:rFonts w:hint="eastAsia" w:ascii="仿宋_GB2312" w:hAnsi="仿宋_GB2312" w:eastAsia="仿宋_GB2312" w:cs="仿宋_GB2312"/>
          <w:color w:val="auto"/>
          <w:spacing w:val="0"/>
          <w:w w:val="100"/>
          <w:position w:val="1"/>
          <w:sz w:val="32"/>
          <w:szCs w:val="32"/>
        </w:rPr>
        <w:t>以上，应免畜禽免疫密度应达到100</w:t>
      </w:r>
      <w:r>
        <w:rPr>
          <w:rFonts w:hint="eastAsia" w:ascii="仿宋_GB2312" w:hAnsi="仿宋_GB2312" w:eastAsia="仿宋_GB2312" w:cs="仿宋_GB2312"/>
          <w:color w:val="auto"/>
          <w:spacing w:val="0"/>
          <w:w w:val="100"/>
          <w:sz w:val="32"/>
          <w:szCs w:val="32"/>
        </w:rPr>
        <w:drawing>
          <wp:inline distT="0" distB="0" distL="0" distR="0">
            <wp:extent cx="85090" cy="154940"/>
            <wp:effectExtent l="0" t="0" r="0" b="0"/>
            <wp:docPr id="3"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1.png"/>
                    <pic:cNvPicPr>
                      <a:picLocks noChangeAspect="1"/>
                    </pic:cNvPicPr>
                  </pic:nvPicPr>
                  <pic:blipFill>
                    <a:blip r:embed="rId12" cstate="print"/>
                    <a:stretch>
                      <a:fillRect/>
                    </a:stretch>
                  </pic:blipFill>
                  <pic:spPr>
                    <a:xfrm>
                      <a:off x="0" y="0"/>
                      <a:ext cx="85724" cy="155574"/>
                    </a:xfrm>
                    <a:prstGeom prst="rect">
                      <a:avLst/>
                    </a:prstGeom>
                  </pic:spPr>
                </pic:pic>
              </a:graphicData>
            </a:graphic>
          </wp:inline>
        </w:drawing>
      </w:r>
      <w:r>
        <w:rPr>
          <w:rFonts w:hint="eastAsia" w:ascii="仿宋_GB2312" w:hAnsi="仿宋_GB2312" w:eastAsia="仿宋_GB2312" w:cs="仿宋_GB2312"/>
          <w:color w:val="auto"/>
          <w:spacing w:val="0"/>
          <w:w w:val="100"/>
          <w:position w:val="1"/>
          <w:sz w:val="32"/>
          <w:szCs w:val="32"/>
        </w:rPr>
        <w:t>。高致病性禽流感、小反刍兽疫免疫抗体合格率常年保持在70</w:t>
      </w:r>
      <w:r>
        <w:rPr>
          <w:rFonts w:hint="eastAsia" w:ascii="仿宋_GB2312" w:hAnsi="仿宋_GB2312" w:eastAsia="仿宋_GB2312" w:cs="仿宋_GB2312"/>
          <w:color w:val="auto"/>
          <w:spacing w:val="0"/>
          <w:w w:val="100"/>
          <w:sz w:val="32"/>
          <w:szCs w:val="32"/>
        </w:rPr>
        <w:drawing>
          <wp:inline distT="0" distB="0" distL="0" distR="0">
            <wp:extent cx="85090" cy="154940"/>
            <wp:effectExtent l="0" t="0" r="0" b="0"/>
            <wp:docPr id="5"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1.png"/>
                    <pic:cNvPicPr>
                      <a:picLocks noChangeAspect="1"/>
                    </pic:cNvPicPr>
                  </pic:nvPicPr>
                  <pic:blipFill>
                    <a:blip r:embed="rId12" cstate="print"/>
                    <a:stretch>
                      <a:fillRect/>
                    </a:stretch>
                  </pic:blipFill>
                  <pic:spPr>
                    <a:xfrm>
                      <a:off x="0" y="0"/>
                      <a:ext cx="85724" cy="155574"/>
                    </a:xfrm>
                    <a:prstGeom prst="rect">
                      <a:avLst/>
                    </a:prstGeom>
                  </pic:spPr>
                </pic:pic>
              </a:graphicData>
            </a:graphic>
          </wp:inline>
        </w:drawing>
      </w:r>
      <w:r>
        <w:rPr>
          <w:rFonts w:hint="eastAsia" w:ascii="仿宋_GB2312" w:hAnsi="仿宋_GB2312" w:eastAsia="仿宋_GB2312" w:cs="仿宋_GB2312"/>
          <w:color w:val="auto"/>
          <w:spacing w:val="0"/>
          <w:w w:val="100"/>
          <w:position w:val="1"/>
          <w:sz w:val="32"/>
          <w:szCs w:val="32"/>
        </w:rPr>
        <w:t>以上，口蹄疫免疫抗体合格率常年保持在80</w:t>
      </w:r>
      <w:r>
        <w:rPr>
          <w:rFonts w:hint="eastAsia" w:ascii="仿宋_GB2312" w:hAnsi="仿宋_GB2312" w:eastAsia="仿宋_GB2312" w:cs="仿宋_GB2312"/>
          <w:color w:val="auto"/>
          <w:spacing w:val="0"/>
          <w:w w:val="100"/>
          <w:sz w:val="32"/>
          <w:szCs w:val="32"/>
        </w:rPr>
        <w:drawing>
          <wp:inline distT="0" distB="0" distL="0" distR="0">
            <wp:extent cx="85090" cy="154940"/>
            <wp:effectExtent l="0" t="0" r="0" b="0"/>
            <wp:docPr id="7"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1.png"/>
                    <pic:cNvPicPr>
                      <a:picLocks noChangeAspect="1"/>
                    </pic:cNvPicPr>
                  </pic:nvPicPr>
                  <pic:blipFill>
                    <a:blip r:embed="rId12" cstate="print"/>
                    <a:stretch>
                      <a:fillRect/>
                    </a:stretch>
                  </pic:blipFill>
                  <pic:spPr>
                    <a:xfrm>
                      <a:off x="0" y="0"/>
                      <a:ext cx="85724" cy="155574"/>
                    </a:xfrm>
                    <a:prstGeom prst="rect">
                      <a:avLst/>
                    </a:prstGeom>
                  </pic:spPr>
                </pic:pic>
              </a:graphicData>
            </a:graphic>
          </wp:inline>
        </w:drawing>
      </w:r>
      <w:r>
        <w:rPr>
          <w:rFonts w:hint="eastAsia" w:ascii="仿宋_GB2312" w:hAnsi="仿宋_GB2312" w:eastAsia="仿宋_GB2312" w:cs="仿宋_GB2312"/>
          <w:color w:val="auto"/>
          <w:spacing w:val="0"/>
          <w:w w:val="100"/>
          <w:position w:val="1"/>
          <w:sz w:val="32"/>
          <w:szCs w:val="32"/>
        </w:rPr>
        <w:t>以上。</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760"/>
        <w:jc w:val="both"/>
        <w:textAlignment w:val="auto"/>
        <w:rPr>
          <w:rFonts w:hint="eastAsia" w:ascii="CESI黑体-GB2312" w:hAnsi="CESI黑体-GB2312" w:eastAsia="CESI黑体-GB2312" w:cs="CESI黑体-GB2312"/>
          <w:color w:val="auto"/>
          <w:spacing w:val="0"/>
          <w:w w:val="100"/>
          <w:sz w:val="32"/>
          <w:szCs w:val="32"/>
        </w:rPr>
      </w:pPr>
      <w:r>
        <w:rPr>
          <w:rFonts w:hint="eastAsia" w:ascii="CESI黑体-GB2312" w:hAnsi="CESI黑体-GB2312" w:eastAsia="CESI黑体-GB2312" w:cs="CESI黑体-GB2312"/>
          <w:color w:val="auto"/>
          <w:spacing w:val="0"/>
          <w:w w:val="100"/>
          <w:sz w:val="32"/>
          <w:szCs w:val="32"/>
        </w:rPr>
        <w:t>三、主要任务</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right="277" w:firstLine="640"/>
        <w:jc w:val="both"/>
        <w:textAlignment w:val="auto"/>
        <w:rPr>
          <w:rFonts w:hint="eastAsia" w:ascii="仿宋_GB2312" w:hAnsi="仿宋_GB2312" w:eastAsia="仿宋_GB2312" w:cs="仿宋_GB2312"/>
          <w:color w:val="auto"/>
          <w:spacing w:val="0"/>
          <w:w w:val="100"/>
          <w:sz w:val="32"/>
          <w:szCs w:val="32"/>
        </w:rPr>
      </w:pPr>
      <w:r>
        <w:rPr>
          <w:rFonts w:hint="eastAsia" w:ascii="楷体_GB2312" w:hAnsi="楷体_GB2312" w:eastAsia="楷体_GB2312" w:cs="楷体_GB2312"/>
          <w:color w:val="auto"/>
          <w:spacing w:val="0"/>
          <w:w w:val="100"/>
          <w:sz w:val="32"/>
          <w:szCs w:val="32"/>
        </w:rPr>
        <w:t>（一）制定免疫实施方案。</w:t>
      </w:r>
      <w:r>
        <w:rPr>
          <w:rFonts w:hint="eastAsia" w:ascii="仿宋_GB2312" w:hAnsi="仿宋_GB2312" w:eastAsia="仿宋_GB2312" w:cs="仿宋_GB2312"/>
          <w:color w:val="auto"/>
          <w:spacing w:val="0"/>
          <w:w w:val="100"/>
          <w:sz w:val="32"/>
          <w:szCs w:val="32"/>
        </w:rPr>
        <w:t>各</w:t>
      </w:r>
      <w:r>
        <w:rPr>
          <w:rFonts w:hint="eastAsia" w:ascii="仿宋_GB2312" w:hAnsi="仿宋_GB2312" w:eastAsia="仿宋_GB2312" w:cs="仿宋_GB2312"/>
          <w:color w:val="auto"/>
          <w:spacing w:val="0"/>
          <w:w w:val="100"/>
          <w:sz w:val="32"/>
          <w:szCs w:val="32"/>
          <w:lang w:eastAsia="zh-CN"/>
        </w:rPr>
        <w:t>区市</w:t>
      </w:r>
      <w:r>
        <w:rPr>
          <w:rFonts w:hint="eastAsia" w:ascii="仿宋_GB2312" w:hAnsi="仿宋_GB2312" w:eastAsia="仿宋_GB2312" w:cs="仿宋_GB2312"/>
          <w:color w:val="auto"/>
          <w:spacing w:val="0"/>
          <w:w w:val="100"/>
          <w:sz w:val="32"/>
          <w:szCs w:val="32"/>
        </w:rPr>
        <w:t>要根据本计划要求，结合防控实际，制定本辖区的强制免疫计划实施方案，并组织实施。对规模养殖场和养殖专业户全面推行强制免疫“先打后补”，实施程序化免疫；对确实无法参加“先打后补”的专业户及散养户，由</w:t>
      </w:r>
      <w:r>
        <w:rPr>
          <w:rFonts w:hint="eastAsia" w:ascii="仿宋_GB2312" w:hAnsi="仿宋_GB2312" w:eastAsia="仿宋_GB2312" w:cs="仿宋_GB2312"/>
          <w:color w:val="auto"/>
          <w:spacing w:val="0"/>
          <w:w w:val="100"/>
          <w:sz w:val="32"/>
          <w:szCs w:val="32"/>
          <w:lang w:eastAsia="zh-CN"/>
        </w:rPr>
        <w:t>各区市</w:t>
      </w:r>
      <w:r>
        <w:rPr>
          <w:rFonts w:hint="eastAsia" w:ascii="仿宋_GB2312" w:hAnsi="仿宋_GB2312" w:eastAsia="仿宋_GB2312" w:cs="仿宋_GB2312"/>
          <w:color w:val="auto"/>
          <w:spacing w:val="0"/>
          <w:w w:val="100"/>
          <w:sz w:val="32"/>
          <w:szCs w:val="32"/>
        </w:rPr>
        <w:t>免费提供强制免疫疫苗，并组织村级动物防疫员做好兜底服务，采用春秋两季集中免疫与定期补免相结合的方式进行，鼓励有条件的地方实行每年三次集中免疫。</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right="265" w:firstLine="640"/>
        <w:jc w:val="both"/>
        <w:textAlignment w:val="auto"/>
        <w:rPr>
          <w:rFonts w:hint="eastAsia" w:ascii="仿宋_GB2312" w:hAnsi="仿宋_GB2312" w:eastAsia="仿宋_GB2312" w:cs="仿宋_GB2312"/>
          <w:color w:val="auto"/>
          <w:spacing w:val="0"/>
          <w:w w:val="100"/>
          <w:sz w:val="32"/>
          <w:szCs w:val="32"/>
        </w:rPr>
      </w:pPr>
      <w:r>
        <w:rPr>
          <w:rFonts w:hint="eastAsia" w:ascii="楷体_GB2312" w:hAnsi="楷体_GB2312" w:eastAsia="楷体_GB2312" w:cs="楷体_GB2312"/>
          <w:color w:val="auto"/>
          <w:spacing w:val="0"/>
          <w:w w:val="100"/>
          <w:sz w:val="32"/>
          <w:szCs w:val="32"/>
        </w:rPr>
        <w:t>（二）科学选择疫苗种类。</w:t>
      </w:r>
      <w:r>
        <w:rPr>
          <w:rFonts w:hint="eastAsia" w:ascii="仿宋_GB2312" w:hAnsi="仿宋_GB2312" w:eastAsia="仿宋_GB2312" w:cs="仿宋_GB2312"/>
          <w:color w:val="auto"/>
          <w:spacing w:val="0"/>
          <w:w w:val="100"/>
          <w:sz w:val="32"/>
          <w:szCs w:val="32"/>
        </w:rPr>
        <w:t>确实无法参加“先打后补” 的专业户及散养户春秋两季集中免疫用疫苗使用</w:t>
      </w:r>
      <w:r>
        <w:rPr>
          <w:rFonts w:hint="eastAsia" w:ascii="仿宋_GB2312" w:hAnsi="仿宋_GB2312" w:eastAsia="仿宋_GB2312" w:cs="仿宋_GB2312"/>
          <w:color w:val="auto"/>
          <w:spacing w:val="0"/>
          <w:w w:val="100"/>
          <w:sz w:val="32"/>
          <w:szCs w:val="32"/>
          <w:lang w:eastAsia="zh-CN"/>
        </w:rPr>
        <w:t>各区市、开发区</w:t>
      </w:r>
      <w:r>
        <w:rPr>
          <w:rFonts w:hint="eastAsia" w:ascii="仿宋_GB2312" w:hAnsi="仿宋_GB2312" w:eastAsia="仿宋_GB2312" w:cs="仿宋_GB2312"/>
          <w:color w:val="auto"/>
          <w:spacing w:val="0"/>
          <w:w w:val="100"/>
          <w:sz w:val="32"/>
          <w:szCs w:val="32"/>
        </w:rPr>
        <w:t>统一招标采购的高致病性禽流感、口蹄疫、小反刍兽疫疫苗，规模养殖场和专业户根据本场实际和程序化免疫需要自行购买国家批准使用的相关疫苗。疫苗产品信息可在中国兽药信息网“国家兽药基础信息查询”平台“兽药产品批准文号数据”中查询。</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right="277" w:firstLine="640"/>
        <w:jc w:val="both"/>
        <w:textAlignment w:val="auto"/>
        <w:rPr>
          <w:rFonts w:hint="eastAsia" w:ascii="仿宋_GB2312" w:hAnsi="仿宋_GB2312" w:eastAsia="仿宋_GB2312" w:cs="仿宋_GB2312"/>
          <w:color w:val="auto"/>
          <w:spacing w:val="0"/>
          <w:w w:val="100"/>
          <w:sz w:val="32"/>
          <w:szCs w:val="32"/>
        </w:rPr>
      </w:pPr>
      <w:r>
        <w:rPr>
          <w:rFonts w:hint="eastAsia" w:ascii="楷体_GB2312" w:hAnsi="楷体_GB2312" w:eastAsia="楷体_GB2312" w:cs="楷体_GB2312"/>
          <w:color w:val="auto"/>
          <w:spacing w:val="0"/>
          <w:w w:val="100"/>
          <w:sz w:val="32"/>
          <w:szCs w:val="32"/>
        </w:rPr>
        <w:t>（三）深化强制免疫“先打后补”。</w:t>
      </w:r>
      <w:r>
        <w:rPr>
          <w:rFonts w:hint="eastAsia" w:ascii="仿宋_GB2312" w:hAnsi="仿宋_GB2312" w:eastAsia="仿宋_GB2312" w:cs="仿宋_GB2312"/>
          <w:color w:val="auto"/>
          <w:spacing w:val="0"/>
          <w:w w:val="100"/>
          <w:sz w:val="32"/>
          <w:szCs w:val="32"/>
        </w:rPr>
        <w:t>各</w:t>
      </w:r>
      <w:r>
        <w:rPr>
          <w:rFonts w:hint="eastAsia" w:ascii="仿宋_GB2312" w:hAnsi="仿宋_GB2312" w:eastAsia="仿宋_GB2312" w:cs="仿宋_GB2312"/>
          <w:color w:val="auto"/>
          <w:spacing w:val="0"/>
          <w:w w:val="100"/>
          <w:sz w:val="32"/>
          <w:szCs w:val="32"/>
          <w:lang w:eastAsia="zh-CN"/>
        </w:rPr>
        <w:t>区市</w:t>
      </w:r>
      <w:r>
        <w:rPr>
          <w:rFonts w:hint="eastAsia" w:ascii="仿宋_GB2312" w:hAnsi="仿宋_GB2312" w:eastAsia="仿宋_GB2312" w:cs="仿宋_GB2312"/>
          <w:color w:val="auto"/>
          <w:spacing w:val="0"/>
          <w:w w:val="100"/>
          <w:sz w:val="32"/>
          <w:szCs w:val="32"/>
        </w:rPr>
        <w:t>要采用养殖场自行免疫、第三方服务主体免疫等多种形式，继续推行强制免疫“先打后补”。自2023年起，强制免疫“先打后补”由畜禽规模养殖场扩大到专业户，政府采购强制免疫疫苗除不供应规模养殖场外，原则上不再供应专业户。确实无法参加“先打后补”的专业户及散养户，由</w:t>
      </w:r>
      <w:r>
        <w:rPr>
          <w:rFonts w:hint="eastAsia" w:ascii="仿宋_GB2312" w:hAnsi="仿宋_GB2312" w:eastAsia="仿宋_GB2312" w:cs="仿宋_GB2312"/>
          <w:color w:val="auto"/>
          <w:spacing w:val="0"/>
          <w:w w:val="100"/>
          <w:sz w:val="32"/>
          <w:szCs w:val="32"/>
          <w:lang w:eastAsia="zh-CN"/>
        </w:rPr>
        <w:t>各区市、开发区</w:t>
      </w:r>
      <w:r>
        <w:rPr>
          <w:rFonts w:hint="eastAsia" w:ascii="仿宋_GB2312" w:hAnsi="仿宋_GB2312" w:eastAsia="仿宋_GB2312" w:cs="仿宋_GB2312"/>
          <w:color w:val="auto"/>
          <w:spacing w:val="0"/>
          <w:w w:val="100"/>
          <w:sz w:val="32"/>
          <w:szCs w:val="32"/>
        </w:rPr>
        <w:t>免费提供强制免疫疫苗，并组织村级动物防疫员做好兜底服务。各</w:t>
      </w:r>
      <w:r>
        <w:rPr>
          <w:rFonts w:hint="eastAsia" w:ascii="仿宋_GB2312" w:hAnsi="仿宋_GB2312" w:eastAsia="仿宋_GB2312" w:cs="仿宋_GB2312"/>
          <w:color w:val="auto"/>
          <w:spacing w:val="0"/>
          <w:w w:val="100"/>
          <w:sz w:val="32"/>
          <w:szCs w:val="32"/>
          <w:lang w:eastAsia="zh-CN"/>
        </w:rPr>
        <w:t>区市</w:t>
      </w:r>
      <w:r>
        <w:rPr>
          <w:rFonts w:hint="eastAsia" w:ascii="仿宋_GB2312" w:hAnsi="仿宋_GB2312" w:eastAsia="仿宋_GB2312" w:cs="仿宋_GB2312"/>
          <w:color w:val="auto"/>
          <w:spacing w:val="0"/>
          <w:w w:val="100"/>
          <w:sz w:val="32"/>
          <w:szCs w:val="32"/>
        </w:rPr>
        <w:t>要提前谋划、强化措施、加快推进，指导辖区相关养殖场户自行免疫，并保障免疫质量。</w:t>
      </w:r>
      <w:bookmarkStart w:id="0" w:name="_GoBack"/>
      <w:bookmarkEnd w:id="0"/>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right="277" w:firstLine="626"/>
        <w:jc w:val="both"/>
        <w:textAlignment w:val="auto"/>
        <w:rPr>
          <w:rFonts w:hint="eastAsia" w:ascii="仿宋_GB2312" w:hAnsi="仿宋_GB2312" w:eastAsia="仿宋_GB2312" w:cs="仿宋_GB2312"/>
          <w:color w:val="auto"/>
          <w:spacing w:val="0"/>
          <w:w w:val="100"/>
          <w:sz w:val="32"/>
          <w:szCs w:val="32"/>
        </w:rPr>
      </w:pPr>
      <w:r>
        <w:rPr>
          <w:rFonts w:hint="eastAsia" w:ascii="楷体_GB2312" w:hAnsi="楷体_GB2312" w:eastAsia="楷体_GB2312" w:cs="楷体_GB2312"/>
          <w:color w:val="auto"/>
          <w:spacing w:val="0"/>
          <w:w w:val="100"/>
          <w:sz w:val="32"/>
          <w:szCs w:val="32"/>
        </w:rPr>
        <w:t>（四）规范疫苗调拨使用。</w:t>
      </w:r>
      <w:r>
        <w:rPr>
          <w:rFonts w:hint="eastAsia" w:ascii="仿宋_GB2312" w:hAnsi="仿宋_GB2312" w:eastAsia="仿宋_GB2312" w:cs="仿宋_GB2312"/>
          <w:color w:val="auto"/>
          <w:spacing w:val="0"/>
          <w:w w:val="100"/>
          <w:sz w:val="32"/>
          <w:szCs w:val="32"/>
        </w:rPr>
        <w:t>各</w:t>
      </w:r>
      <w:r>
        <w:rPr>
          <w:rFonts w:hint="eastAsia" w:ascii="仿宋_GB2312" w:hAnsi="仿宋_GB2312" w:eastAsia="仿宋_GB2312" w:cs="仿宋_GB2312"/>
          <w:color w:val="auto"/>
          <w:spacing w:val="0"/>
          <w:w w:val="100"/>
          <w:sz w:val="32"/>
          <w:szCs w:val="32"/>
          <w:lang w:eastAsia="zh-CN"/>
        </w:rPr>
        <w:t>区市</w:t>
      </w:r>
      <w:r>
        <w:rPr>
          <w:rFonts w:hint="eastAsia" w:ascii="仿宋_GB2312" w:hAnsi="仿宋_GB2312" w:eastAsia="仿宋_GB2312" w:cs="仿宋_GB2312"/>
          <w:color w:val="auto"/>
          <w:spacing w:val="0"/>
          <w:w w:val="100"/>
          <w:sz w:val="32"/>
          <w:szCs w:val="32"/>
        </w:rPr>
        <w:t>要规范开展政府采购疫苗调拨、验收、入库、储存、出库和运输。加强强制免疫疫苗管理，进一步完善冷链体系建设，建立健全疫苗计划、供应、监督管理制度，固定专人负责，落实责任到人，进一步完善疫苗使用台账制度，建立健全疫苗报废和无害化处理制度，规范疫苗使用管理，保障疫苗供应和质量。严禁任何单位和个人倒买倒卖政府采购疫苗。</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right="277" w:firstLine="640"/>
        <w:jc w:val="both"/>
        <w:textAlignment w:val="auto"/>
        <w:rPr>
          <w:rFonts w:hint="eastAsia" w:ascii="仿宋_GB2312" w:hAnsi="仿宋_GB2312" w:eastAsia="仿宋_GB2312" w:cs="仿宋_GB2312"/>
          <w:color w:val="auto"/>
          <w:spacing w:val="0"/>
          <w:w w:val="100"/>
          <w:sz w:val="32"/>
          <w:szCs w:val="32"/>
        </w:rPr>
      </w:pPr>
      <w:r>
        <w:rPr>
          <w:rFonts w:hint="eastAsia" w:ascii="楷体_GB2312" w:hAnsi="楷体_GB2312" w:eastAsia="楷体_GB2312" w:cs="楷体_GB2312"/>
          <w:color w:val="auto"/>
          <w:spacing w:val="0"/>
          <w:w w:val="100"/>
          <w:sz w:val="32"/>
          <w:szCs w:val="32"/>
        </w:rPr>
        <w:t>（五）开展免疫技术培训。</w:t>
      </w:r>
      <w:r>
        <w:rPr>
          <w:rFonts w:hint="eastAsia" w:ascii="仿宋_GB2312" w:hAnsi="仿宋_GB2312" w:eastAsia="仿宋_GB2312" w:cs="仿宋_GB2312"/>
          <w:color w:val="auto"/>
          <w:spacing w:val="0"/>
          <w:w w:val="100"/>
          <w:sz w:val="32"/>
          <w:szCs w:val="32"/>
          <w:lang w:eastAsia="zh-CN"/>
        </w:rPr>
        <w:t>各区市</w:t>
      </w:r>
      <w:r>
        <w:rPr>
          <w:rFonts w:hint="eastAsia" w:ascii="仿宋_GB2312" w:hAnsi="仿宋_GB2312" w:eastAsia="仿宋_GB2312" w:cs="仿宋_GB2312"/>
          <w:color w:val="auto"/>
          <w:spacing w:val="0"/>
          <w:w w:val="100"/>
          <w:sz w:val="32"/>
          <w:szCs w:val="32"/>
        </w:rPr>
        <w:t>要按照要求，及时做好本辖区内免疫技术培训，培训内容应包括免疫操作方法、疫苗的使用及注意事项、免疫效果监测、疫苗的运输、储存、免疫档案的建立以及消毒、个人防护等内容，要采用理论和实践相结合的方式，注重培训的针对性和实用性。疫苗及诊断试剂供应企业要做好培训、技术服务等工作。</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right="119" w:firstLine="640"/>
        <w:jc w:val="both"/>
        <w:textAlignment w:val="auto"/>
        <w:rPr>
          <w:rFonts w:hint="eastAsia" w:ascii="仿宋_GB2312" w:hAnsi="仿宋_GB2312" w:eastAsia="仿宋_GB2312" w:cs="仿宋_GB2312"/>
          <w:color w:val="auto"/>
          <w:spacing w:val="0"/>
          <w:w w:val="100"/>
          <w:sz w:val="32"/>
          <w:szCs w:val="32"/>
        </w:rPr>
      </w:pPr>
      <w:r>
        <w:rPr>
          <w:rFonts w:hint="eastAsia" w:ascii="楷体_GB2312" w:hAnsi="楷体_GB2312" w:eastAsia="楷体_GB2312" w:cs="楷体_GB2312"/>
          <w:color w:val="auto"/>
          <w:spacing w:val="0"/>
          <w:w w:val="100"/>
          <w:sz w:val="32"/>
          <w:szCs w:val="32"/>
        </w:rPr>
        <w:t>（六）建立强制免疫档案。</w:t>
      </w:r>
      <w:r>
        <w:rPr>
          <w:rFonts w:hint="eastAsia" w:ascii="仿宋_GB2312" w:hAnsi="仿宋_GB2312" w:eastAsia="仿宋_GB2312" w:cs="仿宋_GB2312"/>
          <w:color w:val="auto"/>
          <w:spacing w:val="0"/>
          <w:w w:val="100"/>
          <w:sz w:val="32"/>
          <w:szCs w:val="32"/>
        </w:rPr>
        <w:t>养殖场户要对畜禽存栏、出栏、免疫标识及疫苗免疫等情况进行详细记录，特别要做好免疫用疫苗种类、生产厂家、生产批号等记录。乡镇兽医站、 村级动物防疫员要做好免疫记录、按时报告，确保乡镇兽医站、村级动物防疫员、养殖场户均有免疫记录，且免疫记录与畜禽标识相符。</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right="277" w:firstLine="640"/>
        <w:jc w:val="both"/>
        <w:textAlignment w:val="auto"/>
        <w:rPr>
          <w:rFonts w:hint="eastAsia" w:ascii="仿宋_GB2312" w:hAnsi="仿宋_GB2312" w:eastAsia="仿宋_GB2312" w:cs="仿宋_GB2312"/>
          <w:color w:val="auto"/>
          <w:spacing w:val="0"/>
          <w:w w:val="100"/>
          <w:sz w:val="32"/>
          <w:szCs w:val="32"/>
        </w:rPr>
      </w:pPr>
      <w:r>
        <w:rPr>
          <w:rFonts w:hint="eastAsia" w:ascii="楷体_GB2312" w:hAnsi="楷体_GB2312" w:eastAsia="楷体_GB2312" w:cs="楷体_GB2312"/>
          <w:color w:val="auto"/>
          <w:spacing w:val="0"/>
          <w:w w:val="100"/>
          <w:sz w:val="32"/>
          <w:szCs w:val="32"/>
        </w:rPr>
        <w:t>（七）及时报告免疫信息。</w:t>
      </w:r>
      <w:r>
        <w:rPr>
          <w:rFonts w:hint="eastAsia" w:ascii="仿宋_GB2312" w:hAnsi="仿宋_GB2312" w:eastAsia="仿宋_GB2312" w:cs="仿宋_GB2312"/>
          <w:color w:val="auto"/>
          <w:spacing w:val="0"/>
          <w:w w:val="100"/>
          <w:sz w:val="32"/>
          <w:szCs w:val="32"/>
        </w:rPr>
        <w:t>对疫苗采购和免疫情况实行月报告制度。在每年3-5月、9-11月春秋两季集中免疫期间，对免疫进展情况实行周报告制度。突发重大动物疫情时，对紧急免疫情况实行日报告制度。各</w:t>
      </w:r>
      <w:r>
        <w:rPr>
          <w:rFonts w:hint="eastAsia" w:ascii="仿宋_GB2312" w:hAnsi="仿宋_GB2312" w:eastAsia="仿宋_GB2312" w:cs="仿宋_GB2312"/>
          <w:color w:val="auto"/>
          <w:spacing w:val="0"/>
          <w:w w:val="100"/>
          <w:sz w:val="32"/>
          <w:szCs w:val="32"/>
          <w:lang w:eastAsia="zh-CN"/>
        </w:rPr>
        <w:t>区市</w:t>
      </w:r>
      <w:r>
        <w:rPr>
          <w:rFonts w:hint="eastAsia" w:ascii="仿宋_GB2312" w:hAnsi="仿宋_GB2312" w:eastAsia="仿宋_GB2312" w:cs="仿宋_GB2312"/>
          <w:color w:val="auto"/>
          <w:spacing w:val="0"/>
          <w:w w:val="100"/>
          <w:sz w:val="32"/>
          <w:szCs w:val="32"/>
        </w:rPr>
        <w:t>要明确专人负责免疫信息收集、汇总、统计工作，按规定报送</w:t>
      </w:r>
      <w:r>
        <w:rPr>
          <w:rFonts w:hint="eastAsia" w:ascii="仿宋_GB2312" w:hAnsi="仿宋_GB2312" w:eastAsia="仿宋_GB2312" w:cs="仿宋_GB2312"/>
          <w:color w:val="auto"/>
          <w:spacing w:val="0"/>
          <w:w w:val="100"/>
          <w:sz w:val="32"/>
          <w:szCs w:val="32"/>
          <w:lang w:eastAsia="zh-CN"/>
        </w:rPr>
        <w:t>市动物疫病预防与控制中心</w:t>
      </w:r>
      <w:r>
        <w:rPr>
          <w:rFonts w:hint="eastAsia" w:ascii="仿宋_GB2312" w:hAnsi="仿宋_GB2312" w:eastAsia="仿宋_GB2312" w:cs="仿宋_GB2312"/>
          <w:color w:val="auto"/>
          <w:spacing w:val="0"/>
          <w:w w:val="100"/>
          <w:sz w:val="32"/>
          <w:szCs w:val="32"/>
        </w:rPr>
        <w:t>，同时要及时反馈免疫过程中发现的问题。</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right="280" w:firstLine="626"/>
        <w:jc w:val="both"/>
        <w:textAlignment w:val="auto"/>
        <w:rPr>
          <w:rFonts w:hint="eastAsia" w:ascii="仿宋_GB2312" w:hAnsi="仿宋_GB2312" w:eastAsia="仿宋_GB2312" w:cs="仿宋_GB2312"/>
          <w:color w:val="auto"/>
          <w:spacing w:val="0"/>
          <w:w w:val="100"/>
          <w:sz w:val="32"/>
          <w:szCs w:val="32"/>
        </w:rPr>
      </w:pPr>
      <w:r>
        <w:rPr>
          <w:rFonts w:hint="eastAsia" w:ascii="楷体_GB2312" w:hAnsi="楷体_GB2312" w:eastAsia="楷体_GB2312" w:cs="楷体_GB2312"/>
          <w:color w:val="auto"/>
          <w:spacing w:val="0"/>
          <w:w w:val="100"/>
          <w:sz w:val="32"/>
          <w:szCs w:val="32"/>
        </w:rPr>
        <w:t>（八）规范处置免疫副反应。</w:t>
      </w:r>
      <w:r>
        <w:rPr>
          <w:rFonts w:hint="eastAsia" w:ascii="仿宋_GB2312" w:hAnsi="仿宋_GB2312" w:eastAsia="仿宋_GB2312" w:cs="仿宋_GB2312"/>
          <w:color w:val="auto"/>
          <w:spacing w:val="0"/>
          <w:w w:val="100"/>
          <w:sz w:val="32"/>
          <w:szCs w:val="32"/>
        </w:rPr>
        <w:t>各</w:t>
      </w:r>
      <w:r>
        <w:rPr>
          <w:rFonts w:hint="eastAsia" w:ascii="仿宋_GB2312" w:hAnsi="仿宋_GB2312" w:eastAsia="仿宋_GB2312" w:cs="仿宋_GB2312"/>
          <w:color w:val="auto"/>
          <w:spacing w:val="0"/>
          <w:w w:val="100"/>
          <w:sz w:val="32"/>
          <w:szCs w:val="32"/>
          <w:lang w:eastAsia="zh-CN"/>
        </w:rPr>
        <w:t>区市</w:t>
      </w:r>
      <w:r>
        <w:rPr>
          <w:rFonts w:hint="eastAsia" w:ascii="仿宋_GB2312" w:hAnsi="仿宋_GB2312" w:eastAsia="仿宋_GB2312" w:cs="仿宋_GB2312"/>
          <w:color w:val="auto"/>
          <w:spacing w:val="0"/>
          <w:w w:val="100"/>
          <w:sz w:val="32"/>
          <w:szCs w:val="32"/>
        </w:rPr>
        <w:t>在使用政府采购疫苗进行免疫时，发现免疫副反应的，要严格按照规定及时进行抢救治疗，注射疫苗反应严重或因疫苗反应造成死亡的，要及时逐级上报疫苗采购单位，将有关照片、免疫证明等资料存档备查，做好协调处理。</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760"/>
        <w:jc w:val="both"/>
        <w:textAlignment w:val="auto"/>
        <w:rPr>
          <w:rFonts w:hint="eastAsia" w:ascii="CESI黑体-GB2312" w:hAnsi="CESI黑体-GB2312" w:eastAsia="CESI黑体-GB2312" w:cs="CESI黑体-GB2312"/>
          <w:color w:val="auto"/>
          <w:spacing w:val="0"/>
          <w:w w:val="100"/>
          <w:sz w:val="32"/>
          <w:szCs w:val="32"/>
        </w:rPr>
      </w:pPr>
      <w:r>
        <w:rPr>
          <w:rFonts w:hint="eastAsia" w:ascii="CESI黑体-GB2312" w:hAnsi="CESI黑体-GB2312" w:eastAsia="CESI黑体-GB2312" w:cs="CESI黑体-GB2312"/>
          <w:color w:val="auto"/>
          <w:spacing w:val="0"/>
          <w:w w:val="100"/>
          <w:sz w:val="32"/>
          <w:szCs w:val="32"/>
        </w:rPr>
        <w:t>四、保障措施</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right="277" w:firstLine="640"/>
        <w:jc w:val="both"/>
        <w:textAlignment w:val="auto"/>
        <w:rPr>
          <w:rFonts w:hint="eastAsia" w:ascii="仿宋_GB2312" w:hAnsi="仿宋_GB2312" w:eastAsia="仿宋_GB2312" w:cs="仿宋_GB2312"/>
          <w:color w:val="auto"/>
          <w:spacing w:val="0"/>
          <w:w w:val="100"/>
          <w:sz w:val="32"/>
          <w:szCs w:val="32"/>
        </w:rPr>
      </w:pPr>
      <w:r>
        <w:rPr>
          <w:rFonts w:hint="eastAsia" w:ascii="楷体_GB2312" w:hAnsi="楷体_GB2312" w:eastAsia="楷体_GB2312" w:cs="楷体_GB2312"/>
          <w:color w:val="auto"/>
          <w:spacing w:val="0"/>
          <w:w w:val="100"/>
          <w:sz w:val="32"/>
          <w:szCs w:val="32"/>
        </w:rPr>
        <w:t>（一）加强组织领导。</w:t>
      </w:r>
      <w:r>
        <w:rPr>
          <w:rFonts w:hint="eastAsia" w:ascii="仿宋_GB2312" w:hAnsi="仿宋_GB2312" w:eastAsia="仿宋_GB2312" w:cs="仿宋_GB2312"/>
          <w:color w:val="auto"/>
          <w:spacing w:val="0"/>
          <w:w w:val="100"/>
          <w:sz w:val="32"/>
          <w:szCs w:val="32"/>
        </w:rPr>
        <w:t>各级人民政府对辖区内动物防疫工作负总责，组织有关部门按照职责分工，落实强制免疫工作责任。各级农业农村（畜牧兽医）部门负责制定并组织实施强制免疫计划。各级动物疫病预防</w:t>
      </w:r>
      <w:r>
        <w:rPr>
          <w:rFonts w:hint="eastAsia" w:ascii="仿宋_GB2312" w:hAnsi="仿宋_GB2312" w:eastAsia="仿宋_GB2312" w:cs="仿宋_GB2312"/>
          <w:color w:val="auto"/>
          <w:spacing w:val="0"/>
          <w:w w:val="100"/>
          <w:sz w:val="32"/>
          <w:szCs w:val="32"/>
          <w:lang w:eastAsia="zh-CN"/>
        </w:rPr>
        <w:t>与</w:t>
      </w:r>
      <w:r>
        <w:rPr>
          <w:rFonts w:hint="eastAsia" w:ascii="仿宋_GB2312" w:hAnsi="仿宋_GB2312" w:eastAsia="仿宋_GB2312" w:cs="仿宋_GB2312"/>
          <w:color w:val="auto"/>
          <w:spacing w:val="0"/>
          <w:w w:val="100"/>
          <w:sz w:val="32"/>
          <w:szCs w:val="32"/>
        </w:rPr>
        <w:t>控制机构负责开展强制免疫效果评价等。各级承担动物卫生监督职责的机构负责监督检查养殖场户履行强制免疫义务情况。</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760"/>
        <w:jc w:val="both"/>
        <w:textAlignment w:val="auto"/>
        <w:rPr>
          <w:rFonts w:hint="eastAsia" w:ascii="仿宋_GB2312" w:hAnsi="仿宋_GB2312" w:eastAsia="仿宋_GB2312" w:cs="仿宋_GB2312"/>
          <w:color w:val="auto"/>
          <w:spacing w:val="0"/>
          <w:w w:val="100"/>
          <w:sz w:val="32"/>
          <w:szCs w:val="32"/>
          <w:lang w:eastAsia="zh-CN"/>
        </w:rPr>
      </w:pPr>
      <w:r>
        <w:rPr>
          <w:rFonts w:hint="eastAsia" w:ascii="楷体_GB2312" w:hAnsi="楷体_GB2312" w:eastAsia="楷体_GB2312" w:cs="楷体_GB2312"/>
          <w:color w:val="auto"/>
          <w:spacing w:val="0"/>
          <w:w w:val="100"/>
          <w:sz w:val="32"/>
          <w:szCs w:val="32"/>
        </w:rPr>
        <w:t>（二）落实主体责任。</w:t>
      </w:r>
      <w:r>
        <w:rPr>
          <w:rFonts w:hint="eastAsia" w:ascii="仿宋_GB2312" w:hAnsi="仿宋_GB2312" w:eastAsia="仿宋_GB2312" w:cs="仿宋_GB2312"/>
          <w:color w:val="auto"/>
          <w:spacing w:val="0"/>
          <w:w w:val="100"/>
          <w:sz w:val="32"/>
          <w:szCs w:val="32"/>
        </w:rPr>
        <w:t>《中华人民共和国动物防疫法》</w:t>
      </w:r>
      <w:r>
        <w:rPr>
          <w:rFonts w:hint="eastAsia" w:ascii="仿宋_GB2312" w:hAnsi="仿宋_GB2312" w:eastAsia="仿宋_GB2312" w:cs="仿宋_GB2312"/>
          <w:color w:val="auto"/>
          <w:spacing w:val="0"/>
          <w:w w:val="100"/>
          <w:sz w:val="32"/>
          <w:szCs w:val="32"/>
          <w:lang w:eastAsia="zh-CN"/>
        </w:rPr>
        <w:t>、</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right="119"/>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《山东省动物防疫条例》规定，饲养动物的单位和个人是免疫主体，承担免疫责任。有关单位和个人应自行开展免疫或向第三方服务主体购买免疫服务，对饲养动物实施免疫接  种，并按照规定建立免疫档案、加施畜禽标识，确保可追溯。</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right="119" w:firstLine="640"/>
        <w:jc w:val="both"/>
        <w:textAlignment w:val="auto"/>
        <w:rPr>
          <w:rFonts w:hint="eastAsia" w:ascii="仿宋_GB2312" w:hAnsi="仿宋_GB2312" w:eastAsia="仿宋_GB2312" w:cs="仿宋_GB2312"/>
          <w:color w:val="auto"/>
          <w:spacing w:val="0"/>
          <w:w w:val="100"/>
          <w:sz w:val="32"/>
          <w:szCs w:val="32"/>
        </w:rPr>
      </w:pPr>
      <w:r>
        <w:rPr>
          <w:rFonts w:hint="eastAsia" w:ascii="楷体_GB2312" w:hAnsi="楷体_GB2312" w:eastAsia="楷体_GB2312" w:cs="楷体_GB2312"/>
          <w:color w:val="auto"/>
          <w:spacing w:val="0"/>
          <w:w w:val="100"/>
          <w:sz w:val="32"/>
          <w:szCs w:val="32"/>
        </w:rPr>
        <w:t>（三）强化经费支持。</w:t>
      </w:r>
      <w:r>
        <w:rPr>
          <w:rFonts w:hint="eastAsia" w:ascii="仿宋_GB2312" w:hAnsi="仿宋_GB2312" w:eastAsia="仿宋_GB2312" w:cs="仿宋_GB2312"/>
          <w:color w:val="auto"/>
          <w:spacing w:val="0"/>
          <w:w w:val="100"/>
          <w:sz w:val="32"/>
          <w:szCs w:val="32"/>
        </w:rPr>
        <w:t>我</w:t>
      </w:r>
      <w:r>
        <w:rPr>
          <w:rFonts w:hint="eastAsia" w:ascii="仿宋_GB2312" w:hAnsi="仿宋_GB2312" w:eastAsia="仿宋_GB2312" w:cs="仿宋_GB2312"/>
          <w:color w:val="auto"/>
          <w:spacing w:val="0"/>
          <w:w w:val="100"/>
          <w:sz w:val="32"/>
          <w:szCs w:val="32"/>
          <w:lang w:eastAsia="zh-CN"/>
        </w:rPr>
        <w:t>市</w:t>
      </w:r>
      <w:r>
        <w:rPr>
          <w:rFonts w:hint="eastAsia" w:ascii="仿宋_GB2312" w:hAnsi="仿宋_GB2312" w:eastAsia="仿宋_GB2312" w:cs="仿宋_GB2312"/>
          <w:color w:val="auto"/>
          <w:spacing w:val="0"/>
          <w:w w:val="100"/>
          <w:sz w:val="32"/>
          <w:szCs w:val="32"/>
        </w:rPr>
        <w:t>高致病性禽流感、口蹄疫、小反刍兽疫强制免疫疫苗经费仍由中央、省、市、县（市、区）四级财政共同分担，</w:t>
      </w:r>
      <w:r>
        <w:rPr>
          <w:rFonts w:hint="eastAsia" w:ascii="仿宋_GB2312" w:hAnsi="仿宋_GB2312" w:eastAsia="仿宋_GB2312" w:cs="仿宋_GB2312"/>
          <w:color w:val="auto"/>
          <w:spacing w:val="0"/>
          <w:w w:val="100"/>
          <w:sz w:val="32"/>
          <w:szCs w:val="32"/>
          <w:lang w:eastAsia="zh-CN"/>
        </w:rPr>
        <w:t>各级</w:t>
      </w:r>
      <w:r>
        <w:rPr>
          <w:rFonts w:hint="eastAsia" w:ascii="仿宋_GB2312" w:hAnsi="仿宋_GB2312" w:eastAsia="仿宋_GB2312" w:cs="仿宋_GB2312"/>
          <w:color w:val="auto"/>
          <w:spacing w:val="0"/>
          <w:w w:val="100"/>
          <w:sz w:val="32"/>
          <w:szCs w:val="32"/>
        </w:rPr>
        <w:t>农业农村（畜牧兽医）主管部门要积极协调本级财政部门， 加大本级财政支持力度，切实保障动物疫病防控各项经费落实到位。</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right="119" w:firstLine="640"/>
        <w:jc w:val="both"/>
        <w:textAlignment w:val="auto"/>
        <w:rPr>
          <w:rFonts w:hint="eastAsia" w:ascii="仿宋_GB2312" w:hAnsi="仿宋_GB2312" w:eastAsia="仿宋_GB2312" w:cs="仿宋_GB2312"/>
          <w:color w:val="auto"/>
          <w:spacing w:val="0"/>
          <w:w w:val="100"/>
          <w:sz w:val="32"/>
          <w:szCs w:val="32"/>
        </w:rPr>
      </w:pPr>
      <w:r>
        <w:rPr>
          <w:rFonts w:hint="eastAsia" w:ascii="楷体_GB2312" w:hAnsi="楷体_GB2312" w:eastAsia="楷体_GB2312" w:cs="楷体_GB2312"/>
          <w:color w:val="auto"/>
          <w:spacing w:val="0"/>
          <w:w w:val="100"/>
          <w:sz w:val="32"/>
          <w:szCs w:val="32"/>
        </w:rPr>
        <w:t>（四）加强宣传培训。</w:t>
      </w:r>
      <w:r>
        <w:rPr>
          <w:rFonts w:hint="eastAsia" w:ascii="仿宋_GB2312" w:hAnsi="仿宋_GB2312" w:eastAsia="仿宋_GB2312" w:cs="仿宋_GB2312"/>
          <w:color w:val="auto"/>
          <w:spacing w:val="0"/>
          <w:w w:val="100"/>
          <w:sz w:val="32"/>
          <w:szCs w:val="32"/>
        </w:rPr>
        <w:t>各</w:t>
      </w:r>
      <w:r>
        <w:rPr>
          <w:rFonts w:hint="eastAsia" w:ascii="仿宋_GB2312" w:hAnsi="仿宋_GB2312" w:eastAsia="仿宋_GB2312" w:cs="仿宋_GB2312"/>
          <w:color w:val="auto"/>
          <w:spacing w:val="0"/>
          <w:w w:val="100"/>
          <w:sz w:val="32"/>
          <w:szCs w:val="32"/>
          <w:lang w:eastAsia="zh-CN"/>
        </w:rPr>
        <w:t>区市</w:t>
      </w:r>
      <w:r>
        <w:rPr>
          <w:rFonts w:hint="eastAsia" w:ascii="仿宋_GB2312" w:hAnsi="仿宋_GB2312" w:eastAsia="仿宋_GB2312" w:cs="仿宋_GB2312"/>
          <w:color w:val="auto"/>
          <w:spacing w:val="0"/>
          <w:w w:val="100"/>
          <w:sz w:val="32"/>
          <w:szCs w:val="32"/>
        </w:rPr>
        <w:t>要充分利用各类媒体，加大强制免疫政策的宣传力度，将强制免疫“先打后补”政策说明讲透，确保广大养殖场户应知尽知。要制定免疫病种的免疫培训方案，定期开展及时培训，强化自购自免养殖场户免疫技术指导，督促其科学规范开展免疫，加强个人防护。</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760"/>
        <w:jc w:val="both"/>
        <w:textAlignment w:val="auto"/>
        <w:rPr>
          <w:rFonts w:hint="eastAsia" w:ascii="CESI黑体-GB2312" w:hAnsi="CESI黑体-GB2312" w:eastAsia="CESI黑体-GB2312" w:cs="CESI黑体-GB2312"/>
          <w:color w:val="auto"/>
          <w:spacing w:val="0"/>
          <w:w w:val="100"/>
          <w:sz w:val="32"/>
          <w:szCs w:val="32"/>
        </w:rPr>
      </w:pPr>
      <w:r>
        <w:rPr>
          <w:rFonts w:hint="eastAsia" w:ascii="CESI黑体-GB2312" w:hAnsi="CESI黑体-GB2312" w:eastAsia="CESI黑体-GB2312" w:cs="CESI黑体-GB2312"/>
          <w:color w:val="auto"/>
          <w:spacing w:val="0"/>
          <w:w w:val="100"/>
          <w:sz w:val="32"/>
          <w:szCs w:val="32"/>
        </w:rPr>
        <w:t>五、监督管理</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right="119" w:firstLine="626"/>
        <w:jc w:val="both"/>
        <w:textAlignment w:val="auto"/>
        <w:rPr>
          <w:rFonts w:hint="eastAsia" w:ascii="仿宋_GB2312" w:hAnsi="仿宋_GB2312" w:eastAsia="仿宋_GB2312" w:cs="仿宋_GB2312"/>
          <w:color w:val="auto"/>
          <w:spacing w:val="0"/>
          <w:w w:val="100"/>
          <w:sz w:val="32"/>
          <w:szCs w:val="32"/>
        </w:rPr>
      </w:pPr>
      <w:r>
        <w:rPr>
          <w:rFonts w:hint="eastAsia" w:ascii="楷体_GB2312" w:hAnsi="楷体_GB2312" w:eastAsia="楷体_GB2312" w:cs="楷体_GB2312"/>
          <w:color w:val="auto"/>
          <w:spacing w:val="0"/>
          <w:w w:val="100"/>
          <w:sz w:val="32"/>
          <w:szCs w:val="32"/>
        </w:rPr>
        <w:t>（一）强化免疫责任。</w:t>
      </w:r>
      <w:r>
        <w:rPr>
          <w:rFonts w:hint="eastAsia" w:ascii="仿宋_GB2312" w:hAnsi="仿宋_GB2312" w:eastAsia="仿宋_GB2312" w:cs="仿宋_GB2312"/>
          <w:color w:val="auto"/>
          <w:spacing w:val="0"/>
          <w:w w:val="100"/>
          <w:sz w:val="32"/>
          <w:szCs w:val="32"/>
        </w:rPr>
        <w:t>各</w:t>
      </w:r>
      <w:r>
        <w:rPr>
          <w:rFonts w:hint="eastAsia" w:ascii="仿宋_GB2312" w:hAnsi="仿宋_GB2312" w:eastAsia="仿宋_GB2312" w:cs="仿宋_GB2312"/>
          <w:color w:val="auto"/>
          <w:spacing w:val="0"/>
          <w:w w:val="100"/>
          <w:sz w:val="32"/>
          <w:szCs w:val="32"/>
          <w:lang w:eastAsia="zh-CN"/>
        </w:rPr>
        <w:t>区市</w:t>
      </w:r>
      <w:r>
        <w:rPr>
          <w:rFonts w:hint="eastAsia" w:ascii="仿宋_GB2312" w:hAnsi="仿宋_GB2312" w:eastAsia="仿宋_GB2312" w:cs="仿宋_GB2312"/>
          <w:color w:val="auto"/>
          <w:spacing w:val="0"/>
          <w:w w:val="100"/>
          <w:sz w:val="32"/>
          <w:szCs w:val="32"/>
        </w:rPr>
        <w:t>要督促落实养殖场户免疫主体责任，提升自主免疫意识，提高科学养殖和防疫水平。严格执行高致病性禽流感等重大动物疫病非免疫企业备案制  度，压实养殖场户防控主体责任。要落实强制免疫监管责任， 针对免疫工作，逐个环节细化责任，层层落实到场到户到人。 对拒不履行强制免疫义务、因免疫不到位引发动物疫情的单位和个人，要依法处理并追究相关单位和人员责任。</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right="277" w:firstLine="626"/>
        <w:jc w:val="both"/>
        <w:textAlignment w:val="auto"/>
        <w:rPr>
          <w:rFonts w:hint="eastAsia" w:ascii="仿宋_GB2312" w:hAnsi="仿宋_GB2312" w:eastAsia="仿宋_GB2312" w:cs="仿宋_GB2312"/>
          <w:color w:val="auto"/>
          <w:spacing w:val="0"/>
          <w:w w:val="100"/>
          <w:sz w:val="32"/>
          <w:szCs w:val="32"/>
        </w:rPr>
      </w:pPr>
      <w:r>
        <w:rPr>
          <w:rFonts w:hint="eastAsia" w:ascii="楷体_GB2312" w:hAnsi="楷体_GB2312" w:eastAsia="楷体_GB2312" w:cs="楷体_GB2312"/>
          <w:color w:val="auto"/>
          <w:spacing w:val="0"/>
          <w:w w:val="100"/>
          <w:sz w:val="32"/>
          <w:szCs w:val="32"/>
        </w:rPr>
        <w:t>（二）强化效果监测。</w:t>
      </w:r>
      <w:r>
        <w:rPr>
          <w:rFonts w:hint="eastAsia" w:ascii="仿宋_GB2312" w:hAnsi="仿宋_GB2312" w:eastAsia="仿宋_GB2312" w:cs="仿宋_GB2312"/>
          <w:color w:val="auto"/>
          <w:spacing w:val="0"/>
          <w:w w:val="100"/>
          <w:sz w:val="32"/>
          <w:szCs w:val="32"/>
        </w:rPr>
        <w:t>各</w:t>
      </w:r>
      <w:r>
        <w:rPr>
          <w:rFonts w:hint="eastAsia" w:ascii="仿宋_GB2312" w:hAnsi="仿宋_GB2312" w:eastAsia="仿宋_GB2312" w:cs="仿宋_GB2312"/>
          <w:color w:val="auto"/>
          <w:spacing w:val="0"/>
          <w:w w:val="100"/>
          <w:sz w:val="32"/>
          <w:szCs w:val="32"/>
          <w:lang w:eastAsia="zh-CN"/>
        </w:rPr>
        <w:t>区市</w:t>
      </w:r>
      <w:r>
        <w:rPr>
          <w:rFonts w:hint="eastAsia" w:ascii="仿宋_GB2312" w:hAnsi="仿宋_GB2312" w:eastAsia="仿宋_GB2312" w:cs="仿宋_GB2312"/>
          <w:color w:val="auto"/>
          <w:spacing w:val="0"/>
          <w:w w:val="100"/>
          <w:sz w:val="32"/>
          <w:szCs w:val="32"/>
        </w:rPr>
        <w:t>要及时开展免疫效果评价， 采用常规监测与随机抽检相结合的方式，定期组织对免疫畜禽进行抽检，对免疫抗体合格率达不到规定要求的，要尽快组织补免。要重点加大对强制免疫“先打后补”养殖场户的抽检力度，确保免疫效果。</w:t>
      </w:r>
      <w:r>
        <w:rPr>
          <w:rFonts w:hint="eastAsia" w:ascii="仿宋_GB2312" w:hAnsi="仿宋_GB2312" w:eastAsia="仿宋_GB2312" w:cs="仿宋_GB2312"/>
          <w:color w:val="auto"/>
          <w:spacing w:val="0"/>
          <w:w w:val="100"/>
          <w:sz w:val="32"/>
          <w:szCs w:val="32"/>
          <w:lang w:eastAsia="zh-CN"/>
        </w:rPr>
        <w:t>市</w:t>
      </w:r>
      <w:r>
        <w:rPr>
          <w:rFonts w:hint="eastAsia" w:ascii="仿宋_GB2312" w:hAnsi="仿宋_GB2312" w:eastAsia="仿宋_GB2312" w:cs="仿宋_GB2312"/>
          <w:color w:val="auto"/>
          <w:spacing w:val="0"/>
          <w:w w:val="100"/>
          <w:sz w:val="32"/>
          <w:szCs w:val="32"/>
        </w:rPr>
        <w:t>里将定期对各</w:t>
      </w:r>
      <w:r>
        <w:rPr>
          <w:rFonts w:hint="eastAsia" w:ascii="仿宋_GB2312" w:hAnsi="仿宋_GB2312" w:eastAsia="仿宋_GB2312" w:cs="仿宋_GB2312"/>
          <w:color w:val="auto"/>
          <w:spacing w:val="0"/>
          <w:w w:val="100"/>
          <w:sz w:val="32"/>
          <w:szCs w:val="32"/>
          <w:lang w:eastAsia="zh-CN"/>
        </w:rPr>
        <w:t>区市</w:t>
      </w:r>
      <w:r>
        <w:rPr>
          <w:rFonts w:hint="eastAsia" w:ascii="仿宋_GB2312" w:hAnsi="仿宋_GB2312" w:eastAsia="仿宋_GB2312" w:cs="仿宋_GB2312"/>
          <w:color w:val="auto"/>
          <w:spacing w:val="0"/>
          <w:w w:val="100"/>
          <w:sz w:val="32"/>
          <w:szCs w:val="32"/>
        </w:rPr>
        <w:t>免疫效果开展监督抽检，通报检查结果。</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right="280" w:firstLine="626"/>
        <w:jc w:val="both"/>
        <w:textAlignment w:val="auto"/>
        <w:rPr>
          <w:rFonts w:hint="eastAsia" w:ascii="仿宋_GB2312" w:hAnsi="仿宋_GB2312" w:eastAsia="仿宋_GB2312" w:cs="仿宋_GB2312"/>
          <w:color w:val="auto"/>
          <w:spacing w:val="0"/>
          <w:w w:val="100"/>
          <w:sz w:val="32"/>
          <w:szCs w:val="32"/>
        </w:rPr>
      </w:pPr>
      <w:r>
        <w:rPr>
          <w:rFonts w:hint="eastAsia" w:ascii="楷体_GB2312" w:hAnsi="楷体_GB2312" w:eastAsia="楷体_GB2312" w:cs="楷体_GB2312"/>
          <w:color w:val="auto"/>
          <w:spacing w:val="0"/>
          <w:w w:val="100"/>
          <w:sz w:val="32"/>
          <w:szCs w:val="32"/>
        </w:rPr>
        <w:t>（三）强化监督管理。</w:t>
      </w:r>
      <w:r>
        <w:rPr>
          <w:rFonts w:hint="eastAsia" w:ascii="仿宋_GB2312" w:hAnsi="仿宋_GB2312" w:eastAsia="仿宋_GB2312" w:cs="仿宋_GB2312"/>
          <w:color w:val="auto"/>
          <w:spacing w:val="0"/>
          <w:w w:val="100"/>
          <w:sz w:val="32"/>
          <w:szCs w:val="32"/>
        </w:rPr>
        <w:t>各</w:t>
      </w:r>
      <w:r>
        <w:rPr>
          <w:rFonts w:hint="eastAsia" w:ascii="仿宋_GB2312" w:hAnsi="仿宋_GB2312" w:eastAsia="仿宋_GB2312" w:cs="仿宋_GB2312"/>
          <w:color w:val="auto"/>
          <w:spacing w:val="0"/>
          <w:w w:val="100"/>
          <w:sz w:val="32"/>
          <w:szCs w:val="32"/>
          <w:lang w:eastAsia="zh-CN"/>
        </w:rPr>
        <w:t>区市</w:t>
      </w:r>
      <w:r>
        <w:rPr>
          <w:rFonts w:hint="eastAsia" w:ascii="仿宋_GB2312" w:hAnsi="仿宋_GB2312" w:eastAsia="仿宋_GB2312" w:cs="仿宋_GB2312"/>
          <w:color w:val="auto"/>
          <w:spacing w:val="0"/>
          <w:w w:val="100"/>
          <w:sz w:val="32"/>
          <w:szCs w:val="32"/>
        </w:rPr>
        <w:t>要加强对辖区内强制免疫疫苗生产经营企业的监督管理，督促生产企业严格执行兽药生产质量管理规范（GMP）。全面实施兽药“二维码”管理制度，加强疫苗质量追踪和全程质量监管，严厉打击制售假劣疫苗行为。</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right="277" w:firstLine="626"/>
        <w:jc w:val="both"/>
        <w:textAlignment w:val="auto"/>
        <w:rPr>
          <w:rFonts w:hint="eastAsia" w:ascii="仿宋_GB2312" w:hAnsi="仿宋_GB2312" w:eastAsia="仿宋_GB2312" w:cs="仿宋_GB2312"/>
          <w:color w:val="auto"/>
          <w:spacing w:val="0"/>
          <w:w w:val="100"/>
          <w:sz w:val="32"/>
          <w:szCs w:val="32"/>
        </w:rPr>
      </w:pPr>
      <w:r>
        <w:rPr>
          <w:rFonts w:hint="eastAsia" w:ascii="楷体_GB2312" w:hAnsi="楷体_GB2312" w:eastAsia="楷体_GB2312" w:cs="楷体_GB2312"/>
          <w:color w:val="auto"/>
          <w:spacing w:val="0"/>
          <w:w w:val="100"/>
          <w:sz w:val="32"/>
          <w:szCs w:val="32"/>
        </w:rPr>
        <w:t>（四）强化督导评估。</w:t>
      </w:r>
      <w:r>
        <w:rPr>
          <w:rFonts w:hint="eastAsia" w:ascii="仿宋_GB2312" w:hAnsi="仿宋_GB2312" w:eastAsia="仿宋_GB2312" w:cs="仿宋_GB2312"/>
          <w:color w:val="auto"/>
          <w:spacing w:val="0"/>
          <w:w w:val="100"/>
          <w:sz w:val="32"/>
          <w:szCs w:val="32"/>
        </w:rPr>
        <w:t>各</w:t>
      </w:r>
      <w:r>
        <w:rPr>
          <w:rFonts w:hint="eastAsia" w:ascii="仿宋_GB2312" w:hAnsi="仿宋_GB2312" w:eastAsia="仿宋_GB2312" w:cs="仿宋_GB2312"/>
          <w:color w:val="auto"/>
          <w:spacing w:val="0"/>
          <w:w w:val="100"/>
          <w:sz w:val="32"/>
          <w:szCs w:val="32"/>
          <w:lang w:eastAsia="zh-CN"/>
        </w:rPr>
        <w:t>区市</w:t>
      </w:r>
      <w:r>
        <w:rPr>
          <w:rFonts w:hint="eastAsia" w:ascii="仿宋_GB2312" w:hAnsi="仿宋_GB2312" w:eastAsia="仿宋_GB2312" w:cs="仿宋_GB2312"/>
          <w:color w:val="auto"/>
          <w:spacing w:val="0"/>
          <w:w w:val="100"/>
          <w:sz w:val="32"/>
          <w:szCs w:val="32"/>
        </w:rPr>
        <w:t>要对辖区内动物疫病强制免疫工作开展情况进行定期检查评价，对发现的问题，认真研究解决，及时督促整改，切实消除隐患。</w:t>
      </w:r>
      <w:r>
        <w:rPr>
          <w:rFonts w:hint="eastAsia" w:ascii="仿宋_GB2312" w:hAnsi="仿宋_GB2312" w:eastAsia="仿宋_GB2312" w:cs="仿宋_GB2312"/>
          <w:color w:val="auto"/>
          <w:spacing w:val="0"/>
          <w:w w:val="100"/>
          <w:sz w:val="32"/>
          <w:szCs w:val="32"/>
          <w:lang w:eastAsia="zh-CN"/>
        </w:rPr>
        <w:t>市畜牧业发展中心</w:t>
      </w:r>
      <w:r>
        <w:rPr>
          <w:rFonts w:hint="eastAsia" w:ascii="仿宋_GB2312" w:hAnsi="仿宋_GB2312" w:eastAsia="仿宋_GB2312" w:cs="仿宋_GB2312"/>
          <w:color w:val="auto"/>
          <w:spacing w:val="0"/>
          <w:w w:val="100"/>
          <w:sz w:val="32"/>
          <w:szCs w:val="32"/>
        </w:rPr>
        <w:t>将结合</w:t>
      </w:r>
      <w:r>
        <w:rPr>
          <w:rFonts w:hint="eastAsia" w:ascii="仿宋_GB2312" w:hAnsi="仿宋_GB2312" w:eastAsia="仿宋_GB2312" w:cs="仿宋_GB2312"/>
          <w:color w:val="auto"/>
          <w:spacing w:val="0"/>
          <w:w w:val="100"/>
          <w:sz w:val="32"/>
          <w:szCs w:val="32"/>
          <w:lang w:eastAsia="zh-CN"/>
        </w:rPr>
        <w:t>农业农村部和省畜牧兽医局</w:t>
      </w:r>
      <w:r>
        <w:rPr>
          <w:rFonts w:hint="eastAsia" w:ascii="仿宋_GB2312" w:hAnsi="仿宋_GB2312" w:eastAsia="仿宋_GB2312" w:cs="仿宋_GB2312"/>
          <w:color w:val="auto"/>
          <w:spacing w:val="0"/>
          <w:w w:val="100"/>
          <w:sz w:val="32"/>
          <w:szCs w:val="32"/>
        </w:rPr>
        <w:t>春秋两季重大动物疫病防控情况检查要求，组织开展全</w:t>
      </w:r>
      <w:r>
        <w:rPr>
          <w:rFonts w:hint="eastAsia" w:ascii="仿宋_GB2312" w:hAnsi="仿宋_GB2312" w:eastAsia="仿宋_GB2312" w:cs="仿宋_GB2312"/>
          <w:color w:val="auto"/>
          <w:spacing w:val="0"/>
          <w:w w:val="100"/>
          <w:sz w:val="32"/>
          <w:szCs w:val="32"/>
          <w:lang w:eastAsia="zh-CN"/>
        </w:rPr>
        <w:t>市</w:t>
      </w:r>
      <w:r>
        <w:rPr>
          <w:rFonts w:hint="eastAsia" w:ascii="仿宋_GB2312" w:hAnsi="仿宋_GB2312" w:eastAsia="仿宋_GB2312" w:cs="仿宋_GB2312"/>
          <w:color w:val="auto"/>
          <w:spacing w:val="0"/>
          <w:w w:val="100"/>
          <w:sz w:val="32"/>
          <w:szCs w:val="32"/>
        </w:rPr>
        <w:t>动物疫病防控情况检查考核评估。</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right="277" w:firstLine="626"/>
        <w:jc w:val="both"/>
        <w:textAlignment w:val="auto"/>
        <w:rPr>
          <w:rFonts w:hint="eastAsia" w:ascii="仿宋_GB2312" w:hAnsi="仿宋_GB2312" w:eastAsia="仿宋_GB2312" w:cs="仿宋_GB2312"/>
          <w:color w:val="auto"/>
          <w:spacing w:val="0"/>
          <w:w w:val="100"/>
          <w:sz w:val="32"/>
          <w:szCs w:val="32"/>
        </w:rPr>
      </w:pP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1720" w:right="2507" w:hanging="963"/>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附件：1.高致病性禽流感免疫技术方案2.口蹄疫免疫技术方案</w:t>
      </w:r>
    </w:p>
    <w:p>
      <w:pPr>
        <w:pStyle w:val="9"/>
        <w:keepNext w:val="0"/>
        <w:keepLines w:val="0"/>
        <w:pageBreakBefore w:val="0"/>
        <w:widowControl w:val="0"/>
        <w:numPr>
          <w:ilvl w:val="0"/>
          <w:numId w:val="0"/>
        </w:numPr>
        <w:tabs>
          <w:tab w:val="left" w:pos="2040"/>
        </w:tabs>
        <w:kinsoku/>
        <w:wordWrap/>
        <w:overflowPunct/>
        <w:topLinePunct w:val="0"/>
        <w:autoSpaceDE w:val="0"/>
        <w:autoSpaceDN w:val="0"/>
        <w:bidi w:val="0"/>
        <w:adjustRightInd/>
        <w:snapToGrid/>
        <w:spacing w:before="0" w:after="0" w:line="600" w:lineRule="exact"/>
        <w:ind w:left="1720" w:leftChars="0" w:right="0" w:rightChars="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lang w:val="en-US" w:eastAsia="zh-CN"/>
        </w:rPr>
        <w:t>3.</w:t>
      </w:r>
      <w:r>
        <w:rPr>
          <w:rFonts w:hint="eastAsia" w:ascii="仿宋_GB2312" w:hAnsi="仿宋_GB2312" w:eastAsia="仿宋_GB2312" w:cs="仿宋_GB2312"/>
          <w:color w:val="auto"/>
          <w:spacing w:val="0"/>
          <w:w w:val="100"/>
          <w:sz w:val="32"/>
          <w:szCs w:val="32"/>
        </w:rPr>
        <w:t>小反刍兽疫免疫技术方案</w:t>
      </w:r>
    </w:p>
    <w:p>
      <w:pPr>
        <w:pStyle w:val="9"/>
        <w:keepNext w:val="0"/>
        <w:keepLines w:val="0"/>
        <w:pageBreakBefore w:val="0"/>
        <w:widowControl w:val="0"/>
        <w:numPr>
          <w:ilvl w:val="0"/>
          <w:numId w:val="0"/>
        </w:numPr>
        <w:tabs>
          <w:tab w:val="left" w:pos="2043"/>
        </w:tabs>
        <w:kinsoku/>
        <w:wordWrap/>
        <w:overflowPunct/>
        <w:topLinePunct w:val="0"/>
        <w:autoSpaceDE w:val="0"/>
        <w:autoSpaceDN w:val="0"/>
        <w:bidi w:val="0"/>
        <w:adjustRightInd/>
        <w:snapToGrid/>
        <w:spacing w:before="0" w:after="0" w:line="600" w:lineRule="exact"/>
        <w:ind w:left="1719" w:leftChars="0" w:right="0" w:rightChars="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lang w:val="en-US" w:eastAsia="zh-CN"/>
        </w:rPr>
        <w:t>4.</w:t>
      </w:r>
      <w:r>
        <w:rPr>
          <w:rFonts w:hint="eastAsia" w:ascii="仿宋_GB2312" w:hAnsi="仿宋_GB2312" w:eastAsia="仿宋_GB2312" w:cs="仿宋_GB2312"/>
          <w:color w:val="auto"/>
          <w:spacing w:val="0"/>
          <w:w w:val="100"/>
          <w:sz w:val="32"/>
          <w:szCs w:val="32"/>
        </w:rPr>
        <w:t>猪瘟免疫技术方案</w:t>
      </w:r>
    </w:p>
    <w:p>
      <w:pPr>
        <w:pStyle w:val="9"/>
        <w:keepNext w:val="0"/>
        <w:keepLines w:val="0"/>
        <w:pageBreakBefore w:val="0"/>
        <w:widowControl w:val="0"/>
        <w:numPr>
          <w:ilvl w:val="0"/>
          <w:numId w:val="0"/>
        </w:numPr>
        <w:tabs>
          <w:tab w:val="left" w:pos="2043"/>
        </w:tabs>
        <w:kinsoku/>
        <w:wordWrap/>
        <w:overflowPunct/>
        <w:topLinePunct w:val="0"/>
        <w:autoSpaceDE w:val="0"/>
        <w:autoSpaceDN w:val="0"/>
        <w:bidi w:val="0"/>
        <w:adjustRightInd/>
        <w:snapToGrid/>
        <w:spacing w:before="0" w:after="0" w:line="600" w:lineRule="exact"/>
        <w:ind w:left="1719" w:leftChars="0" w:right="0" w:rightChars="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lang w:val="en-US" w:eastAsia="zh-CN"/>
        </w:rPr>
        <w:t>5.</w:t>
      </w:r>
      <w:r>
        <w:rPr>
          <w:rFonts w:hint="eastAsia" w:ascii="仿宋_GB2312" w:hAnsi="仿宋_GB2312" w:eastAsia="仿宋_GB2312" w:cs="仿宋_GB2312"/>
          <w:color w:val="auto"/>
          <w:spacing w:val="0"/>
          <w:w w:val="100"/>
          <w:sz w:val="32"/>
          <w:szCs w:val="32"/>
        </w:rPr>
        <w:t>猪繁殖与呼吸综合征免疫技术方案</w:t>
      </w:r>
    </w:p>
    <w:p>
      <w:pPr>
        <w:pStyle w:val="9"/>
        <w:keepNext w:val="0"/>
        <w:keepLines w:val="0"/>
        <w:pageBreakBefore w:val="0"/>
        <w:widowControl w:val="0"/>
        <w:numPr>
          <w:ilvl w:val="0"/>
          <w:numId w:val="0"/>
        </w:numPr>
        <w:tabs>
          <w:tab w:val="left" w:pos="2043"/>
        </w:tabs>
        <w:kinsoku/>
        <w:wordWrap/>
        <w:overflowPunct/>
        <w:topLinePunct w:val="0"/>
        <w:autoSpaceDE w:val="0"/>
        <w:autoSpaceDN w:val="0"/>
        <w:bidi w:val="0"/>
        <w:adjustRightInd/>
        <w:snapToGrid/>
        <w:spacing w:before="0" w:after="0" w:line="600" w:lineRule="exact"/>
        <w:ind w:left="1719" w:leftChars="0" w:right="0" w:rightChars="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lang w:val="en-US" w:eastAsia="zh-CN"/>
        </w:rPr>
        <w:t>6.</w:t>
      </w:r>
      <w:r>
        <w:rPr>
          <w:rFonts w:hint="eastAsia" w:ascii="仿宋_GB2312" w:hAnsi="仿宋_GB2312" w:eastAsia="仿宋_GB2312" w:cs="仿宋_GB2312"/>
          <w:color w:val="auto"/>
          <w:spacing w:val="0"/>
          <w:w w:val="100"/>
          <w:sz w:val="32"/>
          <w:szCs w:val="32"/>
        </w:rPr>
        <w:t>新城疫免疫技术方案</w:t>
      </w:r>
    </w:p>
    <w:p>
      <w:pPr>
        <w:pStyle w:val="9"/>
        <w:keepNext w:val="0"/>
        <w:keepLines w:val="0"/>
        <w:pageBreakBefore w:val="0"/>
        <w:widowControl w:val="0"/>
        <w:numPr>
          <w:ilvl w:val="0"/>
          <w:numId w:val="0"/>
        </w:numPr>
        <w:tabs>
          <w:tab w:val="left" w:pos="2043"/>
        </w:tabs>
        <w:kinsoku/>
        <w:wordWrap/>
        <w:overflowPunct/>
        <w:topLinePunct w:val="0"/>
        <w:autoSpaceDE w:val="0"/>
        <w:autoSpaceDN w:val="0"/>
        <w:bidi w:val="0"/>
        <w:adjustRightInd/>
        <w:snapToGrid/>
        <w:spacing w:before="0" w:after="0" w:line="600" w:lineRule="exact"/>
        <w:ind w:left="1719" w:leftChars="0" w:right="0" w:rightChars="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lang w:val="en-US" w:eastAsia="zh-CN"/>
        </w:rPr>
        <w:t>7.</w:t>
      </w:r>
      <w:r>
        <w:rPr>
          <w:rFonts w:hint="eastAsia" w:ascii="仿宋_GB2312" w:hAnsi="仿宋_GB2312" w:eastAsia="仿宋_GB2312" w:cs="仿宋_GB2312"/>
          <w:color w:val="auto"/>
          <w:spacing w:val="0"/>
          <w:w w:val="100"/>
          <w:sz w:val="32"/>
          <w:szCs w:val="32"/>
        </w:rPr>
        <w:t>牛结节性皮肤病免疫技术方案</w:t>
      </w:r>
    </w:p>
    <w:p>
      <w:pPr>
        <w:pStyle w:val="9"/>
        <w:keepNext w:val="0"/>
        <w:keepLines w:val="0"/>
        <w:pageBreakBefore w:val="0"/>
        <w:widowControl w:val="0"/>
        <w:numPr>
          <w:ilvl w:val="0"/>
          <w:numId w:val="0"/>
        </w:numPr>
        <w:tabs>
          <w:tab w:val="left" w:pos="2043"/>
        </w:tabs>
        <w:kinsoku/>
        <w:wordWrap/>
        <w:overflowPunct/>
        <w:topLinePunct w:val="0"/>
        <w:autoSpaceDE w:val="0"/>
        <w:autoSpaceDN w:val="0"/>
        <w:bidi w:val="0"/>
        <w:adjustRightInd/>
        <w:snapToGrid/>
        <w:spacing w:before="0" w:after="0" w:line="600" w:lineRule="exact"/>
        <w:ind w:left="1719" w:leftChars="0" w:right="0" w:rightChars="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lang w:val="en-US" w:eastAsia="zh-CN"/>
        </w:rPr>
        <w:t>8.</w:t>
      </w:r>
      <w:r>
        <w:rPr>
          <w:rFonts w:hint="eastAsia" w:ascii="仿宋_GB2312" w:hAnsi="仿宋_GB2312" w:eastAsia="仿宋_GB2312" w:cs="仿宋_GB2312"/>
          <w:color w:val="auto"/>
          <w:spacing w:val="0"/>
          <w:w w:val="100"/>
          <w:sz w:val="32"/>
          <w:szCs w:val="32"/>
        </w:rPr>
        <w:t>炭疽免疫技术方案</w:t>
      </w:r>
    </w:p>
    <w:p>
      <w:pPr>
        <w:pStyle w:val="9"/>
        <w:keepNext w:val="0"/>
        <w:keepLines w:val="0"/>
        <w:pageBreakBefore w:val="0"/>
        <w:widowControl w:val="0"/>
        <w:numPr>
          <w:ilvl w:val="0"/>
          <w:numId w:val="0"/>
        </w:numPr>
        <w:tabs>
          <w:tab w:val="left" w:pos="2201"/>
        </w:tabs>
        <w:kinsoku/>
        <w:wordWrap/>
        <w:overflowPunct/>
        <w:topLinePunct w:val="0"/>
        <w:autoSpaceDE w:val="0"/>
        <w:autoSpaceDN w:val="0"/>
        <w:bidi w:val="0"/>
        <w:adjustRightInd/>
        <w:snapToGrid/>
        <w:spacing w:before="0" w:after="0" w:line="600" w:lineRule="exact"/>
        <w:ind w:left="1719" w:leftChars="0" w:right="0" w:rightChars="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lang w:val="en-US" w:eastAsia="zh-CN"/>
        </w:rPr>
        <w:t>9.</w:t>
      </w:r>
      <w:r>
        <w:rPr>
          <w:rFonts w:hint="eastAsia" w:ascii="仿宋_GB2312" w:hAnsi="仿宋_GB2312" w:eastAsia="仿宋_GB2312" w:cs="仿宋_GB2312"/>
          <w:color w:val="auto"/>
          <w:spacing w:val="0"/>
          <w:w w:val="100"/>
          <w:sz w:val="32"/>
          <w:szCs w:val="32"/>
        </w:rPr>
        <w:t>狂犬病免疫技术方案</w:t>
      </w:r>
    </w:p>
    <w:p>
      <w:pPr>
        <w:keepNext w:val="0"/>
        <w:keepLines w:val="0"/>
        <w:pageBreakBefore w:val="0"/>
        <w:widowControl w:val="0"/>
        <w:kinsoku/>
        <w:wordWrap/>
        <w:overflowPunct/>
        <w:topLinePunct w:val="0"/>
        <w:autoSpaceDE w:val="0"/>
        <w:autoSpaceDN w:val="0"/>
        <w:bidi w:val="0"/>
        <w:adjustRightInd/>
        <w:snapToGrid/>
        <w:spacing w:before="0" w:after="0" w:line="600" w:lineRule="exact"/>
        <w:jc w:val="both"/>
        <w:textAlignment w:val="auto"/>
        <w:rPr>
          <w:rFonts w:hint="eastAsia" w:ascii="仿宋_GB2312" w:hAnsi="仿宋_GB2312" w:eastAsia="仿宋_GB2312" w:cs="仿宋_GB2312"/>
          <w:color w:val="auto"/>
          <w:spacing w:val="0"/>
          <w:w w:val="100"/>
          <w:sz w:val="32"/>
          <w:szCs w:val="32"/>
        </w:rPr>
        <w:sectPr>
          <w:pgSz w:w="11910" w:h="16840"/>
          <w:pgMar w:top="2098" w:right="1587" w:bottom="2098" w:left="1587" w:header="720" w:footer="969" w:gutter="0"/>
          <w:cols w:space="0" w:num="1"/>
          <w:rtlGutter w:val="0"/>
          <w:docGrid w:linePitch="0" w:charSpace="0"/>
        </w:sectPr>
      </w:pPr>
    </w:p>
    <w:p>
      <w:pPr>
        <w:pStyle w:val="3"/>
        <w:keepNext w:val="0"/>
        <w:keepLines w:val="0"/>
        <w:pageBreakBefore w:val="0"/>
        <w:widowControl w:val="0"/>
        <w:kinsoku/>
        <w:wordWrap/>
        <w:overflowPunct/>
        <w:topLinePunct w:val="0"/>
        <w:autoSpaceDE w:val="0"/>
        <w:autoSpaceDN w:val="0"/>
        <w:bidi w:val="0"/>
        <w:adjustRightInd/>
        <w:snapToGrid/>
        <w:spacing w:before="0" w:line="600" w:lineRule="exact"/>
        <w:jc w:val="both"/>
        <w:textAlignment w:val="auto"/>
        <w:rPr>
          <w:rFonts w:hint="eastAsia" w:ascii="CESI黑体-GB2312" w:hAnsi="CESI黑体-GB2312" w:eastAsia="CESI黑体-GB2312" w:cs="CESI黑体-GB2312"/>
          <w:color w:val="auto"/>
          <w:spacing w:val="0"/>
          <w:w w:val="100"/>
          <w:sz w:val="32"/>
          <w:szCs w:val="32"/>
        </w:rPr>
      </w:pPr>
      <w:r>
        <w:rPr>
          <w:rFonts w:hint="eastAsia" w:ascii="CESI黑体-GB2312" w:hAnsi="CESI黑体-GB2312" w:eastAsia="CESI黑体-GB2312" w:cs="CESI黑体-GB2312"/>
          <w:color w:val="auto"/>
          <w:spacing w:val="0"/>
          <w:w w:val="100"/>
          <w:sz w:val="32"/>
          <w:szCs w:val="32"/>
        </w:rPr>
        <w:t>附件1</w:t>
      </w:r>
    </w:p>
    <w:p>
      <w:pPr>
        <w:pStyle w:val="2"/>
        <w:keepNext w:val="0"/>
        <w:keepLines w:val="0"/>
        <w:pageBreakBefore w:val="0"/>
        <w:widowControl w:val="0"/>
        <w:kinsoku/>
        <w:wordWrap/>
        <w:overflowPunct/>
        <w:topLinePunct w:val="0"/>
        <w:autoSpaceDE w:val="0"/>
        <w:autoSpaceDN w:val="0"/>
        <w:bidi w:val="0"/>
        <w:adjustRightInd/>
        <w:snapToGrid/>
        <w:spacing w:before="0" w:line="600" w:lineRule="exact"/>
        <w:ind w:right="313"/>
        <w:jc w:val="center"/>
        <w:textAlignment w:val="auto"/>
        <w:rPr>
          <w:rFonts w:hint="eastAsia" w:ascii="方正小标宋简体" w:hAnsi="方正小标宋简体" w:eastAsia="方正小标宋简体" w:cs="方正小标宋简体"/>
          <w:i w:val="0"/>
          <w:iCs/>
          <w:color w:val="auto"/>
          <w:spacing w:val="0"/>
          <w:w w:val="100"/>
          <w:sz w:val="44"/>
          <w:szCs w:val="44"/>
        </w:rPr>
      </w:pPr>
      <w:r>
        <w:rPr>
          <w:rFonts w:hint="eastAsia" w:ascii="方正小标宋简体" w:hAnsi="方正小标宋简体" w:eastAsia="方正小标宋简体" w:cs="方正小标宋简体"/>
          <w:i w:val="0"/>
          <w:iCs/>
          <w:color w:val="auto"/>
          <w:spacing w:val="0"/>
          <w:w w:val="100"/>
          <w:sz w:val="44"/>
          <w:szCs w:val="44"/>
        </w:rPr>
        <w:t>高致病性禽流感免疫技术方案</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0"/>
        <w:jc w:val="both"/>
        <w:textAlignment w:val="auto"/>
        <w:rPr>
          <w:rFonts w:hint="eastAsia" w:ascii="仿宋_GB2312" w:hAnsi="仿宋_GB2312" w:eastAsia="仿宋_GB2312" w:cs="仿宋_GB2312"/>
          <w:i/>
          <w:color w:val="auto"/>
          <w:spacing w:val="0"/>
          <w:w w:val="100"/>
          <w:sz w:val="32"/>
          <w:szCs w:val="32"/>
        </w:rPr>
      </w:pP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760"/>
        <w:jc w:val="both"/>
        <w:textAlignment w:val="auto"/>
        <w:rPr>
          <w:rFonts w:hint="eastAsia" w:ascii="CESI黑体-GB2312" w:hAnsi="CESI黑体-GB2312" w:eastAsia="CESI黑体-GB2312" w:cs="CESI黑体-GB2312"/>
          <w:color w:val="auto"/>
          <w:spacing w:val="0"/>
          <w:w w:val="100"/>
          <w:sz w:val="32"/>
          <w:szCs w:val="32"/>
        </w:rPr>
      </w:pPr>
      <w:r>
        <w:rPr>
          <w:rFonts w:hint="eastAsia" w:ascii="CESI黑体-GB2312" w:hAnsi="CESI黑体-GB2312" w:eastAsia="CESI黑体-GB2312" w:cs="CESI黑体-GB2312"/>
          <w:color w:val="auto"/>
          <w:spacing w:val="0"/>
          <w:w w:val="100"/>
          <w:sz w:val="32"/>
          <w:szCs w:val="32"/>
        </w:rPr>
        <w:t>一、免疫要求</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right="277" w:firstLine="64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对全</w:t>
      </w:r>
      <w:r>
        <w:rPr>
          <w:rFonts w:hint="eastAsia" w:ascii="仿宋_GB2312" w:hAnsi="仿宋_GB2312" w:eastAsia="仿宋_GB2312" w:cs="仿宋_GB2312"/>
          <w:color w:val="auto"/>
          <w:spacing w:val="0"/>
          <w:w w:val="100"/>
          <w:sz w:val="32"/>
          <w:szCs w:val="32"/>
          <w:lang w:eastAsia="zh-CN"/>
        </w:rPr>
        <w:t>市</w:t>
      </w:r>
      <w:r>
        <w:rPr>
          <w:rFonts w:hint="eastAsia" w:ascii="仿宋_GB2312" w:hAnsi="仿宋_GB2312" w:eastAsia="仿宋_GB2312" w:cs="仿宋_GB2312"/>
          <w:color w:val="auto"/>
          <w:spacing w:val="0"/>
          <w:w w:val="100"/>
          <w:sz w:val="32"/>
          <w:szCs w:val="32"/>
        </w:rPr>
        <w:t>所有鸡、鸭、鹅、鹌鹑等人工饲养的禽类，进行H5亚型和H7亚型高致病性禽流感免疫。对供研究和疫苗生产用的家禽、进口国（地区）明确要求不得实施高致病性禽流感免疫的出口家禽，以及因其他特殊原因不免疫的，有关养殖场（户）按照非免备案的有关要求到县级农业农村（畜牧兽医）主管部门申请同意后，可不实施免疫。</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right="280" w:firstLine="64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市县两级动物疫病预防与控制机构要加大对高致病性禽流感非免企业的抽检力度，强化病原学和血清学监测，一旦发现异常情况，严格按照应急预案的要求果断处置。</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760"/>
        <w:jc w:val="both"/>
        <w:textAlignment w:val="auto"/>
        <w:rPr>
          <w:rFonts w:hint="eastAsia" w:ascii="CESI黑体-GB2312" w:hAnsi="CESI黑体-GB2312" w:eastAsia="CESI黑体-GB2312" w:cs="CESI黑体-GB2312"/>
          <w:color w:val="auto"/>
          <w:spacing w:val="0"/>
          <w:w w:val="100"/>
          <w:sz w:val="32"/>
          <w:szCs w:val="32"/>
        </w:rPr>
      </w:pPr>
      <w:r>
        <w:rPr>
          <w:rFonts w:hint="eastAsia" w:ascii="CESI黑体-GB2312" w:hAnsi="CESI黑体-GB2312" w:eastAsia="CESI黑体-GB2312" w:cs="CESI黑体-GB2312"/>
          <w:color w:val="auto"/>
          <w:spacing w:val="0"/>
          <w:w w:val="100"/>
          <w:sz w:val="32"/>
          <w:szCs w:val="32"/>
        </w:rPr>
        <w:t>二、推荐免疫程序</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76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（一）规模场及专业户</w:t>
      </w:r>
    </w:p>
    <w:p>
      <w:pPr>
        <w:keepNext w:val="0"/>
        <w:keepLines w:val="0"/>
        <w:pageBreakBefore w:val="0"/>
        <w:widowControl w:val="0"/>
        <w:kinsoku/>
        <w:wordWrap/>
        <w:overflowPunct/>
        <w:topLinePunct w:val="0"/>
        <w:autoSpaceDE w:val="0"/>
        <w:autoSpaceDN w:val="0"/>
        <w:bidi w:val="0"/>
        <w:adjustRightInd/>
        <w:snapToGrid/>
        <w:spacing w:before="0" w:line="600" w:lineRule="exact"/>
        <w:ind w:left="120" w:right="277" w:firstLine="64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b/>
          <w:color w:val="auto"/>
          <w:spacing w:val="0"/>
          <w:w w:val="100"/>
          <w:sz w:val="32"/>
          <w:szCs w:val="32"/>
        </w:rPr>
        <w:t>种鸡、蛋鸡、种鸭、蛋鸭、种鹅、蛋鹅：</w:t>
      </w:r>
      <w:r>
        <w:rPr>
          <w:rFonts w:hint="eastAsia" w:ascii="仿宋_GB2312" w:hAnsi="仿宋_GB2312" w:eastAsia="仿宋_GB2312" w:cs="仿宋_GB2312"/>
          <w:color w:val="auto"/>
          <w:spacing w:val="0"/>
          <w:w w:val="100"/>
          <w:sz w:val="32"/>
          <w:szCs w:val="32"/>
        </w:rPr>
        <w:t>14～21 日龄进行初免，间隔 3-4 周加强免疫，开产前再强化免疫，之后根据免疫抗体检测结果，每间隔 4～6 个月免疫一次。</w:t>
      </w:r>
    </w:p>
    <w:p>
      <w:pPr>
        <w:keepNext w:val="0"/>
        <w:keepLines w:val="0"/>
        <w:pageBreakBefore w:val="0"/>
        <w:widowControl w:val="0"/>
        <w:kinsoku/>
        <w:wordWrap/>
        <w:overflowPunct/>
        <w:topLinePunct w:val="0"/>
        <w:autoSpaceDE w:val="0"/>
        <w:autoSpaceDN w:val="0"/>
        <w:bidi w:val="0"/>
        <w:adjustRightInd/>
        <w:snapToGrid/>
        <w:spacing w:before="0" w:line="600" w:lineRule="exact"/>
        <w:ind w:left="120" w:right="330" w:firstLine="64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b/>
          <w:color w:val="auto"/>
          <w:spacing w:val="0"/>
          <w:w w:val="100"/>
          <w:sz w:val="32"/>
          <w:szCs w:val="32"/>
        </w:rPr>
        <w:t>商品代肉鸡、肉鸭、肉鹅</w:t>
      </w:r>
      <w:r>
        <w:rPr>
          <w:rFonts w:hint="eastAsia" w:ascii="仿宋_GB2312" w:hAnsi="仿宋_GB2312" w:eastAsia="仿宋_GB2312" w:cs="仿宋_GB2312"/>
          <w:color w:val="auto"/>
          <w:spacing w:val="0"/>
          <w:w w:val="100"/>
          <w:sz w:val="32"/>
          <w:szCs w:val="32"/>
        </w:rPr>
        <w:t>：7～10 日龄时，免疫一次， 饲养周期超过 70 日龄的，需要加强免疫。</w:t>
      </w:r>
    </w:p>
    <w:p>
      <w:pPr>
        <w:keepNext w:val="0"/>
        <w:keepLines w:val="0"/>
        <w:pageBreakBefore w:val="0"/>
        <w:widowControl w:val="0"/>
        <w:kinsoku/>
        <w:wordWrap/>
        <w:overflowPunct/>
        <w:topLinePunct w:val="0"/>
        <w:autoSpaceDE w:val="0"/>
        <w:autoSpaceDN w:val="0"/>
        <w:bidi w:val="0"/>
        <w:adjustRightInd/>
        <w:snapToGrid/>
        <w:spacing w:before="0" w:line="600" w:lineRule="exact"/>
        <w:ind w:left="760" w:right="0" w:firstLine="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b/>
          <w:color w:val="auto"/>
          <w:spacing w:val="0"/>
          <w:w w:val="100"/>
          <w:sz w:val="32"/>
          <w:szCs w:val="32"/>
        </w:rPr>
        <w:t>鹌鹑等其他禽类：</w:t>
      </w:r>
      <w:r>
        <w:rPr>
          <w:rFonts w:hint="eastAsia" w:ascii="仿宋_GB2312" w:hAnsi="仿宋_GB2312" w:eastAsia="仿宋_GB2312" w:cs="仿宋_GB2312"/>
          <w:color w:val="auto"/>
          <w:spacing w:val="0"/>
          <w:w w:val="100"/>
          <w:sz w:val="32"/>
          <w:szCs w:val="32"/>
        </w:rPr>
        <w:t>根据饲养用途，参考鸡的免疫程序进</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行免疫。</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76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（二）无法参加“先打后补”的专业户及散养户</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right="277" w:firstLine="64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春秋两季分别进行一次集中免疫，每月定期补免，鼓励有条件的地方实行每年三次集中免疫或参照规模场的免疫程序进行免疫。</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76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（三）紧急免疫</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right="235" w:firstLine="64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发生疫情时，对疫区、受威胁区的养殖场户可根据应急监测或风险评估情况开展紧急免疫。</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760"/>
        <w:jc w:val="both"/>
        <w:textAlignment w:val="auto"/>
        <w:rPr>
          <w:rFonts w:hint="eastAsia" w:ascii="CESI黑体-GB2312" w:hAnsi="CESI黑体-GB2312" w:eastAsia="CESI黑体-GB2312" w:cs="CESI黑体-GB2312"/>
          <w:color w:val="auto"/>
          <w:spacing w:val="0"/>
          <w:w w:val="100"/>
          <w:sz w:val="32"/>
          <w:szCs w:val="32"/>
        </w:rPr>
      </w:pPr>
      <w:r>
        <w:rPr>
          <w:rFonts w:hint="eastAsia" w:ascii="CESI黑体-GB2312" w:hAnsi="CESI黑体-GB2312" w:eastAsia="CESI黑体-GB2312" w:cs="CESI黑体-GB2312"/>
          <w:color w:val="auto"/>
          <w:spacing w:val="0"/>
          <w:w w:val="100"/>
          <w:sz w:val="32"/>
          <w:szCs w:val="32"/>
        </w:rPr>
        <w:t>三、疫苗种类</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right="236" w:firstLine="64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高致病性禽流感三价灭活疫苗（H5N6 H5-Re13株+H5N8 H5-Re14株+H7N9 H7-Re4株）和高致病性禽流感三价灭活疫苗（H5N2 rHN5801株+rGD59株，H7N9 rHN7903株），疫苗产品信息可在中国兽药信息网“国家兽药基础信息查询”平台“兽药产品批准文号数据”中查询。</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760"/>
        <w:jc w:val="both"/>
        <w:textAlignment w:val="auto"/>
        <w:rPr>
          <w:rFonts w:hint="eastAsia" w:ascii="CESI黑体-GB2312" w:hAnsi="CESI黑体-GB2312" w:eastAsia="CESI黑体-GB2312" w:cs="CESI黑体-GB2312"/>
          <w:color w:val="auto"/>
          <w:spacing w:val="0"/>
          <w:w w:val="100"/>
          <w:sz w:val="32"/>
          <w:szCs w:val="32"/>
        </w:rPr>
      </w:pPr>
      <w:r>
        <w:rPr>
          <w:rFonts w:hint="eastAsia" w:ascii="CESI黑体-GB2312" w:hAnsi="CESI黑体-GB2312" w:eastAsia="CESI黑体-GB2312" w:cs="CESI黑体-GB2312"/>
          <w:color w:val="auto"/>
          <w:spacing w:val="0"/>
          <w:w w:val="100"/>
          <w:sz w:val="32"/>
          <w:szCs w:val="32"/>
        </w:rPr>
        <w:t>四、免疫方法</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right="235" w:firstLine="64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免疫接种方法及剂量按免疫推荐方案、相关产品说明书或者实际需求操作。</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760"/>
        <w:jc w:val="both"/>
        <w:textAlignment w:val="auto"/>
        <w:rPr>
          <w:rFonts w:hint="eastAsia" w:ascii="CESI黑体-GB2312" w:hAnsi="CESI黑体-GB2312" w:eastAsia="CESI黑体-GB2312" w:cs="CESI黑体-GB2312"/>
          <w:color w:val="auto"/>
          <w:spacing w:val="0"/>
          <w:w w:val="100"/>
          <w:sz w:val="32"/>
          <w:szCs w:val="32"/>
        </w:rPr>
      </w:pPr>
      <w:r>
        <w:rPr>
          <w:rFonts w:hint="eastAsia" w:ascii="CESI黑体-GB2312" w:hAnsi="CESI黑体-GB2312" w:eastAsia="CESI黑体-GB2312" w:cs="CESI黑体-GB2312"/>
          <w:color w:val="auto"/>
          <w:spacing w:val="0"/>
          <w:w w:val="100"/>
          <w:sz w:val="32"/>
          <w:szCs w:val="32"/>
        </w:rPr>
        <w:t>五、免疫效果监测</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76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家禽免疫后21天进行免疫效果监测。</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76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（一）检测方法</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right="233" w:firstLine="64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采用GB/T 18936-2020《高致病性禽流感诊断技术》规定的血凝试验（HA）和血凝抑制试验（HI）方法检测高致病性禽流感病毒H5和H7亚型抗体。</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76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（二）采样数量</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right="280" w:firstLine="64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每个采样场点随机采集样品不少于30份，不足30份的应全采。散养户以一个自然村作为一个监测采样单元。</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76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（三）免疫效果判定</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right="280" w:firstLine="64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HI抗体效价不低于1:16(2</w:t>
      </w:r>
      <w:r>
        <w:rPr>
          <w:rFonts w:hint="eastAsia" w:ascii="仿宋_GB2312" w:hAnsi="仿宋_GB2312" w:eastAsia="仿宋_GB2312" w:cs="仿宋_GB2312"/>
          <w:color w:val="auto"/>
          <w:spacing w:val="0"/>
          <w:w w:val="100"/>
          <w:position w:val="16"/>
          <w:sz w:val="32"/>
          <w:szCs w:val="32"/>
        </w:rPr>
        <w:t>4</w:t>
      </w:r>
      <w:r>
        <w:rPr>
          <w:rFonts w:hint="eastAsia" w:ascii="仿宋_GB2312" w:hAnsi="仿宋_GB2312" w:eastAsia="仿宋_GB2312" w:cs="仿宋_GB2312"/>
          <w:color w:val="auto"/>
          <w:spacing w:val="0"/>
          <w:w w:val="100"/>
          <w:sz w:val="32"/>
          <w:szCs w:val="32"/>
        </w:rPr>
        <w:t>或4log2)判定为个体免疫合格。免疫合格个体数量占免疫群体总数不低于70</w:t>
      </w:r>
      <w:r>
        <w:rPr>
          <w:rFonts w:hint="eastAsia" w:ascii="仿宋_GB2312" w:hAnsi="仿宋_GB2312" w:eastAsia="仿宋_GB2312" w:cs="仿宋_GB2312"/>
          <w:color w:val="auto"/>
          <w:spacing w:val="0"/>
          <w:w w:val="100"/>
          <w:sz w:val="32"/>
          <w:szCs w:val="32"/>
        </w:rPr>
        <w:drawing>
          <wp:inline distT="0" distB="0" distL="0" distR="0">
            <wp:extent cx="85090" cy="154940"/>
            <wp:effectExtent l="0" t="0" r="0" b="0"/>
            <wp:docPr id="9"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1.png"/>
                    <pic:cNvPicPr>
                      <a:picLocks noChangeAspect="1"/>
                    </pic:cNvPicPr>
                  </pic:nvPicPr>
                  <pic:blipFill>
                    <a:blip r:embed="rId12" cstate="print"/>
                    <a:stretch>
                      <a:fillRect/>
                    </a:stretch>
                  </pic:blipFill>
                  <pic:spPr>
                    <a:xfrm>
                      <a:off x="0" y="0"/>
                      <a:ext cx="85724" cy="155574"/>
                    </a:xfrm>
                    <a:prstGeom prst="rect">
                      <a:avLst/>
                    </a:prstGeom>
                  </pic:spPr>
                </pic:pic>
              </a:graphicData>
            </a:graphic>
          </wp:inline>
        </w:drawing>
      </w:r>
      <w:r>
        <w:rPr>
          <w:rFonts w:hint="eastAsia" w:ascii="仿宋_GB2312" w:hAnsi="仿宋_GB2312" w:eastAsia="仿宋_GB2312" w:cs="仿宋_GB2312"/>
          <w:color w:val="auto"/>
          <w:spacing w:val="0"/>
          <w:w w:val="100"/>
          <w:sz w:val="32"/>
          <w:szCs w:val="32"/>
        </w:rPr>
        <w:t>，判定为群体免疫合格。</w:t>
      </w:r>
    </w:p>
    <w:p>
      <w:pPr>
        <w:keepNext w:val="0"/>
        <w:keepLines w:val="0"/>
        <w:pageBreakBefore w:val="0"/>
        <w:widowControl w:val="0"/>
        <w:kinsoku/>
        <w:wordWrap/>
        <w:overflowPunct/>
        <w:topLinePunct w:val="0"/>
        <w:autoSpaceDE w:val="0"/>
        <w:autoSpaceDN w:val="0"/>
        <w:bidi w:val="0"/>
        <w:adjustRightInd/>
        <w:snapToGrid/>
        <w:spacing w:before="0" w:after="0" w:line="600" w:lineRule="exact"/>
        <w:jc w:val="both"/>
        <w:textAlignment w:val="auto"/>
        <w:rPr>
          <w:rFonts w:hint="eastAsia" w:ascii="仿宋_GB2312" w:hAnsi="仿宋_GB2312" w:eastAsia="仿宋_GB2312" w:cs="仿宋_GB2312"/>
          <w:color w:val="auto"/>
          <w:spacing w:val="0"/>
          <w:w w:val="100"/>
          <w:sz w:val="32"/>
          <w:szCs w:val="32"/>
        </w:rPr>
        <w:sectPr>
          <w:footerReference r:id="rId7" w:type="default"/>
          <w:footerReference r:id="rId8" w:type="even"/>
          <w:pgSz w:w="11910" w:h="16840"/>
          <w:pgMar w:top="2098" w:right="1587" w:bottom="2098" w:left="1587" w:header="720" w:footer="969" w:gutter="0"/>
          <w:cols w:space="0" w:num="1"/>
          <w:rtlGutter w:val="0"/>
          <w:docGrid w:linePitch="0" w:charSpace="0"/>
        </w:sectPr>
      </w:pPr>
    </w:p>
    <w:p>
      <w:pPr>
        <w:pStyle w:val="3"/>
        <w:keepNext w:val="0"/>
        <w:keepLines w:val="0"/>
        <w:pageBreakBefore w:val="0"/>
        <w:widowControl w:val="0"/>
        <w:kinsoku/>
        <w:wordWrap/>
        <w:overflowPunct/>
        <w:topLinePunct w:val="0"/>
        <w:autoSpaceDE w:val="0"/>
        <w:autoSpaceDN w:val="0"/>
        <w:bidi w:val="0"/>
        <w:adjustRightInd/>
        <w:snapToGrid/>
        <w:spacing w:before="0" w:line="600" w:lineRule="exact"/>
        <w:jc w:val="both"/>
        <w:textAlignment w:val="auto"/>
        <w:rPr>
          <w:rFonts w:hint="eastAsia" w:ascii="仿宋_GB2312" w:hAnsi="仿宋_GB2312" w:eastAsia="仿宋_GB2312" w:cs="仿宋_GB2312"/>
          <w:i w:val="0"/>
          <w:color w:val="auto"/>
          <w:spacing w:val="0"/>
          <w:w w:val="100"/>
          <w:sz w:val="32"/>
          <w:szCs w:val="32"/>
        </w:rPr>
      </w:pPr>
      <w:r>
        <w:rPr>
          <w:rFonts w:hint="eastAsia" w:ascii="CESI黑体-GB2312" w:hAnsi="CESI黑体-GB2312" w:eastAsia="CESI黑体-GB2312" w:cs="CESI黑体-GB2312"/>
          <w:color w:val="auto"/>
          <w:spacing w:val="0"/>
          <w:w w:val="100"/>
          <w:sz w:val="32"/>
          <w:szCs w:val="32"/>
        </w:rPr>
        <w:t>附件2</w:t>
      </w:r>
    </w:p>
    <w:p>
      <w:pPr>
        <w:pStyle w:val="2"/>
        <w:keepNext w:val="0"/>
        <w:keepLines w:val="0"/>
        <w:pageBreakBefore w:val="0"/>
        <w:widowControl w:val="0"/>
        <w:kinsoku/>
        <w:wordWrap/>
        <w:overflowPunct/>
        <w:topLinePunct w:val="0"/>
        <w:autoSpaceDE w:val="0"/>
        <w:autoSpaceDN w:val="0"/>
        <w:bidi w:val="0"/>
        <w:adjustRightInd/>
        <w:snapToGrid/>
        <w:spacing w:before="0" w:line="600" w:lineRule="exact"/>
        <w:ind w:left="120" w:right="0"/>
        <w:jc w:val="center"/>
        <w:textAlignment w:val="auto"/>
        <w:rPr>
          <w:rFonts w:hint="eastAsia" w:ascii="方正小标宋简体" w:hAnsi="方正小标宋简体" w:eastAsia="方正小标宋简体" w:cs="方正小标宋简体"/>
          <w:color w:val="auto"/>
          <w:spacing w:val="0"/>
          <w:w w:val="100"/>
          <w:sz w:val="44"/>
          <w:szCs w:val="44"/>
        </w:rPr>
      </w:pPr>
      <w:r>
        <w:rPr>
          <w:rFonts w:hint="eastAsia" w:ascii="方正小标宋简体" w:hAnsi="方正小标宋简体" w:eastAsia="方正小标宋简体" w:cs="方正小标宋简体"/>
          <w:i w:val="0"/>
          <w:iCs/>
          <w:color w:val="auto"/>
          <w:spacing w:val="0"/>
          <w:w w:val="100"/>
          <w:sz w:val="44"/>
          <w:szCs w:val="44"/>
        </w:rPr>
        <w:t>口蹄疫免疫技术方案</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firstLine="640" w:firstLineChars="200"/>
        <w:jc w:val="both"/>
        <w:textAlignment w:val="auto"/>
        <w:rPr>
          <w:rFonts w:hint="eastAsia" w:ascii="CESI黑体-GB2312" w:hAnsi="CESI黑体-GB2312" w:eastAsia="CESI黑体-GB2312" w:cs="CESI黑体-GB2312"/>
          <w:color w:val="auto"/>
          <w:spacing w:val="0"/>
          <w:w w:val="100"/>
          <w:sz w:val="32"/>
          <w:szCs w:val="32"/>
        </w:rPr>
      </w:pP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firstLine="640" w:firstLineChars="200"/>
        <w:jc w:val="both"/>
        <w:textAlignment w:val="auto"/>
        <w:rPr>
          <w:rFonts w:hint="eastAsia" w:ascii="CESI黑体-GB2312" w:hAnsi="CESI黑体-GB2312" w:eastAsia="CESI黑体-GB2312" w:cs="CESI黑体-GB2312"/>
          <w:color w:val="auto"/>
          <w:spacing w:val="0"/>
          <w:w w:val="100"/>
          <w:sz w:val="32"/>
          <w:szCs w:val="32"/>
        </w:rPr>
      </w:pPr>
      <w:r>
        <w:rPr>
          <w:rFonts w:hint="eastAsia" w:ascii="CESI黑体-GB2312" w:hAnsi="CESI黑体-GB2312" w:eastAsia="CESI黑体-GB2312" w:cs="CESI黑体-GB2312"/>
          <w:color w:val="auto"/>
          <w:spacing w:val="0"/>
          <w:w w:val="100"/>
          <w:sz w:val="32"/>
          <w:szCs w:val="32"/>
        </w:rPr>
        <w:t>一、免疫要求</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right="119" w:firstLine="64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对全</w:t>
      </w:r>
      <w:r>
        <w:rPr>
          <w:rFonts w:hint="eastAsia" w:ascii="仿宋_GB2312" w:hAnsi="仿宋_GB2312" w:eastAsia="仿宋_GB2312" w:cs="仿宋_GB2312"/>
          <w:color w:val="auto"/>
          <w:spacing w:val="0"/>
          <w:w w:val="100"/>
          <w:sz w:val="32"/>
          <w:szCs w:val="32"/>
          <w:lang w:eastAsia="zh-CN"/>
        </w:rPr>
        <w:t>市</w:t>
      </w:r>
      <w:r>
        <w:rPr>
          <w:rFonts w:hint="eastAsia" w:ascii="仿宋_GB2312" w:hAnsi="仿宋_GB2312" w:eastAsia="仿宋_GB2312" w:cs="仿宋_GB2312"/>
          <w:color w:val="auto"/>
          <w:spacing w:val="0"/>
          <w:w w:val="100"/>
          <w:sz w:val="32"/>
          <w:szCs w:val="32"/>
        </w:rPr>
        <w:t>所有牛、羊、骆驼、鹿进行O型和A型口蹄疫免疫； 对全</w:t>
      </w:r>
      <w:r>
        <w:rPr>
          <w:rFonts w:hint="eastAsia" w:ascii="仿宋_GB2312" w:hAnsi="仿宋_GB2312" w:eastAsia="仿宋_GB2312" w:cs="仿宋_GB2312"/>
          <w:color w:val="auto"/>
          <w:spacing w:val="0"/>
          <w:w w:val="100"/>
          <w:sz w:val="32"/>
          <w:szCs w:val="32"/>
          <w:lang w:eastAsia="zh-CN"/>
        </w:rPr>
        <w:t>市</w:t>
      </w:r>
      <w:r>
        <w:rPr>
          <w:rFonts w:hint="eastAsia" w:ascii="仿宋_GB2312" w:hAnsi="仿宋_GB2312" w:eastAsia="仿宋_GB2312" w:cs="仿宋_GB2312"/>
          <w:color w:val="auto"/>
          <w:spacing w:val="0"/>
          <w:w w:val="100"/>
          <w:sz w:val="32"/>
          <w:szCs w:val="32"/>
        </w:rPr>
        <w:t>所有猪进行O型口蹄疫免疫。确需对猪实施A型口蹄疫免疫的养殖场户，向县级农业农村（畜牧兽医）主管部门申请同意后，可实施免疫。</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760"/>
        <w:jc w:val="both"/>
        <w:textAlignment w:val="auto"/>
        <w:rPr>
          <w:rFonts w:hint="eastAsia" w:ascii="CESI黑体-GB2312" w:hAnsi="CESI黑体-GB2312" w:eastAsia="CESI黑体-GB2312" w:cs="CESI黑体-GB2312"/>
          <w:color w:val="auto"/>
          <w:spacing w:val="0"/>
          <w:w w:val="100"/>
          <w:sz w:val="32"/>
          <w:szCs w:val="32"/>
        </w:rPr>
      </w:pPr>
      <w:r>
        <w:rPr>
          <w:rFonts w:hint="eastAsia" w:ascii="CESI黑体-GB2312" w:hAnsi="CESI黑体-GB2312" w:eastAsia="CESI黑体-GB2312" w:cs="CESI黑体-GB2312"/>
          <w:color w:val="auto"/>
          <w:spacing w:val="0"/>
          <w:w w:val="100"/>
          <w:sz w:val="32"/>
          <w:szCs w:val="32"/>
        </w:rPr>
        <w:t>二、推荐免疫程序</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76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（一）规模场及专业户</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right="265" w:firstLine="64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综合考虑母畜免疫情况、幼畜母源抗体水平等因素，确定幼畜初免日龄。如根据母畜免疫次数、母源抗体等差异， 仔猪可选择在28～60日龄进行初免，羔羊可在28～35日龄时进行初免，犊牛可在90日龄左右进行初免。所有新生家畜初免后，间隔1个月后进行一次加强免疫，以后每间隔4～6个月再次进行加强免疫。</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76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（二）无法参加“先打后补”的专业户及散养户</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right="277" w:firstLine="64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春秋两季分别进行一次集中免疫，每月定期补免，鼓励有条件的地方实行每年三次集中免疫或参照规模场的免疫程序进行免疫。</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76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（三）紧急免疫</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firstLine="640" w:firstLineChars="20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发生疫情时，对疫区、受威胁区域内的养殖场户可根据应急监测或风险评估情况开展紧急免疫。</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760"/>
        <w:jc w:val="both"/>
        <w:textAlignment w:val="auto"/>
        <w:rPr>
          <w:rFonts w:hint="eastAsia" w:ascii="CESI黑体-GB2312" w:hAnsi="CESI黑体-GB2312" w:eastAsia="CESI黑体-GB2312" w:cs="CESI黑体-GB2312"/>
          <w:color w:val="auto"/>
          <w:spacing w:val="0"/>
          <w:w w:val="100"/>
          <w:sz w:val="32"/>
          <w:szCs w:val="32"/>
        </w:rPr>
      </w:pPr>
      <w:r>
        <w:rPr>
          <w:rFonts w:hint="eastAsia" w:ascii="CESI黑体-GB2312" w:hAnsi="CESI黑体-GB2312" w:eastAsia="CESI黑体-GB2312" w:cs="CESI黑体-GB2312"/>
          <w:color w:val="auto"/>
          <w:spacing w:val="0"/>
          <w:w w:val="100"/>
          <w:sz w:val="32"/>
          <w:szCs w:val="32"/>
        </w:rPr>
        <w:t>三、疫苗种类</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right="277" w:firstLine="64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选择与本地流行毒株抗原性匹配的疫苗。疫苗产品信息可在中国兽药信息网“国家兽药基础信息查询”平台“兽药产品批准文号数据”中查询。</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760"/>
        <w:jc w:val="both"/>
        <w:textAlignment w:val="auto"/>
        <w:rPr>
          <w:rFonts w:hint="eastAsia" w:ascii="CESI黑体-GB2312" w:hAnsi="CESI黑体-GB2312" w:eastAsia="CESI黑体-GB2312" w:cs="CESI黑体-GB2312"/>
          <w:color w:val="auto"/>
          <w:spacing w:val="0"/>
          <w:w w:val="100"/>
          <w:sz w:val="32"/>
          <w:szCs w:val="32"/>
        </w:rPr>
      </w:pPr>
      <w:r>
        <w:rPr>
          <w:rFonts w:hint="eastAsia" w:ascii="CESI黑体-GB2312" w:hAnsi="CESI黑体-GB2312" w:eastAsia="CESI黑体-GB2312" w:cs="CESI黑体-GB2312"/>
          <w:color w:val="auto"/>
          <w:spacing w:val="0"/>
          <w:w w:val="100"/>
          <w:sz w:val="32"/>
          <w:szCs w:val="32"/>
        </w:rPr>
        <w:t>四、免疫方法</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right="235" w:firstLine="64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免疫接种方法及剂量按免疫推荐方案、相关产品说明书或者实际需求操作。</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760"/>
        <w:jc w:val="both"/>
        <w:textAlignment w:val="auto"/>
        <w:rPr>
          <w:rFonts w:hint="eastAsia" w:ascii="CESI黑体-GB2312" w:hAnsi="CESI黑体-GB2312" w:eastAsia="CESI黑体-GB2312" w:cs="CESI黑体-GB2312"/>
          <w:color w:val="auto"/>
          <w:spacing w:val="0"/>
          <w:w w:val="100"/>
          <w:sz w:val="32"/>
          <w:szCs w:val="32"/>
        </w:rPr>
      </w:pPr>
      <w:r>
        <w:rPr>
          <w:rFonts w:hint="eastAsia" w:ascii="CESI黑体-GB2312" w:hAnsi="CESI黑体-GB2312" w:eastAsia="CESI黑体-GB2312" w:cs="CESI黑体-GB2312"/>
          <w:color w:val="auto"/>
          <w:spacing w:val="0"/>
          <w:w w:val="100"/>
          <w:sz w:val="32"/>
          <w:szCs w:val="32"/>
        </w:rPr>
        <w:t>五、免疫效果监测</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76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猪免疫28天后，其他家畜21天后，进行免疫效果监测。</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76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（一）检测方法</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right="277" w:firstLine="64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采用GB/T18935-2018《口蹄疫诊断技术》规定的方法进行抗体检测。使用灭活疫苗免疫的，采用液相阻断 ELISA、固相竞争ELISA检测免疫抗体；使用合成肽疫苗免疫的，采用VP1结构蛋白ELISA检测免疫抗体。</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76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（二）采样数量</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right="280" w:firstLine="64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每个采样场点随机采集样品不少于30份，不足30份的应全采。散养户以一个自然村作为一个监测采样单元。</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76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（三）免疫效果判定</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76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抗体效价达到以下标准判定为个体免疫合格：</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right="280" w:firstLine="64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液相阻断 ELISA：牛、羊等反刍动物抗体效价≥2</w:t>
      </w:r>
      <w:r>
        <w:rPr>
          <w:rFonts w:hint="eastAsia" w:ascii="仿宋_GB2312" w:hAnsi="仿宋_GB2312" w:eastAsia="仿宋_GB2312" w:cs="仿宋_GB2312"/>
          <w:color w:val="auto"/>
          <w:spacing w:val="0"/>
          <w:w w:val="100"/>
          <w:position w:val="16"/>
          <w:sz w:val="32"/>
          <w:szCs w:val="32"/>
        </w:rPr>
        <w:t>7</w:t>
      </w:r>
      <w:r>
        <w:rPr>
          <w:rFonts w:hint="eastAsia" w:ascii="仿宋_GB2312" w:hAnsi="仿宋_GB2312" w:eastAsia="仿宋_GB2312" w:cs="仿宋_GB2312"/>
          <w:color w:val="auto"/>
          <w:spacing w:val="0"/>
          <w:w w:val="100"/>
          <w:sz w:val="32"/>
          <w:szCs w:val="32"/>
        </w:rPr>
        <w:t>，猪抗体效价≥2</w:t>
      </w:r>
      <w:r>
        <w:rPr>
          <w:rFonts w:hint="eastAsia" w:ascii="仿宋_GB2312" w:hAnsi="仿宋_GB2312" w:eastAsia="仿宋_GB2312" w:cs="仿宋_GB2312"/>
          <w:color w:val="auto"/>
          <w:spacing w:val="0"/>
          <w:w w:val="100"/>
          <w:position w:val="16"/>
          <w:sz w:val="32"/>
          <w:szCs w:val="32"/>
        </w:rPr>
        <w:t>6</w:t>
      </w:r>
      <w:r>
        <w:rPr>
          <w:rFonts w:hint="eastAsia" w:ascii="仿宋_GB2312" w:hAnsi="仿宋_GB2312" w:eastAsia="仿宋_GB2312" w:cs="仿宋_GB2312"/>
          <w:color w:val="auto"/>
          <w:spacing w:val="0"/>
          <w:w w:val="100"/>
          <w:sz w:val="32"/>
          <w:szCs w:val="32"/>
        </w:rPr>
        <w:t>。</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76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固相竞争ELISA：抗体效价≥2</w:t>
      </w:r>
      <w:r>
        <w:rPr>
          <w:rFonts w:hint="eastAsia" w:ascii="仿宋_GB2312" w:hAnsi="仿宋_GB2312" w:eastAsia="仿宋_GB2312" w:cs="仿宋_GB2312"/>
          <w:color w:val="auto"/>
          <w:spacing w:val="0"/>
          <w:w w:val="100"/>
          <w:position w:val="16"/>
          <w:sz w:val="32"/>
          <w:szCs w:val="32"/>
        </w:rPr>
        <w:t>6</w:t>
      </w:r>
      <w:r>
        <w:rPr>
          <w:rFonts w:hint="eastAsia" w:ascii="仿宋_GB2312" w:hAnsi="仿宋_GB2312" w:eastAsia="仿宋_GB2312" w:cs="仿宋_GB2312"/>
          <w:color w:val="auto"/>
          <w:spacing w:val="0"/>
          <w:w w:val="100"/>
          <w:sz w:val="32"/>
          <w:szCs w:val="32"/>
        </w:rPr>
        <w:t>。</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right="235" w:firstLine="64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VP1结构蛋白抗体ELISA：按照方法或试剂使用说明判定抗体阳性。</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right="345" w:firstLine="64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免疫合格个体数量占免疫群体总数不低于80</w:t>
      </w:r>
      <w:r>
        <w:rPr>
          <w:rFonts w:hint="eastAsia" w:ascii="仿宋_GB2312" w:hAnsi="仿宋_GB2312" w:eastAsia="仿宋_GB2312" w:cs="仿宋_GB2312"/>
          <w:color w:val="auto"/>
          <w:spacing w:val="0"/>
          <w:w w:val="100"/>
          <w:sz w:val="32"/>
          <w:szCs w:val="32"/>
        </w:rPr>
        <w:drawing>
          <wp:inline distT="0" distB="0" distL="0" distR="0">
            <wp:extent cx="85090" cy="154940"/>
            <wp:effectExtent l="0" t="0" r="0" b="0"/>
            <wp:docPr id="1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1.png"/>
                    <pic:cNvPicPr>
                      <a:picLocks noChangeAspect="1"/>
                    </pic:cNvPicPr>
                  </pic:nvPicPr>
                  <pic:blipFill>
                    <a:blip r:embed="rId12" cstate="print"/>
                    <a:stretch>
                      <a:fillRect/>
                    </a:stretch>
                  </pic:blipFill>
                  <pic:spPr>
                    <a:xfrm>
                      <a:off x="0" y="0"/>
                      <a:ext cx="85724" cy="155574"/>
                    </a:xfrm>
                    <a:prstGeom prst="rect">
                      <a:avLst/>
                    </a:prstGeom>
                  </pic:spPr>
                </pic:pic>
              </a:graphicData>
            </a:graphic>
          </wp:inline>
        </w:drawing>
      </w:r>
      <w:r>
        <w:rPr>
          <w:rFonts w:hint="eastAsia" w:ascii="仿宋_GB2312" w:hAnsi="仿宋_GB2312" w:eastAsia="仿宋_GB2312" w:cs="仿宋_GB2312"/>
          <w:color w:val="auto"/>
          <w:spacing w:val="0"/>
          <w:w w:val="100"/>
          <w:sz w:val="32"/>
          <w:szCs w:val="32"/>
        </w:rPr>
        <w:t>的，判定为群体免疫合格。</w:t>
      </w:r>
    </w:p>
    <w:p>
      <w:pPr>
        <w:keepNext w:val="0"/>
        <w:keepLines w:val="0"/>
        <w:pageBreakBefore w:val="0"/>
        <w:widowControl w:val="0"/>
        <w:kinsoku/>
        <w:wordWrap/>
        <w:overflowPunct/>
        <w:topLinePunct w:val="0"/>
        <w:autoSpaceDE w:val="0"/>
        <w:autoSpaceDN w:val="0"/>
        <w:bidi w:val="0"/>
        <w:adjustRightInd/>
        <w:snapToGrid/>
        <w:spacing w:before="0" w:after="0" w:line="600" w:lineRule="exact"/>
        <w:jc w:val="both"/>
        <w:textAlignment w:val="auto"/>
        <w:rPr>
          <w:rFonts w:hint="eastAsia" w:ascii="仿宋_GB2312" w:hAnsi="仿宋_GB2312" w:eastAsia="仿宋_GB2312" w:cs="仿宋_GB2312"/>
          <w:color w:val="auto"/>
          <w:spacing w:val="0"/>
          <w:w w:val="100"/>
          <w:sz w:val="32"/>
          <w:szCs w:val="32"/>
        </w:rPr>
        <w:sectPr>
          <w:pgSz w:w="11910" w:h="16840"/>
          <w:pgMar w:top="2098" w:right="1587" w:bottom="2098" w:left="1587" w:header="720" w:footer="969" w:gutter="0"/>
          <w:cols w:space="0" w:num="1"/>
          <w:rtlGutter w:val="0"/>
          <w:docGrid w:linePitch="0" w:charSpace="0"/>
        </w:sectPr>
      </w:pPr>
    </w:p>
    <w:p>
      <w:pPr>
        <w:pStyle w:val="3"/>
        <w:keepNext w:val="0"/>
        <w:keepLines w:val="0"/>
        <w:pageBreakBefore w:val="0"/>
        <w:widowControl w:val="0"/>
        <w:kinsoku/>
        <w:wordWrap/>
        <w:overflowPunct/>
        <w:topLinePunct w:val="0"/>
        <w:autoSpaceDE w:val="0"/>
        <w:autoSpaceDN w:val="0"/>
        <w:bidi w:val="0"/>
        <w:adjustRightInd/>
        <w:snapToGrid/>
        <w:spacing w:before="0" w:line="600" w:lineRule="exact"/>
        <w:jc w:val="both"/>
        <w:textAlignment w:val="auto"/>
        <w:rPr>
          <w:rFonts w:hint="eastAsia" w:ascii="CESI黑体-GB2312" w:hAnsi="CESI黑体-GB2312" w:eastAsia="CESI黑体-GB2312" w:cs="CESI黑体-GB2312"/>
          <w:color w:val="auto"/>
          <w:spacing w:val="0"/>
          <w:w w:val="100"/>
          <w:sz w:val="32"/>
          <w:szCs w:val="32"/>
        </w:rPr>
      </w:pPr>
      <w:r>
        <w:rPr>
          <w:rFonts w:hint="eastAsia" w:ascii="CESI黑体-GB2312" w:hAnsi="CESI黑体-GB2312" w:eastAsia="CESI黑体-GB2312" w:cs="CESI黑体-GB2312"/>
          <w:color w:val="auto"/>
          <w:spacing w:val="0"/>
          <w:w w:val="100"/>
          <w:sz w:val="32"/>
          <w:szCs w:val="32"/>
        </w:rPr>
        <w:t>附件3</w:t>
      </w:r>
    </w:p>
    <w:p>
      <w:pPr>
        <w:pStyle w:val="2"/>
        <w:keepNext w:val="0"/>
        <w:keepLines w:val="0"/>
        <w:pageBreakBefore w:val="0"/>
        <w:widowControl w:val="0"/>
        <w:kinsoku/>
        <w:wordWrap/>
        <w:overflowPunct/>
        <w:topLinePunct w:val="0"/>
        <w:autoSpaceDE w:val="0"/>
        <w:autoSpaceDN w:val="0"/>
        <w:bidi w:val="0"/>
        <w:adjustRightInd/>
        <w:snapToGrid/>
        <w:spacing w:before="0" w:line="600" w:lineRule="exact"/>
        <w:ind w:left="0" w:leftChars="0" w:firstLine="0" w:firstLineChars="0"/>
        <w:jc w:val="center"/>
        <w:textAlignment w:val="auto"/>
        <w:rPr>
          <w:rFonts w:hint="eastAsia" w:ascii="方正小标宋简体" w:hAnsi="方正小标宋简体" w:eastAsia="方正小标宋简体" w:cs="方正小标宋简体"/>
          <w:i w:val="0"/>
          <w:iCs/>
          <w:color w:val="auto"/>
          <w:spacing w:val="0"/>
          <w:w w:val="100"/>
          <w:sz w:val="44"/>
          <w:szCs w:val="44"/>
        </w:rPr>
      </w:pPr>
      <w:r>
        <w:rPr>
          <w:rFonts w:hint="eastAsia" w:ascii="方正小标宋简体" w:hAnsi="方正小标宋简体" w:eastAsia="方正小标宋简体" w:cs="方正小标宋简体"/>
          <w:i w:val="0"/>
          <w:iCs/>
          <w:color w:val="auto"/>
          <w:spacing w:val="0"/>
          <w:w w:val="100"/>
          <w:sz w:val="44"/>
          <w:szCs w:val="44"/>
        </w:rPr>
        <w:t>小反刍兽疫免疫技术方案</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0"/>
        <w:jc w:val="both"/>
        <w:textAlignment w:val="auto"/>
        <w:rPr>
          <w:rFonts w:hint="eastAsia" w:ascii="仿宋_GB2312" w:hAnsi="仿宋_GB2312" w:eastAsia="仿宋_GB2312" w:cs="仿宋_GB2312"/>
          <w:i/>
          <w:color w:val="auto"/>
          <w:spacing w:val="0"/>
          <w:w w:val="100"/>
          <w:sz w:val="32"/>
          <w:szCs w:val="32"/>
        </w:rPr>
      </w:pP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760"/>
        <w:jc w:val="both"/>
        <w:textAlignment w:val="auto"/>
        <w:rPr>
          <w:rFonts w:hint="eastAsia" w:ascii="CESI黑体-GB2312" w:hAnsi="CESI黑体-GB2312" w:eastAsia="CESI黑体-GB2312" w:cs="CESI黑体-GB2312"/>
          <w:color w:val="auto"/>
          <w:spacing w:val="0"/>
          <w:w w:val="100"/>
          <w:sz w:val="32"/>
          <w:szCs w:val="32"/>
        </w:rPr>
      </w:pPr>
      <w:r>
        <w:rPr>
          <w:rFonts w:hint="eastAsia" w:ascii="CESI黑体-GB2312" w:hAnsi="CESI黑体-GB2312" w:eastAsia="CESI黑体-GB2312" w:cs="CESI黑体-GB2312"/>
          <w:color w:val="auto"/>
          <w:spacing w:val="0"/>
          <w:w w:val="100"/>
          <w:sz w:val="32"/>
          <w:szCs w:val="32"/>
        </w:rPr>
        <w:t>一、免疫要求</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right="119" w:firstLine="64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对全</w:t>
      </w:r>
      <w:r>
        <w:rPr>
          <w:rFonts w:hint="eastAsia" w:ascii="仿宋_GB2312" w:hAnsi="仿宋_GB2312" w:eastAsia="仿宋_GB2312" w:cs="仿宋_GB2312"/>
          <w:color w:val="auto"/>
          <w:spacing w:val="0"/>
          <w:w w:val="100"/>
          <w:sz w:val="32"/>
          <w:szCs w:val="32"/>
          <w:lang w:eastAsia="zh-CN"/>
        </w:rPr>
        <w:t>市</w:t>
      </w:r>
      <w:r>
        <w:rPr>
          <w:rFonts w:hint="eastAsia" w:ascii="仿宋_GB2312" w:hAnsi="仿宋_GB2312" w:eastAsia="仿宋_GB2312" w:cs="仿宋_GB2312"/>
          <w:color w:val="auto"/>
          <w:spacing w:val="0"/>
          <w:w w:val="100"/>
          <w:sz w:val="32"/>
          <w:szCs w:val="32"/>
        </w:rPr>
        <w:t>所有应免羊只进行小反刍兽疫免疫。拟开展非免疫无疫区建设的区域，逐级上报省畜牧</w:t>
      </w:r>
      <w:r>
        <w:rPr>
          <w:rFonts w:hint="default" w:ascii="仿宋_GB2312" w:hAnsi="仿宋_GB2312" w:eastAsia="仿宋_GB2312" w:cs="仿宋_GB2312"/>
          <w:color w:val="auto"/>
          <w:spacing w:val="0"/>
          <w:w w:val="100"/>
          <w:sz w:val="32"/>
          <w:szCs w:val="32"/>
          <w:lang w:val="en"/>
        </w:rPr>
        <w:t>兽医</w:t>
      </w:r>
      <w:r>
        <w:rPr>
          <w:rFonts w:hint="eastAsia" w:ascii="仿宋_GB2312" w:hAnsi="仿宋_GB2312" w:eastAsia="仿宋_GB2312" w:cs="仿宋_GB2312"/>
          <w:color w:val="auto"/>
          <w:spacing w:val="0"/>
          <w:w w:val="100"/>
          <w:sz w:val="32"/>
          <w:szCs w:val="32"/>
        </w:rPr>
        <w:t>局同意后，可不实施免疫。</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748"/>
        <w:jc w:val="both"/>
        <w:textAlignment w:val="auto"/>
        <w:rPr>
          <w:rFonts w:hint="eastAsia" w:ascii="CESI黑体-GB2312" w:hAnsi="CESI黑体-GB2312" w:eastAsia="CESI黑体-GB2312" w:cs="CESI黑体-GB2312"/>
          <w:color w:val="auto"/>
          <w:spacing w:val="0"/>
          <w:w w:val="100"/>
          <w:sz w:val="32"/>
          <w:szCs w:val="32"/>
        </w:rPr>
      </w:pPr>
      <w:r>
        <w:rPr>
          <w:rFonts w:hint="eastAsia" w:ascii="CESI黑体-GB2312" w:hAnsi="CESI黑体-GB2312" w:eastAsia="CESI黑体-GB2312" w:cs="CESI黑体-GB2312"/>
          <w:color w:val="auto"/>
          <w:spacing w:val="0"/>
          <w:w w:val="100"/>
          <w:sz w:val="32"/>
          <w:szCs w:val="32"/>
        </w:rPr>
        <w:t>二、推荐免疫程序</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76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（一）规模场及专业户</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right="280" w:firstLine="628"/>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新生羔羊1月龄后进行免疫，超过免疫保护期的进行加强免疫。</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76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（二）无法参加“先打后补”的专业户及散养户</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right="594" w:firstLine="628"/>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春季或秋季对当年未免疫羊和超过免疫保护期的羊进行一次集中免疫，每月定期进行补免。</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76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（三）紧急免疫</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right="277" w:firstLine="628"/>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发生疫情时，对疫区和受威胁区内养殖场可根据应急监测或风险评估结果，开展紧急免疫。</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760"/>
        <w:jc w:val="both"/>
        <w:textAlignment w:val="auto"/>
        <w:rPr>
          <w:rFonts w:hint="eastAsia" w:ascii="CESI黑体-GB2312" w:hAnsi="CESI黑体-GB2312" w:eastAsia="CESI黑体-GB2312" w:cs="CESI黑体-GB2312"/>
          <w:color w:val="auto"/>
          <w:spacing w:val="0"/>
          <w:w w:val="100"/>
          <w:sz w:val="32"/>
          <w:szCs w:val="32"/>
        </w:rPr>
      </w:pPr>
      <w:r>
        <w:rPr>
          <w:rFonts w:hint="eastAsia" w:ascii="CESI黑体-GB2312" w:hAnsi="CESI黑体-GB2312" w:eastAsia="CESI黑体-GB2312" w:cs="CESI黑体-GB2312"/>
          <w:color w:val="auto"/>
          <w:spacing w:val="0"/>
          <w:w w:val="100"/>
          <w:sz w:val="32"/>
          <w:szCs w:val="32"/>
        </w:rPr>
        <w:t>三、疫苗种类</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right="280" w:firstLine="64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选择使用小反刍兽疫活疫苗。疫苗产品信息可在中国兽药信息网“国家兽药基础信息查询”平台“兽药产品批准文 号数据”中查询。</w:t>
      </w:r>
    </w:p>
    <w:p>
      <w:pPr>
        <w:pStyle w:val="3"/>
        <w:keepNext w:val="0"/>
        <w:keepLines w:val="0"/>
        <w:pageBreakBefore w:val="0"/>
        <w:widowControl w:val="0"/>
        <w:numPr>
          <w:ilvl w:val="0"/>
          <w:numId w:val="1"/>
        </w:numPr>
        <w:kinsoku/>
        <w:wordWrap/>
        <w:overflowPunct/>
        <w:topLinePunct w:val="0"/>
        <w:autoSpaceDE w:val="0"/>
        <w:autoSpaceDN w:val="0"/>
        <w:bidi w:val="0"/>
        <w:adjustRightInd/>
        <w:snapToGrid/>
        <w:spacing w:before="0" w:line="600" w:lineRule="exact"/>
        <w:ind w:left="760"/>
        <w:jc w:val="both"/>
        <w:textAlignment w:val="auto"/>
        <w:rPr>
          <w:rFonts w:hint="eastAsia" w:ascii="CESI黑体-GB2312" w:hAnsi="CESI黑体-GB2312" w:eastAsia="CESI黑体-GB2312" w:cs="CESI黑体-GB2312"/>
          <w:color w:val="auto"/>
          <w:spacing w:val="0"/>
          <w:w w:val="100"/>
          <w:sz w:val="32"/>
          <w:szCs w:val="32"/>
        </w:rPr>
      </w:pPr>
      <w:r>
        <w:rPr>
          <w:rFonts w:hint="eastAsia" w:ascii="CESI黑体-GB2312" w:hAnsi="CESI黑体-GB2312" w:eastAsia="CESI黑体-GB2312" w:cs="CESI黑体-GB2312"/>
          <w:color w:val="auto"/>
          <w:spacing w:val="0"/>
          <w:w w:val="100"/>
          <w:sz w:val="32"/>
          <w:szCs w:val="32"/>
        </w:rPr>
        <w:t>免疫方法</w:t>
      </w:r>
    </w:p>
    <w:p>
      <w:pPr>
        <w:pStyle w:val="3"/>
        <w:keepNext w:val="0"/>
        <w:keepLines w:val="0"/>
        <w:pageBreakBefore w:val="0"/>
        <w:widowControl w:val="0"/>
        <w:numPr>
          <w:ilvl w:val="0"/>
          <w:numId w:val="0"/>
        </w:numPr>
        <w:kinsoku/>
        <w:wordWrap/>
        <w:overflowPunct/>
        <w:topLinePunct w:val="0"/>
        <w:autoSpaceDE w:val="0"/>
        <w:autoSpaceDN w:val="0"/>
        <w:bidi w:val="0"/>
        <w:adjustRightInd/>
        <w:snapToGrid/>
        <w:spacing w:before="0" w:line="600" w:lineRule="exact"/>
        <w:ind w:right="0" w:rightChars="0" w:firstLine="640" w:firstLineChars="20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免疫接种方法及剂量按免疫推荐方案、相关产品说明书或者实际需求操作。</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760"/>
        <w:jc w:val="both"/>
        <w:textAlignment w:val="auto"/>
        <w:rPr>
          <w:rFonts w:hint="eastAsia" w:ascii="CESI黑体-GB2312" w:hAnsi="CESI黑体-GB2312" w:eastAsia="CESI黑体-GB2312" w:cs="CESI黑体-GB2312"/>
          <w:color w:val="auto"/>
          <w:spacing w:val="0"/>
          <w:w w:val="100"/>
          <w:sz w:val="32"/>
          <w:szCs w:val="32"/>
        </w:rPr>
      </w:pPr>
      <w:r>
        <w:rPr>
          <w:rFonts w:hint="eastAsia" w:ascii="CESI黑体-GB2312" w:hAnsi="CESI黑体-GB2312" w:eastAsia="CESI黑体-GB2312" w:cs="CESI黑体-GB2312"/>
          <w:color w:val="auto"/>
          <w:spacing w:val="0"/>
          <w:w w:val="100"/>
          <w:sz w:val="32"/>
          <w:szCs w:val="32"/>
        </w:rPr>
        <w:t>五、免疫效果监测</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76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免疫28天后，进行免疫效果监测。</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76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（一）检测方法</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right="427" w:firstLine="64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采用GB/T27982-2011《小反刍兽疫诊断技术》规定的ELISA方法进行抗体检测。</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76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（二）采样数量</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right="280" w:firstLine="64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每个采样场点随机采集样品不少于30份，不足30份的应全采。散养户以一个自然村作为一个监测采样单元。</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76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（三）免疫效果判定</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right="280" w:firstLine="64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抗体检测阳性，判定为个体免疫合格。免疫合格个体数</w:t>
      </w:r>
      <w:r>
        <w:rPr>
          <w:rFonts w:hint="eastAsia" w:ascii="仿宋_GB2312" w:hAnsi="仿宋_GB2312" w:eastAsia="仿宋_GB2312" w:cs="仿宋_GB2312"/>
          <w:color w:val="auto"/>
          <w:spacing w:val="0"/>
          <w:w w:val="100"/>
          <w:position w:val="1"/>
          <w:sz w:val="32"/>
          <w:szCs w:val="32"/>
        </w:rPr>
        <w:t>量占免疫群体总数不低于70</w:t>
      </w:r>
      <w:r>
        <w:rPr>
          <w:rFonts w:hint="eastAsia" w:ascii="仿宋_GB2312" w:hAnsi="仿宋_GB2312" w:eastAsia="仿宋_GB2312" w:cs="仿宋_GB2312"/>
          <w:color w:val="auto"/>
          <w:spacing w:val="0"/>
          <w:w w:val="100"/>
          <w:sz w:val="32"/>
          <w:szCs w:val="32"/>
        </w:rPr>
        <w:drawing>
          <wp:inline distT="0" distB="0" distL="0" distR="0">
            <wp:extent cx="85090" cy="154940"/>
            <wp:effectExtent l="0" t="0" r="0" b="0"/>
            <wp:docPr id="13"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1.png"/>
                    <pic:cNvPicPr>
                      <a:picLocks noChangeAspect="1"/>
                    </pic:cNvPicPr>
                  </pic:nvPicPr>
                  <pic:blipFill>
                    <a:blip r:embed="rId12" cstate="print"/>
                    <a:stretch>
                      <a:fillRect/>
                    </a:stretch>
                  </pic:blipFill>
                  <pic:spPr>
                    <a:xfrm>
                      <a:off x="0" y="0"/>
                      <a:ext cx="85724" cy="155574"/>
                    </a:xfrm>
                    <a:prstGeom prst="rect">
                      <a:avLst/>
                    </a:prstGeom>
                  </pic:spPr>
                </pic:pic>
              </a:graphicData>
            </a:graphic>
          </wp:inline>
        </w:drawing>
      </w:r>
      <w:r>
        <w:rPr>
          <w:rFonts w:hint="eastAsia" w:ascii="仿宋_GB2312" w:hAnsi="仿宋_GB2312" w:eastAsia="仿宋_GB2312" w:cs="仿宋_GB2312"/>
          <w:color w:val="auto"/>
          <w:spacing w:val="0"/>
          <w:w w:val="100"/>
          <w:position w:val="1"/>
          <w:sz w:val="32"/>
          <w:szCs w:val="32"/>
        </w:rPr>
        <w:t>的，判定为群体免疫合格。</w:t>
      </w:r>
    </w:p>
    <w:p>
      <w:pPr>
        <w:keepNext w:val="0"/>
        <w:keepLines w:val="0"/>
        <w:pageBreakBefore w:val="0"/>
        <w:widowControl w:val="0"/>
        <w:kinsoku/>
        <w:wordWrap/>
        <w:overflowPunct/>
        <w:topLinePunct w:val="0"/>
        <w:autoSpaceDE w:val="0"/>
        <w:autoSpaceDN w:val="0"/>
        <w:bidi w:val="0"/>
        <w:adjustRightInd/>
        <w:snapToGrid/>
        <w:spacing w:before="0" w:after="0" w:line="600" w:lineRule="exact"/>
        <w:jc w:val="both"/>
        <w:textAlignment w:val="auto"/>
        <w:rPr>
          <w:rFonts w:hint="eastAsia" w:ascii="仿宋_GB2312" w:hAnsi="仿宋_GB2312" w:eastAsia="仿宋_GB2312" w:cs="仿宋_GB2312"/>
          <w:color w:val="auto"/>
          <w:spacing w:val="0"/>
          <w:w w:val="100"/>
          <w:sz w:val="32"/>
          <w:szCs w:val="32"/>
        </w:rPr>
        <w:sectPr>
          <w:pgSz w:w="11910" w:h="16840"/>
          <w:pgMar w:top="2098" w:right="1587" w:bottom="2098" w:left="1587" w:header="720" w:footer="969" w:gutter="0"/>
          <w:cols w:space="0" w:num="1"/>
          <w:rtlGutter w:val="0"/>
          <w:docGrid w:linePitch="0" w:charSpace="0"/>
        </w:sectPr>
      </w:pP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附件4</w:t>
      </w:r>
    </w:p>
    <w:p>
      <w:pPr>
        <w:pStyle w:val="2"/>
        <w:keepNext w:val="0"/>
        <w:keepLines w:val="0"/>
        <w:pageBreakBefore w:val="0"/>
        <w:widowControl w:val="0"/>
        <w:kinsoku/>
        <w:wordWrap/>
        <w:overflowPunct/>
        <w:topLinePunct w:val="0"/>
        <w:autoSpaceDE w:val="0"/>
        <w:autoSpaceDN w:val="0"/>
        <w:bidi w:val="0"/>
        <w:adjustRightInd/>
        <w:snapToGrid/>
        <w:spacing w:before="0" w:line="600" w:lineRule="exact"/>
        <w:ind w:left="0" w:leftChars="0" w:firstLine="0" w:firstLineChars="0"/>
        <w:jc w:val="center"/>
        <w:textAlignment w:val="auto"/>
        <w:rPr>
          <w:rFonts w:hint="eastAsia" w:ascii="方正小标宋简体" w:hAnsi="方正小标宋简体" w:eastAsia="方正小标宋简体" w:cs="方正小标宋简体"/>
          <w:color w:val="auto"/>
          <w:spacing w:val="0"/>
          <w:w w:val="100"/>
          <w:sz w:val="44"/>
          <w:szCs w:val="44"/>
        </w:rPr>
      </w:pPr>
      <w:r>
        <w:rPr>
          <w:rFonts w:hint="eastAsia" w:ascii="方正小标宋简体" w:hAnsi="方正小标宋简体" w:eastAsia="方正小标宋简体" w:cs="方正小标宋简体"/>
          <w:i w:val="0"/>
          <w:iCs/>
          <w:color w:val="auto"/>
          <w:spacing w:val="0"/>
          <w:w w:val="100"/>
          <w:sz w:val="44"/>
          <w:szCs w:val="44"/>
        </w:rPr>
        <w:t>猪瘟免疫技术方案</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0"/>
        <w:jc w:val="both"/>
        <w:textAlignment w:val="auto"/>
        <w:rPr>
          <w:rFonts w:hint="eastAsia" w:ascii="仿宋_GB2312" w:hAnsi="仿宋_GB2312" w:eastAsia="仿宋_GB2312" w:cs="仿宋_GB2312"/>
          <w:i/>
          <w:color w:val="auto"/>
          <w:spacing w:val="0"/>
          <w:w w:val="100"/>
          <w:sz w:val="32"/>
          <w:szCs w:val="32"/>
        </w:rPr>
      </w:pP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760"/>
        <w:jc w:val="both"/>
        <w:textAlignment w:val="auto"/>
        <w:rPr>
          <w:rFonts w:hint="eastAsia" w:ascii="CESI黑体-GB2312" w:hAnsi="CESI黑体-GB2312" w:eastAsia="CESI黑体-GB2312" w:cs="CESI黑体-GB2312"/>
          <w:color w:val="auto"/>
          <w:spacing w:val="0"/>
          <w:w w:val="100"/>
          <w:sz w:val="32"/>
          <w:szCs w:val="32"/>
        </w:rPr>
      </w:pPr>
      <w:r>
        <w:rPr>
          <w:rFonts w:hint="eastAsia" w:ascii="CESI黑体-GB2312" w:hAnsi="CESI黑体-GB2312" w:eastAsia="CESI黑体-GB2312" w:cs="CESI黑体-GB2312"/>
          <w:color w:val="auto"/>
          <w:spacing w:val="0"/>
          <w:w w:val="100"/>
          <w:sz w:val="32"/>
          <w:szCs w:val="32"/>
        </w:rPr>
        <w:t>一、免疫要求</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76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根据猪场实际情况进行猪瘟免疫。</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760"/>
        <w:jc w:val="both"/>
        <w:textAlignment w:val="auto"/>
        <w:rPr>
          <w:rFonts w:hint="eastAsia" w:ascii="CESI黑体-GB2312" w:hAnsi="CESI黑体-GB2312" w:eastAsia="CESI黑体-GB2312" w:cs="CESI黑体-GB2312"/>
          <w:color w:val="auto"/>
          <w:spacing w:val="0"/>
          <w:w w:val="100"/>
          <w:sz w:val="32"/>
          <w:szCs w:val="32"/>
        </w:rPr>
      </w:pPr>
      <w:r>
        <w:rPr>
          <w:rFonts w:hint="eastAsia" w:ascii="CESI黑体-GB2312" w:hAnsi="CESI黑体-GB2312" w:eastAsia="CESI黑体-GB2312" w:cs="CESI黑体-GB2312"/>
          <w:color w:val="auto"/>
          <w:spacing w:val="0"/>
          <w:w w:val="100"/>
          <w:sz w:val="32"/>
          <w:szCs w:val="32"/>
        </w:rPr>
        <w:t>二、推荐免疫程序</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76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（一）猪瘟活疫苗</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right="277" w:firstLine="64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考虑母猪免疫情况、仔猪母源抗体水平等因素，确定仔 猪初免日龄。如根据母猪免疫次数、母源抗体等差异，仔猪可选择28～60日龄进行初免。种猪每6个月免疫一次。</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76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（二）猪瘟亚单位疫苗</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76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商品猪 8-10周免疫，种猪每6个月免疫1次。</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760"/>
        <w:jc w:val="both"/>
        <w:textAlignment w:val="auto"/>
        <w:rPr>
          <w:rFonts w:hint="eastAsia" w:ascii="CESI黑体-GB2312" w:hAnsi="CESI黑体-GB2312" w:eastAsia="CESI黑体-GB2312" w:cs="CESI黑体-GB2312"/>
          <w:color w:val="auto"/>
          <w:spacing w:val="0"/>
          <w:w w:val="100"/>
          <w:sz w:val="32"/>
          <w:szCs w:val="32"/>
        </w:rPr>
      </w:pPr>
      <w:r>
        <w:rPr>
          <w:rFonts w:hint="eastAsia" w:ascii="CESI黑体-GB2312" w:hAnsi="CESI黑体-GB2312" w:eastAsia="CESI黑体-GB2312" w:cs="CESI黑体-GB2312"/>
          <w:color w:val="auto"/>
          <w:spacing w:val="0"/>
          <w:w w:val="100"/>
          <w:sz w:val="32"/>
          <w:szCs w:val="32"/>
        </w:rPr>
        <w:t>三、疫苗种类</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right="280" w:firstLine="64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选择使用猪瘟活疫苗或亚单位疫苗。疫苗产品信息可在中国兽药信息网“国家兽药基础信息查询”平台“兽药产品 批准文号数据”中查询。</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760"/>
        <w:jc w:val="both"/>
        <w:textAlignment w:val="auto"/>
        <w:rPr>
          <w:rFonts w:hint="eastAsia" w:ascii="CESI黑体-GB2312" w:hAnsi="CESI黑体-GB2312" w:eastAsia="CESI黑体-GB2312" w:cs="CESI黑体-GB2312"/>
          <w:color w:val="auto"/>
          <w:spacing w:val="0"/>
          <w:w w:val="100"/>
          <w:sz w:val="32"/>
          <w:szCs w:val="32"/>
        </w:rPr>
      </w:pPr>
      <w:r>
        <w:rPr>
          <w:rFonts w:hint="eastAsia" w:ascii="CESI黑体-GB2312" w:hAnsi="CESI黑体-GB2312" w:eastAsia="CESI黑体-GB2312" w:cs="CESI黑体-GB2312"/>
          <w:color w:val="auto"/>
          <w:spacing w:val="0"/>
          <w:w w:val="100"/>
          <w:sz w:val="32"/>
          <w:szCs w:val="32"/>
        </w:rPr>
        <w:t>四、免疫方法</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right="235" w:firstLine="64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免疫接种方法及剂量按免疫推荐方案、相关产品说明书或者实际需求操作。</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760"/>
        <w:jc w:val="both"/>
        <w:textAlignment w:val="auto"/>
        <w:rPr>
          <w:rFonts w:hint="eastAsia" w:ascii="CESI黑体-GB2312" w:hAnsi="CESI黑体-GB2312" w:eastAsia="CESI黑体-GB2312" w:cs="CESI黑体-GB2312"/>
          <w:color w:val="auto"/>
          <w:spacing w:val="0"/>
          <w:w w:val="100"/>
          <w:sz w:val="32"/>
          <w:szCs w:val="32"/>
        </w:rPr>
      </w:pPr>
      <w:r>
        <w:rPr>
          <w:rFonts w:hint="eastAsia" w:ascii="CESI黑体-GB2312" w:hAnsi="CESI黑体-GB2312" w:eastAsia="CESI黑体-GB2312" w:cs="CESI黑体-GB2312"/>
          <w:color w:val="auto"/>
          <w:spacing w:val="0"/>
          <w:w w:val="100"/>
          <w:sz w:val="32"/>
          <w:szCs w:val="32"/>
        </w:rPr>
        <w:t>五、免疫效果监测</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76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猪免疫21天后，进行免疫效果监测。</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76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（一）检测方法</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right="280" w:firstLine="64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采用GB/T16551-2020《猪瘟诊断技术》规定的ELISA方法进行抗体检测。</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76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（二）采样数量</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right="280" w:firstLine="64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每个采样场点随机采集样品不少于30份，不足30份的应全采。</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76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散养户以一个自然村作为一个监测采样单元。</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76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（三）免疫效果判定</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right="277" w:firstLine="64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抗体检测阳性判为个体免疫合格。免疫合格个体总数量</w:t>
      </w:r>
      <w:r>
        <w:rPr>
          <w:rFonts w:hint="eastAsia" w:ascii="仿宋_GB2312" w:hAnsi="仿宋_GB2312" w:eastAsia="仿宋_GB2312" w:cs="仿宋_GB2312"/>
          <w:color w:val="auto"/>
          <w:spacing w:val="0"/>
          <w:w w:val="100"/>
          <w:position w:val="1"/>
          <w:sz w:val="32"/>
          <w:szCs w:val="32"/>
        </w:rPr>
        <w:t>占免疫群体总数不低于70</w:t>
      </w:r>
      <w:r>
        <w:rPr>
          <w:rFonts w:hint="eastAsia" w:ascii="仿宋_GB2312" w:hAnsi="仿宋_GB2312" w:eastAsia="仿宋_GB2312" w:cs="仿宋_GB2312"/>
          <w:color w:val="auto"/>
          <w:spacing w:val="0"/>
          <w:w w:val="100"/>
          <w:sz w:val="32"/>
          <w:szCs w:val="32"/>
        </w:rPr>
        <w:drawing>
          <wp:inline distT="0" distB="0" distL="0" distR="0">
            <wp:extent cx="85090" cy="154940"/>
            <wp:effectExtent l="0" t="0" r="0" b="0"/>
            <wp:docPr id="15"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1.png"/>
                    <pic:cNvPicPr>
                      <a:picLocks noChangeAspect="1"/>
                    </pic:cNvPicPr>
                  </pic:nvPicPr>
                  <pic:blipFill>
                    <a:blip r:embed="rId12" cstate="print"/>
                    <a:stretch>
                      <a:fillRect/>
                    </a:stretch>
                  </pic:blipFill>
                  <pic:spPr>
                    <a:xfrm>
                      <a:off x="0" y="0"/>
                      <a:ext cx="85724" cy="155574"/>
                    </a:xfrm>
                    <a:prstGeom prst="rect">
                      <a:avLst/>
                    </a:prstGeom>
                  </pic:spPr>
                </pic:pic>
              </a:graphicData>
            </a:graphic>
          </wp:inline>
        </w:drawing>
      </w:r>
      <w:r>
        <w:rPr>
          <w:rFonts w:hint="eastAsia" w:ascii="仿宋_GB2312" w:hAnsi="仿宋_GB2312" w:eastAsia="仿宋_GB2312" w:cs="仿宋_GB2312"/>
          <w:color w:val="auto"/>
          <w:spacing w:val="0"/>
          <w:w w:val="100"/>
          <w:position w:val="1"/>
          <w:sz w:val="32"/>
          <w:szCs w:val="32"/>
        </w:rPr>
        <w:t>的，判定为群体免疫合格。</w:t>
      </w:r>
    </w:p>
    <w:p>
      <w:pPr>
        <w:keepNext w:val="0"/>
        <w:keepLines w:val="0"/>
        <w:pageBreakBefore w:val="0"/>
        <w:widowControl w:val="0"/>
        <w:kinsoku/>
        <w:wordWrap/>
        <w:overflowPunct/>
        <w:topLinePunct w:val="0"/>
        <w:autoSpaceDE w:val="0"/>
        <w:autoSpaceDN w:val="0"/>
        <w:bidi w:val="0"/>
        <w:adjustRightInd/>
        <w:snapToGrid/>
        <w:spacing w:before="0" w:after="0" w:line="600" w:lineRule="exact"/>
        <w:jc w:val="both"/>
        <w:textAlignment w:val="auto"/>
        <w:rPr>
          <w:rFonts w:hint="eastAsia" w:ascii="仿宋_GB2312" w:hAnsi="仿宋_GB2312" w:eastAsia="仿宋_GB2312" w:cs="仿宋_GB2312"/>
          <w:color w:val="auto"/>
          <w:spacing w:val="0"/>
          <w:w w:val="100"/>
          <w:sz w:val="32"/>
          <w:szCs w:val="32"/>
        </w:rPr>
        <w:sectPr>
          <w:footerReference r:id="rId9" w:type="default"/>
          <w:footerReference r:id="rId10" w:type="even"/>
          <w:pgSz w:w="11910" w:h="16840"/>
          <w:pgMar w:top="2098" w:right="1587" w:bottom="2098" w:left="1587" w:header="720" w:footer="969" w:gutter="0"/>
          <w:cols w:space="0" w:num="1"/>
          <w:rtlGutter w:val="0"/>
          <w:docGrid w:linePitch="0" w:charSpace="0"/>
        </w:sectPr>
      </w:pPr>
    </w:p>
    <w:p>
      <w:pPr>
        <w:pStyle w:val="3"/>
        <w:keepNext w:val="0"/>
        <w:keepLines w:val="0"/>
        <w:pageBreakBefore w:val="0"/>
        <w:widowControl w:val="0"/>
        <w:kinsoku/>
        <w:wordWrap/>
        <w:overflowPunct/>
        <w:topLinePunct w:val="0"/>
        <w:autoSpaceDE w:val="0"/>
        <w:autoSpaceDN w:val="0"/>
        <w:bidi w:val="0"/>
        <w:adjustRightInd/>
        <w:snapToGrid/>
        <w:spacing w:before="0" w:line="600" w:lineRule="exact"/>
        <w:jc w:val="both"/>
        <w:textAlignment w:val="auto"/>
        <w:rPr>
          <w:rFonts w:hint="eastAsia" w:ascii="仿宋_GB2312" w:hAnsi="仿宋_GB2312" w:eastAsia="仿宋_GB2312" w:cs="仿宋_GB2312"/>
          <w:color w:val="auto"/>
          <w:spacing w:val="0"/>
          <w:w w:val="100"/>
          <w:sz w:val="32"/>
          <w:szCs w:val="32"/>
        </w:rPr>
      </w:pPr>
      <w:r>
        <w:rPr>
          <w:rFonts w:hint="eastAsia" w:ascii="黑体" w:hAnsi="黑体" w:eastAsia="黑体" w:cs="黑体"/>
          <w:color w:val="auto"/>
          <w:spacing w:val="0"/>
          <w:w w:val="100"/>
          <w:sz w:val="32"/>
          <w:szCs w:val="32"/>
        </w:rPr>
        <w:t>附件</w:t>
      </w:r>
      <w:r>
        <w:rPr>
          <w:rFonts w:hint="eastAsia" w:ascii="黑体" w:hAnsi="黑体" w:eastAsia="黑体" w:cs="黑体"/>
          <w:color w:val="auto"/>
          <w:spacing w:val="0"/>
          <w:w w:val="100"/>
          <w:sz w:val="32"/>
          <w:szCs w:val="32"/>
          <w:lang w:val="en-US" w:eastAsia="zh-CN"/>
        </w:rPr>
        <w:t>5</w:t>
      </w:r>
    </w:p>
    <w:p>
      <w:pPr>
        <w:pStyle w:val="2"/>
        <w:keepNext w:val="0"/>
        <w:keepLines w:val="0"/>
        <w:pageBreakBefore w:val="0"/>
        <w:widowControl w:val="0"/>
        <w:kinsoku/>
        <w:wordWrap/>
        <w:overflowPunct/>
        <w:topLinePunct w:val="0"/>
        <w:autoSpaceDE w:val="0"/>
        <w:autoSpaceDN w:val="0"/>
        <w:bidi w:val="0"/>
        <w:adjustRightInd/>
        <w:snapToGrid/>
        <w:spacing w:before="0" w:line="600" w:lineRule="exact"/>
        <w:ind w:left="0" w:leftChars="0" w:right="0" w:firstLine="0" w:firstLineChars="0"/>
        <w:jc w:val="center"/>
        <w:textAlignment w:val="auto"/>
        <w:rPr>
          <w:rFonts w:hint="eastAsia" w:ascii="方正小标宋简体" w:hAnsi="方正小标宋简体" w:eastAsia="方正小标宋简体" w:cs="方正小标宋简体"/>
          <w:i w:val="0"/>
          <w:iCs/>
          <w:color w:val="auto"/>
          <w:spacing w:val="0"/>
          <w:w w:val="100"/>
          <w:sz w:val="44"/>
          <w:szCs w:val="44"/>
        </w:rPr>
      </w:pPr>
      <w:r>
        <w:rPr>
          <w:rFonts w:hint="eastAsia" w:ascii="方正小标宋简体" w:hAnsi="方正小标宋简体" w:eastAsia="方正小标宋简体" w:cs="方正小标宋简体"/>
          <w:i w:val="0"/>
          <w:iCs/>
          <w:color w:val="auto"/>
          <w:spacing w:val="0"/>
          <w:w w:val="100"/>
          <w:sz w:val="44"/>
          <w:szCs w:val="44"/>
        </w:rPr>
        <w:t>猪繁殖与呼吸综合征免疫技术方案</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0"/>
        <w:jc w:val="both"/>
        <w:textAlignment w:val="auto"/>
        <w:rPr>
          <w:rFonts w:hint="eastAsia" w:ascii="仿宋_GB2312" w:hAnsi="仿宋_GB2312" w:eastAsia="仿宋_GB2312" w:cs="仿宋_GB2312"/>
          <w:i/>
          <w:color w:val="auto"/>
          <w:spacing w:val="0"/>
          <w:w w:val="100"/>
          <w:sz w:val="32"/>
          <w:szCs w:val="32"/>
        </w:rPr>
      </w:pP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760"/>
        <w:jc w:val="both"/>
        <w:textAlignment w:val="auto"/>
        <w:rPr>
          <w:rFonts w:hint="eastAsia" w:ascii="CESI黑体-GB2312" w:hAnsi="CESI黑体-GB2312" w:eastAsia="CESI黑体-GB2312" w:cs="CESI黑体-GB2312"/>
          <w:color w:val="auto"/>
          <w:spacing w:val="0"/>
          <w:w w:val="100"/>
          <w:sz w:val="32"/>
          <w:szCs w:val="32"/>
        </w:rPr>
      </w:pPr>
      <w:r>
        <w:rPr>
          <w:rFonts w:hint="eastAsia" w:ascii="CESI黑体-GB2312" w:hAnsi="CESI黑体-GB2312" w:eastAsia="CESI黑体-GB2312" w:cs="CESI黑体-GB2312"/>
          <w:color w:val="auto"/>
          <w:spacing w:val="0"/>
          <w:w w:val="100"/>
          <w:sz w:val="32"/>
          <w:szCs w:val="32"/>
        </w:rPr>
        <w:t>一、免疫要求</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76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根据猪场实际情况对猪场进行猪繁殖呼吸综合征免疫。</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760"/>
        <w:jc w:val="both"/>
        <w:textAlignment w:val="auto"/>
        <w:rPr>
          <w:rFonts w:hint="eastAsia" w:ascii="CESI黑体-GB2312" w:hAnsi="CESI黑体-GB2312" w:eastAsia="CESI黑体-GB2312" w:cs="CESI黑体-GB2312"/>
          <w:color w:val="auto"/>
          <w:spacing w:val="0"/>
          <w:w w:val="100"/>
          <w:sz w:val="32"/>
          <w:szCs w:val="32"/>
        </w:rPr>
      </w:pPr>
      <w:r>
        <w:rPr>
          <w:rFonts w:hint="eastAsia" w:ascii="CESI黑体-GB2312" w:hAnsi="CESI黑体-GB2312" w:eastAsia="CESI黑体-GB2312" w:cs="CESI黑体-GB2312"/>
          <w:color w:val="auto"/>
          <w:spacing w:val="0"/>
          <w:w w:val="100"/>
          <w:sz w:val="32"/>
          <w:szCs w:val="32"/>
        </w:rPr>
        <w:t>二、推荐免疫程序</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right="277" w:firstLine="64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在阳性不稳定猪场，可以结合生物安全与免疫管理的方式进行，生物安全方面实施闭群管理，一次性引入足够量后备猪，与生产母猪群、仔猪等同步免疫活疫苗，间隔 4周加强免疫一次，监测种群排毒和全进全出管理。</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right="119" w:firstLine="64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种母猪一年免疫3～4次，仔猪也需进行免疫；商品猪根据种猪群疫病状态及保育阶段猪只发病日龄进行评估，可以在猪群感染时间前推3～4周进行免疫，哺乳猪的首免时间应不早于14日龄。其他疫苗，按照产品说明书进行免疫。</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760"/>
        <w:jc w:val="both"/>
        <w:textAlignment w:val="auto"/>
        <w:rPr>
          <w:rFonts w:hint="eastAsia" w:ascii="CESI黑体-GB2312" w:hAnsi="CESI黑体-GB2312" w:eastAsia="CESI黑体-GB2312" w:cs="CESI黑体-GB2312"/>
          <w:color w:val="auto"/>
          <w:spacing w:val="0"/>
          <w:w w:val="100"/>
          <w:sz w:val="32"/>
          <w:szCs w:val="32"/>
        </w:rPr>
      </w:pPr>
      <w:r>
        <w:rPr>
          <w:rFonts w:hint="eastAsia" w:ascii="CESI黑体-GB2312" w:hAnsi="CESI黑体-GB2312" w:eastAsia="CESI黑体-GB2312" w:cs="CESI黑体-GB2312"/>
          <w:color w:val="auto"/>
          <w:spacing w:val="0"/>
          <w:w w:val="100"/>
          <w:sz w:val="32"/>
          <w:szCs w:val="32"/>
        </w:rPr>
        <w:t>三、疫苗种类</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right="119" w:firstLine="64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猪繁殖与呼吸综合征疫苗的安全性是首要考虑因素，要科学合理选择灭活疫苗和活疫苗。在猪繁殖与呼吸综合征发病猪场或阳性不稳定场，可选择使用和本场流行毒株匹配的活疫苗；在阳性稳定场，需逐渐减少使用活疫苗；在阴性场、 原种猪场和种公猪站，需停止使用活疫苗。当前，商品化疫苗与类NADC30毒株亲缘关系较远，免疫后均无法阻止类NADC30毒株的感染，交叉保护不足，但疫苗免疫能一定程度上降低感染猪的病毒血症滴度，缩短排毒时间。</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right="280" w:firstLine="64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疫苗产品信息可在中国兽药信息网“国家兽药基础信息查询”平台“兽药产品批准文号数据”中查询。</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760"/>
        <w:jc w:val="both"/>
        <w:textAlignment w:val="auto"/>
        <w:rPr>
          <w:rFonts w:hint="eastAsia" w:ascii="CESI黑体-GB2312" w:hAnsi="CESI黑体-GB2312" w:eastAsia="CESI黑体-GB2312" w:cs="CESI黑体-GB2312"/>
          <w:color w:val="auto"/>
          <w:spacing w:val="0"/>
          <w:w w:val="100"/>
          <w:sz w:val="32"/>
          <w:szCs w:val="32"/>
        </w:rPr>
      </w:pPr>
      <w:r>
        <w:rPr>
          <w:rFonts w:hint="eastAsia" w:ascii="CESI黑体-GB2312" w:hAnsi="CESI黑体-GB2312" w:eastAsia="CESI黑体-GB2312" w:cs="CESI黑体-GB2312"/>
          <w:color w:val="auto"/>
          <w:spacing w:val="0"/>
          <w:w w:val="100"/>
          <w:sz w:val="32"/>
          <w:szCs w:val="32"/>
        </w:rPr>
        <w:t>四、免疫方法</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right="235" w:firstLine="64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免疫接种方法及剂量按免疫推荐方案、相关产品说明书或者实际需求操作。</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760"/>
        <w:jc w:val="both"/>
        <w:textAlignment w:val="auto"/>
        <w:rPr>
          <w:rFonts w:hint="eastAsia" w:ascii="CESI黑体-GB2312" w:hAnsi="CESI黑体-GB2312" w:eastAsia="CESI黑体-GB2312" w:cs="CESI黑体-GB2312"/>
          <w:color w:val="auto"/>
          <w:spacing w:val="0"/>
          <w:w w:val="100"/>
          <w:sz w:val="32"/>
          <w:szCs w:val="32"/>
        </w:rPr>
      </w:pPr>
      <w:r>
        <w:rPr>
          <w:rFonts w:hint="eastAsia" w:ascii="CESI黑体-GB2312" w:hAnsi="CESI黑体-GB2312" w:eastAsia="CESI黑体-GB2312" w:cs="CESI黑体-GB2312"/>
          <w:color w:val="auto"/>
          <w:spacing w:val="0"/>
          <w:w w:val="100"/>
          <w:sz w:val="32"/>
          <w:szCs w:val="32"/>
        </w:rPr>
        <w:t>五、免疫效果监测</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76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猪免疫28天后，进行免疫效果监测。</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76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（一）检测方法</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right="107" w:firstLine="64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采用GB/T18090-2008《猪繁殖与呼吸综合征诊断方法》规定的ELISA方法进行抗体检测。</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76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（二）采样数量</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right="280" w:firstLine="64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每个采样场点随机采集样品不少于30份，不足30份的应全采。</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76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散养户以一个自然村作为一个监测采样单元。</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76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（三）免疫效果判定</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right="280" w:firstLine="64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由于检测的抗体水平与免疫保护效果无直接相关性，抗体检测主要用于评估免疫后抗体转阳率，抗原和抗体检测均</w:t>
      </w:r>
      <w:r>
        <w:rPr>
          <w:rFonts w:hint="eastAsia" w:ascii="仿宋_GB2312" w:hAnsi="仿宋_GB2312" w:eastAsia="仿宋_GB2312" w:cs="仿宋_GB2312"/>
          <w:color w:val="auto"/>
          <w:spacing w:val="0"/>
          <w:w w:val="100"/>
          <w:position w:val="1"/>
          <w:sz w:val="32"/>
          <w:szCs w:val="32"/>
        </w:rPr>
        <w:t>为阴性的群体免疫28天后，抗体转阳率应大于80</w:t>
      </w:r>
      <w:r>
        <w:rPr>
          <w:rFonts w:hint="eastAsia" w:ascii="仿宋_GB2312" w:hAnsi="仿宋_GB2312" w:eastAsia="仿宋_GB2312" w:cs="仿宋_GB2312"/>
          <w:color w:val="auto"/>
          <w:spacing w:val="0"/>
          <w:w w:val="100"/>
          <w:sz w:val="32"/>
          <w:szCs w:val="32"/>
        </w:rPr>
        <w:drawing>
          <wp:inline distT="0" distB="0" distL="0" distR="0">
            <wp:extent cx="85090" cy="154940"/>
            <wp:effectExtent l="0" t="0" r="0" b="0"/>
            <wp:docPr id="17"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1.png"/>
                    <pic:cNvPicPr>
                      <a:picLocks noChangeAspect="1"/>
                    </pic:cNvPicPr>
                  </pic:nvPicPr>
                  <pic:blipFill>
                    <a:blip r:embed="rId12" cstate="print"/>
                    <a:stretch>
                      <a:fillRect/>
                    </a:stretch>
                  </pic:blipFill>
                  <pic:spPr>
                    <a:xfrm>
                      <a:off x="0" y="0"/>
                      <a:ext cx="85724" cy="155574"/>
                    </a:xfrm>
                    <a:prstGeom prst="rect">
                      <a:avLst/>
                    </a:prstGeom>
                  </pic:spPr>
                </pic:pic>
              </a:graphicData>
            </a:graphic>
          </wp:inline>
        </w:drawing>
      </w:r>
      <w:r>
        <w:rPr>
          <w:rFonts w:hint="eastAsia" w:ascii="仿宋_GB2312" w:hAnsi="仿宋_GB2312" w:eastAsia="仿宋_GB2312" w:cs="仿宋_GB2312"/>
          <w:color w:val="auto"/>
          <w:spacing w:val="0"/>
          <w:w w:val="100"/>
          <w:position w:val="1"/>
          <w:sz w:val="32"/>
          <w:szCs w:val="32"/>
        </w:rPr>
        <w:t>。免疫</w:t>
      </w:r>
      <w:r>
        <w:rPr>
          <w:rFonts w:hint="eastAsia" w:ascii="仿宋_GB2312" w:hAnsi="仿宋_GB2312" w:eastAsia="仿宋_GB2312" w:cs="仿宋_GB2312"/>
          <w:color w:val="auto"/>
          <w:spacing w:val="0"/>
          <w:w w:val="100"/>
          <w:sz w:val="32"/>
          <w:szCs w:val="32"/>
        </w:rPr>
        <w:t>效果评价可结合聚合酶链式反应(PCR)方法进行综合判定。</w:t>
      </w:r>
    </w:p>
    <w:p>
      <w:pPr>
        <w:keepNext w:val="0"/>
        <w:keepLines w:val="0"/>
        <w:pageBreakBefore w:val="0"/>
        <w:widowControl w:val="0"/>
        <w:kinsoku/>
        <w:wordWrap/>
        <w:overflowPunct/>
        <w:topLinePunct w:val="0"/>
        <w:autoSpaceDE w:val="0"/>
        <w:autoSpaceDN w:val="0"/>
        <w:bidi w:val="0"/>
        <w:adjustRightInd/>
        <w:snapToGrid/>
        <w:spacing w:before="0" w:after="0" w:line="600" w:lineRule="exact"/>
        <w:jc w:val="both"/>
        <w:textAlignment w:val="auto"/>
        <w:rPr>
          <w:rFonts w:hint="eastAsia" w:ascii="仿宋_GB2312" w:hAnsi="仿宋_GB2312" w:eastAsia="仿宋_GB2312" w:cs="仿宋_GB2312"/>
          <w:color w:val="auto"/>
          <w:spacing w:val="0"/>
          <w:w w:val="100"/>
          <w:sz w:val="32"/>
          <w:szCs w:val="32"/>
        </w:rPr>
        <w:sectPr>
          <w:pgSz w:w="11910" w:h="16840"/>
          <w:pgMar w:top="2098" w:right="1587" w:bottom="2098" w:left="1587" w:header="720" w:footer="969" w:gutter="0"/>
          <w:cols w:space="0" w:num="1"/>
          <w:rtlGutter w:val="0"/>
          <w:docGrid w:linePitch="0" w:charSpace="0"/>
        </w:sectPr>
      </w:pPr>
    </w:p>
    <w:p>
      <w:pPr>
        <w:pStyle w:val="3"/>
        <w:keepNext w:val="0"/>
        <w:keepLines w:val="0"/>
        <w:pageBreakBefore w:val="0"/>
        <w:widowControl w:val="0"/>
        <w:kinsoku/>
        <w:wordWrap/>
        <w:overflowPunct/>
        <w:topLinePunct w:val="0"/>
        <w:autoSpaceDE w:val="0"/>
        <w:autoSpaceDN w:val="0"/>
        <w:bidi w:val="0"/>
        <w:adjustRightInd/>
        <w:snapToGrid/>
        <w:spacing w:before="0" w:line="600" w:lineRule="exact"/>
        <w:jc w:val="both"/>
        <w:textAlignment w:val="auto"/>
        <w:rPr>
          <w:rFonts w:hint="eastAsia" w:ascii="CESI黑体-GB2312" w:hAnsi="CESI黑体-GB2312" w:eastAsia="CESI黑体-GB2312" w:cs="CESI黑体-GB2312"/>
          <w:color w:val="auto"/>
          <w:spacing w:val="0"/>
          <w:w w:val="100"/>
          <w:sz w:val="32"/>
          <w:szCs w:val="32"/>
        </w:rPr>
      </w:pPr>
      <w:r>
        <w:rPr>
          <w:rFonts w:hint="eastAsia" w:ascii="CESI黑体-GB2312" w:hAnsi="CESI黑体-GB2312" w:eastAsia="CESI黑体-GB2312" w:cs="CESI黑体-GB2312"/>
          <w:color w:val="auto"/>
          <w:spacing w:val="0"/>
          <w:w w:val="100"/>
          <w:sz w:val="32"/>
          <w:szCs w:val="32"/>
        </w:rPr>
        <w:t>附件</w:t>
      </w:r>
      <w:r>
        <w:rPr>
          <w:rFonts w:hint="eastAsia" w:ascii="CESI黑体-GB2312" w:hAnsi="CESI黑体-GB2312" w:eastAsia="CESI黑体-GB2312" w:cs="CESI黑体-GB2312"/>
          <w:color w:val="auto"/>
          <w:spacing w:val="0"/>
          <w:w w:val="100"/>
          <w:sz w:val="32"/>
          <w:szCs w:val="32"/>
          <w:lang w:val="en-US" w:eastAsia="zh-CN"/>
        </w:rPr>
        <w:t>6</w:t>
      </w:r>
    </w:p>
    <w:p>
      <w:pPr>
        <w:pStyle w:val="2"/>
        <w:keepNext w:val="0"/>
        <w:keepLines w:val="0"/>
        <w:pageBreakBefore w:val="0"/>
        <w:widowControl w:val="0"/>
        <w:kinsoku/>
        <w:wordWrap/>
        <w:overflowPunct/>
        <w:topLinePunct w:val="0"/>
        <w:autoSpaceDE w:val="0"/>
        <w:autoSpaceDN w:val="0"/>
        <w:bidi w:val="0"/>
        <w:adjustRightInd/>
        <w:snapToGrid/>
        <w:spacing w:before="0" w:line="600" w:lineRule="exact"/>
        <w:ind w:left="0" w:leftChars="0" w:firstLine="0" w:firstLineChars="0"/>
        <w:jc w:val="center"/>
        <w:textAlignment w:val="auto"/>
        <w:rPr>
          <w:rFonts w:hint="eastAsia" w:ascii="方正小标宋简体" w:hAnsi="方正小标宋简体" w:eastAsia="方正小标宋简体" w:cs="方正小标宋简体"/>
          <w:i w:val="0"/>
          <w:iCs/>
          <w:color w:val="auto"/>
          <w:spacing w:val="0"/>
          <w:w w:val="100"/>
          <w:sz w:val="44"/>
          <w:szCs w:val="44"/>
        </w:rPr>
      </w:pPr>
      <w:r>
        <w:rPr>
          <w:rFonts w:hint="eastAsia" w:ascii="方正小标宋简体" w:hAnsi="方正小标宋简体" w:eastAsia="方正小标宋简体" w:cs="方正小标宋简体"/>
          <w:i w:val="0"/>
          <w:iCs/>
          <w:color w:val="auto"/>
          <w:spacing w:val="0"/>
          <w:w w:val="100"/>
          <w:sz w:val="44"/>
          <w:szCs w:val="44"/>
        </w:rPr>
        <w:t>新城疫免疫技术方案</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0"/>
        <w:jc w:val="both"/>
        <w:textAlignment w:val="auto"/>
        <w:rPr>
          <w:rFonts w:hint="eastAsia" w:ascii="仿宋_GB2312" w:hAnsi="仿宋_GB2312" w:eastAsia="仿宋_GB2312" w:cs="仿宋_GB2312"/>
          <w:i/>
          <w:color w:val="auto"/>
          <w:spacing w:val="0"/>
          <w:w w:val="100"/>
          <w:sz w:val="32"/>
          <w:szCs w:val="32"/>
        </w:rPr>
      </w:pP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600"/>
        <w:jc w:val="both"/>
        <w:textAlignment w:val="auto"/>
        <w:rPr>
          <w:rFonts w:hint="eastAsia" w:ascii="CESI黑体-GB2312" w:hAnsi="CESI黑体-GB2312" w:eastAsia="CESI黑体-GB2312" w:cs="CESI黑体-GB2312"/>
          <w:color w:val="auto"/>
          <w:spacing w:val="0"/>
          <w:w w:val="100"/>
          <w:sz w:val="32"/>
          <w:szCs w:val="32"/>
        </w:rPr>
      </w:pPr>
      <w:r>
        <w:rPr>
          <w:rFonts w:hint="eastAsia" w:ascii="CESI黑体-GB2312" w:hAnsi="CESI黑体-GB2312" w:eastAsia="CESI黑体-GB2312" w:cs="CESI黑体-GB2312"/>
          <w:color w:val="auto"/>
          <w:spacing w:val="0"/>
          <w:w w:val="100"/>
          <w:sz w:val="32"/>
          <w:szCs w:val="32"/>
        </w:rPr>
        <w:t>一、免疫要求</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76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根据养殖场状况，对鸡、鸭、鹅、鸽子等进行新城疫免</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疫。</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760"/>
        <w:jc w:val="both"/>
        <w:textAlignment w:val="auto"/>
        <w:rPr>
          <w:rFonts w:hint="eastAsia" w:ascii="CESI黑体-GB2312" w:hAnsi="CESI黑体-GB2312" w:eastAsia="CESI黑体-GB2312" w:cs="CESI黑体-GB2312"/>
          <w:color w:val="auto"/>
          <w:spacing w:val="0"/>
          <w:w w:val="100"/>
          <w:sz w:val="32"/>
          <w:szCs w:val="32"/>
        </w:rPr>
      </w:pPr>
      <w:r>
        <w:rPr>
          <w:rFonts w:hint="eastAsia" w:ascii="CESI黑体-GB2312" w:hAnsi="CESI黑体-GB2312" w:eastAsia="CESI黑体-GB2312" w:cs="CESI黑体-GB2312"/>
          <w:color w:val="auto"/>
          <w:spacing w:val="0"/>
          <w:w w:val="100"/>
          <w:sz w:val="32"/>
          <w:szCs w:val="32"/>
        </w:rPr>
        <w:t>二、推荐免疫程序</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76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b/>
          <w:color w:val="auto"/>
          <w:spacing w:val="0"/>
          <w:w w:val="100"/>
          <w:sz w:val="32"/>
          <w:szCs w:val="32"/>
        </w:rPr>
        <w:t>商品肉鸡</w:t>
      </w:r>
      <w:r>
        <w:rPr>
          <w:rFonts w:hint="eastAsia" w:ascii="仿宋_GB2312" w:hAnsi="仿宋_GB2312" w:eastAsia="仿宋_GB2312" w:cs="仿宋_GB2312"/>
          <w:color w:val="auto"/>
          <w:spacing w:val="0"/>
          <w:w w:val="100"/>
          <w:sz w:val="32"/>
          <w:szCs w:val="32"/>
        </w:rPr>
        <w:t>：7～10日龄时，用新城疫活疫苗或灭活疫苗</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进行初免，2周后，用新城疫活疫苗加强免疫一次。</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right="119" w:firstLine="64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b/>
          <w:color w:val="auto"/>
          <w:spacing w:val="0"/>
          <w:w w:val="100"/>
          <w:sz w:val="32"/>
          <w:szCs w:val="32"/>
        </w:rPr>
        <w:t>种鸡、商品蛋鸡：</w:t>
      </w:r>
      <w:r>
        <w:rPr>
          <w:rFonts w:hint="eastAsia" w:ascii="仿宋_GB2312" w:hAnsi="仿宋_GB2312" w:eastAsia="仿宋_GB2312" w:cs="仿宋_GB2312"/>
          <w:color w:val="auto"/>
          <w:spacing w:val="0"/>
          <w:w w:val="100"/>
          <w:sz w:val="32"/>
          <w:szCs w:val="32"/>
        </w:rPr>
        <w:t>3～7日龄，用新城疫活疫苗进行初免； 10～14日龄，用新城疫活疫苗或灭活疫苗进行二免；12周龄，用新城疫活疫苗或灭活疫苗进行强化免疫；17～18周龄或开产前，再用新城疫灭活疫苗免疫一次。开产后，根据免疫抗体检测情况进行强化免疫。</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760"/>
        <w:jc w:val="both"/>
        <w:textAlignment w:val="auto"/>
        <w:rPr>
          <w:rFonts w:hint="eastAsia" w:ascii="CESI黑体-GB2312" w:hAnsi="CESI黑体-GB2312" w:eastAsia="CESI黑体-GB2312" w:cs="CESI黑体-GB2312"/>
          <w:color w:val="auto"/>
          <w:spacing w:val="0"/>
          <w:w w:val="100"/>
          <w:sz w:val="32"/>
          <w:szCs w:val="32"/>
        </w:rPr>
      </w:pPr>
      <w:r>
        <w:rPr>
          <w:rFonts w:hint="eastAsia" w:ascii="CESI黑体-GB2312" w:hAnsi="CESI黑体-GB2312" w:eastAsia="CESI黑体-GB2312" w:cs="CESI黑体-GB2312"/>
          <w:color w:val="auto"/>
          <w:spacing w:val="0"/>
          <w:w w:val="100"/>
          <w:sz w:val="32"/>
          <w:szCs w:val="32"/>
        </w:rPr>
        <w:t>三、疫苗种类</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right="277" w:firstLine="64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选择使用新城疫灭活疫苗或弱毒活疫苗，疫苗产品信息可在中国兽药信息网“国家兽药基础信息查询”平台“兽药产品批准文号数据”中查询。</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760"/>
        <w:jc w:val="both"/>
        <w:textAlignment w:val="auto"/>
        <w:rPr>
          <w:rFonts w:hint="eastAsia" w:ascii="CESI黑体-GB2312" w:hAnsi="CESI黑体-GB2312" w:eastAsia="CESI黑体-GB2312" w:cs="CESI黑体-GB2312"/>
          <w:color w:val="auto"/>
          <w:spacing w:val="0"/>
          <w:w w:val="100"/>
          <w:sz w:val="32"/>
          <w:szCs w:val="32"/>
        </w:rPr>
      </w:pPr>
      <w:r>
        <w:rPr>
          <w:rFonts w:hint="eastAsia" w:ascii="CESI黑体-GB2312" w:hAnsi="CESI黑体-GB2312" w:eastAsia="CESI黑体-GB2312" w:cs="CESI黑体-GB2312"/>
          <w:color w:val="auto"/>
          <w:spacing w:val="0"/>
          <w:w w:val="100"/>
          <w:sz w:val="32"/>
          <w:szCs w:val="32"/>
        </w:rPr>
        <w:t>四、免疫方法</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right="235" w:firstLine="64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免疫接种方法及剂量按免疫推荐方案、相关产品说明书或者实际需求操作。</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760"/>
        <w:jc w:val="both"/>
        <w:textAlignment w:val="auto"/>
        <w:rPr>
          <w:rFonts w:hint="eastAsia" w:ascii="CESI黑体-GB2312" w:hAnsi="CESI黑体-GB2312" w:eastAsia="CESI黑体-GB2312" w:cs="CESI黑体-GB2312"/>
          <w:color w:val="auto"/>
          <w:spacing w:val="0"/>
          <w:w w:val="100"/>
          <w:sz w:val="32"/>
          <w:szCs w:val="32"/>
        </w:rPr>
      </w:pPr>
      <w:r>
        <w:rPr>
          <w:rFonts w:hint="eastAsia" w:ascii="CESI黑体-GB2312" w:hAnsi="CESI黑体-GB2312" w:eastAsia="CESI黑体-GB2312" w:cs="CESI黑体-GB2312"/>
          <w:color w:val="auto"/>
          <w:spacing w:val="0"/>
          <w:w w:val="100"/>
          <w:sz w:val="32"/>
          <w:szCs w:val="32"/>
        </w:rPr>
        <w:t>五、免疫效果监测</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76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免疫21天后，进行免疫效果监测。</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76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（一）检测方法</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right="280" w:firstLine="64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采用GB/T16550-2020《新城疫诊断技术》规定的血凝试验（HA）和血凝抑制试验（HI）方法进行抗体检测。</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76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（二）采样数量</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right="280" w:firstLine="64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每个采样场点随机采集样品不少于30份，不足30份的应全采。</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76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散养户以一个自然村作为一个监测采样单元。</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76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（三）免疫效果判定</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right="280" w:firstLine="64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HI效价≥2</w:t>
      </w:r>
      <w:r>
        <w:rPr>
          <w:rFonts w:hint="eastAsia" w:ascii="仿宋_GB2312" w:hAnsi="仿宋_GB2312" w:eastAsia="仿宋_GB2312" w:cs="仿宋_GB2312"/>
          <w:color w:val="auto"/>
          <w:spacing w:val="0"/>
          <w:w w:val="100"/>
          <w:position w:val="16"/>
          <w:sz w:val="32"/>
          <w:szCs w:val="32"/>
        </w:rPr>
        <w:t>5</w:t>
      </w:r>
      <w:r>
        <w:rPr>
          <w:rFonts w:hint="eastAsia" w:ascii="仿宋_GB2312" w:hAnsi="仿宋_GB2312" w:eastAsia="仿宋_GB2312" w:cs="仿宋_GB2312"/>
          <w:color w:val="auto"/>
          <w:spacing w:val="0"/>
          <w:w w:val="100"/>
          <w:sz w:val="32"/>
          <w:szCs w:val="32"/>
        </w:rPr>
        <w:t>，判定为个体免疫合格。个体免疫抗体合格</w:t>
      </w:r>
      <w:r>
        <w:rPr>
          <w:rFonts w:hint="eastAsia" w:ascii="仿宋_GB2312" w:hAnsi="仿宋_GB2312" w:eastAsia="仿宋_GB2312" w:cs="仿宋_GB2312"/>
          <w:color w:val="auto"/>
          <w:spacing w:val="0"/>
          <w:w w:val="100"/>
          <w:position w:val="1"/>
          <w:sz w:val="32"/>
          <w:szCs w:val="32"/>
        </w:rPr>
        <w:t>数量占免疫群体总数不低于70</w:t>
      </w:r>
      <w:r>
        <w:rPr>
          <w:rFonts w:hint="eastAsia" w:ascii="仿宋_GB2312" w:hAnsi="仿宋_GB2312" w:eastAsia="仿宋_GB2312" w:cs="仿宋_GB2312"/>
          <w:color w:val="auto"/>
          <w:spacing w:val="0"/>
          <w:w w:val="100"/>
          <w:sz w:val="32"/>
          <w:szCs w:val="32"/>
        </w:rPr>
        <w:drawing>
          <wp:inline distT="0" distB="0" distL="0" distR="0">
            <wp:extent cx="85090" cy="154940"/>
            <wp:effectExtent l="0" t="0" r="0" b="0"/>
            <wp:docPr id="19"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1.png"/>
                    <pic:cNvPicPr>
                      <a:picLocks noChangeAspect="1"/>
                    </pic:cNvPicPr>
                  </pic:nvPicPr>
                  <pic:blipFill>
                    <a:blip r:embed="rId12" cstate="print"/>
                    <a:stretch>
                      <a:fillRect/>
                    </a:stretch>
                  </pic:blipFill>
                  <pic:spPr>
                    <a:xfrm>
                      <a:off x="0" y="0"/>
                      <a:ext cx="85724" cy="155574"/>
                    </a:xfrm>
                    <a:prstGeom prst="rect">
                      <a:avLst/>
                    </a:prstGeom>
                  </pic:spPr>
                </pic:pic>
              </a:graphicData>
            </a:graphic>
          </wp:inline>
        </w:drawing>
      </w:r>
      <w:r>
        <w:rPr>
          <w:rFonts w:hint="eastAsia" w:ascii="仿宋_GB2312" w:hAnsi="仿宋_GB2312" w:eastAsia="仿宋_GB2312" w:cs="仿宋_GB2312"/>
          <w:color w:val="auto"/>
          <w:spacing w:val="0"/>
          <w:w w:val="100"/>
          <w:position w:val="1"/>
          <w:sz w:val="32"/>
          <w:szCs w:val="32"/>
        </w:rPr>
        <w:t>的，判定为群体免疫合格。</w:t>
      </w:r>
    </w:p>
    <w:p>
      <w:pPr>
        <w:keepNext w:val="0"/>
        <w:keepLines w:val="0"/>
        <w:pageBreakBefore w:val="0"/>
        <w:widowControl w:val="0"/>
        <w:kinsoku/>
        <w:wordWrap/>
        <w:overflowPunct/>
        <w:topLinePunct w:val="0"/>
        <w:autoSpaceDE w:val="0"/>
        <w:autoSpaceDN w:val="0"/>
        <w:bidi w:val="0"/>
        <w:adjustRightInd/>
        <w:snapToGrid/>
        <w:spacing w:before="0" w:after="0" w:line="600" w:lineRule="exact"/>
        <w:jc w:val="both"/>
        <w:textAlignment w:val="auto"/>
        <w:rPr>
          <w:rFonts w:hint="eastAsia" w:ascii="仿宋_GB2312" w:hAnsi="仿宋_GB2312" w:eastAsia="仿宋_GB2312" w:cs="仿宋_GB2312"/>
          <w:color w:val="auto"/>
          <w:spacing w:val="0"/>
          <w:w w:val="100"/>
          <w:sz w:val="32"/>
          <w:szCs w:val="32"/>
        </w:rPr>
        <w:sectPr>
          <w:pgSz w:w="11910" w:h="16840"/>
          <w:pgMar w:top="2098" w:right="1587" w:bottom="2098" w:left="1587" w:header="720" w:footer="969" w:gutter="0"/>
          <w:cols w:space="0" w:num="1"/>
          <w:rtlGutter w:val="0"/>
          <w:docGrid w:linePitch="0" w:charSpace="0"/>
        </w:sectPr>
      </w:pPr>
    </w:p>
    <w:p>
      <w:pPr>
        <w:pStyle w:val="3"/>
        <w:keepNext w:val="0"/>
        <w:keepLines w:val="0"/>
        <w:pageBreakBefore w:val="0"/>
        <w:widowControl w:val="0"/>
        <w:kinsoku/>
        <w:wordWrap/>
        <w:overflowPunct/>
        <w:topLinePunct w:val="0"/>
        <w:autoSpaceDE w:val="0"/>
        <w:autoSpaceDN w:val="0"/>
        <w:bidi w:val="0"/>
        <w:adjustRightInd/>
        <w:snapToGrid/>
        <w:spacing w:before="0" w:line="600" w:lineRule="exact"/>
        <w:jc w:val="both"/>
        <w:textAlignment w:val="auto"/>
        <w:rPr>
          <w:rFonts w:hint="eastAsia" w:ascii="CESI黑体-GB2312" w:hAnsi="CESI黑体-GB2312" w:eastAsia="CESI黑体-GB2312" w:cs="CESI黑体-GB2312"/>
          <w:color w:val="auto"/>
          <w:spacing w:val="0"/>
          <w:w w:val="100"/>
          <w:sz w:val="32"/>
          <w:szCs w:val="32"/>
          <w:lang w:eastAsia="zh-CN"/>
        </w:rPr>
      </w:pPr>
      <w:r>
        <w:rPr>
          <w:rFonts w:hint="eastAsia" w:ascii="CESI黑体-GB2312" w:hAnsi="CESI黑体-GB2312" w:eastAsia="CESI黑体-GB2312" w:cs="CESI黑体-GB2312"/>
          <w:color w:val="auto"/>
          <w:spacing w:val="0"/>
          <w:w w:val="100"/>
          <w:sz w:val="32"/>
          <w:szCs w:val="32"/>
        </w:rPr>
        <w:t>附件</w:t>
      </w:r>
      <w:r>
        <w:rPr>
          <w:rFonts w:hint="eastAsia" w:ascii="CESI黑体-GB2312" w:hAnsi="CESI黑体-GB2312" w:eastAsia="CESI黑体-GB2312" w:cs="CESI黑体-GB2312"/>
          <w:color w:val="auto"/>
          <w:spacing w:val="0"/>
          <w:w w:val="100"/>
          <w:sz w:val="32"/>
          <w:szCs w:val="32"/>
          <w:lang w:val="en-US" w:eastAsia="zh-CN"/>
        </w:rPr>
        <w:t>7</w:t>
      </w:r>
    </w:p>
    <w:p>
      <w:pPr>
        <w:pStyle w:val="2"/>
        <w:keepNext w:val="0"/>
        <w:keepLines w:val="0"/>
        <w:pageBreakBefore w:val="0"/>
        <w:widowControl w:val="0"/>
        <w:kinsoku/>
        <w:wordWrap/>
        <w:overflowPunct/>
        <w:topLinePunct w:val="0"/>
        <w:autoSpaceDE w:val="0"/>
        <w:autoSpaceDN w:val="0"/>
        <w:bidi w:val="0"/>
        <w:adjustRightInd/>
        <w:snapToGrid/>
        <w:spacing w:before="0" w:line="600" w:lineRule="exact"/>
        <w:ind w:left="0" w:leftChars="0" w:right="452" w:firstLine="0" w:firstLineChars="0"/>
        <w:jc w:val="center"/>
        <w:textAlignment w:val="auto"/>
        <w:rPr>
          <w:rFonts w:hint="eastAsia" w:ascii="方正小标宋简体" w:hAnsi="方正小标宋简体" w:eastAsia="方正小标宋简体" w:cs="方正小标宋简体"/>
          <w:i w:val="0"/>
          <w:iCs/>
          <w:color w:val="auto"/>
          <w:spacing w:val="0"/>
          <w:w w:val="100"/>
          <w:sz w:val="44"/>
          <w:szCs w:val="44"/>
        </w:rPr>
      </w:pPr>
      <w:r>
        <w:rPr>
          <w:rFonts w:hint="eastAsia" w:ascii="方正小标宋简体" w:hAnsi="方正小标宋简体" w:eastAsia="方正小标宋简体" w:cs="方正小标宋简体"/>
          <w:i w:val="0"/>
          <w:iCs/>
          <w:color w:val="auto"/>
          <w:spacing w:val="0"/>
          <w:w w:val="100"/>
          <w:sz w:val="44"/>
          <w:szCs w:val="44"/>
        </w:rPr>
        <w:t>牛结节性皮肤病免疫技术方案</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0"/>
        <w:jc w:val="both"/>
        <w:textAlignment w:val="auto"/>
        <w:rPr>
          <w:rFonts w:hint="eastAsia" w:ascii="仿宋_GB2312" w:hAnsi="仿宋_GB2312" w:eastAsia="仿宋_GB2312" w:cs="仿宋_GB2312"/>
          <w:i/>
          <w:color w:val="auto"/>
          <w:spacing w:val="0"/>
          <w:w w:val="100"/>
          <w:sz w:val="32"/>
          <w:szCs w:val="32"/>
        </w:rPr>
      </w:pP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760"/>
        <w:jc w:val="both"/>
        <w:textAlignment w:val="auto"/>
        <w:rPr>
          <w:rFonts w:hint="eastAsia" w:ascii="CESI黑体-GB2312" w:hAnsi="CESI黑体-GB2312" w:eastAsia="CESI黑体-GB2312" w:cs="CESI黑体-GB2312"/>
          <w:color w:val="auto"/>
          <w:spacing w:val="0"/>
          <w:w w:val="100"/>
          <w:sz w:val="32"/>
          <w:szCs w:val="32"/>
        </w:rPr>
      </w:pPr>
      <w:r>
        <w:rPr>
          <w:rFonts w:hint="eastAsia" w:ascii="CESI黑体-GB2312" w:hAnsi="CESI黑体-GB2312" w:eastAsia="CESI黑体-GB2312" w:cs="CESI黑体-GB2312"/>
          <w:color w:val="auto"/>
          <w:spacing w:val="0"/>
          <w:w w:val="100"/>
          <w:sz w:val="32"/>
          <w:szCs w:val="32"/>
        </w:rPr>
        <w:t>一、免疫要求</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right="585" w:firstLine="64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根据养殖场实际情况和辖区内疫情状况进行牛结节性皮肤病免疫。</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760"/>
        <w:jc w:val="both"/>
        <w:textAlignment w:val="auto"/>
        <w:rPr>
          <w:rFonts w:hint="eastAsia" w:ascii="CESI黑体-GB2312" w:hAnsi="CESI黑体-GB2312" w:eastAsia="CESI黑体-GB2312" w:cs="CESI黑体-GB2312"/>
          <w:color w:val="auto"/>
          <w:spacing w:val="0"/>
          <w:w w:val="100"/>
          <w:sz w:val="32"/>
          <w:szCs w:val="32"/>
        </w:rPr>
      </w:pPr>
      <w:r>
        <w:rPr>
          <w:rFonts w:hint="eastAsia" w:ascii="CESI黑体-GB2312" w:hAnsi="CESI黑体-GB2312" w:eastAsia="CESI黑体-GB2312" w:cs="CESI黑体-GB2312"/>
          <w:color w:val="auto"/>
          <w:spacing w:val="0"/>
          <w:w w:val="100"/>
          <w:sz w:val="32"/>
          <w:szCs w:val="32"/>
        </w:rPr>
        <w:t>二、推荐免疫程序</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right="280" w:firstLine="64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采用5倍免疫剂量的山羊痘疫苗，对2月龄以上牛进行免疫，一年免疫一次。</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760"/>
        <w:jc w:val="both"/>
        <w:textAlignment w:val="auto"/>
        <w:rPr>
          <w:rFonts w:hint="eastAsia" w:ascii="CESI黑体-GB2312" w:hAnsi="CESI黑体-GB2312" w:eastAsia="CESI黑体-GB2312" w:cs="CESI黑体-GB2312"/>
          <w:color w:val="auto"/>
          <w:spacing w:val="0"/>
          <w:w w:val="100"/>
          <w:sz w:val="32"/>
          <w:szCs w:val="32"/>
        </w:rPr>
      </w:pPr>
      <w:r>
        <w:rPr>
          <w:rFonts w:hint="eastAsia" w:ascii="CESI黑体-GB2312" w:hAnsi="CESI黑体-GB2312" w:eastAsia="CESI黑体-GB2312" w:cs="CESI黑体-GB2312"/>
          <w:color w:val="auto"/>
          <w:spacing w:val="0"/>
          <w:w w:val="100"/>
          <w:sz w:val="32"/>
          <w:szCs w:val="32"/>
        </w:rPr>
        <w:t>三、疫苗种类</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right="277" w:firstLine="64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选择使用山羊痘活疫苗，疫苗产品信息可在中国兽药信息网“国家兽药基础信息查询”平台“兽药产品批准文号数 据”中查询。</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760"/>
        <w:jc w:val="both"/>
        <w:textAlignment w:val="auto"/>
        <w:rPr>
          <w:rFonts w:hint="eastAsia" w:ascii="CESI黑体-GB2312" w:hAnsi="CESI黑体-GB2312" w:eastAsia="CESI黑体-GB2312" w:cs="CESI黑体-GB2312"/>
          <w:color w:val="auto"/>
          <w:spacing w:val="0"/>
          <w:w w:val="100"/>
          <w:sz w:val="32"/>
          <w:szCs w:val="32"/>
        </w:rPr>
      </w:pPr>
      <w:r>
        <w:rPr>
          <w:rFonts w:hint="eastAsia" w:ascii="CESI黑体-GB2312" w:hAnsi="CESI黑体-GB2312" w:eastAsia="CESI黑体-GB2312" w:cs="CESI黑体-GB2312"/>
          <w:color w:val="auto"/>
          <w:spacing w:val="0"/>
          <w:w w:val="100"/>
          <w:sz w:val="32"/>
          <w:szCs w:val="32"/>
        </w:rPr>
        <w:t>四、免疫方法</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right="235" w:firstLine="64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免疫接种方法及剂量按免疫推荐方案、相关产品说明书或者实际需求操作。</w:t>
      </w:r>
    </w:p>
    <w:p>
      <w:pPr>
        <w:keepNext w:val="0"/>
        <w:keepLines w:val="0"/>
        <w:pageBreakBefore w:val="0"/>
        <w:widowControl w:val="0"/>
        <w:kinsoku/>
        <w:wordWrap/>
        <w:overflowPunct/>
        <w:topLinePunct w:val="0"/>
        <w:autoSpaceDE w:val="0"/>
        <w:autoSpaceDN w:val="0"/>
        <w:bidi w:val="0"/>
        <w:adjustRightInd/>
        <w:snapToGrid/>
        <w:spacing w:before="0" w:after="0" w:line="600" w:lineRule="exact"/>
        <w:jc w:val="both"/>
        <w:textAlignment w:val="auto"/>
        <w:rPr>
          <w:rFonts w:hint="eastAsia" w:ascii="仿宋_GB2312" w:hAnsi="仿宋_GB2312" w:eastAsia="仿宋_GB2312" w:cs="仿宋_GB2312"/>
          <w:color w:val="auto"/>
          <w:spacing w:val="0"/>
          <w:w w:val="100"/>
          <w:sz w:val="32"/>
          <w:szCs w:val="32"/>
        </w:rPr>
        <w:sectPr>
          <w:pgSz w:w="11910" w:h="16840"/>
          <w:pgMar w:top="2098" w:right="1587" w:bottom="2098" w:left="1587" w:header="720" w:footer="969" w:gutter="0"/>
          <w:cols w:space="0" w:num="1"/>
          <w:rtlGutter w:val="0"/>
          <w:docGrid w:linePitch="0" w:charSpace="0"/>
        </w:sectPr>
      </w:pPr>
    </w:p>
    <w:p>
      <w:pPr>
        <w:pStyle w:val="3"/>
        <w:keepNext w:val="0"/>
        <w:keepLines w:val="0"/>
        <w:pageBreakBefore w:val="0"/>
        <w:widowControl w:val="0"/>
        <w:kinsoku/>
        <w:wordWrap/>
        <w:overflowPunct/>
        <w:topLinePunct w:val="0"/>
        <w:autoSpaceDE w:val="0"/>
        <w:autoSpaceDN w:val="0"/>
        <w:bidi w:val="0"/>
        <w:adjustRightInd/>
        <w:snapToGrid/>
        <w:spacing w:before="0" w:line="600" w:lineRule="exact"/>
        <w:jc w:val="both"/>
        <w:textAlignment w:val="auto"/>
        <w:rPr>
          <w:rFonts w:hint="eastAsia" w:ascii="CESI黑体-GB2312" w:hAnsi="CESI黑体-GB2312" w:eastAsia="CESI黑体-GB2312" w:cs="CESI黑体-GB2312"/>
          <w:color w:val="auto"/>
          <w:spacing w:val="0"/>
          <w:w w:val="100"/>
          <w:sz w:val="32"/>
          <w:szCs w:val="32"/>
          <w:lang w:eastAsia="zh-CN"/>
        </w:rPr>
      </w:pPr>
      <w:r>
        <w:rPr>
          <w:rFonts w:hint="eastAsia" w:ascii="CESI黑体-GB2312" w:hAnsi="CESI黑体-GB2312" w:eastAsia="CESI黑体-GB2312" w:cs="CESI黑体-GB2312"/>
          <w:color w:val="auto"/>
          <w:spacing w:val="0"/>
          <w:w w:val="100"/>
          <w:sz w:val="32"/>
          <w:szCs w:val="32"/>
        </w:rPr>
        <w:t>附件</w:t>
      </w:r>
      <w:r>
        <w:rPr>
          <w:rFonts w:hint="eastAsia" w:ascii="CESI黑体-GB2312" w:hAnsi="CESI黑体-GB2312" w:eastAsia="CESI黑体-GB2312" w:cs="CESI黑体-GB2312"/>
          <w:color w:val="auto"/>
          <w:spacing w:val="0"/>
          <w:w w:val="100"/>
          <w:sz w:val="32"/>
          <w:szCs w:val="32"/>
          <w:lang w:val="en-US" w:eastAsia="zh-CN"/>
        </w:rPr>
        <w:t>8</w:t>
      </w:r>
    </w:p>
    <w:p>
      <w:pPr>
        <w:pStyle w:val="2"/>
        <w:keepNext w:val="0"/>
        <w:keepLines w:val="0"/>
        <w:pageBreakBefore w:val="0"/>
        <w:widowControl w:val="0"/>
        <w:kinsoku/>
        <w:wordWrap/>
        <w:overflowPunct/>
        <w:topLinePunct w:val="0"/>
        <w:autoSpaceDE w:val="0"/>
        <w:autoSpaceDN w:val="0"/>
        <w:bidi w:val="0"/>
        <w:adjustRightInd/>
        <w:snapToGrid/>
        <w:spacing w:before="0" w:line="600" w:lineRule="exact"/>
        <w:ind w:left="0" w:leftChars="0" w:firstLine="0" w:firstLineChars="0"/>
        <w:jc w:val="center"/>
        <w:textAlignment w:val="auto"/>
        <w:rPr>
          <w:rFonts w:hint="eastAsia" w:ascii="方正小标宋简体" w:hAnsi="方正小标宋简体" w:eastAsia="方正小标宋简体" w:cs="方正小标宋简体"/>
          <w:i w:val="0"/>
          <w:iCs/>
          <w:color w:val="auto"/>
          <w:spacing w:val="0"/>
          <w:w w:val="100"/>
          <w:sz w:val="44"/>
          <w:szCs w:val="44"/>
        </w:rPr>
      </w:pPr>
      <w:r>
        <w:rPr>
          <w:rFonts w:hint="eastAsia" w:ascii="方正小标宋简体" w:hAnsi="方正小标宋简体" w:eastAsia="方正小标宋简体" w:cs="方正小标宋简体"/>
          <w:i w:val="0"/>
          <w:iCs/>
          <w:color w:val="auto"/>
          <w:spacing w:val="0"/>
          <w:w w:val="100"/>
          <w:sz w:val="44"/>
          <w:szCs w:val="44"/>
        </w:rPr>
        <w:t>炭疽免疫技术方案</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0"/>
        <w:jc w:val="both"/>
        <w:textAlignment w:val="auto"/>
        <w:rPr>
          <w:rFonts w:hint="eastAsia" w:ascii="仿宋_GB2312" w:hAnsi="仿宋_GB2312" w:eastAsia="仿宋_GB2312" w:cs="仿宋_GB2312"/>
          <w:i/>
          <w:color w:val="auto"/>
          <w:spacing w:val="0"/>
          <w:w w:val="100"/>
          <w:sz w:val="32"/>
          <w:szCs w:val="32"/>
        </w:rPr>
      </w:pP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760"/>
        <w:jc w:val="both"/>
        <w:textAlignment w:val="auto"/>
        <w:rPr>
          <w:rFonts w:hint="eastAsia" w:ascii="CESI黑体-GB2312" w:hAnsi="CESI黑体-GB2312" w:eastAsia="CESI黑体-GB2312" w:cs="CESI黑体-GB2312"/>
          <w:color w:val="auto"/>
          <w:spacing w:val="0"/>
          <w:w w:val="100"/>
          <w:sz w:val="32"/>
          <w:szCs w:val="32"/>
        </w:rPr>
      </w:pPr>
      <w:r>
        <w:rPr>
          <w:rFonts w:hint="eastAsia" w:ascii="CESI黑体-GB2312" w:hAnsi="CESI黑体-GB2312" w:eastAsia="CESI黑体-GB2312" w:cs="CESI黑体-GB2312"/>
          <w:color w:val="auto"/>
          <w:spacing w:val="0"/>
          <w:w w:val="100"/>
          <w:sz w:val="32"/>
          <w:szCs w:val="32"/>
        </w:rPr>
        <w:t>一、免疫要求</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76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根据养殖场实际情况和历史疫情状况进行炭疽免疫。</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760"/>
        <w:jc w:val="both"/>
        <w:textAlignment w:val="auto"/>
        <w:rPr>
          <w:rFonts w:hint="eastAsia" w:ascii="CESI黑体-GB2312" w:hAnsi="CESI黑体-GB2312" w:eastAsia="CESI黑体-GB2312" w:cs="CESI黑体-GB2312"/>
          <w:color w:val="auto"/>
          <w:spacing w:val="0"/>
          <w:w w:val="100"/>
          <w:sz w:val="32"/>
          <w:szCs w:val="32"/>
        </w:rPr>
      </w:pPr>
      <w:r>
        <w:rPr>
          <w:rFonts w:hint="eastAsia" w:ascii="CESI黑体-GB2312" w:hAnsi="CESI黑体-GB2312" w:eastAsia="CESI黑体-GB2312" w:cs="CESI黑体-GB2312"/>
          <w:color w:val="auto"/>
          <w:spacing w:val="0"/>
          <w:w w:val="100"/>
          <w:sz w:val="32"/>
          <w:szCs w:val="32"/>
        </w:rPr>
        <w:t>二、推荐免疫程序</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right="119" w:firstLine="64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对近3年发生过炭疽疫情的地方，在风险评估的基础上， 科学确定免疫范围，开展预防性免疫，每年的4～5月份开展免疫，每月定期补免。</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760"/>
        <w:jc w:val="both"/>
        <w:textAlignment w:val="auto"/>
        <w:rPr>
          <w:rFonts w:hint="eastAsia" w:ascii="CESI黑体-GB2312" w:hAnsi="CESI黑体-GB2312" w:eastAsia="CESI黑体-GB2312" w:cs="CESI黑体-GB2312"/>
          <w:color w:val="auto"/>
          <w:spacing w:val="0"/>
          <w:w w:val="100"/>
          <w:sz w:val="32"/>
          <w:szCs w:val="32"/>
        </w:rPr>
      </w:pPr>
      <w:r>
        <w:rPr>
          <w:rFonts w:hint="eastAsia" w:ascii="CESI黑体-GB2312" w:hAnsi="CESI黑体-GB2312" w:eastAsia="CESI黑体-GB2312" w:cs="CESI黑体-GB2312"/>
          <w:color w:val="auto"/>
          <w:spacing w:val="0"/>
          <w:w w:val="100"/>
          <w:sz w:val="32"/>
          <w:szCs w:val="32"/>
        </w:rPr>
        <w:t>三、疫苗种类</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right="277" w:firstLine="64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选择使用无荚膜芽孢疫苗或Ⅱ号炭疽芽孢疫苗，疫苗产品信息可在中国兽药信息网“国家兽药基础信息查询”平台“兽药产品批准文号数据”中查询。</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760"/>
        <w:jc w:val="both"/>
        <w:textAlignment w:val="auto"/>
        <w:rPr>
          <w:rFonts w:hint="eastAsia" w:ascii="CESI黑体-GB2312" w:hAnsi="CESI黑体-GB2312" w:eastAsia="CESI黑体-GB2312" w:cs="CESI黑体-GB2312"/>
          <w:color w:val="auto"/>
          <w:spacing w:val="0"/>
          <w:w w:val="100"/>
          <w:sz w:val="32"/>
          <w:szCs w:val="32"/>
        </w:rPr>
      </w:pPr>
      <w:r>
        <w:rPr>
          <w:rFonts w:hint="eastAsia" w:ascii="CESI黑体-GB2312" w:hAnsi="CESI黑体-GB2312" w:eastAsia="CESI黑体-GB2312" w:cs="CESI黑体-GB2312"/>
          <w:color w:val="auto"/>
          <w:spacing w:val="0"/>
          <w:w w:val="100"/>
          <w:sz w:val="32"/>
          <w:szCs w:val="32"/>
        </w:rPr>
        <w:t>四、免疫方法</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right="235" w:firstLine="64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免疫接种方法及剂量按免疫推荐方案、相关产品说明书或者实际需求操作。</w:t>
      </w:r>
    </w:p>
    <w:p>
      <w:pPr>
        <w:keepNext w:val="0"/>
        <w:keepLines w:val="0"/>
        <w:pageBreakBefore w:val="0"/>
        <w:widowControl w:val="0"/>
        <w:kinsoku/>
        <w:wordWrap/>
        <w:overflowPunct/>
        <w:topLinePunct w:val="0"/>
        <w:autoSpaceDE w:val="0"/>
        <w:autoSpaceDN w:val="0"/>
        <w:bidi w:val="0"/>
        <w:adjustRightInd/>
        <w:snapToGrid/>
        <w:spacing w:before="0" w:after="0" w:line="600" w:lineRule="exact"/>
        <w:jc w:val="both"/>
        <w:textAlignment w:val="auto"/>
        <w:rPr>
          <w:rFonts w:hint="eastAsia" w:ascii="仿宋_GB2312" w:hAnsi="仿宋_GB2312" w:eastAsia="仿宋_GB2312" w:cs="仿宋_GB2312"/>
          <w:color w:val="auto"/>
          <w:spacing w:val="0"/>
          <w:w w:val="100"/>
          <w:sz w:val="32"/>
          <w:szCs w:val="32"/>
        </w:rPr>
        <w:sectPr>
          <w:pgSz w:w="11910" w:h="16840"/>
          <w:pgMar w:top="2098" w:right="1587" w:bottom="2098" w:left="1587" w:header="720" w:footer="969" w:gutter="0"/>
          <w:cols w:space="0" w:num="1"/>
          <w:rtlGutter w:val="0"/>
          <w:docGrid w:linePitch="0" w:charSpace="0"/>
        </w:sectPr>
      </w:pP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0" w:leftChars="0" w:firstLine="0" w:firstLineChars="0"/>
        <w:jc w:val="both"/>
        <w:textAlignment w:val="auto"/>
        <w:rPr>
          <w:rFonts w:hint="eastAsia" w:ascii="CESI黑体-GB2312" w:hAnsi="CESI黑体-GB2312" w:eastAsia="CESI黑体-GB2312" w:cs="CESI黑体-GB2312"/>
          <w:color w:val="auto"/>
          <w:spacing w:val="0"/>
          <w:w w:val="100"/>
          <w:sz w:val="32"/>
          <w:szCs w:val="32"/>
          <w:lang w:val="en-US" w:eastAsia="zh-CN"/>
        </w:rPr>
      </w:pPr>
      <w:r>
        <w:rPr>
          <w:rFonts w:hint="eastAsia" w:ascii="CESI黑体-GB2312" w:hAnsi="CESI黑体-GB2312" w:eastAsia="CESI黑体-GB2312" w:cs="CESI黑体-GB2312"/>
          <w:color w:val="auto"/>
          <w:spacing w:val="0"/>
          <w:w w:val="100"/>
          <w:sz w:val="32"/>
          <w:szCs w:val="32"/>
        </w:rPr>
        <w:t>附件</w:t>
      </w:r>
      <w:r>
        <w:rPr>
          <w:rFonts w:hint="eastAsia" w:ascii="CESI黑体-GB2312" w:hAnsi="CESI黑体-GB2312" w:eastAsia="CESI黑体-GB2312" w:cs="CESI黑体-GB2312"/>
          <w:color w:val="auto"/>
          <w:spacing w:val="0"/>
          <w:w w:val="100"/>
          <w:sz w:val="32"/>
          <w:szCs w:val="32"/>
          <w:lang w:val="en-US" w:eastAsia="zh-CN"/>
        </w:rPr>
        <w:t>9</w:t>
      </w:r>
    </w:p>
    <w:p>
      <w:pPr>
        <w:pStyle w:val="2"/>
        <w:keepNext w:val="0"/>
        <w:keepLines w:val="0"/>
        <w:pageBreakBefore w:val="0"/>
        <w:widowControl w:val="0"/>
        <w:kinsoku/>
        <w:wordWrap/>
        <w:overflowPunct/>
        <w:topLinePunct w:val="0"/>
        <w:autoSpaceDE w:val="0"/>
        <w:autoSpaceDN w:val="0"/>
        <w:bidi w:val="0"/>
        <w:adjustRightInd/>
        <w:snapToGrid/>
        <w:spacing w:before="0" w:line="600" w:lineRule="exact"/>
        <w:ind w:left="0" w:leftChars="0" w:firstLine="0" w:firstLineChars="0"/>
        <w:jc w:val="center"/>
        <w:textAlignment w:val="auto"/>
        <w:rPr>
          <w:rFonts w:hint="eastAsia" w:ascii="方正小标宋简体" w:hAnsi="方正小标宋简体" w:eastAsia="方正小标宋简体" w:cs="方正小标宋简体"/>
          <w:color w:val="auto"/>
          <w:spacing w:val="0"/>
          <w:w w:val="100"/>
          <w:sz w:val="44"/>
          <w:szCs w:val="44"/>
        </w:rPr>
      </w:pPr>
      <w:r>
        <w:rPr>
          <w:rFonts w:hint="eastAsia" w:ascii="方正小标宋简体" w:hAnsi="方正小标宋简体" w:eastAsia="方正小标宋简体" w:cs="方正小标宋简体"/>
          <w:i w:val="0"/>
          <w:iCs/>
          <w:color w:val="auto"/>
          <w:spacing w:val="0"/>
          <w:w w:val="100"/>
          <w:sz w:val="44"/>
          <w:szCs w:val="44"/>
        </w:rPr>
        <w:t>狂犬病免疫技术方案</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0"/>
        <w:jc w:val="both"/>
        <w:textAlignment w:val="auto"/>
        <w:rPr>
          <w:rFonts w:hint="eastAsia" w:ascii="仿宋_GB2312" w:hAnsi="仿宋_GB2312" w:eastAsia="仿宋_GB2312" w:cs="仿宋_GB2312"/>
          <w:i/>
          <w:color w:val="auto"/>
          <w:spacing w:val="0"/>
          <w:w w:val="100"/>
          <w:sz w:val="32"/>
          <w:szCs w:val="32"/>
        </w:rPr>
      </w:pP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760"/>
        <w:jc w:val="both"/>
        <w:textAlignment w:val="auto"/>
        <w:rPr>
          <w:rFonts w:hint="eastAsia" w:ascii="CESI黑体-GB2312" w:hAnsi="CESI黑体-GB2312" w:eastAsia="CESI黑体-GB2312" w:cs="CESI黑体-GB2312"/>
          <w:color w:val="auto"/>
          <w:spacing w:val="0"/>
          <w:w w:val="100"/>
          <w:sz w:val="32"/>
          <w:szCs w:val="32"/>
        </w:rPr>
      </w:pPr>
      <w:r>
        <w:rPr>
          <w:rFonts w:hint="eastAsia" w:ascii="CESI黑体-GB2312" w:hAnsi="CESI黑体-GB2312" w:eastAsia="CESI黑体-GB2312" w:cs="CESI黑体-GB2312"/>
          <w:color w:val="auto"/>
          <w:spacing w:val="0"/>
          <w:w w:val="100"/>
          <w:sz w:val="32"/>
          <w:szCs w:val="32"/>
        </w:rPr>
        <w:t>一、免疫要求</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76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根据辖区内疫情状况进行狂犬病免疫</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760"/>
        <w:jc w:val="both"/>
        <w:textAlignment w:val="auto"/>
        <w:rPr>
          <w:rFonts w:hint="eastAsia" w:ascii="CESI黑体-GB2312" w:hAnsi="CESI黑体-GB2312" w:eastAsia="CESI黑体-GB2312" w:cs="CESI黑体-GB2312"/>
          <w:color w:val="auto"/>
          <w:spacing w:val="0"/>
          <w:w w:val="100"/>
          <w:sz w:val="32"/>
          <w:szCs w:val="32"/>
        </w:rPr>
      </w:pPr>
      <w:r>
        <w:rPr>
          <w:rFonts w:hint="eastAsia" w:ascii="CESI黑体-GB2312" w:hAnsi="CESI黑体-GB2312" w:eastAsia="CESI黑体-GB2312" w:cs="CESI黑体-GB2312"/>
          <w:color w:val="auto"/>
          <w:spacing w:val="0"/>
          <w:w w:val="100"/>
          <w:sz w:val="32"/>
          <w:szCs w:val="32"/>
        </w:rPr>
        <w:t>二、推荐免疫程序</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right="280" w:firstLine="64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对3月龄以上的犬进行首免，之后每年定期免疫。根据当地狂犬病流行情况对家畜等其他动物进行免疫。</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760"/>
        <w:jc w:val="both"/>
        <w:textAlignment w:val="auto"/>
        <w:rPr>
          <w:rFonts w:hint="eastAsia" w:ascii="CESI黑体-GB2312" w:hAnsi="CESI黑体-GB2312" w:eastAsia="CESI黑体-GB2312" w:cs="CESI黑体-GB2312"/>
          <w:color w:val="auto"/>
          <w:spacing w:val="0"/>
          <w:w w:val="100"/>
          <w:sz w:val="32"/>
          <w:szCs w:val="32"/>
        </w:rPr>
      </w:pPr>
      <w:r>
        <w:rPr>
          <w:rFonts w:hint="eastAsia" w:ascii="CESI黑体-GB2312" w:hAnsi="CESI黑体-GB2312" w:eastAsia="CESI黑体-GB2312" w:cs="CESI黑体-GB2312"/>
          <w:color w:val="auto"/>
          <w:spacing w:val="0"/>
          <w:w w:val="100"/>
          <w:sz w:val="32"/>
          <w:szCs w:val="32"/>
        </w:rPr>
        <w:t>三、疫苗种类</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right="277" w:firstLine="64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选择使用狂犬病灭活疫苗，疫苗产品信息可在中国兽药信息网“国家兽药基础信息查询”平台“兽药产品批准文号数据”中查询。</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760"/>
        <w:jc w:val="both"/>
        <w:textAlignment w:val="auto"/>
        <w:rPr>
          <w:rFonts w:hint="eastAsia" w:ascii="CESI黑体-GB2312" w:hAnsi="CESI黑体-GB2312" w:eastAsia="CESI黑体-GB2312" w:cs="CESI黑体-GB2312"/>
          <w:color w:val="auto"/>
          <w:spacing w:val="0"/>
          <w:w w:val="100"/>
          <w:sz w:val="32"/>
          <w:szCs w:val="32"/>
        </w:rPr>
      </w:pPr>
      <w:r>
        <w:rPr>
          <w:rFonts w:hint="eastAsia" w:ascii="CESI黑体-GB2312" w:hAnsi="CESI黑体-GB2312" w:eastAsia="CESI黑体-GB2312" w:cs="CESI黑体-GB2312"/>
          <w:color w:val="auto"/>
          <w:spacing w:val="0"/>
          <w:w w:val="100"/>
          <w:sz w:val="32"/>
          <w:szCs w:val="32"/>
        </w:rPr>
        <w:t>四、免疫方法</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right="235" w:firstLine="640"/>
        <w:jc w:val="both"/>
        <w:textAlignment w:val="auto"/>
        <w:rPr>
          <w:rFonts w:hint="eastAsia" w:ascii="仿宋_GB2312" w:hAnsi="仿宋_GB2312" w:eastAsia="仿宋_GB2312" w:cs="仿宋_GB2312"/>
          <w:color w:val="auto"/>
          <w:spacing w:val="0"/>
          <w:w w:val="100"/>
          <w:sz w:val="32"/>
          <w:szCs w:val="32"/>
        </w:rPr>
      </w:pPr>
      <w:r>
        <w:rPr>
          <w:rFonts w:hint="eastAsia" w:ascii="仿宋_GB2312" w:hAnsi="仿宋_GB2312" w:eastAsia="仿宋_GB2312" w:cs="仿宋_GB2312"/>
          <w:color w:val="auto"/>
          <w:spacing w:val="0"/>
          <w:w w:val="100"/>
          <w:sz w:val="32"/>
          <w:szCs w:val="32"/>
        </w:rPr>
        <w:t>免疫接种方法及剂量按免疫推荐方案、相关产品说明书或者实际需求操作。</w:t>
      </w: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0"/>
        <w:jc w:val="both"/>
        <w:textAlignment w:val="auto"/>
        <w:rPr>
          <w:rFonts w:hint="eastAsia" w:ascii="仿宋_GB2312" w:hAnsi="仿宋_GB2312" w:eastAsia="仿宋_GB2312" w:cs="仿宋_GB2312"/>
          <w:color w:val="auto"/>
          <w:spacing w:val="0"/>
          <w:w w:val="100"/>
          <w:sz w:val="32"/>
          <w:szCs w:val="32"/>
        </w:rPr>
      </w:pPr>
    </w:p>
    <w:p>
      <w:pPr>
        <w:pStyle w:val="3"/>
        <w:keepNext w:val="0"/>
        <w:keepLines w:val="0"/>
        <w:pageBreakBefore w:val="0"/>
        <w:widowControl w:val="0"/>
        <w:kinsoku/>
        <w:wordWrap/>
        <w:overflowPunct/>
        <w:topLinePunct w:val="0"/>
        <w:autoSpaceDE w:val="0"/>
        <w:autoSpaceDN w:val="0"/>
        <w:bidi w:val="0"/>
        <w:adjustRightInd/>
        <w:snapToGrid/>
        <w:spacing w:before="0" w:line="600" w:lineRule="exact"/>
        <w:ind w:left="0"/>
        <w:jc w:val="both"/>
        <w:textAlignment w:val="auto"/>
        <w:rPr>
          <w:rFonts w:hint="eastAsia" w:ascii="仿宋_GB2312" w:hAnsi="仿宋_GB2312" w:eastAsia="仿宋_GB2312" w:cs="仿宋_GB2312"/>
          <w:color w:val="auto"/>
          <w:spacing w:val="0"/>
          <w:w w:val="100"/>
          <w:sz w:val="32"/>
          <w:szCs w:val="32"/>
        </w:rPr>
      </w:pPr>
    </w:p>
    <w:sectPr>
      <w:pgSz w:w="11910" w:h="16840"/>
      <w:pgMar w:top="2098" w:right="1587" w:bottom="2098" w:left="1587" w:header="720" w:footer="969" w:gutter="0"/>
      <w:cols w:space="0" w:num="1"/>
      <w:rtlGutter w:val="0"/>
      <w:docGrid w:linePitch="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1C00E0BF-DA71-44A7-BD94-1C2AD66B2FE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86"/>
    <w:family w:val="swiss"/>
    <w:pitch w:val="default"/>
    <w:sig w:usb0="E00002FF" w:usb1="4000ACFF" w:usb2="00000001" w:usb3="00000000" w:csb0="2000019F" w:csb1="00000000"/>
  </w:font>
  <w:font w:name="Calibri">
    <w:panose1 w:val="020F0502020204030204"/>
    <w:charset w:val="86"/>
    <w:family w:val="swiss"/>
    <w:pitch w:val="default"/>
    <w:sig w:usb0="E00002FF" w:usb1="4000ACFF" w:usb2="00000001" w:usb3="00000000" w:csb0="2000019F" w:csb1="00000000"/>
  </w:font>
  <w:font w:name="Calibri">
    <w:panose1 w:val="020F0502020204030204"/>
    <w:charset w:val="00"/>
    <w:family w:val="auto"/>
    <w:pitch w:val="default"/>
    <w:sig w:usb0="E00002FF" w:usb1="4000ACFF" w:usb2="00000001" w:usb3="00000000" w:csb0="2000019F" w:csb1="00000000"/>
    <w:embedRegular r:id="rId2" w:fontKey="{DFB2701E-7D6F-43E8-A32A-5E4836320BD4}"/>
  </w:font>
  <w:font w:name="方正小标宋简体">
    <w:panose1 w:val="02000000000000000000"/>
    <w:charset w:val="86"/>
    <w:family w:val="auto"/>
    <w:pitch w:val="default"/>
    <w:sig w:usb0="00000001" w:usb1="08000000" w:usb2="00000000" w:usb3="00000000" w:csb0="00040000" w:csb1="00000000"/>
    <w:embedRegular r:id="rId3" w:fontKey="{D4963811-FD41-430A-B500-729DEADFE680}"/>
  </w:font>
  <w:font w:name="仿宋_GB2312">
    <w:altName w:val="仿宋"/>
    <w:panose1 w:val="02010609030101010101"/>
    <w:charset w:val="86"/>
    <w:family w:val="auto"/>
    <w:pitch w:val="default"/>
    <w:sig w:usb0="00000000" w:usb1="00000000" w:usb2="00000000" w:usb3="00000000" w:csb0="00040000" w:csb1="00000000"/>
    <w:embedRegular r:id="rId4" w:fontKey="{02613268-CF62-44F0-B015-4A48133BDD6C}"/>
  </w:font>
  <w:font w:name="CESI黑体-GB2312">
    <w:altName w:val="黑体"/>
    <w:panose1 w:val="02000500000000000000"/>
    <w:charset w:val="86"/>
    <w:family w:val="auto"/>
    <w:pitch w:val="default"/>
    <w:sig w:usb0="00000000" w:usb1="00000000" w:usb2="00000012" w:usb3="00000000" w:csb0="0004000F" w:csb1="00000000"/>
    <w:embedRegular r:id="rId5" w:fontKey="{3965B65D-FFF0-451C-ABDA-F9533C170872}"/>
  </w:font>
  <w:font w:name="楷体_GB2312">
    <w:altName w:val="楷体"/>
    <w:panose1 w:val="02010609030101010101"/>
    <w:charset w:val="86"/>
    <w:family w:val="auto"/>
    <w:pitch w:val="default"/>
    <w:sig w:usb0="00000000" w:usb1="00000000" w:usb2="00000000" w:usb3="00000000" w:csb0="00040000" w:csb1="00000000"/>
    <w:embedRegular r:id="rId6" w:fontKey="{4ECB0B60-0BFE-4307-B4AC-DEF0B887A8A4}"/>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spacing w:before="0" w:line="14" w:lineRule="auto"/>
      <w:ind w:left="0"/>
      <w:rPr>
        <w:sz w:val="20"/>
      </w:rPr>
    </w:pPr>
    <w:r>
      <w:rPr>
        <w:sz w:val="20"/>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pPr>
                      <w:pStyle w:val="4"/>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spacing w:before="0" w:line="14" w:lineRule="auto"/>
      <w:ind w:left="0"/>
      <w:rPr>
        <w:sz w:val="20"/>
      </w:rPr>
    </w:pPr>
    <w:r>
      <w:rPr>
        <w:sz w:val="20"/>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pPr>
                      <w:pStyle w:val="4"/>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spacing w:before="0" w:line="14" w:lineRule="auto"/>
      <w:ind w:left="0"/>
      <w:rPr>
        <w:sz w:val="20"/>
      </w:rPr>
    </w:pPr>
    <w:r>
      <w:rPr>
        <w:sz w:val="32"/>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pPr>
                          <w:r>
                            <w:fldChar w:fldCharType="begin"/>
                          </w:r>
                          <w:r>
                            <w:instrText xml:space="preserve"> PAGE  \* MERGEFORMAT </w:instrText>
                          </w:r>
                          <w:r>
                            <w:fldChar w:fldCharType="separate"/>
                          </w:r>
                          <w:r>
                            <w:t>9</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CJEl4xAgAAYQ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wiRJeMQIAAGEEAAAOAAAAAAAAAAEAIAAAAB8BAABkcnMvZTJvRG9jLnhtbFBLBQYA&#10;AAAABgAGAFkBAADCBQAAAAA=&#10;">
              <v:fill on="f" focussize="0,0"/>
              <v:stroke on="f" weight="0.5pt"/>
              <v:imagedata o:title=""/>
              <o:lock v:ext="edit" aspectratio="f"/>
              <v:textbox inset="0mm,0mm,0mm,0mm" style="mso-fit-shape-to-text:t;">
                <w:txbxContent>
                  <w:p>
                    <w:pPr>
                      <w:pStyle w:val="4"/>
                    </w:pPr>
                    <w:r>
                      <w:fldChar w:fldCharType="begin"/>
                    </w:r>
                    <w:r>
                      <w:instrText xml:space="preserve"> PAGE  \* MERGEFORMAT </w:instrText>
                    </w:r>
                    <w:r>
                      <w:fldChar w:fldCharType="separate"/>
                    </w:r>
                    <w:r>
                      <w:t>9</w:t>
                    </w:r>
                    <w:r>
                      <w:fldChar w:fldCharType="end"/>
                    </w:r>
                  </w:p>
                </w:txbxContent>
              </v:textbox>
            </v:shape>
          </w:pict>
        </mc:Fallback>
      </mc:AlternateContent>
    </w:r>
    <w:r>
      <mc:AlternateContent>
        <mc:Choice Requires="wps">
          <w:drawing>
            <wp:anchor distT="0" distB="0" distL="114300" distR="114300" simplePos="0" relativeHeight="251660288" behindDoc="1" locked="0" layoutInCell="1" allowOverlap="1">
              <wp:simplePos x="0" y="0"/>
              <wp:positionH relativeFrom="page">
                <wp:posOffset>5871210</wp:posOffset>
              </wp:positionH>
              <wp:positionV relativeFrom="page">
                <wp:posOffset>9935210</wp:posOffset>
              </wp:positionV>
              <wp:extent cx="558165" cy="203835"/>
              <wp:effectExtent l="0" t="0" r="0" b="0"/>
              <wp:wrapNone/>
              <wp:docPr id="16" name="文本框 4"/>
              <wp:cNvGraphicFramePr/>
              <a:graphic xmlns:a="http://schemas.openxmlformats.org/drawingml/2006/main">
                <a:graphicData uri="http://schemas.microsoft.com/office/word/2010/wordprocessingShape">
                  <wps:wsp>
                    <wps:cNvSpPr txBox="1"/>
                    <wps:spPr>
                      <a:xfrm>
                        <a:off x="0" y="0"/>
                        <a:ext cx="558165" cy="203835"/>
                      </a:xfrm>
                      <a:prstGeom prst="rect">
                        <a:avLst/>
                      </a:prstGeom>
                      <a:noFill/>
                      <a:ln>
                        <a:noFill/>
                      </a:ln>
                    </wps:spPr>
                    <wps:txbx>
                      <w:txbxContent>
                        <w:p>
                          <w:pPr>
                            <w:spacing w:before="0" w:line="321" w:lineRule="exact"/>
                            <w:ind w:left="20" w:right="0" w:firstLine="0"/>
                            <w:jc w:val="left"/>
                            <w:rPr>
                              <w:sz w:val="28"/>
                            </w:rPr>
                          </w:pPr>
                        </w:p>
                      </w:txbxContent>
                    </wps:txbx>
                    <wps:bodyPr lIns="0" tIns="0" rIns="0" bIns="0" upright="1"/>
                  </wps:wsp>
                </a:graphicData>
              </a:graphic>
            </wp:anchor>
          </w:drawing>
        </mc:Choice>
        <mc:Fallback>
          <w:pict>
            <v:shape id="文本框 4" o:spid="_x0000_s1026" o:spt="202" type="#_x0000_t202" style="position:absolute;left:0pt;margin-left:462.3pt;margin-top:782.3pt;height:16.05pt;width:43.95pt;mso-position-horizontal-relative:page;mso-position-vertical-relative:page;z-index:-251656192;mso-width-relative:page;mso-height-relative:page;" filled="f" stroked="f" coordsize="21600,21600" o:gfxdata="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EH47FDaAAAADgEAAA8AAAAAAAAAAQAgAAAAIgAAAGRycy9kb3ducmV2LnhtbFBL&#10;AQIUABQAAAAIAIdO4kDRoZnIuwEAAHIDAAAOAAAAAAAAAAEAIAAAACkBAABkcnMvZTJvRG9jLnht&#10;bFBLBQYAAAAABgAGAFkBAABWBQAAAAA=&#10;">
              <v:fill on="f" focussize="0,0"/>
              <v:stroke on="f"/>
              <v:imagedata o:title=""/>
              <o:lock v:ext="edit" aspectratio="f"/>
              <v:textbox inset="0mm,0mm,0mm,0mm">
                <w:txbxContent>
                  <w:p>
                    <w:pPr>
                      <w:spacing w:before="0" w:line="321" w:lineRule="exact"/>
                      <w:ind w:left="20" w:right="0" w:firstLine="0"/>
                      <w:jc w:val="left"/>
                      <w:rPr>
                        <w:sz w:val="28"/>
                      </w:rPr>
                    </w:pP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spacing w:before="0" w:line="14" w:lineRule="auto"/>
      <w:ind w:left="0"/>
      <w:rPr>
        <w:sz w:val="20"/>
      </w:rPr>
    </w:pPr>
    <w:r>
      <w:rPr>
        <w:sz w:val="32"/>
      </w:rP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pPr>
                          <w:r>
                            <w:fldChar w:fldCharType="begin"/>
                          </w:r>
                          <w:r>
                            <w:instrText xml:space="preserve"> PAGE  \* MERGEFORMAT </w:instrText>
                          </w:r>
                          <w:r>
                            <w:fldChar w:fldCharType="separate"/>
                          </w:r>
                          <w:r>
                            <w:t>10</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eXtc4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DHl7XOMQIAAGEEAAAOAAAAAAAAAAEAIAAAAB8BAABkcnMvZTJvRG9jLnhtbFBLBQYA&#10;AAAABgAGAFkBAADCBQAAAAA=&#10;">
              <v:fill on="f" focussize="0,0"/>
              <v:stroke on="f" weight="0.5pt"/>
              <v:imagedata o:title=""/>
              <o:lock v:ext="edit" aspectratio="f"/>
              <v:textbox inset="0mm,0mm,0mm,0mm" style="mso-fit-shape-to-text:t;">
                <w:txbxContent>
                  <w:p>
                    <w:pPr>
                      <w:pStyle w:val="4"/>
                    </w:pPr>
                    <w:r>
                      <w:fldChar w:fldCharType="begin"/>
                    </w:r>
                    <w:r>
                      <w:instrText xml:space="preserve"> PAGE  \* MERGEFORMAT </w:instrText>
                    </w:r>
                    <w:r>
                      <w:fldChar w:fldCharType="separate"/>
                    </w:r>
                    <w:r>
                      <w:t>10</w:t>
                    </w:r>
                    <w:r>
                      <w:fldChar w:fldCharType="end"/>
                    </w:r>
                  </w:p>
                </w:txbxContent>
              </v:textbox>
            </v:shape>
          </w:pict>
        </mc:Fallback>
      </mc:AlternateContent>
    </w:r>
    <w:r>
      <mc:AlternateContent>
        <mc:Choice Requires="wps">
          <w:drawing>
            <wp:anchor distT="0" distB="0" distL="114300" distR="114300" simplePos="0" relativeHeight="251659264" behindDoc="1" locked="0" layoutInCell="1" allowOverlap="1">
              <wp:simplePos x="0" y="0"/>
              <wp:positionH relativeFrom="page">
                <wp:posOffset>1111250</wp:posOffset>
              </wp:positionH>
              <wp:positionV relativeFrom="page">
                <wp:posOffset>9935210</wp:posOffset>
              </wp:positionV>
              <wp:extent cx="560070" cy="203835"/>
              <wp:effectExtent l="0" t="0" r="0" b="0"/>
              <wp:wrapNone/>
              <wp:docPr id="14" name="文本框 3"/>
              <wp:cNvGraphicFramePr/>
              <a:graphic xmlns:a="http://schemas.openxmlformats.org/drawingml/2006/main">
                <a:graphicData uri="http://schemas.microsoft.com/office/word/2010/wordprocessingShape">
                  <wps:wsp>
                    <wps:cNvSpPr txBox="1"/>
                    <wps:spPr>
                      <a:xfrm>
                        <a:off x="0" y="0"/>
                        <a:ext cx="560070" cy="203835"/>
                      </a:xfrm>
                      <a:prstGeom prst="rect">
                        <a:avLst/>
                      </a:prstGeom>
                      <a:noFill/>
                      <a:ln>
                        <a:noFill/>
                      </a:ln>
                    </wps:spPr>
                    <wps:txbx>
                      <w:txbxContent>
                        <w:p>
                          <w:pPr>
                            <w:spacing w:before="0" w:line="321" w:lineRule="exact"/>
                            <w:ind w:left="20" w:right="0" w:firstLine="0"/>
                            <w:jc w:val="left"/>
                            <w:rPr>
                              <w:sz w:val="28"/>
                            </w:rPr>
                          </w:pPr>
                        </w:p>
                      </w:txbxContent>
                    </wps:txbx>
                    <wps:bodyPr lIns="0" tIns="0" rIns="0" bIns="0" upright="1"/>
                  </wps:wsp>
                </a:graphicData>
              </a:graphic>
            </wp:anchor>
          </w:drawing>
        </mc:Choice>
        <mc:Fallback>
          <w:pict>
            <v:shape id="文本框 3" o:spid="_x0000_s1026" o:spt="202" type="#_x0000_t202" style="position:absolute;left:0pt;margin-left:87.5pt;margin-top:782.3pt;height:16.05pt;width:44.1pt;mso-position-horizontal-relative:page;mso-position-vertical-relative:page;z-index:-251657216;mso-width-relative:page;mso-height-relative:page;" filled="f" stroked="f" coordsize="21600,21600" o:gfxdata="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I7CxVLbAAAADQEAAA8AAAAAAAAAAQAgAAAAIgAAAGRycy9kb3ducmV2LnhtbFBL&#10;AQIUABQAAAAIAIdO4kCflW7gugEAAHIDAAAOAAAAAAAAAAEAIAAAACoBAABkcnMvZTJvRG9jLnht&#10;bFBLBQYAAAAABgAGAFkBAABWBQAAAAA=&#10;">
              <v:fill on="f" focussize="0,0"/>
              <v:stroke on="f"/>
              <v:imagedata o:title=""/>
              <o:lock v:ext="edit" aspectratio="f"/>
              <v:textbox inset="0mm,0mm,0mm,0mm">
                <w:txbxContent>
                  <w:p>
                    <w:pPr>
                      <w:spacing w:before="0" w:line="321" w:lineRule="exact"/>
                      <w:ind w:left="20" w:right="0" w:firstLine="0"/>
                      <w:jc w:val="left"/>
                      <w:rPr>
                        <w:sz w:val="28"/>
                      </w:rPr>
                    </w:pP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spacing w:before="0" w:line="14" w:lineRule="auto"/>
      <w:ind w:left="0"/>
      <w:rPr>
        <w:sz w:val="20"/>
      </w:rPr>
    </w:pPr>
    <w:r>
      <w:rPr>
        <w:sz w:val="32"/>
      </w:rP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pPr>
                          <w:r>
                            <w:fldChar w:fldCharType="begin"/>
                          </w:r>
                          <w:r>
                            <w:instrText xml:space="preserve"> PAGE  \* MERGEFORMAT </w:instrText>
                          </w:r>
                          <w:r>
                            <w:fldChar w:fldCharType="separate"/>
                          </w:r>
                          <w:r>
                            <w:t>21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mor5Ux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CpqK+VMQIAAGMEAAAOAAAAAAAAAAEAIAAAAB8BAABkcnMvZTJvRG9jLnhtbFBLBQYA&#10;AAAABgAGAFkBAADCBQAAAAA=&#10;">
              <v:fill on="f" focussize="0,0"/>
              <v:stroke on="f" weight="0.5pt"/>
              <v:imagedata o:title=""/>
              <o:lock v:ext="edit" aspectratio="f"/>
              <v:textbox inset="0mm,0mm,0mm,0mm" style="mso-fit-shape-to-text:t;">
                <w:txbxContent>
                  <w:p>
                    <w:pPr>
                      <w:pStyle w:val="4"/>
                    </w:pPr>
                    <w:r>
                      <w:fldChar w:fldCharType="begin"/>
                    </w:r>
                    <w:r>
                      <w:instrText xml:space="preserve"> PAGE  \* MERGEFORMAT </w:instrText>
                    </w:r>
                    <w:r>
                      <w:fldChar w:fldCharType="separate"/>
                    </w:r>
                    <w:r>
                      <w:t>21</w:t>
                    </w:r>
                    <w:r>
                      <w:fldChar w:fldCharType="end"/>
                    </w:r>
                  </w:p>
                </w:txbxContent>
              </v:textbox>
            </v:shape>
          </w:pict>
        </mc:Fallback>
      </mc:AlternateContent>
    </w:r>
    <w:r>
      <mc:AlternateContent>
        <mc:Choice Requires="wps">
          <w:drawing>
            <wp:anchor distT="0" distB="0" distL="114300" distR="114300" simplePos="0" relativeHeight="251662336" behindDoc="1" locked="0" layoutInCell="1" allowOverlap="1">
              <wp:simplePos x="0" y="0"/>
              <wp:positionH relativeFrom="page">
                <wp:posOffset>5871210</wp:posOffset>
              </wp:positionH>
              <wp:positionV relativeFrom="page">
                <wp:posOffset>9935210</wp:posOffset>
              </wp:positionV>
              <wp:extent cx="558165" cy="203835"/>
              <wp:effectExtent l="0" t="0" r="0" b="0"/>
              <wp:wrapNone/>
              <wp:docPr id="20" name="文本框 6"/>
              <wp:cNvGraphicFramePr/>
              <a:graphic xmlns:a="http://schemas.openxmlformats.org/drawingml/2006/main">
                <a:graphicData uri="http://schemas.microsoft.com/office/word/2010/wordprocessingShape">
                  <wps:wsp>
                    <wps:cNvSpPr txBox="1"/>
                    <wps:spPr>
                      <a:xfrm>
                        <a:off x="0" y="0"/>
                        <a:ext cx="558165" cy="203835"/>
                      </a:xfrm>
                      <a:prstGeom prst="rect">
                        <a:avLst/>
                      </a:prstGeom>
                      <a:noFill/>
                      <a:ln>
                        <a:noFill/>
                      </a:ln>
                    </wps:spPr>
                    <wps:txbx>
                      <w:txbxContent>
                        <w:p>
                          <w:pPr>
                            <w:spacing w:before="0" w:line="321" w:lineRule="exact"/>
                            <w:ind w:right="0"/>
                            <w:jc w:val="left"/>
                            <w:rPr>
                              <w:sz w:val="28"/>
                            </w:rPr>
                          </w:pPr>
                        </w:p>
                      </w:txbxContent>
                    </wps:txbx>
                    <wps:bodyPr lIns="0" tIns="0" rIns="0" bIns="0" upright="1"/>
                  </wps:wsp>
                </a:graphicData>
              </a:graphic>
            </wp:anchor>
          </w:drawing>
        </mc:Choice>
        <mc:Fallback>
          <w:pict>
            <v:shape id="文本框 6" o:spid="_x0000_s1026" o:spt="202" type="#_x0000_t202" style="position:absolute;left:0pt;margin-left:462.3pt;margin-top:782.3pt;height:16.05pt;width:43.95pt;mso-position-horizontal-relative:page;mso-position-vertical-relative:page;z-index:-251654144;mso-width-relative:page;mso-height-relative:page;" filled="f" stroked="f" coordsize="21600,21600" o:gfxdata="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QfjsUNoAAAAOAQAADwAAAAAAAAABACAAAAAiAAAAZHJzL2Rvd25yZXYueG1sUEsB&#10;AhQAFAAAAAgAh07iQKiMm2G6AQAAcgMAAA4AAAAAAAAAAQAgAAAAKQEAAGRycy9lMm9Eb2MueG1s&#10;UEsFBgAAAAAGAAYAWQEAAFUFAAAAAA==&#10;">
              <v:fill on="f" focussize="0,0"/>
              <v:stroke on="f"/>
              <v:imagedata o:title=""/>
              <o:lock v:ext="edit" aspectratio="f"/>
              <v:textbox inset="0mm,0mm,0mm,0mm">
                <w:txbxContent>
                  <w:p>
                    <w:pPr>
                      <w:spacing w:before="0" w:line="321" w:lineRule="exact"/>
                      <w:ind w:right="0"/>
                      <w:jc w:val="left"/>
                      <w:rPr>
                        <w:sz w:val="28"/>
                      </w:rPr>
                    </w:pP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spacing w:before="0" w:line="14" w:lineRule="auto"/>
      <w:ind w:left="0"/>
      <w:rPr>
        <w:sz w:val="20"/>
      </w:rPr>
    </w:pPr>
    <w:r>
      <w:rPr>
        <w:sz w:val="32"/>
      </w:rP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12" name="文本框 1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pPr>
                          <w:r>
                            <w:fldChar w:fldCharType="begin"/>
                          </w:r>
                          <w:r>
                            <w:instrText xml:space="preserve"> PAGE  \* MERGEFORMAT </w:instrText>
                          </w:r>
                          <w:r>
                            <w:fldChar w:fldCharType="separate"/>
                          </w:r>
                          <w:r>
                            <w:t>20</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z+8ZEx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s/vGRMQIAAGMEAAAOAAAAAAAAAAEAIAAAAB8BAABkcnMvZTJvRG9jLnhtbFBLBQYA&#10;AAAABgAGAFkBAADCBQAAAAA=&#10;">
              <v:fill on="f" focussize="0,0"/>
              <v:stroke on="f" weight="0.5pt"/>
              <v:imagedata o:title=""/>
              <o:lock v:ext="edit" aspectratio="f"/>
              <v:textbox inset="0mm,0mm,0mm,0mm" style="mso-fit-shape-to-text:t;">
                <w:txbxContent>
                  <w:p>
                    <w:pPr>
                      <w:pStyle w:val="4"/>
                    </w:pPr>
                    <w:r>
                      <w:fldChar w:fldCharType="begin"/>
                    </w:r>
                    <w:r>
                      <w:instrText xml:space="preserve"> PAGE  \* MERGEFORMAT </w:instrText>
                    </w:r>
                    <w:r>
                      <w:fldChar w:fldCharType="separate"/>
                    </w:r>
                    <w:r>
                      <w:t>20</w:t>
                    </w:r>
                    <w:r>
                      <w:fldChar w:fldCharType="end"/>
                    </w:r>
                  </w:p>
                </w:txbxContent>
              </v:textbox>
            </v:shape>
          </w:pict>
        </mc:Fallback>
      </mc:AlternateContent>
    </w:r>
    <w:r>
      <mc:AlternateContent>
        <mc:Choice Requires="wps">
          <w:drawing>
            <wp:anchor distT="0" distB="0" distL="114300" distR="114300" simplePos="0" relativeHeight="251661312" behindDoc="1" locked="0" layoutInCell="1" allowOverlap="1">
              <wp:simplePos x="0" y="0"/>
              <wp:positionH relativeFrom="page">
                <wp:posOffset>1130300</wp:posOffset>
              </wp:positionH>
              <wp:positionV relativeFrom="page">
                <wp:posOffset>9935210</wp:posOffset>
              </wp:positionV>
              <wp:extent cx="560070" cy="203835"/>
              <wp:effectExtent l="0" t="0" r="0" b="0"/>
              <wp:wrapNone/>
              <wp:docPr id="18" name="文本框 5"/>
              <wp:cNvGraphicFramePr/>
              <a:graphic xmlns:a="http://schemas.openxmlformats.org/drawingml/2006/main">
                <a:graphicData uri="http://schemas.microsoft.com/office/word/2010/wordprocessingShape">
                  <wps:wsp>
                    <wps:cNvSpPr txBox="1"/>
                    <wps:spPr>
                      <a:xfrm>
                        <a:off x="0" y="0"/>
                        <a:ext cx="560070" cy="203835"/>
                      </a:xfrm>
                      <a:prstGeom prst="rect">
                        <a:avLst/>
                      </a:prstGeom>
                      <a:noFill/>
                      <a:ln>
                        <a:noFill/>
                      </a:ln>
                    </wps:spPr>
                    <wps:txbx>
                      <w:txbxContent>
                        <w:p>
                          <w:pPr>
                            <w:spacing w:before="0" w:line="321" w:lineRule="exact"/>
                            <w:ind w:left="20" w:right="0" w:firstLine="0"/>
                            <w:jc w:val="left"/>
                            <w:rPr>
                              <w:sz w:val="28"/>
                            </w:rPr>
                          </w:pPr>
                        </w:p>
                      </w:txbxContent>
                    </wps:txbx>
                    <wps:bodyPr lIns="0" tIns="0" rIns="0" bIns="0" upright="1"/>
                  </wps:wsp>
                </a:graphicData>
              </a:graphic>
            </wp:anchor>
          </w:drawing>
        </mc:Choice>
        <mc:Fallback>
          <w:pict>
            <v:shape id="文本框 5" o:spid="_x0000_s1026" o:spt="202" type="#_x0000_t202" style="position:absolute;left:0pt;margin-left:89pt;margin-top:782.3pt;height:16.05pt;width:44.1pt;mso-position-horizontal-relative:page;mso-position-vertical-relative:page;z-index:-251655168;mso-width-relative:page;mso-height-relative:page;" filled="f" stroked="f" coordsize="21600,21600" o:gfxdata="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JFlq4doAAAANAQAADwAAAAAAAAABACAAAAAiAAAAZHJzL2Rvd25yZXYueG1sUEsB&#10;AhQAFAAAAAgAh07iQIgU1EW6AQAAcgMAAA4AAAAAAAAAAQAgAAAAKQEAAGRycy9lMm9Eb2MueG1s&#10;UEsFBgAAAAAGAAYAWQEAAFUFAAAAAA==&#10;">
              <v:fill on="f" focussize="0,0"/>
              <v:stroke on="f"/>
              <v:imagedata o:title=""/>
              <o:lock v:ext="edit" aspectratio="f"/>
              <v:textbox inset="0mm,0mm,0mm,0mm">
                <w:txbxContent>
                  <w:p>
                    <w:pPr>
                      <w:spacing w:before="0" w:line="321" w:lineRule="exact"/>
                      <w:ind w:left="20" w:right="0" w:firstLine="0"/>
                      <w:jc w:val="left"/>
                      <w:rPr>
                        <w:sz w:val="28"/>
                      </w:rPr>
                    </w:pP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E762E0C"/>
    <w:multiLevelType w:val="singleLevel"/>
    <w:tmpl w:val="8E762E0C"/>
    <w:lvl w:ilvl="0" w:tentative="0">
      <w:start w:val="4"/>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documentProtection w:enforcement="0"/>
  <w:defaultTabStop w:val="720"/>
  <w:evenAndOddHeaders w:val="1"/>
  <w:drawingGridHorizontalSpacing w:val="110"/>
  <w:displayHorizontalDrawingGridEvery w:val="2"/>
  <w:characterSpacingControl w:val="doNotCompress"/>
  <w:footnotePr>
    <w:footnote w:id="0"/>
    <w:footnote w:id="1"/>
  </w:footnotePr>
  <w:endnotePr>
    <w:endnote w:id="0"/>
    <w:endnote w:id="1"/>
  </w:endnotePr>
  <w:compat>
    <w:ulTrailSpac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RiZmEyZmZiYzkxODc2Y2IyNTkzMmEyN2UyOWY5MTIifQ=="/>
  </w:docVars>
  <w:rsids>
    <w:rsidRoot w:val="00000000"/>
    <w:rsid w:val="0FBD838A"/>
    <w:rsid w:val="15FB6B86"/>
    <w:rsid w:val="1AF837B5"/>
    <w:rsid w:val="27DF32B4"/>
    <w:rsid w:val="31B7F243"/>
    <w:rsid w:val="35814314"/>
    <w:rsid w:val="35BF4635"/>
    <w:rsid w:val="36E63139"/>
    <w:rsid w:val="37DA60AE"/>
    <w:rsid w:val="39EBD1D2"/>
    <w:rsid w:val="39EF6D9B"/>
    <w:rsid w:val="3BDDFF5B"/>
    <w:rsid w:val="3F6BBF12"/>
    <w:rsid w:val="3FF3ED0F"/>
    <w:rsid w:val="4EFEA97B"/>
    <w:rsid w:val="4FFF65B4"/>
    <w:rsid w:val="503E6C32"/>
    <w:rsid w:val="53F162D6"/>
    <w:rsid w:val="5A963CE4"/>
    <w:rsid w:val="5D6B1B5F"/>
    <w:rsid w:val="5E19B5A7"/>
    <w:rsid w:val="5EFFC83B"/>
    <w:rsid w:val="5FEF7443"/>
    <w:rsid w:val="5FFF14B9"/>
    <w:rsid w:val="63C7D2AC"/>
    <w:rsid w:val="6AB754D5"/>
    <w:rsid w:val="6DD93FE6"/>
    <w:rsid w:val="6DF7511B"/>
    <w:rsid w:val="6FAC5F0E"/>
    <w:rsid w:val="6FC37453"/>
    <w:rsid w:val="6FDF10C5"/>
    <w:rsid w:val="73FDF916"/>
    <w:rsid w:val="77CBC22D"/>
    <w:rsid w:val="79FDC693"/>
    <w:rsid w:val="7A24627E"/>
    <w:rsid w:val="7B9F7935"/>
    <w:rsid w:val="7D7FF3D5"/>
    <w:rsid w:val="7DFF82CE"/>
    <w:rsid w:val="7F4F5819"/>
    <w:rsid w:val="7FDF6B43"/>
    <w:rsid w:val="7FFBB117"/>
    <w:rsid w:val="7FFFE92D"/>
    <w:rsid w:val="8AAB50DE"/>
    <w:rsid w:val="9EFE993F"/>
    <w:rsid w:val="A9EFAC28"/>
    <w:rsid w:val="B3AE7FDF"/>
    <w:rsid w:val="B5AE989D"/>
    <w:rsid w:val="B7D8E821"/>
    <w:rsid w:val="BBF7B1F5"/>
    <w:rsid w:val="BDAF7EE2"/>
    <w:rsid w:val="BDEBA4CB"/>
    <w:rsid w:val="BEDE4459"/>
    <w:rsid w:val="BEFBBF78"/>
    <w:rsid w:val="BF0AF430"/>
    <w:rsid w:val="BF2FB1AF"/>
    <w:rsid w:val="BFB7E151"/>
    <w:rsid w:val="D3798C0F"/>
    <w:rsid w:val="DB5F9E13"/>
    <w:rsid w:val="DCFC0E25"/>
    <w:rsid w:val="DD9DD86C"/>
    <w:rsid w:val="DDF87995"/>
    <w:rsid w:val="DEFF4AEB"/>
    <w:rsid w:val="DF73FD73"/>
    <w:rsid w:val="DFD7D6F8"/>
    <w:rsid w:val="E05E3673"/>
    <w:rsid w:val="E7FC157F"/>
    <w:rsid w:val="E9776912"/>
    <w:rsid w:val="EDEE250B"/>
    <w:rsid w:val="EDEE3330"/>
    <w:rsid w:val="EDFD1398"/>
    <w:rsid w:val="EEBF024A"/>
    <w:rsid w:val="EF5FC2DB"/>
    <w:rsid w:val="EF7B5079"/>
    <w:rsid w:val="EFFEBD3A"/>
    <w:rsid w:val="F1661016"/>
    <w:rsid w:val="F1779257"/>
    <w:rsid w:val="F2FF0147"/>
    <w:rsid w:val="F6E7AE02"/>
    <w:rsid w:val="F6FD310F"/>
    <w:rsid w:val="FBFF459C"/>
    <w:rsid w:val="FCF5F264"/>
    <w:rsid w:val="FE7E0EBD"/>
    <w:rsid w:val="FE8F2747"/>
    <w:rsid w:val="FF7E3829"/>
    <w:rsid w:val="FFE7D64A"/>
    <w:rsid w:val="FFEB5053"/>
    <w:rsid w:val="FFEC0C5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spacing w:before="0" w:after="0" w:line="240" w:lineRule="auto"/>
      <w:ind w:left="0" w:right="0"/>
      <w:jc w:val="left"/>
    </w:pPr>
    <w:rPr>
      <w:rFonts w:ascii="宋体" w:hAnsi="宋体" w:eastAsia="宋体" w:cs="宋体"/>
      <w:sz w:val="22"/>
      <w:szCs w:val="22"/>
      <w:lang w:val="zh-CN" w:eastAsia="zh-CN" w:bidi="zh-CN"/>
    </w:rPr>
  </w:style>
  <w:style w:type="paragraph" w:styleId="2">
    <w:name w:val="heading 1"/>
    <w:basedOn w:val="1"/>
    <w:next w:val="1"/>
    <w:qFormat/>
    <w:uiPriority w:val="1"/>
    <w:pPr>
      <w:spacing w:line="737" w:lineRule="exact"/>
      <w:ind w:left="295" w:right="455"/>
      <w:jc w:val="center"/>
      <w:outlineLvl w:val="1"/>
    </w:pPr>
    <w:rPr>
      <w:rFonts w:ascii="方正小标宋简体" w:hAnsi="方正小标宋简体" w:eastAsia="方正小标宋简体" w:cs="方正小标宋简体"/>
      <w:i/>
      <w:sz w:val="44"/>
      <w:szCs w:val="44"/>
      <w:lang w:val="zh-CN" w:eastAsia="zh-CN" w:bidi="zh-CN"/>
    </w:rPr>
  </w:style>
  <w:style w:type="character" w:default="1" w:styleId="7">
    <w:name w:val="Default Paragraph Font"/>
    <w:semiHidden/>
    <w:unhideWhenUsed/>
    <w:qFormat/>
    <w:uiPriority w:val="1"/>
  </w:style>
  <w:style w:type="table" w:default="1" w:styleId="6">
    <w:name w:val="Normal Table"/>
    <w:semiHidden/>
    <w:qFormat/>
    <w:uiPriority w:val="0"/>
    <w:tblPr>
      <w:tblCellMar>
        <w:top w:w="0" w:type="dxa"/>
        <w:left w:w="108" w:type="dxa"/>
        <w:bottom w:w="0" w:type="dxa"/>
        <w:right w:w="108" w:type="dxa"/>
      </w:tblCellMar>
    </w:tblPr>
  </w:style>
  <w:style w:type="paragraph" w:styleId="3">
    <w:name w:val="Body Text"/>
    <w:basedOn w:val="1"/>
    <w:qFormat/>
    <w:uiPriority w:val="1"/>
    <w:pPr>
      <w:spacing w:before="190"/>
      <w:ind w:left="120"/>
    </w:pPr>
    <w:rPr>
      <w:rFonts w:ascii="宋体" w:hAnsi="宋体" w:eastAsia="宋体" w:cs="宋体"/>
      <w:sz w:val="32"/>
      <w:szCs w:val="32"/>
      <w:lang w:val="zh-CN" w:eastAsia="zh-CN" w:bidi="zh-CN"/>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customStyle="1" w:styleId="8">
    <w:name w:val="Table Normal"/>
    <w:semiHidden/>
    <w:unhideWhenUsed/>
    <w:qFormat/>
    <w:uiPriority w:val="2"/>
    <w:tblPr>
      <w:tblCellMar>
        <w:top w:w="0" w:type="dxa"/>
        <w:left w:w="0" w:type="dxa"/>
        <w:bottom w:w="0" w:type="dxa"/>
        <w:right w:w="0" w:type="dxa"/>
      </w:tblCellMar>
    </w:tblPr>
  </w:style>
  <w:style w:type="paragraph" w:styleId="9">
    <w:name w:val="List Paragraph"/>
    <w:basedOn w:val="1"/>
    <w:qFormat/>
    <w:uiPriority w:val="1"/>
    <w:pPr>
      <w:spacing w:before="190"/>
      <w:ind w:left="2042" w:hanging="323"/>
    </w:pPr>
    <w:rPr>
      <w:rFonts w:ascii="宋体" w:hAnsi="宋体" w:eastAsia="宋体" w:cs="宋体"/>
      <w:lang w:val="zh-CN" w:eastAsia="zh-CN" w:bidi="zh-CN"/>
    </w:rPr>
  </w:style>
  <w:style w:type="paragraph" w:customStyle="1" w:styleId="10">
    <w:name w:val="Table Paragraph"/>
    <w:basedOn w:val="1"/>
    <w:qFormat/>
    <w:uiPriority w:val="1"/>
    <w:rPr>
      <w:lang w:val="zh-CN" w:eastAsia="zh-CN" w:bidi="zh-CN"/>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numbering" Target="numbering.xml"/><Relationship Id="rId13" Type="http://schemas.openxmlformats.org/officeDocument/2006/relationships/customXml" Target="../customXml/item1.xml"/><Relationship Id="rId12" Type="http://schemas.openxmlformats.org/officeDocument/2006/relationships/image" Target="media/image1.png"/><Relationship Id="rId11" Type="http://schemas.openxmlformats.org/officeDocument/2006/relationships/theme" Target="theme/theme1.xml"/><Relationship Id="rId10" Type="http://schemas.openxmlformats.org/officeDocument/2006/relationships/footer" Target="footer6.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26</Pages>
  <Words>8056</Words>
  <Characters>8388</Characters>
  <TotalTime>139</TotalTime>
  <ScaleCrop>false</ScaleCrop>
  <LinksUpToDate>false</LinksUpToDate>
  <CharactersWithSpaces>8428</CharactersWithSpaces>
  <Application>WPS Office_11.1.0.13703_F1E327BC-269C-435d-A152-05C5408002CA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2023-01-19T10:55:00Z</dcterms:created>
  <dc:creator>SDXMZWJ</dc:creator>
  <cp:lastModifiedBy>LEI</cp:lastModifiedBy>
  <cp:lastPrinted>2023-01-19T00:12:00Z</cp:lastPrinted>
  <dcterms:modified xsi:type="dcterms:W3CDTF">2023-01-18T03:45:43Z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2023-01-13T00:00:00Z</vt:filetime>
  </property>
  <property fmtid="{D5CDD505-2E9C-101B-9397-08002B2CF9AE}" pid="3" name="Creator">
    <vt:lpwstr>WPS Office</vt:lpwstr>
  </property>
  <property fmtid="{D5CDD505-2E9C-101B-9397-08002B2CF9AE}" pid="4" name="LastSaved">
    <vt:filetime>2023-01-17T00:00:00Z</vt:filetime>
  </property>
  <property fmtid="{D5CDD505-2E9C-101B-9397-08002B2CF9AE}" pid="5" name="KSOProductBuildVer">
    <vt:lpwstr>2052-11.1.0.13703</vt:lpwstr>
  </property>
  <property fmtid="{D5CDD505-2E9C-101B-9397-08002B2CF9AE}" pid="6" name="ICV">
    <vt:lpwstr>B785CA123EDE42EB973FC20B877C8EFE</vt:lpwstr>
  </property>
</Properties>
</file>