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B04" w:rsidRDefault="00766B04">
      <w:pPr>
        <w:ind w:firstLineChars="200" w:firstLine="632"/>
        <w:jc w:val="right"/>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3905ED">
      <w:pPr>
        <w:jc w:val="center"/>
        <w:rPr>
          <w:rFonts w:ascii="方正小标宋简体"/>
          <w:spacing w:val="62"/>
          <w:sz w:val="74"/>
        </w:rPr>
      </w:pPr>
      <w:r>
        <w:rPr>
          <w:rFonts w:ascii="方正小标宋简体" w:hint="eastAsia"/>
          <w:spacing w:val="62"/>
          <w:sz w:val="74"/>
        </w:rPr>
        <w:t>2019</w:t>
      </w:r>
      <w:r>
        <w:rPr>
          <w:rFonts w:ascii="方正小标宋简体" w:hint="eastAsia"/>
          <w:spacing w:val="62"/>
          <w:sz w:val="74"/>
        </w:rPr>
        <w:t>年度</w:t>
      </w:r>
    </w:p>
    <w:p w:rsidR="00766B04" w:rsidRDefault="003905ED">
      <w:pPr>
        <w:jc w:val="center"/>
        <w:rPr>
          <w:rFonts w:ascii="方正小标宋简体"/>
          <w:spacing w:val="62"/>
          <w:sz w:val="74"/>
        </w:rPr>
      </w:pPr>
      <w:r>
        <w:rPr>
          <w:rFonts w:ascii="方正小标宋简体" w:hint="eastAsia"/>
          <w:spacing w:val="62"/>
          <w:sz w:val="74"/>
        </w:rPr>
        <w:t>威海市文登区</w:t>
      </w:r>
    </w:p>
    <w:p w:rsidR="00766B04" w:rsidRDefault="003905ED">
      <w:pPr>
        <w:jc w:val="center"/>
        <w:rPr>
          <w:rFonts w:ascii="方正小标宋简体"/>
          <w:spacing w:val="62"/>
          <w:sz w:val="74"/>
        </w:rPr>
      </w:pPr>
      <w:r>
        <w:rPr>
          <w:rFonts w:ascii="方正小标宋简体" w:hint="eastAsia"/>
          <w:spacing w:val="62"/>
          <w:sz w:val="74"/>
        </w:rPr>
        <w:t>应急管理局部门决算</w:t>
      </w:r>
    </w:p>
    <w:p w:rsidR="00766B04" w:rsidRDefault="00766B04">
      <w:pPr>
        <w:jc w:val="center"/>
        <w:rPr>
          <w:rFonts w:ascii="楷体_GB2312" w:eastAsia="楷体_GB2312"/>
          <w:b/>
          <w:sz w:val="42"/>
        </w:rPr>
      </w:pPr>
    </w:p>
    <w:p w:rsidR="00766B04" w:rsidRDefault="00766B04">
      <w:pPr>
        <w:jc w:val="center"/>
        <w:rPr>
          <w:rFonts w:ascii="楷体_GB2312" w:eastAsia="楷体_GB2312"/>
          <w:b/>
          <w:sz w:val="42"/>
        </w:rPr>
      </w:pPr>
    </w:p>
    <w:p w:rsidR="00766B04" w:rsidRDefault="00766B04">
      <w:pPr>
        <w:rPr>
          <w:rFonts w:ascii="仿宋_GB2312" w:eastAsia="仿宋_GB2312"/>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766B04" w:rsidP="00766B04">
      <w:pPr>
        <w:spacing w:afterLines="50" w:line="580" w:lineRule="exact"/>
        <w:jc w:val="center"/>
        <w:rPr>
          <w:rFonts w:ascii="方正小标宋简体" w:eastAsia="方正小标宋简体"/>
          <w:sz w:val="44"/>
          <w:szCs w:val="44"/>
        </w:rPr>
      </w:pPr>
    </w:p>
    <w:p w:rsidR="00766B04" w:rsidRDefault="003905ED" w:rsidP="00766B04">
      <w:pPr>
        <w:spacing w:afterLines="50" w:line="580" w:lineRule="exact"/>
        <w:jc w:val="center"/>
        <w:rPr>
          <w:rFonts w:ascii="方正小标宋简体" w:eastAsia="方正小标宋简体"/>
          <w:sz w:val="44"/>
          <w:szCs w:val="44"/>
        </w:rPr>
      </w:pPr>
      <w:r>
        <w:rPr>
          <w:rFonts w:ascii="方正小标宋简体" w:eastAsia="方正小标宋简体" w:hint="eastAsia"/>
          <w:sz w:val="44"/>
          <w:szCs w:val="44"/>
        </w:rPr>
        <w:lastRenderedPageBreak/>
        <w:t>目</w:t>
      </w:r>
      <w:r>
        <w:rPr>
          <w:rFonts w:ascii="方正小标宋简体" w:eastAsia="方正小标宋简体" w:hint="eastAsia"/>
          <w:sz w:val="44"/>
          <w:szCs w:val="44"/>
        </w:rPr>
        <w:t xml:space="preserve">  </w:t>
      </w:r>
      <w:r>
        <w:rPr>
          <w:rFonts w:ascii="方正小标宋简体" w:eastAsia="方正小标宋简体" w:hint="eastAsia"/>
          <w:sz w:val="44"/>
          <w:szCs w:val="44"/>
        </w:rPr>
        <w:t>录</w:t>
      </w:r>
    </w:p>
    <w:p w:rsidR="00766B04" w:rsidRDefault="003905ED">
      <w:pPr>
        <w:spacing w:line="580" w:lineRule="exact"/>
        <w:ind w:firstLineChars="100" w:firstLine="316"/>
        <w:rPr>
          <w:rFonts w:ascii="黑体" w:eastAsia="黑体" w:hAnsi="黑体"/>
        </w:rPr>
      </w:pPr>
      <w:r>
        <w:rPr>
          <w:rFonts w:ascii="黑体" w:eastAsia="黑体" w:hAnsi="黑体" w:hint="eastAsia"/>
        </w:rPr>
        <w:t>第一部分</w:t>
      </w:r>
      <w:r>
        <w:rPr>
          <w:rFonts w:ascii="黑体" w:eastAsia="黑体" w:hAnsi="黑体" w:hint="eastAsia"/>
        </w:rPr>
        <w:t xml:space="preserve">  </w:t>
      </w:r>
      <w:r>
        <w:rPr>
          <w:rFonts w:ascii="黑体" w:eastAsia="黑体" w:hAnsi="黑体" w:hint="eastAsia"/>
        </w:rPr>
        <w:t>部门概况</w:t>
      </w:r>
    </w:p>
    <w:p w:rsidR="00766B04" w:rsidRDefault="003905ED">
      <w:pPr>
        <w:spacing w:line="580" w:lineRule="exact"/>
        <w:ind w:firstLineChars="200" w:firstLine="632"/>
        <w:rPr>
          <w:rFonts w:ascii="仿宋_GB2312" w:eastAsia="仿宋_GB2312"/>
        </w:rPr>
      </w:pPr>
      <w:r>
        <w:rPr>
          <w:rFonts w:ascii="仿宋_GB2312" w:eastAsia="仿宋_GB2312" w:hint="eastAsia"/>
        </w:rPr>
        <w:t>一、部门职责</w:t>
      </w:r>
    </w:p>
    <w:p w:rsidR="00766B04" w:rsidRDefault="003905ED">
      <w:pPr>
        <w:spacing w:line="580" w:lineRule="exact"/>
        <w:ind w:firstLineChars="200" w:firstLine="632"/>
        <w:rPr>
          <w:rFonts w:ascii="仿宋_GB2312" w:eastAsia="仿宋_GB2312"/>
        </w:rPr>
      </w:pPr>
      <w:r>
        <w:rPr>
          <w:rFonts w:ascii="仿宋_GB2312" w:eastAsia="仿宋_GB2312" w:hint="eastAsia"/>
        </w:rPr>
        <w:t>二、机构设置</w:t>
      </w:r>
    </w:p>
    <w:p w:rsidR="00766B04" w:rsidRDefault="003905ED">
      <w:pPr>
        <w:spacing w:line="580" w:lineRule="exact"/>
        <w:ind w:firstLineChars="100" w:firstLine="316"/>
        <w:rPr>
          <w:rFonts w:ascii="黑体" w:eastAsia="黑体" w:hAnsi="黑体"/>
        </w:rPr>
      </w:pPr>
      <w:r>
        <w:rPr>
          <w:rFonts w:ascii="黑体" w:eastAsia="黑体" w:hAnsi="黑体" w:hint="eastAsia"/>
        </w:rPr>
        <w:t>第二部分</w:t>
      </w:r>
      <w:r>
        <w:rPr>
          <w:rFonts w:ascii="黑体" w:eastAsia="黑体" w:hAnsi="黑体" w:hint="eastAsia"/>
        </w:rPr>
        <w:t xml:space="preserve">  2019</w:t>
      </w:r>
      <w:r>
        <w:rPr>
          <w:rFonts w:ascii="黑体" w:eastAsia="黑体" w:hAnsi="黑体" w:hint="eastAsia"/>
        </w:rPr>
        <w:t>年度部门决算表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一、收入支出决算总表</w:t>
      </w:r>
    </w:p>
    <w:p w:rsidR="00766B04" w:rsidRDefault="003905ED">
      <w:pPr>
        <w:spacing w:line="580" w:lineRule="exact"/>
        <w:ind w:firstLineChars="200" w:firstLine="632"/>
        <w:rPr>
          <w:rFonts w:ascii="仿宋_GB2312" w:eastAsia="仿宋_GB2312"/>
        </w:rPr>
      </w:pPr>
      <w:r>
        <w:rPr>
          <w:rFonts w:ascii="仿宋_GB2312" w:eastAsia="仿宋_GB2312" w:hint="eastAsia"/>
        </w:rPr>
        <w:t>二、收入决算表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三、支出决算表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四、财政拨款收入支出决算总表</w:t>
      </w:r>
    </w:p>
    <w:p w:rsidR="00766B04" w:rsidRDefault="003905ED">
      <w:pPr>
        <w:spacing w:line="580" w:lineRule="exact"/>
        <w:ind w:firstLineChars="200" w:firstLine="632"/>
        <w:rPr>
          <w:rFonts w:ascii="仿宋_GB2312" w:eastAsia="仿宋_GB2312"/>
        </w:rPr>
      </w:pPr>
      <w:r>
        <w:rPr>
          <w:rFonts w:ascii="仿宋_GB2312" w:eastAsia="仿宋_GB2312" w:hint="eastAsia"/>
        </w:rPr>
        <w:t>五、一般公共预算财政拨款支出决算表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六、一般公共预算财政拨款基本支出决算表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七、一般公共预算财政拨款“三公”经费支出决算表</w:t>
      </w:r>
    </w:p>
    <w:p w:rsidR="00766B04" w:rsidRDefault="003905ED">
      <w:pPr>
        <w:spacing w:line="580" w:lineRule="exact"/>
        <w:ind w:firstLineChars="200" w:firstLine="632"/>
        <w:rPr>
          <w:rFonts w:ascii="仿宋_GB2312" w:eastAsia="仿宋_GB2312"/>
        </w:rPr>
      </w:pPr>
      <w:r>
        <w:rPr>
          <w:rFonts w:ascii="仿宋_GB2312" w:eastAsia="仿宋_GB2312" w:hint="eastAsia"/>
        </w:rPr>
        <w:t>八、政府性基金预算财政拨款收入支出决算表</w:t>
      </w:r>
    </w:p>
    <w:p w:rsidR="00766B04" w:rsidRDefault="003905ED">
      <w:pPr>
        <w:spacing w:line="580" w:lineRule="exact"/>
        <w:ind w:firstLineChars="100" w:firstLine="316"/>
        <w:rPr>
          <w:rFonts w:ascii="黑体" w:eastAsia="黑体" w:hAnsi="黑体"/>
        </w:rPr>
      </w:pPr>
      <w:r>
        <w:rPr>
          <w:rFonts w:ascii="黑体" w:eastAsia="黑体" w:hAnsi="黑体" w:hint="eastAsia"/>
        </w:rPr>
        <w:t>第三部分</w:t>
      </w:r>
      <w:r>
        <w:rPr>
          <w:rFonts w:ascii="黑体" w:eastAsia="黑体" w:hAnsi="黑体" w:hint="eastAsia"/>
        </w:rPr>
        <w:t xml:space="preserve">  2019</w:t>
      </w:r>
      <w:r>
        <w:rPr>
          <w:rFonts w:ascii="黑体" w:eastAsia="黑体" w:hAnsi="黑体" w:hint="eastAsia"/>
        </w:rPr>
        <w:t>年度部门决算情况说明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一、收入支出决算总体情况说明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二、收入决算情况说明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三、支出决算情况说明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四、财政拨款收入支出决算总体情况说明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五、一般公共预算财政拨款支出决算情况说明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六、一般公共预算财政拨款基本支出决算情况说明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t>八、政府性基金预算财政拨款收入支出决算情况说明</w:t>
      </w:r>
    </w:p>
    <w:p w:rsidR="00766B04" w:rsidRDefault="003905ED">
      <w:pPr>
        <w:spacing w:line="580" w:lineRule="exact"/>
        <w:ind w:firstLineChars="200" w:firstLine="632"/>
        <w:rPr>
          <w:rFonts w:ascii="仿宋_GB2312" w:eastAsia="仿宋_GB2312"/>
        </w:rPr>
      </w:pPr>
      <w:r>
        <w:rPr>
          <w:rFonts w:ascii="仿宋_GB2312" w:eastAsia="仿宋_GB2312" w:hint="eastAsia"/>
        </w:rPr>
        <w:lastRenderedPageBreak/>
        <w:t>九、重要事项情况说明</w:t>
      </w:r>
    </w:p>
    <w:p w:rsidR="00766B04" w:rsidRDefault="003905ED">
      <w:pPr>
        <w:spacing w:line="580" w:lineRule="exact"/>
        <w:ind w:firstLineChars="100" w:firstLine="316"/>
        <w:rPr>
          <w:rFonts w:ascii="黑体" w:eastAsia="黑体" w:hAnsi="黑体"/>
        </w:rPr>
      </w:pPr>
      <w:r>
        <w:rPr>
          <w:rFonts w:ascii="黑体" w:eastAsia="黑体" w:hAnsi="黑体" w:hint="eastAsia"/>
        </w:rPr>
        <w:t>第四部分</w:t>
      </w:r>
      <w:r>
        <w:rPr>
          <w:rFonts w:ascii="黑体" w:eastAsia="黑体" w:hAnsi="黑体" w:hint="eastAsia"/>
        </w:rPr>
        <w:t xml:space="preserve">  </w:t>
      </w:r>
      <w:r>
        <w:rPr>
          <w:rFonts w:ascii="黑体" w:eastAsia="黑体" w:hAnsi="黑体" w:hint="eastAsia"/>
        </w:rPr>
        <w:t>名词解释</w:t>
      </w:r>
    </w:p>
    <w:p w:rsidR="00766B04" w:rsidRDefault="003905ED">
      <w:pPr>
        <w:spacing w:line="580" w:lineRule="exact"/>
        <w:ind w:firstLineChars="100" w:firstLine="316"/>
        <w:rPr>
          <w:rFonts w:ascii="黑体" w:eastAsia="黑体" w:hAnsi="黑体"/>
        </w:rPr>
      </w:pPr>
      <w:r>
        <w:rPr>
          <w:rFonts w:ascii="黑体" w:eastAsia="黑体" w:hAnsi="黑体" w:hint="eastAsia"/>
        </w:rPr>
        <w:t>第五部分</w:t>
      </w:r>
      <w:r>
        <w:rPr>
          <w:rFonts w:ascii="黑体" w:eastAsia="黑体" w:hAnsi="黑体" w:hint="eastAsia"/>
        </w:rPr>
        <w:t xml:space="preserve">  </w:t>
      </w:r>
      <w:r>
        <w:rPr>
          <w:rFonts w:ascii="黑体" w:eastAsia="黑体" w:hAnsi="黑体" w:hint="eastAsia"/>
        </w:rPr>
        <w:t>附件</w:t>
      </w:r>
      <w:r>
        <w:rPr>
          <w:rFonts w:ascii="黑体" w:eastAsia="黑体" w:hAnsi="黑体" w:hint="eastAsia"/>
        </w:rPr>
        <w:t xml:space="preserve">  </w:t>
      </w:r>
    </w:p>
    <w:p w:rsidR="00766B04" w:rsidRDefault="00766B04">
      <w:pPr>
        <w:spacing w:line="580" w:lineRule="exact"/>
        <w:ind w:firstLineChars="100" w:firstLine="316"/>
        <w:rPr>
          <w:rFonts w:ascii="黑体" w:eastAsia="黑体" w:hAnsi="黑体"/>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仿宋_GB2312" w:eastAsia="仿宋_GB2312"/>
        </w:rPr>
      </w:pPr>
    </w:p>
    <w:p w:rsidR="00766B04" w:rsidRDefault="00766B04">
      <w:pPr>
        <w:jc w:val="center"/>
        <w:rPr>
          <w:rFonts w:ascii="方正小标宋简体" w:eastAsia="方正小标宋简体"/>
          <w:sz w:val="42"/>
        </w:rPr>
      </w:pPr>
    </w:p>
    <w:p w:rsidR="00766B04" w:rsidRDefault="003905ED">
      <w:pPr>
        <w:ind w:firstLineChars="100" w:firstLine="537"/>
        <w:rPr>
          <w:rFonts w:ascii="方正小标宋简体" w:eastAsia="仿宋" w:cs="仿宋"/>
          <w:b/>
          <w:spacing w:val="60"/>
          <w:sz w:val="42"/>
          <w:szCs w:val="32"/>
        </w:rPr>
      </w:pPr>
      <w:r>
        <w:rPr>
          <w:rFonts w:ascii="方正小标宋简体" w:eastAsia="仿宋" w:cs="仿宋" w:hint="eastAsia"/>
          <w:b/>
          <w:spacing w:val="60"/>
          <w:sz w:val="42"/>
          <w:szCs w:val="32"/>
        </w:rPr>
        <w:lastRenderedPageBreak/>
        <w:t>第一部分</w:t>
      </w:r>
    </w:p>
    <w:p w:rsidR="00766B04" w:rsidRDefault="00766B04">
      <w:pPr>
        <w:jc w:val="center"/>
        <w:rPr>
          <w:rFonts w:ascii="方正小标宋简体" w:eastAsia="仿宋" w:cs="仿宋"/>
          <w:b/>
          <w:spacing w:val="60"/>
          <w:sz w:val="42"/>
          <w:szCs w:val="32"/>
        </w:rPr>
      </w:pPr>
    </w:p>
    <w:p w:rsidR="00766B04" w:rsidRDefault="003905ED">
      <w:pPr>
        <w:jc w:val="center"/>
        <w:rPr>
          <w:rFonts w:ascii="方正小标宋简体" w:eastAsia="仿宋" w:cs="仿宋"/>
          <w:b/>
          <w:spacing w:val="60"/>
          <w:sz w:val="48"/>
          <w:szCs w:val="32"/>
        </w:rPr>
      </w:pPr>
      <w:r>
        <w:rPr>
          <w:rFonts w:ascii="方正小标宋简体" w:eastAsia="仿宋" w:cs="仿宋" w:hint="eastAsia"/>
          <w:b/>
          <w:spacing w:val="60"/>
          <w:sz w:val="48"/>
          <w:szCs w:val="32"/>
        </w:rPr>
        <w:t>部门概况</w:t>
      </w:r>
    </w:p>
    <w:p w:rsidR="00766B04" w:rsidRDefault="00766B04">
      <w:pPr>
        <w:jc w:val="center"/>
        <w:rPr>
          <w:rFonts w:ascii="仿宋_GB2312" w:eastAsia="仿宋" w:cs="仿宋"/>
          <w:szCs w:val="32"/>
        </w:rPr>
        <w:sectPr w:rsidR="00766B04">
          <w:headerReference w:type="default" r:id="rId7"/>
          <w:footerReference w:type="default" r:id="rId8"/>
          <w:pgSz w:w="11906" w:h="16838"/>
          <w:pgMar w:top="1701" w:right="1531" w:bottom="1701" w:left="1531" w:header="0" w:footer="1418" w:gutter="0"/>
          <w:cols w:space="720"/>
          <w:docGrid w:type="linesAndChars" w:linePitch="610" w:charSpace="-849"/>
        </w:sectPr>
      </w:pPr>
    </w:p>
    <w:p w:rsidR="00766B04" w:rsidRDefault="003905ED">
      <w:pPr>
        <w:ind w:firstLineChars="200" w:firstLine="632"/>
        <w:rPr>
          <w:rFonts w:ascii="黑体" w:eastAsia="黑体" w:hAnsi="黑体"/>
        </w:rPr>
      </w:pPr>
      <w:r>
        <w:rPr>
          <w:rFonts w:ascii="黑体" w:eastAsia="黑体" w:hAnsi="黑体" w:hint="eastAsia"/>
        </w:rPr>
        <w:lastRenderedPageBreak/>
        <w:t>一、部门职责</w:t>
      </w:r>
    </w:p>
    <w:p w:rsidR="00766B04" w:rsidRDefault="003905ED">
      <w:pPr>
        <w:widowControl/>
        <w:overflowPunct w:val="0"/>
        <w:adjustRightInd w:val="0"/>
        <w:snapToGrid w:val="0"/>
        <w:spacing w:line="580" w:lineRule="exact"/>
        <w:ind w:firstLineChars="200" w:firstLine="632"/>
        <w:rPr>
          <w:rFonts w:ascii="楷体_GB2312" w:eastAsia="楷体_GB2312"/>
          <w:szCs w:val="32"/>
        </w:rPr>
      </w:pPr>
      <w:r>
        <w:rPr>
          <w:rFonts w:ascii="仿宋_GB2312" w:eastAsia="仿宋_GB2312" w:hint="eastAsia"/>
          <w:szCs w:val="32"/>
        </w:rPr>
        <w:t>（一）负责应急管理工作，指导全区应对安全生产类、自然灾害类等突发事件和综合防灾减灾救灾工作。负责安全生产综合监督管理和工矿商贸行业（煤矿除外，下同）安全生产监督管理工作。</w:t>
      </w:r>
    </w:p>
    <w:p w:rsidR="00766B04" w:rsidRDefault="003905ED">
      <w:pPr>
        <w:widowControl/>
        <w:overflowPunct w:val="0"/>
        <w:adjustRightInd w:val="0"/>
        <w:snapToGrid w:val="0"/>
        <w:spacing w:line="580" w:lineRule="exact"/>
        <w:ind w:firstLineChars="200" w:firstLine="632"/>
        <w:rPr>
          <w:rFonts w:ascii="楷体_GB2312" w:eastAsia="楷体_GB2312"/>
          <w:szCs w:val="32"/>
        </w:rPr>
      </w:pPr>
      <w:r>
        <w:rPr>
          <w:rFonts w:ascii="仿宋_GB2312" w:eastAsia="仿宋_GB2312" w:hint="eastAsia"/>
          <w:szCs w:val="32"/>
        </w:rPr>
        <w:t>（二）贯彻执行应急管理、安全生产、防灾减灾救灾有关法律法规和方针政策。组织编制全区安全生产和综合防灾减灾、应急体系建设规划，起草有关规范性文件并监督实施。指导、监督各镇街、经济开发区安全生产行政执法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三）指导应急预案体系建设，建立完善全区事故灾难和自然灾害分级应对制度。组织编制全区总体应急预案和安全生产类、自然灾害类专项预案，综合协调应急预案衔接工作，组织开展预案演练，推动应急避难设施建设。</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（四）牵头建立全区统一的应急管理信息系统，负责全区信息传输渠道的规划、布局和建设。建立监测预警和灾情报告制度</w:t>
      </w:r>
      <w:r>
        <w:rPr>
          <w:rFonts w:ascii="仿宋_GB2312" w:eastAsia="仿宋_GB2312" w:hint="eastAsia"/>
          <w:szCs w:val="32"/>
        </w:rPr>
        <w:t>，健全自然灾害信息资源获取和共享机制，依法统一发布灾情。</w:t>
      </w:r>
    </w:p>
    <w:p w:rsidR="00766B04" w:rsidRDefault="003905ED">
      <w:pPr>
        <w:widowControl/>
        <w:overflowPunct w:val="0"/>
        <w:adjustRightInd w:val="0"/>
        <w:snapToGrid w:val="0"/>
        <w:spacing w:line="580" w:lineRule="exact"/>
        <w:ind w:firstLineChars="200" w:firstLine="632"/>
        <w:rPr>
          <w:rFonts w:ascii="仿宋_GB2312" w:eastAsia="仿宋_GB2312" w:hAnsi="仿宋_GB2312" w:cs="仿宋_GB2312"/>
          <w:szCs w:val="32"/>
        </w:rPr>
      </w:pPr>
      <w:r>
        <w:rPr>
          <w:rFonts w:ascii="仿宋_GB2312" w:eastAsia="仿宋_GB2312" w:hAnsi="仿宋_GB2312" w:cs="仿宋_GB2312" w:hint="eastAsia"/>
          <w:szCs w:val="32"/>
        </w:rPr>
        <w:t>（五）</w:t>
      </w:r>
      <w:r>
        <w:rPr>
          <w:rFonts w:ascii="仿宋_GB2312" w:eastAsia="仿宋_GB2312" w:hint="eastAsia"/>
          <w:szCs w:val="32"/>
        </w:rPr>
        <w:t>统一管理全区的地震综合防御工作。负责监督管理本行政区域内建设工程抗震设防要求和地震安全性评价工作。会同有关部门依法保护地震监测设施和地震观测环境。负责地震灾情速报与震灾调查评估工作。</w:t>
      </w:r>
    </w:p>
    <w:p w:rsidR="00766B04" w:rsidRDefault="003905ED">
      <w:pPr>
        <w:widowControl/>
        <w:overflowPunct w:val="0"/>
        <w:adjustRightInd w:val="0"/>
        <w:snapToGrid w:val="0"/>
        <w:spacing w:line="580" w:lineRule="exact"/>
        <w:ind w:firstLineChars="200" w:firstLine="632"/>
        <w:rPr>
          <w:rFonts w:ascii="楷体_GB2312" w:eastAsia="楷体_GB2312"/>
          <w:szCs w:val="32"/>
        </w:rPr>
      </w:pPr>
      <w:r>
        <w:rPr>
          <w:rFonts w:ascii="仿宋_GB2312" w:eastAsia="仿宋_GB2312" w:hint="eastAsia"/>
          <w:szCs w:val="32"/>
        </w:rPr>
        <w:t>（六）组织指导协调全区安全生产类、自然灾害类突发事件应急救援。综合研判突发事件发展态势并提出应对建议，协助区委、区政府指定的负责同志组织灾害应急处置工作。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lastRenderedPageBreak/>
        <w:t>（七）统一协调指挥全区应急救援队伍，建立应急协调联动机制。推进指挥平台对接，衔接解放军和武警部队参与应急救援工作。</w:t>
      </w:r>
    </w:p>
    <w:p w:rsidR="00766B04" w:rsidRDefault="003905ED">
      <w:pPr>
        <w:widowControl/>
        <w:overflowPunct w:val="0"/>
        <w:adjustRightInd w:val="0"/>
        <w:snapToGrid w:val="0"/>
        <w:spacing w:line="580" w:lineRule="exact"/>
        <w:ind w:firstLineChars="200" w:firstLine="632"/>
        <w:rPr>
          <w:rFonts w:ascii="楷体_GB2312" w:eastAsia="楷体_GB2312"/>
          <w:szCs w:val="32"/>
        </w:rPr>
      </w:pPr>
      <w:r>
        <w:rPr>
          <w:rFonts w:ascii="仿宋_GB2312" w:eastAsia="仿宋_GB2312" w:hint="eastAsia"/>
          <w:szCs w:val="32"/>
        </w:rPr>
        <w:t>（八）统筹应急救援力量建设，负责全区专业应急救援力量建设和管理，指导各镇街、经济开发区应急救援力量以及社会应急救援力量建设。</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（九）组织指导消防工作，指导各镇街、经济开发区消防监督、火灾预防、火灾扑救等工作。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（十）指导协调相关部门森林和草地火灾、水旱灾害、地震和地质灾害、海洋灾害等防治工作，负责自然灾害综合监测预警工作，指导开展自然灾害综合风险评估工作。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（十一）组织协调灾害救助工作，组织指</w:t>
      </w:r>
      <w:r>
        <w:rPr>
          <w:rFonts w:ascii="仿宋_GB2312" w:eastAsia="仿宋_GB2312" w:hint="eastAsia"/>
          <w:szCs w:val="32"/>
        </w:rPr>
        <w:t>导灾情核查、损失评估、救灾捐赠工作，下达指令调拨救灾储备物资，管理、分配各类救灾款物并监督使用。依法组织开展自然灾害类突发事件的调查评估工作。</w:t>
      </w:r>
    </w:p>
    <w:p w:rsidR="00766B04" w:rsidRDefault="003905ED">
      <w:pPr>
        <w:widowControl/>
        <w:overflowPunct w:val="0"/>
        <w:adjustRightInd w:val="0"/>
        <w:snapToGrid w:val="0"/>
        <w:spacing w:line="580" w:lineRule="exact"/>
        <w:ind w:firstLineChars="200" w:firstLine="632"/>
        <w:rPr>
          <w:rFonts w:ascii="仿宋_GB2312" w:eastAsia="仿宋_GB2312" w:hAnsi="仿宋_GB2312" w:cs="仿宋_GB2312"/>
          <w:szCs w:val="32"/>
        </w:rPr>
      </w:pPr>
      <w:r>
        <w:rPr>
          <w:rFonts w:ascii="仿宋_GB2312" w:eastAsia="仿宋_GB2312" w:hint="eastAsia"/>
          <w:szCs w:val="32"/>
        </w:rPr>
        <w:t>（十二）依法行使安全生产综合监督管理职权，指导协调、监督检查区政府有关部门、单位和各镇街、经济开发区安全生产工作，组织开展全区安全生产督查、考核工作。依法组织指导或参与生产安全事故调查处理，监督检查</w:t>
      </w:r>
      <w:r>
        <w:rPr>
          <w:rFonts w:ascii="仿宋_GB2312" w:eastAsia="仿宋_GB2312" w:hAnsi="仿宋_GB2312" w:cs="仿宋_GB2312" w:hint="eastAsia"/>
          <w:szCs w:val="32"/>
        </w:rPr>
        <w:t>事故防范和整改措施的落实情况，参与事故责任追究落实情况的监督检查。负责全区应急管理、安全生产、防灾减灾的统计分析工作，通报有关情况。</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（十三）按照分级、属地原则，依法监督</w:t>
      </w:r>
      <w:r>
        <w:rPr>
          <w:rFonts w:ascii="仿宋_GB2312" w:eastAsia="仿宋_GB2312" w:hint="eastAsia"/>
          <w:szCs w:val="32"/>
        </w:rPr>
        <w:t>检查工矿商贸生产经营单位贯彻执行安全生产法律法规情况及其安全生产条件和有</w:t>
      </w:r>
      <w:r>
        <w:rPr>
          <w:rFonts w:ascii="仿宋_GB2312" w:eastAsia="仿宋_GB2312" w:hint="eastAsia"/>
          <w:szCs w:val="32"/>
        </w:rPr>
        <w:lastRenderedPageBreak/>
        <w:t>关设备（特种设备除外）、材料、劳动防护用品的安全生产管理工作。监督检查重大危险源监控和重大事故隐患排查治理工作，依法查处不具备安全生产条件的工矿商贸生产经营单位。负责监督管理区管工矿商贸企业安全生产工作，指导监督中央、省、市驻文工矿商贸企业安全生产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（十四）负责权限内非煤矿矿山企业和危险化学品经营、烟花爆竹经营（零售）单位安全生产准入管理工作，依法组织并指导监督实施安全生产准入制度。负责危险化学品安全监督管理综合工作和烟花爆竹安全</w:t>
      </w:r>
      <w:r>
        <w:rPr>
          <w:rFonts w:ascii="仿宋_GB2312" w:eastAsia="仿宋_GB2312" w:hint="eastAsia"/>
          <w:szCs w:val="32"/>
        </w:rPr>
        <w:t>生产监督管理工作。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（十五）负责监督检查职责范围内新建、改建、扩建工程项目的安全设施与主体工程同时设计、同时施工、同时投产使用情况。</w:t>
      </w:r>
    </w:p>
    <w:p w:rsidR="00766B04" w:rsidRDefault="003905ED">
      <w:pPr>
        <w:widowControl/>
        <w:overflowPunct w:val="0"/>
        <w:adjustRightInd w:val="0"/>
        <w:snapToGrid w:val="0"/>
        <w:spacing w:line="580" w:lineRule="exact"/>
        <w:ind w:firstLineChars="200" w:firstLine="632"/>
        <w:rPr>
          <w:rFonts w:ascii="仿宋_GB2312" w:eastAsia="仿宋_GB2312"/>
          <w:strike/>
          <w:szCs w:val="32"/>
        </w:rPr>
      </w:pPr>
      <w:r>
        <w:rPr>
          <w:rFonts w:ascii="仿宋_GB2312" w:eastAsia="仿宋_GB2312" w:hint="eastAsia"/>
          <w:szCs w:val="32"/>
        </w:rPr>
        <w:t>（十六）指导协调全区安全生产检测检验工作，监督安全生产社会中介机构和安全评价工作。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（十七）会同有关部门制定应急物资储备和应急救援装备规划，建立健全应急物资信息平台和调拨制度，在救灾时统一调度，保障救灾工作。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（十八）组织指导全区应急管理、安全生产宣传教育和培训工作，指导协调应急管理、安全生产的科学技术研究、推广应用和信息化建设工作。开展对外交流与合作。</w:t>
      </w:r>
    </w:p>
    <w:p w:rsidR="00766B04" w:rsidRDefault="003905ED">
      <w:pPr>
        <w:widowControl/>
        <w:overflowPunct w:val="0"/>
        <w:adjustRightInd w:val="0"/>
        <w:snapToGrid w:val="0"/>
        <w:spacing w:line="580" w:lineRule="exact"/>
        <w:ind w:firstLineChars="200" w:firstLine="632"/>
        <w:rPr>
          <w:rFonts w:ascii="仿宋_GB2312" w:eastAsia="仿宋_GB2312"/>
          <w:szCs w:val="32"/>
          <w:shd w:val="clear" w:color="FFFFFF" w:fill="D9D9D9"/>
        </w:rPr>
      </w:pPr>
      <w:r>
        <w:rPr>
          <w:rFonts w:ascii="仿宋_GB2312" w:eastAsia="仿宋_GB2312" w:hint="eastAsia"/>
          <w:szCs w:val="32"/>
        </w:rPr>
        <w:t>（十九）承担防汛抗旱</w:t>
      </w:r>
      <w:r>
        <w:rPr>
          <w:rFonts w:ascii="仿宋_GB2312" w:eastAsia="仿宋_GB2312" w:hint="eastAsia"/>
          <w:szCs w:val="32"/>
        </w:rPr>
        <w:t>、抗震救灾、森林防火相关指挥部日常工作，承担区政府安全生产委员会日常工作。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lastRenderedPageBreak/>
        <w:t>（二十）发挥职能作用和资源优势，为促进产业发展及招商引资、招才引智提供高效便捷服务。</w:t>
      </w:r>
    </w:p>
    <w:p w:rsidR="00766B04" w:rsidRDefault="003905ED">
      <w:pPr>
        <w:widowControl/>
        <w:overflowPunct w:val="0"/>
        <w:adjustRightInd w:val="0"/>
        <w:snapToGrid w:val="0"/>
        <w:spacing w:line="580" w:lineRule="exact"/>
        <w:ind w:firstLineChars="200" w:firstLine="632"/>
        <w:rPr>
          <w:rFonts w:ascii="仿宋_GB2312" w:eastAsia="仿宋_GB2312"/>
          <w:szCs w:val="32"/>
          <w:shd w:val="clear" w:color="FFFFFF" w:fill="D9D9D9"/>
        </w:rPr>
      </w:pPr>
      <w:r>
        <w:rPr>
          <w:rFonts w:ascii="仿宋_GB2312" w:eastAsia="仿宋_GB2312" w:hint="eastAsia"/>
          <w:szCs w:val="32"/>
        </w:rPr>
        <w:t>（二十一）负责本部门城市国际化相关工作，按照城市国际化战略要求，组织、策划、实施本行业本领域城市国际化各项工作。</w:t>
      </w:r>
    </w:p>
    <w:p w:rsidR="00766B04" w:rsidRDefault="003905ED">
      <w:pPr>
        <w:widowControl/>
        <w:overflowPunct w:val="0"/>
        <w:adjustRightInd w:val="0"/>
        <w:snapToGrid w:val="0"/>
        <w:spacing w:line="580" w:lineRule="exact"/>
        <w:ind w:firstLineChars="200" w:firstLine="632"/>
        <w:rPr>
          <w:rFonts w:ascii="仿宋_GB2312" w:eastAsia="仿宋_GB2312"/>
          <w:szCs w:val="32"/>
        </w:rPr>
      </w:pPr>
      <w:r>
        <w:rPr>
          <w:rFonts w:ascii="仿宋_GB2312" w:eastAsia="仿宋_GB2312" w:hint="eastAsia"/>
          <w:szCs w:val="32"/>
        </w:rPr>
        <w:t>（二十二）完成区委、区政府交办的其他任务。</w:t>
      </w:r>
    </w:p>
    <w:p w:rsidR="00766B04" w:rsidRDefault="003905ED">
      <w:pPr>
        <w:ind w:firstLineChars="200" w:firstLine="632"/>
        <w:rPr>
          <w:rFonts w:ascii="黑体" w:eastAsia="黑体" w:hAnsi="黑体"/>
        </w:rPr>
      </w:pPr>
      <w:r>
        <w:rPr>
          <w:rFonts w:ascii="黑体" w:eastAsia="黑体" w:hAnsi="黑体" w:hint="eastAsia"/>
        </w:rPr>
        <w:t>二、机构设置</w:t>
      </w:r>
    </w:p>
    <w:p w:rsidR="00766B04" w:rsidRDefault="003905ED">
      <w:pPr>
        <w:snapToGrid w:val="0"/>
        <w:spacing w:line="600" w:lineRule="exact"/>
        <w:ind w:firstLineChars="200" w:firstLine="632"/>
        <w:rPr>
          <w:rFonts w:ascii="仿宋_GB2312" w:eastAsia="仿宋_GB2312" w:hAnsi="宋体" w:cs="Courier New"/>
          <w:szCs w:val="32"/>
        </w:rPr>
      </w:pPr>
      <w:r>
        <w:rPr>
          <w:rFonts w:ascii="仿宋_GB2312" w:eastAsia="仿宋_GB2312" w:hAnsi="宋体" w:cs="Courier New" w:hint="eastAsia"/>
          <w:szCs w:val="32"/>
        </w:rPr>
        <w:t>威海市文登区应急管理局决算包括：局本级决算、局属事业单位决算。</w:t>
      </w:r>
    </w:p>
    <w:p w:rsidR="00766B04" w:rsidRDefault="003905ED">
      <w:pPr>
        <w:spacing w:line="600" w:lineRule="exact"/>
        <w:ind w:firstLineChars="200" w:firstLine="632"/>
        <w:rPr>
          <w:rFonts w:ascii="仿宋_GB2312" w:eastAsia="仿宋_GB2312" w:hAnsi="宋体" w:cs="Courier New"/>
          <w:szCs w:val="32"/>
        </w:rPr>
      </w:pPr>
      <w:r>
        <w:rPr>
          <w:rFonts w:ascii="仿宋_GB2312" w:eastAsia="仿宋_GB2312" w:hAnsi="宋体" w:cs="Courier New" w:hint="eastAsia"/>
          <w:szCs w:val="32"/>
        </w:rPr>
        <w:t>纳入威海市文登区应急管理局</w:t>
      </w:r>
      <w:r>
        <w:rPr>
          <w:rFonts w:ascii="仿宋_GB2312" w:eastAsia="仿宋_GB2312" w:hAnsi="宋体" w:cs="Courier New" w:hint="eastAsia"/>
          <w:szCs w:val="32"/>
        </w:rPr>
        <w:t>2019</w:t>
      </w:r>
      <w:r>
        <w:rPr>
          <w:rFonts w:ascii="仿宋_GB2312" w:eastAsia="仿宋_GB2312" w:hAnsi="宋体" w:cs="Courier New" w:hint="eastAsia"/>
          <w:szCs w:val="32"/>
        </w:rPr>
        <w:t>年部门决算编制范围的预算单位</w:t>
      </w:r>
      <w:r>
        <w:rPr>
          <w:rFonts w:ascii="仿宋_GB2312" w:eastAsia="仿宋_GB2312" w:hAnsi="宋体" w:cs="Courier New" w:hint="eastAsia"/>
          <w:szCs w:val="32"/>
        </w:rPr>
        <w:t>3</w:t>
      </w:r>
      <w:r>
        <w:rPr>
          <w:rFonts w:ascii="仿宋_GB2312" w:eastAsia="仿宋_GB2312" w:hAnsi="宋体" w:cs="Courier New" w:hint="eastAsia"/>
          <w:szCs w:val="32"/>
        </w:rPr>
        <w:t>个，包括：</w:t>
      </w:r>
    </w:p>
    <w:p w:rsidR="00766B04" w:rsidRDefault="003905ED">
      <w:pPr>
        <w:spacing w:line="560" w:lineRule="exact"/>
        <w:ind w:firstLine="600"/>
        <w:rPr>
          <w:rFonts w:ascii="仿宋_GB2312" w:eastAsia="仿宋_GB2312" w:hAnsi="宋体" w:cs="Courier New"/>
          <w:szCs w:val="32"/>
        </w:rPr>
      </w:pPr>
      <w:r>
        <w:rPr>
          <w:rFonts w:ascii="仿宋_GB2312" w:eastAsia="仿宋_GB2312" w:hAnsi="宋体" w:cs="Courier New" w:hint="eastAsia"/>
          <w:szCs w:val="32"/>
        </w:rPr>
        <w:t>1</w:t>
      </w:r>
      <w:r>
        <w:rPr>
          <w:rFonts w:ascii="仿宋_GB2312" w:eastAsia="仿宋_GB2312" w:hAnsi="宋体" w:cs="Courier New" w:hint="eastAsia"/>
          <w:szCs w:val="32"/>
        </w:rPr>
        <w:t>、威海市文登区应急管理局本级</w:t>
      </w:r>
    </w:p>
    <w:p w:rsidR="00766B04" w:rsidRDefault="003905ED">
      <w:pPr>
        <w:spacing w:line="560" w:lineRule="exact"/>
        <w:ind w:firstLine="600"/>
        <w:rPr>
          <w:rFonts w:ascii="仿宋_GB2312" w:eastAsia="仿宋_GB2312" w:hAnsi="宋体" w:cs="Courier New"/>
          <w:szCs w:val="32"/>
        </w:rPr>
      </w:pPr>
      <w:r>
        <w:rPr>
          <w:rFonts w:ascii="仿宋_GB2312" w:eastAsia="仿宋_GB2312" w:hAnsi="宋体" w:cs="Courier New" w:hint="eastAsia"/>
          <w:szCs w:val="32"/>
        </w:rPr>
        <w:t>2</w:t>
      </w:r>
      <w:r>
        <w:rPr>
          <w:rFonts w:ascii="仿宋_GB2312" w:eastAsia="仿宋_GB2312" w:hAnsi="宋体" w:cs="Courier New" w:hint="eastAsia"/>
          <w:szCs w:val="32"/>
        </w:rPr>
        <w:t>、威海市文登区安全生产监察大队（未设帐，不独立核算）</w:t>
      </w:r>
    </w:p>
    <w:p w:rsidR="00766B04" w:rsidRDefault="003905ED">
      <w:pPr>
        <w:spacing w:line="560" w:lineRule="exact"/>
        <w:ind w:firstLine="600"/>
        <w:rPr>
          <w:rFonts w:ascii="仿宋_GB2312" w:eastAsia="仿宋_GB2312" w:hAnsi="宋体" w:cs="Courier New"/>
          <w:szCs w:val="32"/>
        </w:rPr>
      </w:pPr>
      <w:r>
        <w:rPr>
          <w:rFonts w:ascii="仿宋_GB2312" w:eastAsia="仿宋_GB2312" w:hAnsi="宋体" w:cs="Courier New" w:hint="eastAsia"/>
          <w:szCs w:val="32"/>
        </w:rPr>
        <w:t>3</w:t>
      </w:r>
      <w:r>
        <w:rPr>
          <w:rFonts w:ascii="仿宋_GB2312" w:eastAsia="仿宋_GB2312" w:hAnsi="宋体" w:cs="Courier New" w:hint="eastAsia"/>
          <w:szCs w:val="32"/>
        </w:rPr>
        <w:t>、威海市文登区应急救援指挥中心（挂区防震减灾服务中心牌子）</w:t>
      </w:r>
      <w:r>
        <w:rPr>
          <w:rFonts w:ascii="仿宋_GB2312" w:eastAsia="仿宋_GB2312" w:hAnsi="宋体" w:cs="Courier New" w:hint="eastAsia"/>
          <w:szCs w:val="32"/>
        </w:rPr>
        <w:t>[</w:t>
      </w:r>
      <w:r>
        <w:rPr>
          <w:rFonts w:ascii="仿宋_GB2312" w:eastAsia="仿宋_GB2312" w:hAnsi="宋体" w:cs="Courier New" w:hint="eastAsia"/>
          <w:szCs w:val="32"/>
        </w:rPr>
        <w:t>未设帐，不独立核算</w:t>
      </w:r>
      <w:r>
        <w:rPr>
          <w:rFonts w:ascii="仿宋_GB2312" w:eastAsia="仿宋_GB2312" w:hAnsi="宋体" w:cs="Courier New" w:hint="eastAsia"/>
          <w:szCs w:val="32"/>
        </w:rPr>
        <w:t>]</w:t>
      </w:r>
    </w:p>
    <w:p w:rsidR="00766B04" w:rsidRDefault="00766B04">
      <w:pPr>
        <w:jc w:val="center"/>
        <w:rPr>
          <w:rFonts w:ascii="方正小标宋简体" w:eastAsia="方正小标宋简体"/>
          <w:sz w:val="42"/>
        </w:rPr>
      </w:pPr>
    </w:p>
    <w:p w:rsidR="00766B04" w:rsidRDefault="00766B04">
      <w:pPr>
        <w:ind w:firstLineChars="100" w:firstLine="536"/>
        <w:rPr>
          <w:rFonts w:ascii="方正小标宋简体" w:eastAsia="仿宋" w:cs="仿宋"/>
          <w:spacing w:val="60"/>
          <w:sz w:val="42"/>
          <w:szCs w:val="32"/>
        </w:rPr>
      </w:pPr>
    </w:p>
    <w:p w:rsidR="00766B04" w:rsidRDefault="00766B04">
      <w:pPr>
        <w:ind w:firstLineChars="100" w:firstLine="536"/>
        <w:rPr>
          <w:rFonts w:ascii="方正小标宋简体" w:eastAsia="仿宋" w:cs="仿宋"/>
          <w:spacing w:val="60"/>
          <w:sz w:val="42"/>
          <w:szCs w:val="32"/>
        </w:rPr>
      </w:pPr>
    </w:p>
    <w:p w:rsidR="00766B04" w:rsidRDefault="00766B04">
      <w:pPr>
        <w:ind w:firstLineChars="100" w:firstLine="536"/>
        <w:rPr>
          <w:rFonts w:ascii="方正小标宋简体" w:eastAsia="仿宋" w:cs="仿宋"/>
          <w:spacing w:val="60"/>
          <w:sz w:val="42"/>
          <w:szCs w:val="32"/>
        </w:rPr>
      </w:pPr>
    </w:p>
    <w:p w:rsidR="00766B04" w:rsidRDefault="00766B04">
      <w:pPr>
        <w:ind w:firstLineChars="100" w:firstLine="536"/>
        <w:rPr>
          <w:rFonts w:ascii="方正小标宋简体" w:eastAsia="仿宋" w:cs="仿宋"/>
          <w:spacing w:val="60"/>
          <w:sz w:val="42"/>
          <w:szCs w:val="32"/>
        </w:rPr>
      </w:pPr>
    </w:p>
    <w:p w:rsidR="00766B04" w:rsidRDefault="003905ED">
      <w:pPr>
        <w:ind w:firstLineChars="100" w:firstLine="536"/>
        <w:rPr>
          <w:rFonts w:ascii="方正小标宋简体" w:eastAsia="仿宋" w:cs="仿宋"/>
          <w:spacing w:val="60"/>
          <w:sz w:val="42"/>
          <w:szCs w:val="32"/>
        </w:rPr>
      </w:pPr>
      <w:r>
        <w:rPr>
          <w:rFonts w:ascii="方正小标宋简体" w:eastAsia="仿宋" w:cs="仿宋" w:hint="eastAsia"/>
          <w:spacing w:val="60"/>
          <w:sz w:val="42"/>
          <w:szCs w:val="32"/>
        </w:rPr>
        <w:t>第二部分</w:t>
      </w:r>
    </w:p>
    <w:p w:rsidR="00766B04" w:rsidRDefault="00766B04">
      <w:pPr>
        <w:ind w:firstLineChars="100" w:firstLine="536"/>
        <w:rPr>
          <w:rFonts w:ascii="方正小标宋简体" w:eastAsia="仿宋" w:cs="仿宋"/>
          <w:spacing w:val="60"/>
          <w:sz w:val="42"/>
          <w:szCs w:val="32"/>
        </w:rPr>
      </w:pPr>
    </w:p>
    <w:p w:rsidR="00766B04" w:rsidRDefault="003905ED">
      <w:pPr>
        <w:jc w:val="center"/>
        <w:rPr>
          <w:rFonts w:ascii="方正小标宋简体" w:eastAsia="仿宋" w:cs="仿宋"/>
          <w:spacing w:val="60"/>
          <w:sz w:val="42"/>
          <w:szCs w:val="32"/>
        </w:rPr>
        <w:sectPr w:rsidR="00766B04">
          <w:pgSz w:w="11906" w:h="16838"/>
          <w:pgMar w:top="1701" w:right="1531" w:bottom="1701" w:left="1531" w:header="0" w:footer="1418" w:gutter="0"/>
          <w:cols w:space="720"/>
          <w:docGrid w:type="linesAndChars" w:linePitch="610" w:charSpace="-849"/>
        </w:sectPr>
      </w:pPr>
      <w:r>
        <w:rPr>
          <w:rFonts w:ascii="方正小标宋简体" w:eastAsia="仿宋" w:cs="仿宋" w:hint="eastAsia"/>
          <w:spacing w:val="60"/>
          <w:sz w:val="42"/>
          <w:szCs w:val="32"/>
        </w:rPr>
        <w:t>2019</w:t>
      </w:r>
      <w:r>
        <w:rPr>
          <w:rFonts w:ascii="方正小标宋简体" w:eastAsia="仿宋" w:cs="仿宋" w:hint="eastAsia"/>
          <w:spacing w:val="60"/>
          <w:sz w:val="42"/>
          <w:szCs w:val="32"/>
        </w:rPr>
        <w:t>年度部门决算表</w:t>
      </w: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收入支出决算总表</w:t>
      </w:r>
    </w:p>
    <w:p w:rsidR="00766B04" w:rsidRDefault="003905ED">
      <w:pPr>
        <w:wordWrap w:val="0"/>
        <w:spacing w:line="400" w:lineRule="exact"/>
        <w:jc w:val="right"/>
        <w:rPr>
          <w:rFonts w:ascii="楷体_GB2312" w:eastAsia="楷体_GB2312"/>
          <w:sz w:val="28"/>
          <w:szCs w:val="28"/>
        </w:rPr>
      </w:pPr>
      <w:r>
        <w:rPr>
          <w:rFonts w:ascii="楷体_GB2312" w:eastAsia="楷体_GB2312" w:hint="eastAsia"/>
          <w:sz w:val="28"/>
          <w:szCs w:val="28"/>
        </w:rPr>
        <w:t xml:space="preserve"> </w:t>
      </w:r>
      <w:r>
        <w:rPr>
          <w:rFonts w:ascii="楷体_GB2312" w:eastAsia="楷体_GB2312" w:hint="eastAsia"/>
          <w:sz w:val="28"/>
          <w:szCs w:val="28"/>
        </w:rPr>
        <w:t>公开</w:t>
      </w:r>
      <w:r>
        <w:rPr>
          <w:rFonts w:ascii="楷体_GB2312" w:eastAsia="楷体_GB2312" w:hint="eastAsia"/>
          <w:sz w:val="28"/>
          <w:szCs w:val="28"/>
        </w:rPr>
        <w:t>01</w:t>
      </w:r>
      <w:r>
        <w:rPr>
          <w:rFonts w:ascii="楷体_GB2312" w:eastAsia="楷体_GB2312" w:hint="eastAsia"/>
          <w:sz w:val="28"/>
          <w:szCs w:val="28"/>
        </w:rPr>
        <w:t>表</w:t>
      </w:r>
    </w:p>
    <w:p w:rsidR="00766B04" w:rsidRDefault="003905ED">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8819" w:type="dxa"/>
        <w:jc w:val="center"/>
        <w:tblLayout w:type="fixed"/>
        <w:tblLook w:val="04A0"/>
      </w:tblPr>
      <w:tblGrid>
        <w:gridCol w:w="2879"/>
        <w:gridCol w:w="714"/>
        <w:gridCol w:w="1017"/>
        <w:gridCol w:w="2229"/>
        <w:gridCol w:w="714"/>
        <w:gridCol w:w="1266"/>
      </w:tblGrid>
      <w:tr w:rsidR="00766B04">
        <w:trPr>
          <w:trHeight w:hRule="exact" w:val="329"/>
          <w:jc w:val="center"/>
        </w:trPr>
        <w:tc>
          <w:tcPr>
            <w:tcW w:w="4610"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收</w:t>
            </w:r>
            <w:r>
              <w:rPr>
                <w:rFonts w:ascii="仿宋_GB2312" w:eastAsia="仿宋_GB2312" w:hint="eastAsia"/>
                <w:sz w:val="22"/>
                <w:szCs w:val="22"/>
              </w:rPr>
              <w:t xml:space="preserve"> </w:t>
            </w:r>
            <w:r>
              <w:rPr>
                <w:rFonts w:ascii="仿宋_GB2312" w:eastAsia="仿宋_GB2312" w:hint="eastAsia"/>
                <w:sz w:val="22"/>
                <w:szCs w:val="22"/>
              </w:rPr>
              <w:t>入</w:t>
            </w:r>
          </w:p>
        </w:tc>
        <w:tc>
          <w:tcPr>
            <w:tcW w:w="4209" w:type="dxa"/>
            <w:gridSpan w:val="3"/>
            <w:tcBorders>
              <w:top w:val="single" w:sz="4" w:space="0" w:color="auto"/>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支</w:t>
            </w:r>
            <w:r>
              <w:rPr>
                <w:rFonts w:ascii="仿宋_GB2312" w:eastAsia="仿宋_GB2312" w:hint="eastAsia"/>
                <w:sz w:val="22"/>
                <w:szCs w:val="22"/>
              </w:rPr>
              <w:t xml:space="preserve"> </w:t>
            </w:r>
            <w:r>
              <w:rPr>
                <w:rFonts w:ascii="仿宋_GB2312" w:eastAsia="仿宋_GB2312" w:hint="eastAsia"/>
                <w:sz w:val="22"/>
                <w:szCs w:val="22"/>
              </w:rPr>
              <w:t>出</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项</w:t>
            </w:r>
            <w:r>
              <w:rPr>
                <w:rFonts w:ascii="仿宋_GB2312" w:eastAsia="仿宋_GB2312" w:hint="eastAsia"/>
                <w:sz w:val="22"/>
                <w:szCs w:val="22"/>
              </w:rPr>
              <w:t xml:space="preserve"> </w:t>
            </w:r>
            <w:r>
              <w:rPr>
                <w:rFonts w:ascii="仿宋_GB2312" w:eastAsia="仿宋_GB2312" w:hint="eastAsia"/>
                <w:sz w:val="22"/>
                <w:szCs w:val="22"/>
              </w:rPr>
              <w:t>目</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行次</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决算数</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项目（按功能分类）</w:t>
            </w: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行次</w:t>
            </w:r>
          </w:p>
        </w:tc>
        <w:tc>
          <w:tcPr>
            <w:tcW w:w="1266"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决算数</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栏</w:t>
            </w:r>
            <w:r>
              <w:rPr>
                <w:rFonts w:ascii="仿宋_GB2312" w:eastAsia="仿宋_GB2312" w:hint="eastAsia"/>
                <w:sz w:val="22"/>
                <w:szCs w:val="22"/>
              </w:rPr>
              <w:t xml:space="preserve"> </w:t>
            </w:r>
            <w:r>
              <w:rPr>
                <w:rFonts w:ascii="仿宋_GB2312" w:eastAsia="仿宋_GB2312" w:hint="eastAsia"/>
                <w:sz w:val="22"/>
                <w:szCs w:val="22"/>
              </w:rPr>
              <w:t>次</w:t>
            </w:r>
          </w:p>
        </w:tc>
        <w:tc>
          <w:tcPr>
            <w:tcW w:w="714"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22"/>
                <w:szCs w:val="22"/>
              </w:rPr>
            </w:pP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1</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栏</w:t>
            </w:r>
            <w:r>
              <w:rPr>
                <w:rFonts w:ascii="仿宋_GB2312" w:eastAsia="仿宋_GB2312" w:hint="eastAsia"/>
                <w:sz w:val="22"/>
                <w:szCs w:val="22"/>
              </w:rPr>
              <w:t xml:space="preserve"> </w:t>
            </w:r>
            <w:r>
              <w:rPr>
                <w:rFonts w:ascii="仿宋_GB2312" w:eastAsia="仿宋_GB2312" w:hint="eastAsia"/>
                <w:sz w:val="22"/>
                <w:szCs w:val="22"/>
              </w:rPr>
              <w:t>次</w:t>
            </w:r>
          </w:p>
        </w:tc>
        <w:tc>
          <w:tcPr>
            <w:tcW w:w="714"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22"/>
                <w:szCs w:val="22"/>
              </w:rPr>
            </w:pP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2</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一、一般公共预算财政拨款收入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995.33</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一般公共服务支出</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30</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3.57</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二、政府性基金预算财政拨款收入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社会保障和就业支出</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31</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129.99</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三、上级补助收入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卫生健康支出</w:t>
            </w: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32</w:t>
            </w:r>
          </w:p>
        </w:tc>
        <w:tc>
          <w:tcPr>
            <w:tcW w:w="1266"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13.07</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四、事业收入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住房保障支出</w:t>
            </w: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33</w:t>
            </w:r>
          </w:p>
        </w:tc>
        <w:tc>
          <w:tcPr>
            <w:tcW w:w="1266"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32.95</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五、经营收入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灾害防治及应急管理支出</w:t>
            </w: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34</w:t>
            </w:r>
          </w:p>
        </w:tc>
        <w:tc>
          <w:tcPr>
            <w:tcW w:w="1266"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815.75</w:t>
            </w:r>
          </w:p>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六、附属单位上缴收入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6</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35</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七、其他收入</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7</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36</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8</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37</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38</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10</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39</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11</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40</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12</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nil"/>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41</w:t>
            </w:r>
          </w:p>
        </w:tc>
        <w:tc>
          <w:tcPr>
            <w:tcW w:w="1266"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13</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42</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14</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43</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15</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44</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16</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45</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17</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46</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18</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47</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19</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48</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20</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49</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21</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50</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22</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51</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23</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52</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24</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53</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本年收入合计</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25</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995.33</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本年支出合计</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54</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995.33</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用事业基金弥补收支差额</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26</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结余分配</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55</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年初结转和结余</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27</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left"/>
              <w:rPr>
                <w:rFonts w:ascii="仿宋_GB2312" w:eastAsia="仿宋_GB2312"/>
                <w:sz w:val="18"/>
                <w:szCs w:val="18"/>
              </w:rPr>
            </w:pPr>
            <w:r>
              <w:rPr>
                <w:rFonts w:ascii="仿宋_GB2312" w:eastAsia="仿宋_GB2312" w:hint="eastAsia"/>
                <w:sz w:val="18"/>
                <w:szCs w:val="18"/>
              </w:rPr>
              <w:t>年末结转和结余</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56</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0.00</w:t>
            </w: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28</w:t>
            </w:r>
          </w:p>
        </w:tc>
        <w:tc>
          <w:tcPr>
            <w:tcW w:w="1017"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2229"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57</w:t>
            </w:r>
          </w:p>
        </w:tc>
        <w:tc>
          <w:tcPr>
            <w:tcW w:w="1266" w:type="dxa"/>
            <w:tcBorders>
              <w:top w:val="nil"/>
              <w:left w:val="nil"/>
              <w:bottom w:val="single" w:sz="4" w:space="0" w:color="auto"/>
              <w:right w:val="single" w:sz="4" w:space="0" w:color="auto"/>
            </w:tcBorders>
            <w:vAlign w:val="center"/>
          </w:tcPr>
          <w:p w:rsidR="00766B04" w:rsidRDefault="00766B04">
            <w:pPr>
              <w:spacing w:line="240" w:lineRule="exact"/>
              <w:jc w:val="center"/>
              <w:rPr>
                <w:rFonts w:ascii="仿宋_GB2312" w:eastAsia="仿宋_GB2312"/>
                <w:sz w:val="18"/>
                <w:szCs w:val="18"/>
              </w:rPr>
            </w:pPr>
          </w:p>
        </w:tc>
      </w:tr>
      <w:tr w:rsidR="00766B04">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总计</w:t>
            </w:r>
          </w:p>
        </w:tc>
        <w:tc>
          <w:tcPr>
            <w:tcW w:w="714" w:type="dxa"/>
            <w:tcBorders>
              <w:top w:val="nil"/>
              <w:left w:val="single" w:sz="4" w:space="0" w:color="auto"/>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29</w:t>
            </w:r>
          </w:p>
        </w:tc>
        <w:tc>
          <w:tcPr>
            <w:tcW w:w="1017"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995.33</w:t>
            </w:r>
          </w:p>
        </w:tc>
        <w:tc>
          <w:tcPr>
            <w:tcW w:w="2229"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总计</w:t>
            </w:r>
          </w:p>
        </w:tc>
        <w:tc>
          <w:tcPr>
            <w:tcW w:w="714"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58</w:t>
            </w:r>
          </w:p>
        </w:tc>
        <w:tc>
          <w:tcPr>
            <w:tcW w:w="1266" w:type="dxa"/>
            <w:tcBorders>
              <w:top w:val="nil"/>
              <w:left w:val="nil"/>
              <w:bottom w:val="single" w:sz="4" w:space="0" w:color="auto"/>
              <w:right w:val="single" w:sz="4" w:space="0" w:color="auto"/>
            </w:tcBorders>
            <w:vAlign w:val="center"/>
          </w:tcPr>
          <w:p w:rsidR="00766B04" w:rsidRDefault="003905ED">
            <w:pPr>
              <w:spacing w:line="240" w:lineRule="exact"/>
              <w:jc w:val="center"/>
              <w:rPr>
                <w:rFonts w:ascii="仿宋_GB2312" w:eastAsia="仿宋_GB2312"/>
                <w:sz w:val="18"/>
                <w:szCs w:val="18"/>
              </w:rPr>
            </w:pPr>
            <w:r>
              <w:rPr>
                <w:rFonts w:ascii="仿宋_GB2312" w:eastAsia="仿宋_GB2312" w:hint="eastAsia"/>
                <w:sz w:val="18"/>
                <w:szCs w:val="18"/>
              </w:rPr>
              <w:t>995.33</w:t>
            </w:r>
          </w:p>
        </w:tc>
      </w:tr>
    </w:tbl>
    <w:p w:rsidR="00766B04" w:rsidRDefault="003905ED">
      <w:pPr>
        <w:ind w:firstLineChars="50" w:firstLine="88"/>
        <w:rPr>
          <w:rFonts w:ascii="楷体_GB2312" w:eastAsia="楷体_GB2312"/>
          <w:sz w:val="18"/>
          <w:szCs w:val="18"/>
        </w:rPr>
      </w:pPr>
      <w:r>
        <w:rPr>
          <w:rFonts w:ascii="仿宋_GB2312" w:eastAsia="仿宋_GB2312" w:hAnsi="宋体" w:hint="eastAsia"/>
          <w:sz w:val="18"/>
          <w:szCs w:val="18"/>
        </w:rPr>
        <w:t>注：本表反映部门本年度的总收支和年末结转结余情况。</w:t>
      </w:r>
    </w:p>
    <w:p w:rsidR="00766B04" w:rsidRDefault="00766B04">
      <w:pPr>
        <w:rPr>
          <w:rFonts w:ascii="楷体_GB2312" w:eastAsia="楷体_GB2312"/>
          <w:sz w:val="28"/>
          <w:szCs w:val="28"/>
        </w:rPr>
        <w:sectPr w:rsidR="00766B04">
          <w:pgSz w:w="11906" w:h="16838"/>
          <w:pgMar w:top="1701" w:right="1531" w:bottom="1701" w:left="1531" w:header="0" w:footer="1418" w:gutter="0"/>
          <w:cols w:space="720"/>
          <w:docGrid w:type="linesAndChars" w:linePitch="610" w:charSpace="-849"/>
        </w:sect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收入决算表</w:t>
      </w:r>
    </w:p>
    <w:p w:rsidR="00766B04" w:rsidRDefault="003905ED">
      <w:pPr>
        <w:wordWrap w:val="0"/>
        <w:spacing w:line="400" w:lineRule="exact"/>
        <w:jc w:val="right"/>
        <w:rPr>
          <w:rFonts w:ascii="楷体_GB2312" w:eastAsia="楷体_GB2312"/>
          <w:sz w:val="28"/>
          <w:szCs w:val="28"/>
        </w:rPr>
      </w:pPr>
      <w:r>
        <w:rPr>
          <w:rFonts w:ascii="楷体_GB2312" w:eastAsia="楷体_GB2312" w:hint="eastAsia"/>
          <w:sz w:val="28"/>
          <w:szCs w:val="28"/>
        </w:rPr>
        <w:t xml:space="preserve"> </w:t>
      </w:r>
      <w:r>
        <w:rPr>
          <w:rFonts w:ascii="楷体_GB2312" w:eastAsia="楷体_GB2312" w:hint="eastAsia"/>
          <w:sz w:val="28"/>
          <w:szCs w:val="28"/>
        </w:rPr>
        <w:t>公开</w:t>
      </w:r>
      <w:r>
        <w:rPr>
          <w:rFonts w:ascii="楷体_GB2312" w:eastAsia="楷体_GB2312" w:hint="eastAsia"/>
          <w:sz w:val="28"/>
          <w:szCs w:val="28"/>
        </w:rPr>
        <w:t>02</w:t>
      </w:r>
      <w:r>
        <w:rPr>
          <w:rFonts w:ascii="楷体_GB2312" w:eastAsia="楷体_GB2312" w:hint="eastAsia"/>
          <w:sz w:val="28"/>
          <w:szCs w:val="28"/>
        </w:rPr>
        <w:t>表</w:t>
      </w:r>
      <w:r>
        <w:rPr>
          <w:rFonts w:ascii="楷体_GB2312" w:eastAsia="楷体_GB2312" w:hint="eastAsia"/>
          <w:sz w:val="28"/>
          <w:szCs w:val="28"/>
        </w:rPr>
        <w:t xml:space="preserve"> </w:t>
      </w:r>
    </w:p>
    <w:p w:rsidR="00766B04" w:rsidRDefault="003905ED">
      <w:pPr>
        <w:tabs>
          <w:tab w:val="left" w:pos="13467"/>
        </w:tabs>
        <w:wordWrap w:val="0"/>
        <w:spacing w:line="400" w:lineRule="exact"/>
        <w:ind w:right="107"/>
        <w:jc w:val="righ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433" w:type="dxa"/>
        <w:jc w:val="center"/>
        <w:tblLayout w:type="fixed"/>
        <w:tblLook w:val="04A0"/>
      </w:tblPr>
      <w:tblGrid>
        <w:gridCol w:w="1320"/>
        <w:gridCol w:w="83"/>
        <w:gridCol w:w="1431"/>
        <w:gridCol w:w="1560"/>
        <w:gridCol w:w="1559"/>
        <w:gridCol w:w="1417"/>
        <w:gridCol w:w="1560"/>
        <w:gridCol w:w="1465"/>
        <w:gridCol w:w="6"/>
        <w:gridCol w:w="1514"/>
        <w:gridCol w:w="1518"/>
      </w:tblGrid>
      <w:tr w:rsidR="00766B04">
        <w:trPr>
          <w:trHeight w:val="458"/>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本年收入合计</w:t>
            </w:r>
          </w:p>
        </w:tc>
        <w:tc>
          <w:tcPr>
            <w:tcW w:w="1559"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财政拨款收入</w:t>
            </w:r>
          </w:p>
        </w:tc>
        <w:tc>
          <w:tcPr>
            <w:tcW w:w="1417"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上级补助收入</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firstLineChars="100" w:firstLine="216"/>
              <w:rPr>
                <w:rFonts w:ascii="仿宋_GB2312" w:eastAsia="仿宋_GB2312" w:hAnsi="宋体" w:cs="宋体"/>
                <w:kern w:val="0"/>
                <w:sz w:val="22"/>
                <w:szCs w:val="22"/>
              </w:rPr>
            </w:pPr>
            <w:r>
              <w:rPr>
                <w:rFonts w:ascii="仿宋_GB2312" w:eastAsia="仿宋_GB2312" w:hAnsi="宋体" w:cs="宋体" w:hint="eastAsia"/>
                <w:kern w:val="0"/>
                <w:sz w:val="22"/>
                <w:szCs w:val="22"/>
              </w:rPr>
              <w:t>事业收入</w:t>
            </w:r>
          </w:p>
        </w:tc>
        <w:tc>
          <w:tcPr>
            <w:tcW w:w="1465"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经营收入</w:t>
            </w:r>
          </w:p>
        </w:tc>
        <w:tc>
          <w:tcPr>
            <w:tcW w:w="1520" w:type="dxa"/>
            <w:gridSpan w:val="2"/>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附属单位</w:t>
            </w:r>
            <w:r>
              <w:rPr>
                <w:rFonts w:ascii="仿宋_GB2312" w:eastAsia="仿宋_GB2312" w:hAnsi="宋体" w:cs="宋体" w:hint="eastAsia"/>
                <w:kern w:val="0"/>
                <w:sz w:val="22"/>
                <w:szCs w:val="22"/>
              </w:rPr>
              <w:t xml:space="preserve">    </w:t>
            </w:r>
          </w:p>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上缴收入</w:t>
            </w:r>
          </w:p>
        </w:tc>
        <w:tc>
          <w:tcPr>
            <w:tcW w:w="1518"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其他收入</w:t>
            </w:r>
          </w:p>
        </w:tc>
      </w:tr>
      <w:tr w:rsidR="00766B04">
        <w:trPr>
          <w:trHeight w:val="457"/>
          <w:jc w:val="center"/>
        </w:trPr>
        <w:tc>
          <w:tcPr>
            <w:tcW w:w="140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31"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560"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59"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417"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60" w:type="dxa"/>
            <w:vMerge/>
            <w:tcBorders>
              <w:left w:val="single" w:sz="4" w:space="0" w:color="auto"/>
              <w:right w:val="single" w:sz="4" w:space="0" w:color="auto"/>
            </w:tcBorders>
            <w:vAlign w:val="center"/>
          </w:tcPr>
          <w:p w:rsidR="00766B04" w:rsidRDefault="00766B04">
            <w:pPr>
              <w:widowControl/>
              <w:spacing w:line="300" w:lineRule="exact"/>
              <w:ind w:firstLineChars="100" w:firstLine="216"/>
              <w:rPr>
                <w:rFonts w:ascii="仿宋_GB2312" w:eastAsia="仿宋_GB2312" w:hAnsi="宋体" w:cs="宋体"/>
                <w:kern w:val="0"/>
                <w:sz w:val="22"/>
                <w:szCs w:val="22"/>
              </w:rPr>
            </w:pPr>
          </w:p>
        </w:tc>
        <w:tc>
          <w:tcPr>
            <w:tcW w:w="1465"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20" w:type="dxa"/>
            <w:gridSpan w:val="2"/>
            <w:vMerge/>
            <w:tcBorders>
              <w:left w:val="single" w:sz="4" w:space="0" w:color="auto"/>
              <w:right w:val="single" w:sz="4" w:space="0" w:color="auto"/>
            </w:tcBorders>
            <w:vAlign w:val="center"/>
          </w:tcPr>
          <w:p w:rsidR="00766B04" w:rsidRDefault="00766B04">
            <w:pPr>
              <w:widowControl/>
              <w:spacing w:line="300" w:lineRule="exact"/>
              <w:ind w:left="648" w:hangingChars="300" w:hanging="648"/>
              <w:jc w:val="center"/>
              <w:rPr>
                <w:rFonts w:ascii="仿宋_GB2312" w:eastAsia="仿宋_GB2312" w:hAnsi="宋体" w:cs="宋体"/>
                <w:kern w:val="0"/>
                <w:sz w:val="22"/>
                <w:szCs w:val="22"/>
              </w:rPr>
            </w:pPr>
          </w:p>
        </w:tc>
        <w:tc>
          <w:tcPr>
            <w:tcW w:w="1518"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397"/>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465"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20"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r>
      <w:tr w:rsidR="00766B04">
        <w:trPr>
          <w:trHeight w:val="397"/>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一般公共服务支出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20199</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其他一般公共服务支出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2019999</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其他一般公共服务支出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社会保障和就业支出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20805</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行政事业单位离退休</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2080505</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机关事业单位基本养老保险缴费支出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20820</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临时救助</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2082001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临时救助支出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58"/>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本年收入合计</w:t>
            </w:r>
          </w:p>
        </w:tc>
        <w:tc>
          <w:tcPr>
            <w:tcW w:w="1559"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财政拨款收入</w:t>
            </w:r>
          </w:p>
        </w:tc>
        <w:tc>
          <w:tcPr>
            <w:tcW w:w="1417"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上级补助收入</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firstLineChars="100" w:firstLine="216"/>
              <w:rPr>
                <w:rFonts w:ascii="仿宋_GB2312" w:eastAsia="仿宋_GB2312" w:hAnsi="宋体" w:cs="宋体"/>
                <w:kern w:val="0"/>
                <w:sz w:val="22"/>
                <w:szCs w:val="22"/>
              </w:rPr>
            </w:pPr>
            <w:r>
              <w:rPr>
                <w:rFonts w:ascii="仿宋_GB2312" w:eastAsia="仿宋_GB2312" w:hAnsi="宋体" w:cs="宋体" w:hint="eastAsia"/>
                <w:kern w:val="0"/>
                <w:sz w:val="22"/>
                <w:szCs w:val="22"/>
              </w:rPr>
              <w:t>事业收入</w:t>
            </w:r>
          </w:p>
        </w:tc>
        <w:tc>
          <w:tcPr>
            <w:tcW w:w="1465"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经营收入</w:t>
            </w:r>
          </w:p>
        </w:tc>
        <w:tc>
          <w:tcPr>
            <w:tcW w:w="1520" w:type="dxa"/>
            <w:gridSpan w:val="2"/>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附属单位</w:t>
            </w:r>
            <w:r>
              <w:rPr>
                <w:rFonts w:ascii="仿宋_GB2312" w:eastAsia="仿宋_GB2312" w:hAnsi="宋体" w:cs="宋体" w:hint="eastAsia"/>
                <w:kern w:val="0"/>
                <w:sz w:val="22"/>
                <w:szCs w:val="22"/>
              </w:rPr>
              <w:t xml:space="preserve">    </w:t>
            </w:r>
          </w:p>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上缴收入</w:t>
            </w:r>
          </w:p>
        </w:tc>
        <w:tc>
          <w:tcPr>
            <w:tcW w:w="1518"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其他收入</w:t>
            </w:r>
          </w:p>
        </w:tc>
      </w:tr>
      <w:tr w:rsidR="00766B04">
        <w:trPr>
          <w:trHeight w:val="457"/>
          <w:jc w:val="center"/>
        </w:trPr>
        <w:tc>
          <w:tcPr>
            <w:tcW w:w="140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31"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560"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59"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417"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60" w:type="dxa"/>
            <w:vMerge/>
            <w:tcBorders>
              <w:left w:val="single" w:sz="4" w:space="0" w:color="auto"/>
              <w:right w:val="single" w:sz="4" w:space="0" w:color="auto"/>
            </w:tcBorders>
            <w:vAlign w:val="center"/>
          </w:tcPr>
          <w:p w:rsidR="00766B04" w:rsidRDefault="00766B04">
            <w:pPr>
              <w:widowControl/>
              <w:spacing w:line="300" w:lineRule="exact"/>
              <w:ind w:firstLineChars="100" w:firstLine="216"/>
              <w:rPr>
                <w:rFonts w:ascii="仿宋_GB2312" w:eastAsia="仿宋_GB2312" w:hAnsi="宋体" w:cs="宋体"/>
                <w:kern w:val="0"/>
                <w:sz w:val="22"/>
                <w:szCs w:val="22"/>
              </w:rPr>
            </w:pPr>
          </w:p>
        </w:tc>
        <w:tc>
          <w:tcPr>
            <w:tcW w:w="1465"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20" w:type="dxa"/>
            <w:gridSpan w:val="2"/>
            <w:vMerge/>
            <w:tcBorders>
              <w:left w:val="single" w:sz="4" w:space="0" w:color="auto"/>
              <w:right w:val="single" w:sz="4" w:space="0" w:color="auto"/>
            </w:tcBorders>
            <w:vAlign w:val="center"/>
          </w:tcPr>
          <w:p w:rsidR="00766B04" w:rsidRDefault="00766B04">
            <w:pPr>
              <w:widowControl/>
              <w:spacing w:line="300" w:lineRule="exact"/>
              <w:ind w:left="648" w:hangingChars="300" w:hanging="648"/>
              <w:jc w:val="center"/>
              <w:rPr>
                <w:rFonts w:ascii="仿宋_GB2312" w:eastAsia="仿宋_GB2312" w:hAnsi="宋体" w:cs="宋体"/>
                <w:kern w:val="0"/>
                <w:sz w:val="22"/>
                <w:szCs w:val="22"/>
              </w:rPr>
            </w:pPr>
          </w:p>
        </w:tc>
        <w:tc>
          <w:tcPr>
            <w:tcW w:w="1518"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397"/>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465"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20"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20899</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其他社会保障和就业支出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2089901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其他社会保障和就业支出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210</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卫生健康支出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21011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行政事业单位医疗</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2101101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行政单位医疗</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2101103</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公务员医疗补助</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住房保障支出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22102</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住房改革支出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2210201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住房公积金</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灾害防治及应急管理支出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815.75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815.75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22401</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应急管理事务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633.65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633.65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58"/>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本年收入合计</w:t>
            </w:r>
          </w:p>
        </w:tc>
        <w:tc>
          <w:tcPr>
            <w:tcW w:w="1559"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财政拨款收入</w:t>
            </w:r>
          </w:p>
        </w:tc>
        <w:tc>
          <w:tcPr>
            <w:tcW w:w="1417"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上级补助收入</w:t>
            </w:r>
          </w:p>
        </w:tc>
        <w:tc>
          <w:tcPr>
            <w:tcW w:w="1560"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firstLineChars="100" w:firstLine="216"/>
              <w:rPr>
                <w:rFonts w:ascii="仿宋_GB2312" w:eastAsia="仿宋_GB2312" w:hAnsi="宋体" w:cs="宋体"/>
                <w:kern w:val="0"/>
                <w:sz w:val="22"/>
                <w:szCs w:val="22"/>
              </w:rPr>
            </w:pPr>
            <w:r>
              <w:rPr>
                <w:rFonts w:ascii="仿宋_GB2312" w:eastAsia="仿宋_GB2312" w:hAnsi="宋体" w:cs="宋体" w:hint="eastAsia"/>
                <w:kern w:val="0"/>
                <w:sz w:val="22"/>
                <w:szCs w:val="22"/>
              </w:rPr>
              <w:t>事业收入</w:t>
            </w:r>
          </w:p>
        </w:tc>
        <w:tc>
          <w:tcPr>
            <w:tcW w:w="1465"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经营收入</w:t>
            </w:r>
          </w:p>
        </w:tc>
        <w:tc>
          <w:tcPr>
            <w:tcW w:w="1520" w:type="dxa"/>
            <w:gridSpan w:val="2"/>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附属单位</w:t>
            </w:r>
            <w:r>
              <w:rPr>
                <w:rFonts w:ascii="仿宋_GB2312" w:eastAsia="仿宋_GB2312" w:hAnsi="宋体" w:cs="宋体" w:hint="eastAsia"/>
                <w:kern w:val="0"/>
                <w:sz w:val="22"/>
                <w:szCs w:val="22"/>
              </w:rPr>
              <w:t xml:space="preserve">    </w:t>
            </w:r>
          </w:p>
          <w:p w:rsidR="00766B04" w:rsidRDefault="003905ED">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上缴收入</w:t>
            </w:r>
          </w:p>
        </w:tc>
        <w:tc>
          <w:tcPr>
            <w:tcW w:w="1518"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其他收入</w:t>
            </w:r>
          </w:p>
        </w:tc>
      </w:tr>
      <w:tr w:rsidR="00766B04">
        <w:trPr>
          <w:trHeight w:val="457"/>
          <w:jc w:val="center"/>
        </w:trPr>
        <w:tc>
          <w:tcPr>
            <w:tcW w:w="140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31"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560"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59"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417"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60" w:type="dxa"/>
            <w:vMerge/>
            <w:tcBorders>
              <w:left w:val="single" w:sz="4" w:space="0" w:color="auto"/>
              <w:right w:val="single" w:sz="4" w:space="0" w:color="auto"/>
            </w:tcBorders>
            <w:vAlign w:val="center"/>
          </w:tcPr>
          <w:p w:rsidR="00766B04" w:rsidRDefault="00766B04">
            <w:pPr>
              <w:widowControl/>
              <w:spacing w:line="300" w:lineRule="exact"/>
              <w:ind w:firstLineChars="100" w:firstLine="216"/>
              <w:rPr>
                <w:rFonts w:ascii="仿宋_GB2312" w:eastAsia="仿宋_GB2312" w:hAnsi="宋体" w:cs="宋体"/>
                <w:kern w:val="0"/>
                <w:sz w:val="22"/>
                <w:szCs w:val="22"/>
              </w:rPr>
            </w:pPr>
          </w:p>
        </w:tc>
        <w:tc>
          <w:tcPr>
            <w:tcW w:w="1465"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20" w:type="dxa"/>
            <w:gridSpan w:val="2"/>
            <w:vMerge/>
            <w:tcBorders>
              <w:left w:val="single" w:sz="4" w:space="0" w:color="auto"/>
              <w:right w:val="single" w:sz="4" w:space="0" w:color="auto"/>
            </w:tcBorders>
            <w:vAlign w:val="center"/>
          </w:tcPr>
          <w:p w:rsidR="00766B04" w:rsidRDefault="00766B04">
            <w:pPr>
              <w:widowControl/>
              <w:spacing w:line="300" w:lineRule="exact"/>
              <w:ind w:left="648" w:hangingChars="300" w:hanging="648"/>
              <w:jc w:val="center"/>
              <w:rPr>
                <w:rFonts w:ascii="仿宋_GB2312" w:eastAsia="仿宋_GB2312" w:hAnsi="宋体" w:cs="宋体"/>
                <w:kern w:val="0"/>
                <w:sz w:val="22"/>
                <w:szCs w:val="22"/>
              </w:rPr>
            </w:pPr>
          </w:p>
        </w:tc>
        <w:tc>
          <w:tcPr>
            <w:tcW w:w="1518" w:type="dxa"/>
            <w:vMerge/>
            <w:tcBorders>
              <w:left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397"/>
          <w:jc w:val="center"/>
        </w:trPr>
        <w:tc>
          <w:tcPr>
            <w:tcW w:w="2834"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465"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20"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2240106</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安全监管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2240108</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应急救援</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22405</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地震事务</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2240505</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地震预测预报</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97"/>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22499</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其他灾害防治及应急管理支出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5"/>
          <w:jc w:val="center"/>
        </w:trPr>
        <w:tc>
          <w:tcPr>
            <w:tcW w:w="132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rPr>
                <w:rFonts w:ascii="仿宋_GB2312" w:eastAsia="仿宋_GB2312"/>
                <w:sz w:val="22"/>
                <w:szCs w:val="22"/>
              </w:rPr>
            </w:pPr>
            <w:r>
              <w:rPr>
                <w:rFonts w:ascii="仿宋_GB2312" w:eastAsia="仿宋_GB2312" w:hint="eastAsia"/>
                <w:sz w:val="22"/>
                <w:szCs w:val="22"/>
              </w:rPr>
              <w:t>2249900</w:t>
            </w:r>
          </w:p>
        </w:tc>
        <w:tc>
          <w:tcPr>
            <w:tcW w:w="1514"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其他灾害防治及应急管理支出</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559"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417"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60"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4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4"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51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bl>
    <w:p w:rsidR="00766B04" w:rsidRDefault="003905ED">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注：本表反映部门本年度取得的各项收入情况。</w:t>
      </w:r>
    </w:p>
    <w:p w:rsidR="00766B04" w:rsidRDefault="00766B04">
      <w:pPr>
        <w:jc w:val="center"/>
        <w:rPr>
          <w:rFonts w:ascii="仿宋" w:eastAsia="仿宋" w:hAnsi="仿宋" w:cs="仿宋"/>
          <w:sz w:val="44"/>
          <w:szCs w:val="44"/>
        </w:rPr>
      </w:pPr>
    </w:p>
    <w:p w:rsidR="00766B04" w:rsidRDefault="00766B04">
      <w:pPr>
        <w:jc w:val="center"/>
        <w:rPr>
          <w:rFonts w:ascii="仿宋" w:eastAsia="仿宋" w:hAnsi="仿宋" w:cs="仿宋"/>
          <w:sz w:val="44"/>
          <w:szCs w:val="44"/>
        </w:rPr>
      </w:pPr>
    </w:p>
    <w:p w:rsidR="00766B04" w:rsidRDefault="00766B04">
      <w:pPr>
        <w:jc w:val="center"/>
        <w:rPr>
          <w:rFonts w:ascii="仿宋" w:eastAsia="仿宋" w:hAnsi="仿宋" w:cs="仿宋"/>
          <w:sz w:val="44"/>
          <w:szCs w:val="44"/>
        </w:rPr>
      </w:pPr>
    </w:p>
    <w:p w:rsidR="00766B04" w:rsidRDefault="00766B04">
      <w:pPr>
        <w:jc w:val="center"/>
        <w:rPr>
          <w:rFonts w:ascii="仿宋" w:eastAsia="仿宋" w:hAnsi="仿宋" w:cs="仿宋"/>
          <w:sz w:val="44"/>
          <w:szCs w:val="44"/>
        </w:r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支出决算表</w:t>
      </w:r>
    </w:p>
    <w:p w:rsidR="00766B04" w:rsidRDefault="003905ED">
      <w:pPr>
        <w:spacing w:line="400" w:lineRule="exact"/>
        <w:jc w:val="right"/>
        <w:rPr>
          <w:rFonts w:ascii="楷体_GB2312" w:eastAsia="楷体_GB2312"/>
          <w:sz w:val="28"/>
          <w:szCs w:val="28"/>
        </w:rPr>
      </w:pPr>
      <w:r>
        <w:rPr>
          <w:rFonts w:ascii="楷体_GB2312" w:eastAsia="楷体_GB2312" w:hint="eastAsia"/>
          <w:sz w:val="28"/>
          <w:szCs w:val="28"/>
        </w:rPr>
        <w:t xml:space="preserve">                                                                                   </w:t>
      </w:r>
      <w:r>
        <w:rPr>
          <w:rFonts w:ascii="楷体_GB2312" w:eastAsia="楷体_GB2312" w:hint="eastAsia"/>
          <w:sz w:val="28"/>
          <w:szCs w:val="28"/>
        </w:rPr>
        <w:t>公开</w:t>
      </w:r>
      <w:r>
        <w:rPr>
          <w:rFonts w:ascii="楷体_GB2312" w:eastAsia="楷体_GB2312" w:hint="eastAsia"/>
          <w:sz w:val="28"/>
          <w:szCs w:val="28"/>
        </w:rPr>
        <w:t>03</w:t>
      </w:r>
      <w:r>
        <w:rPr>
          <w:rFonts w:ascii="楷体_GB2312" w:eastAsia="楷体_GB2312" w:hint="eastAsia"/>
          <w:sz w:val="28"/>
          <w:szCs w:val="28"/>
        </w:rPr>
        <w:t>表</w:t>
      </w:r>
    </w:p>
    <w:p w:rsidR="00766B04" w:rsidRDefault="003905ED">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 </w:t>
      </w: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378" w:type="dxa"/>
        <w:jc w:val="center"/>
        <w:tblLayout w:type="fixed"/>
        <w:tblLook w:val="04A0"/>
      </w:tblPr>
      <w:tblGrid>
        <w:gridCol w:w="1344"/>
        <w:gridCol w:w="57"/>
        <w:gridCol w:w="1401"/>
        <w:gridCol w:w="1762"/>
        <w:gridCol w:w="1763"/>
        <w:gridCol w:w="1763"/>
        <w:gridCol w:w="1762"/>
        <w:gridCol w:w="1763"/>
        <w:gridCol w:w="1763"/>
      </w:tblGrid>
      <w:tr w:rsidR="00766B04">
        <w:trPr>
          <w:trHeight w:val="458"/>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本年支出合计</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上缴上级支出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经营支出</w:t>
            </w:r>
            <w:r>
              <w:rPr>
                <w:rFonts w:ascii="仿宋_GB2312" w:eastAsia="仿宋_GB2312" w:hAnsi="宋体" w:cs="宋体" w:hint="eastAsia"/>
                <w:kern w:val="0"/>
                <w:sz w:val="22"/>
                <w:szCs w:val="22"/>
              </w:rPr>
              <w:t xml:space="preserve">    </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对附属单位</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补助支出</w:t>
            </w:r>
          </w:p>
        </w:tc>
      </w:tr>
      <w:tr w:rsidR="00766B04">
        <w:trPr>
          <w:trHeight w:val="457"/>
          <w:jc w:val="center"/>
        </w:trPr>
        <w:tc>
          <w:tcPr>
            <w:tcW w:w="140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01"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766B04">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计</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584.44</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410.89</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0.00</w:t>
            </w:r>
          </w:p>
        </w:tc>
      </w:tr>
      <w:tr w:rsidR="00766B04">
        <w:trPr>
          <w:trHeight w:val="406"/>
          <w:jc w:val="center"/>
        </w:trPr>
        <w:tc>
          <w:tcPr>
            <w:tcW w:w="1344" w:type="dxa"/>
            <w:tcBorders>
              <w:top w:val="single" w:sz="4" w:space="0" w:color="auto"/>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201</w:t>
            </w:r>
          </w:p>
        </w:tc>
        <w:tc>
          <w:tcPr>
            <w:tcW w:w="1458"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一般公共服务支出</w:t>
            </w:r>
          </w:p>
        </w:tc>
        <w:tc>
          <w:tcPr>
            <w:tcW w:w="1762" w:type="dxa"/>
            <w:tcBorders>
              <w:top w:val="single" w:sz="4" w:space="0" w:color="auto"/>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3" w:type="dxa"/>
            <w:tcBorders>
              <w:top w:val="single" w:sz="4" w:space="0" w:color="auto"/>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single" w:sz="4" w:space="0" w:color="auto"/>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20199</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其他一般公共服务支出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2019999</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其他一般公共服务支出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社会保障和就业支出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20805</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行政事业单位离退休</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2080505</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机关事业单位基本养老保险缴费支出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20820</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临时救助</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2082001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临时救助支出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58"/>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本年支出合计</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上缴上级支出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经营支出</w:t>
            </w:r>
            <w:r>
              <w:rPr>
                <w:rFonts w:ascii="仿宋_GB2312" w:eastAsia="仿宋_GB2312" w:hAnsi="宋体" w:cs="宋体" w:hint="eastAsia"/>
                <w:kern w:val="0"/>
                <w:sz w:val="22"/>
                <w:szCs w:val="22"/>
              </w:rPr>
              <w:t xml:space="preserve">    </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对附属单位</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补助支出</w:t>
            </w:r>
          </w:p>
        </w:tc>
      </w:tr>
      <w:tr w:rsidR="00766B04">
        <w:trPr>
          <w:trHeight w:val="457"/>
          <w:jc w:val="center"/>
        </w:trPr>
        <w:tc>
          <w:tcPr>
            <w:tcW w:w="140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01"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20899</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其他社会保障和就业支出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2089901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其他社会保障和就业支出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210</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卫生健康支出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行政事业单位医疗</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2101101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行政单位医疗</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2101103</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公务员医疗补助</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住房保障支出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22102</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住房改革支出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2210201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住房公积金</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灾害防治及应急管理支出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815.75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301.1</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应急管理事务</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633.65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119</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58"/>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本年支出合计</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62"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上缴上级支出</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经营支出</w:t>
            </w:r>
            <w:r>
              <w:rPr>
                <w:rFonts w:ascii="仿宋_GB2312" w:eastAsia="仿宋_GB2312" w:hAnsi="宋体" w:cs="宋体" w:hint="eastAsia"/>
                <w:kern w:val="0"/>
                <w:sz w:val="22"/>
                <w:szCs w:val="22"/>
              </w:rPr>
              <w:t xml:space="preserve">    </w:t>
            </w:r>
          </w:p>
        </w:tc>
        <w:tc>
          <w:tcPr>
            <w:tcW w:w="1763"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对附属单位</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补助支出</w:t>
            </w:r>
          </w:p>
        </w:tc>
      </w:tr>
      <w:tr w:rsidR="00766B04">
        <w:trPr>
          <w:trHeight w:val="457"/>
          <w:jc w:val="center"/>
        </w:trPr>
        <w:tc>
          <w:tcPr>
            <w:tcW w:w="140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01"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2"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62"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63"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2240106</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安全监管</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1763" w:type="dxa"/>
            <w:tcBorders>
              <w:top w:val="nil"/>
              <w:left w:val="single" w:sz="4" w:space="0" w:color="auto"/>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2240108</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应急救援</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22405</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地震事务</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2240505</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地震预测预报</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22499</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其他灾害防治及应急管理支出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06"/>
          <w:jc w:val="center"/>
        </w:trPr>
        <w:tc>
          <w:tcPr>
            <w:tcW w:w="1344" w:type="dxa"/>
            <w:tcBorders>
              <w:top w:val="nil"/>
              <w:left w:val="single" w:sz="4" w:space="0" w:color="auto"/>
              <w:bottom w:val="single" w:sz="4" w:space="0" w:color="auto"/>
              <w:right w:val="nil"/>
            </w:tcBorders>
            <w:vAlign w:val="center"/>
          </w:tcPr>
          <w:p w:rsidR="00766B04" w:rsidRDefault="003905ED">
            <w:pPr>
              <w:rPr>
                <w:rFonts w:ascii="仿宋_GB2312" w:eastAsia="仿宋_GB2312"/>
                <w:sz w:val="22"/>
                <w:szCs w:val="22"/>
              </w:rPr>
            </w:pPr>
            <w:r>
              <w:rPr>
                <w:rFonts w:ascii="仿宋_GB2312" w:eastAsia="仿宋_GB2312" w:hint="eastAsia"/>
                <w:sz w:val="22"/>
                <w:szCs w:val="22"/>
              </w:rPr>
              <w:t>2249900</w:t>
            </w:r>
          </w:p>
        </w:tc>
        <w:tc>
          <w:tcPr>
            <w:tcW w:w="1458" w:type="dxa"/>
            <w:gridSpan w:val="2"/>
            <w:tcBorders>
              <w:top w:val="nil"/>
              <w:left w:val="single" w:sz="4" w:space="0" w:color="auto"/>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其他灾害防治及应急管理支出</w:t>
            </w:r>
          </w:p>
        </w:tc>
        <w:tc>
          <w:tcPr>
            <w:tcW w:w="1762" w:type="dxa"/>
            <w:tcBorders>
              <w:top w:val="nil"/>
              <w:left w:val="nil"/>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763" w:type="dxa"/>
            <w:tcBorders>
              <w:top w:val="nil"/>
              <w:left w:val="single" w:sz="4" w:space="0" w:color="auto"/>
              <w:bottom w:val="single" w:sz="4" w:space="0" w:color="auto"/>
              <w:right w:val="nil"/>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1763" w:type="dxa"/>
            <w:tcBorders>
              <w:top w:val="nil"/>
              <w:left w:val="single" w:sz="4" w:space="0" w:color="auto"/>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1762"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63"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bl>
    <w:p w:rsidR="00766B04" w:rsidRDefault="003905ED">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注：本表反映部门本年度各项支出情况。</w:t>
      </w:r>
    </w:p>
    <w:p w:rsidR="00766B04" w:rsidRDefault="00766B04">
      <w:pPr>
        <w:rPr>
          <w:rFonts w:ascii="仿宋_GB2312" w:eastAsia="仿宋_GB2312" w:hAnsi="宋体"/>
          <w:sz w:val="22"/>
          <w:szCs w:val="22"/>
        </w:rPr>
        <w:sectPr w:rsidR="00766B04">
          <w:pgSz w:w="16838" w:h="11906" w:orient="landscape"/>
          <w:pgMar w:top="1531" w:right="1701" w:bottom="1531" w:left="1701" w:header="0" w:footer="1418" w:gutter="0"/>
          <w:cols w:space="720"/>
          <w:docGrid w:type="linesAndChars" w:linePitch="610" w:charSpace="-849"/>
        </w:sect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财政拨款收入支出决算总表</w:t>
      </w:r>
    </w:p>
    <w:p w:rsidR="00766B04" w:rsidRDefault="003905ED">
      <w:pPr>
        <w:spacing w:line="400" w:lineRule="exact"/>
        <w:jc w:val="right"/>
        <w:rPr>
          <w:rFonts w:ascii="楷体_GB2312" w:eastAsia="楷体_GB2312"/>
          <w:sz w:val="28"/>
          <w:szCs w:val="28"/>
        </w:rPr>
      </w:pPr>
      <w:r>
        <w:rPr>
          <w:rFonts w:ascii="楷体_GB2312" w:eastAsia="楷体_GB2312" w:hint="eastAsia"/>
          <w:sz w:val="28"/>
          <w:szCs w:val="28"/>
        </w:rPr>
        <w:t>公开</w:t>
      </w:r>
      <w:r>
        <w:rPr>
          <w:rFonts w:ascii="楷体_GB2312" w:eastAsia="楷体_GB2312" w:hint="eastAsia"/>
          <w:sz w:val="28"/>
          <w:szCs w:val="28"/>
        </w:rPr>
        <w:t>04</w:t>
      </w:r>
      <w:r>
        <w:rPr>
          <w:rFonts w:ascii="楷体_GB2312" w:eastAsia="楷体_GB2312" w:hint="eastAsia"/>
          <w:sz w:val="28"/>
          <w:szCs w:val="28"/>
        </w:rPr>
        <w:t>表</w:t>
      </w:r>
    </w:p>
    <w:p w:rsidR="00766B04" w:rsidRDefault="003905ED">
      <w:pPr>
        <w:spacing w:line="400" w:lineRule="exact"/>
        <w:ind w:firstLineChars="50" w:firstLine="138"/>
        <w:jc w:val="lef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341" w:type="dxa"/>
        <w:jc w:val="center"/>
        <w:tblBorders>
          <w:top w:val="single" w:sz="4" w:space="0" w:color="auto"/>
          <w:left w:val="single" w:sz="4" w:space="0" w:color="auto"/>
          <w:bottom w:val="single" w:sz="4" w:space="0" w:color="auto"/>
          <w:right w:val="single" w:sz="4" w:space="0" w:color="auto"/>
        </w:tblBorders>
        <w:tblLayout w:type="fixed"/>
        <w:tblLook w:val="04A0"/>
      </w:tblPr>
      <w:tblGrid>
        <w:gridCol w:w="3022"/>
        <w:gridCol w:w="540"/>
        <w:gridCol w:w="1512"/>
        <w:gridCol w:w="2628"/>
        <w:gridCol w:w="540"/>
        <w:gridCol w:w="1699"/>
        <w:gridCol w:w="1700"/>
        <w:gridCol w:w="1700"/>
      </w:tblGrid>
      <w:tr w:rsidR="00766B04">
        <w:trPr>
          <w:trHeight w:val="402"/>
          <w:jc w:val="center"/>
        </w:trPr>
        <w:tc>
          <w:tcPr>
            <w:tcW w:w="5074" w:type="dxa"/>
            <w:gridSpan w:val="3"/>
            <w:tcBorders>
              <w:top w:val="single" w:sz="4" w:space="0" w:color="auto"/>
              <w:bottom w:val="single" w:sz="4" w:space="0" w:color="auto"/>
              <w:right w:val="nil"/>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收</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入</w:t>
            </w:r>
          </w:p>
        </w:tc>
        <w:tc>
          <w:tcPr>
            <w:tcW w:w="8267" w:type="dxa"/>
            <w:gridSpan w:val="5"/>
            <w:tcBorders>
              <w:top w:val="single" w:sz="4" w:space="0" w:color="auto"/>
              <w:left w:val="nil"/>
              <w:bottom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支</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出</w:t>
            </w:r>
          </w:p>
        </w:tc>
      </w:tr>
      <w:tr w:rsidR="00766B04">
        <w:trPr>
          <w:trHeight w:val="6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行次</w:t>
            </w:r>
          </w:p>
        </w:tc>
        <w:tc>
          <w:tcPr>
            <w:tcW w:w="1512"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决算数</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行次</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一般公共预算</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w:t>
            </w:r>
          </w:p>
        </w:tc>
        <w:tc>
          <w:tcPr>
            <w:tcW w:w="1700" w:type="dxa"/>
            <w:tcBorders>
              <w:top w:val="single" w:sz="4" w:space="0" w:color="auto"/>
              <w:left w:val="single" w:sz="4" w:space="0" w:color="auto"/>
              <w:bottom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政府性基金</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预算财政拨款</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ind w:firstLineChars="500" w:firstLine="1079"/>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一、一般公共预算财政拨款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一、一般公共服务支出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15</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3.57</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3.57</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二、政府性基金预算财政拨款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二、外交支出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16</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三、国防支出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17</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四、公共安全支出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18</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left"/>
              <w:rPr>
                <w:rFonts w:ascii="仿宋_GB2312" w:eastAsia="仿宋_GB2312"/>
                <w:sz w:val="22"/>
                <w:szCs w:val="22"/>
              </w:rPr>
            </w:pPr>
            <w:r>
              <w:rPr>
                <w:rFonts w:ascii="仿宋_GB2312" w:eastAsia="仿宋_GB2312" w:hint="eastAsia"/>
                <w:sz w:val="22"/>
                <w:szCs w:val="22"/>
              </w:rPr>
              <w:t>社会保障和就业支出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19</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129.99</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129.99</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left"/>
              <w:rPr>
                <w:rFonts w:ascii="仿宋_GB2312" w:eastAsia="仿宋_GB2312"/>
                <w:sz w:val="22"/>
                <w:szCs w:val="22"/>
              </w:rPr>
            </w:pPr>
            <w:r>
              <w:rPr>
                <w:rFonts w:ascii="仿宋_GB2312" w:eastAsia="仿宋_GB2312" w:hint="eastAsia"/>
                <w:sz w:val="22"/>
                <w:szCs w:val="22"/>
              </w:rPr>
              <w:t>卫生健康支出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20</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13.07</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13.07</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spacing w:line="240" w:lineRule="exact"/>
              <w:jc w:val="left"/>
              <w:rPr>
                <w:rFonts w:ascii="仿宋_GB2312" w:eastAsia="仿宋_GB2312"/>
                <w:sz w:val="22"/>
                <w:szCs w:val="22"/>
              </w:rPr>
            </w:pPr>
            <w:r>
              <w:rPr>
                <w:rFonts w:ascii="仿宋_GB2312" w:eastAsia="仿宋_GB2312" w:hint="eastAsia"/>
                <w:sz w:val="22"/>
                <w:szCs w:val="22"/>
              </w:rPr>
              <w:t>住房保障支出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21</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32.95</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32.95</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spacing w:line="240" w:lineRule="exact"/>
              <w:jc w:val="left"/>
              <w:rPr>
                <w:rFonts w:ascii="仿宋_GB2312" w:eastAsia="仿宋_GB2312"/>
                <w:sz w:val="22"/>
                <w:szCs w:val="22"/>
              </w:rPr>
            </w:pPr>
            <w:r>
              <w:rPr>
                <w:rFonts w:ascii="仿宋_GB2312" w:eastAsia="仿宋_GB2312" w:hint="eastAsia"/>
                <w:sz w:val="22"/>
                <w:szCs w:val="22"/>
              </w:rPr>
              <w:t>灾害防治及应急管理支出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22</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31.72</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spacing w:line="240" w:lineRule="exact"/>
              <w:jc w:val="center"/>
              <w:rPr>
                <w:rFonts w:ascii="仿宋_GB2312" w:eastAsia="仿宋_GB2312"/>
                <w:sz w:val="22"/>
                <w:szCs w:val="22"/>
              </w:rPr>
            </w:pPr>
            <w:r>
              <w:rPr>
                <w:rFonts w:ascii="仿宋_GB2312" w:eastAsia="仿宋_GB2312" w:hint="eastAsia"/>
                <w:sz w:val="22"/>
                <w:szCs w:val="22"/>
              </w:rPr>
              <w:t>31.72</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本年收入合计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本年支出合计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23</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815.75</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815.75</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b/>
                <w:bCs/>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年初财政拨款结转和结余</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年末财政拨款结转和结余</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24</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一般公共预算财政拨款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25</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政府性基金预算财政拨款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2"/>
                <w:szCs w:val="22"/>
              </w:rPr>
              <w:t>0.00</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26</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27</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总计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总计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28</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1700" w:type="dxa"/>
            <w:tcBorders>
              <w:top w:val="single" w:sz="4" w:space="0" w:color="auto"/>
              <w:left w:val="single" w:sz="4" w:space="0" w:color="auto"/>
              <w:bottom w:val="single" w:sz="4" w:space="0" w:color="auto"/>
            </w:tcBorders>
            <w:vAlign w:val="center"/>
          </w:tcPr>
          <w:p w:rsidR="00766B04" w:rsidRDefault="003905ED">
            <w:pPr>
              <w:widowControl/>
              <w:spacing w:line="300" w:lineRule="exact"/>
              <w:jc w:val="center"/>
              <w:rPr>
                <w:rFonts w:ascii="仿宋_GB2312" w:eastAsia="仿宋_GB2312" w:hAnsi="宋体" w:cs="宋体"/>
                <w:b/>
                <w:bCs/>
                <w:kern w:val="0"/>
                <w:sz w:val="22"/>
                <w:szCs w:val="22"/>
              </w:rPr>
            </w:pPr>
            <w:r>
              <w:rPr>
                <w:rFonts w:ascii="仿宋_GB2312" w:eastAsia="仿宋_GB2312" w:hint="eastAsia"/>
                <w:sz w:val="22"/>
                <w:szCs w:val="22"/>
              </w:rPr>
              <w:t>0.00</w:t>
            </w:r>
          </w:p>
        </w:tc>
      </w:tr>
    </w:tbl>
    <w:p w:rsidR="00766B04" w:rsidRDefault="003905ED">
      <w:pPr>
        <w:ind w:firstLineChars="50" w:firstLine="108"/>
        <w:rPr>
          <w:rFonts w:ascii="仿宋_GB2312" w:eastAsia="仿宋_GB2312" w:hAnsi="宋体"/>
          <w:sz w:val="22"/>
          <w:szCs w:val="22"/>
        </w:rPr>
        <w:sectPr w:rsidR="00766B04">
          <w:pgSz w:w="16838" w:h="11906" w:orient="landscape"/>
          <w:pgMar w:top="1531" w:right="1701" w:bottom="1531" w:left="1701" w:header="0" w:footer="1418" w:gutter="0"/>
          <w:cols w:space="720"/>
          <w:docGrid w:type="linesAndChars" w:linePitch="610" w:charSpace="-849"/>
        </w:sectPr>
      </w:pPr>
      <w:r>
        <w:rPr>
          <w:rFonts w:ascii="仿宋_GB2312" w:eastAsia="仿宋_GB2312" w:hAnsi="宋体" w:hint="eastAsia"/>
          <w:sz w:val="22"/>
          <w:szCs w:val="22"/>
        </w:rPr>
        <w:t>注：本表反映部门本年度一般公共预算财政拨款和政府性基金预算财政拨款的总收支和年末结转结余情况。</w:t>
      </w:r>
    </w:p>
    <w:p w:rsidR="00766B04" w:rsidRDefault="003905ED">
      <w:pPr>
        <w:jc w:val="center"/>
        <w:rPr>
          <w:rFonts w:ascii="方正小标宋简体" w:eastAsia="方正小标宋简体"/>
          <w:sz w:val="44"/>
          <w:szCs w:val="44"/>
        </w:rPr>
      </w:pPr>
      <w:r>
        <w:rPr>
          <w:rFonts w:ascii="仿宋" w:eastAsia="仿宋" w:hAnsi="仿宋" w:cs="仿宋" w:hint="eastAsia"/>
          <w:sz w:val="44"/>
          <w:szCs w:val="44"/>
        </w:rPr>
        <w:lastRenderedPageBreak/>
        <w:t>一般公共预算财政拨款支出决算表</w:t>
      </w:r>
    </w:p>
    <w:p w:rsidR="00766B04" w:rsidRDefault="003905ED">
      <w:pPr>
        <w:spacing w:line="400" w:lineRule="exact"/>
        <w:jc w:val="right"/>
        <w:rPr>
          <w:rFonts w:ascii="楷体_GB2312" w:eastAsia="楷体_GB2312"/>
          <w:sz w:val="28"/>
          <w:szCs w:val="28"/>
        </w:rPr>
      </w:pPr>
      <w:r>
        <w:rPr>
          <w:rFonts w:ascii="楷体_GB2312" w:eastAsia="楷体_GB2312" w:hint="eastAsia"/>
          <w:sz w:val="28"/>
          <w:szCs w:val="28"/>
        </w:rPr>
        <w:t>公开</w:t>
      </w:r>
      <w:r>
        <w:rPr>
          <w:rFonts w:ascii="楷体_GB2312" w:eastAsia="楷体_GB2312" w:hint="eastAsia"/>
          <w:sz w:val="28"/>
          <w:szCs w:val="28"/>
        </w:rPr>
        <w:t>05</w:t>
      </w:r>
      <w:r>
        <w:rPr>
          <w:rFonts w:ascii="楷体_GB2312" w:eastAsia="楷体_GB2312" w:hint="eastAsia"/>
          <w:sz w:val="28"/>
          <w:szCs w:val="28"/>
        </w:rPr>
        <w:t>表</w:t>
      </w:r>
    </w:p>
    <w:p w:rsidR="00766B04" w:rsidRDefault="003905ED">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152" w:type="dxa"/>
        <w:jc w:val="center"/>
        <w:tblLayout w:type="fixed"/>
        <w:tblLook w:val="04A0"/>
      </w:tblPr>
      <w:tblGrid>
        <w:gridCol w:w="1701"/>
        <w:gridCol w:w="3170"/>
        <w:gridCol w:w="2783"/>
        <w:gridCol w:w="2978"/>
        <w:gridCol w:w="2520"/>
      </w:tblGrid>
      <w:tr w:rsidR="00766B04">
        <w:trPr>
          <w:trHeight w:val="428"/>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8281"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w:t>
            </w:r>
          </w:p>
        </w:tc>
      </w:tr>
      <w:tr w:rsidR="00766B04">
        <w:trPr>
          <w:trHeight w:hRule="exact" w:val="675"/>
          <w:jc w:val="center"/>
        </w:trPr>
        <w:tc>
          <w:tcPr>
            <w:tcW w:w="1701"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科目编码</w:t>
            </w:r>
          </w:p>
        </w:tc>
        <w:tc>
          <w:tcPr>
            <w:tcW w:w="3170"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2783"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297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2520"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r>
      <w:tr w:rsidR="00766B04">
        <w:trPr>
          <w:trHeight w:hRule="exact" w:val="454"/>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2783"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297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2520"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r>
      <w:tr w:rsidR="00766B04">
        <w:trPr>
          <w:trHeight w:hRule="exact" w:val="454"/>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计</w:t>
            </w:r>
          </w:p>
        </w:tc>
        <w:tc>
          <w:tcPr>
            <w:tcW w:w="2783"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995.33</w:t>
            </w:r>
          </w:p>
        </w:tc>
        <w:tc>
          <w:tcPr>
            <w:tcW w:w="297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584.44</w:t>
            </w:r>
          </w:p>
        </w:tc>
        <w:tc>
          <w:tcPr>
            <w:tcW w:w="2520"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410.89</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一般公共服务支出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20199</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其他一般公共服务支出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2019999</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其他一般公共服务支出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c>
          <w:tcPr>
            <w:tcW w:w="2978" w:type="dxa"/>
            <w:tcBorders>
              <w:top w:val="single" w:sz="4" w:space="0" w:color="auto"/>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3.57</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社会保障和就业支出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129.99</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20805</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行政事业单位离退休</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2080505</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机关事业单位基本养老保险缴费支出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23.32</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20820</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临时救助</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2082001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临时救助支出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106.22</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20899</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其他社会保障和就业支出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2089901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其他社会保障和就业支出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0.45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210</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卫生健康支出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val="428"/>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8281"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w:t>
            </w:r>
          </w:p>
        </w:tc>
      </w:tr>
      <w:tr w:rsidR="00766B04">
        <w:trPr>
          <w:trHeight w:hRule="exact" w:val="675"/>
          <w:jc w:val="center"/>
        </w:trPr>
        <w:tc>
          <w:tcPr>
            <w:tcW w:w="1701"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科目编码</w:t>
            </w:r>
          </w:p>
        </w:tc>
        <w:tc>
          <w:tcPr>
            <w:tcW w:w="3170"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2783"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2978"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2520"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r>
      <w:tr w:rsidR="00766B04">
        <w:trPr>
          <w:trHeight w:hRule="exact" w:val="454"/>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2783"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297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2520"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行政事业单位医疗</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13.07</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行政单位医疗</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10.51</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2101103</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公务员医疗补助</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2.56</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住房保障支出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22102</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住房改革支出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2210201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住房公积金</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32.95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灾害防治及应急管理支出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815.75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301.1</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应急管理事务</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633.65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119</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2240106</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安全监管</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514.65</w:t>
            </w:r>
          </w:p>
        </w:tc>
        <w:tc>
          <w:tcPr>
            <w:tcW w:w="2520" w:type="dxa"/>
            <w:tcBorders>
              <w:top w:val="nil"/>
              <w:left w:val="nil"/>
              <w:bottom w:val="single" w:sz="4" w:space="0" w:color="auto"/>
              <w:right w:val="single" w:sz="4" w:space="0" w:color="auto"/>
            </w:tcBorders>
            <w:vAlign w:val="center"/>
          </w:tcPr>
          <w:p w:rsidR="00766B04" w:rsidRDefault="003905ED">
            <w:pPr>
              <w:widowControl/>
              <w:spacing w:line="280" w:lineRule="exact"/>
              <w:jc w:val="center"/>
              <w:rPr>
                <w:rFonts w:ascii="仿宋_GB2312" w:eastAsia="仿宋_GB2312" w:hAnsi="宋体" w:cs="宋体"/>
                <w:kern w:val="0"/>
                <w:sz w:val="22"/>
                <w:szCs w:val="22"/>
              </w:rPr>
            </w:pPr>
            <w:r>
              <w:rPr>
                <w:rFonts w:ascii="仿宋_GB2312" w:eastAsia="仿宋_GB2312" w:hint="eastAsia"/>
                <w:sz w:val="22"/>
                <w:szCs w:val="22"/>
              </w:rPr>
              <w:t>0.00</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2240108</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应急救援</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119</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22405</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地震事务</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2240505</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地震预测预报</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6</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22499</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其他灾害防治及应急管理支出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r>
      <w:tr w:rsidR="00766B04">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766B04" w:rsidRDefault="003905ED">
            <w:pPr>
              <w:rPr>
                <w:rFonts w:ascii="仿宋_GB2312" w:eastAsia="仿宋_GB2312"/>
                <w:sz w:val="22"/>
                <w:szCs w:val="22"/>
              </w:rPr>
            </w:pPr>
            <w:r>
              <w:rPr>
                <w:rFonts w:ascii="仿宋_GB2312" w:eastAsia="仿宋_GB2312" w:hint="eastAsia"/>
                <w:sz w:val="22"/>
                <w:szCs w:val="22"/>
              </w:rPr>
              <w:t>2249900</w:t>
            </w:r>
          </w:p>
        </w:tc>
        <w:tc>
          <w:tcPr>
            <w:tcW w:w="3170" w:type="dxa"/>
            <w:tcBorders>
              <w:top w:val="nil"/>
              <w:left w:val="nil"/>
              <w:bottom w:val="single" w:sz="4" w:space="0" w:color="auto"/>
              <w:right w:val="single" w:sz="4" w:space="0" w:color="auto"/>
            </w:tcBorders>
            <w:vAlign w:val="center"/>
          </w:tcPr>
          <w:p w:rsidR="00766B04" w:rsidRDefault="003905ED">
            <w:pPr>
              <w:spacing w:line="240" w:lineRule="exact"/>
              <w:rPr>
                <w:rFonts w:ascii="仿宋_GB2312" w:eastAsia="仿宋_GB2312"/>
                <w:sz w:val="22"/>
                <w:szCs w:val="22"/>
              </w:rPr>
            </w:pPr>
            <w:r>
              <w:rPr>
                <w:rFonts w:ascii="仿宋_GB2312" w:eastAsia="仿宋_GB2312" w:hint="eastAsia"/>
                <w:sz w:val="22"/>
                <w:szCs w:val="22"/>
              </w:rPr>
              <w:t xml:space="preserve">  </w:t>
            </w:r>
            <w:r>
              <w:rPr>
                <w:rFonts w:ascii="仿宋_GB2312" w:eastAsia="仿宋_GB2312" w:hint="eastAsia"/>
                <w:sz w:val="22"/>
                <w:szCs w:val="22"/>
              </w:rPr>
              <w:t>其他灾害防治及应急管理支出</w:t>
            </w:r>
          </w:p>
        </w:tc>
        <w:tc>
          <w:tcPr>
            <w:tcW w:w="2783"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c>
          <w:tcPr>
            <w:tcW w:w="2978"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0.00</w:t>
            </w:r>
          </w:p>
        </w:tc>
        <w:tc>
          <w:tcPr>
            <w:tcW w:w="2520" w:type="dxa"/>
            <w:tcBorders>
              <w:top w:val="nil"/>
              <w:left w:val="nil"/>
              <w:bottom w:val="single" w:sz="4" w:space="0" w:color="auto"/>
              <w:right w:val="single" w:sz="4" w:space="0" w:color="auto"/>
            </w:tcBorders>
            <w:vAlign w:val="center"/>
          </w:tcPr>
          <w:p w:rsidR="00766B04" w:rsidRDefault="003905ED">
            <w:pPr>
              <w:spacing w:line="320" w:lineRule="exact"/>
              <w:jc w:val="center"/>
              <w:rPr>
                <w:rFonts w:ascii="仿宋_GB2312" w:eastAsia="仿宋_GB2312"/>
                <w:sz w:val="22"/>
                <w:szCs w:val="22"/>
              </w:rPr>
            </w:pPr>
            <w:r>
              <w:rPr>
                <w:rFonts w:ascii="仿宋_GB2312" w:eastAsia="仿宋_GB2312" w:hint="eastAsia"/>
                <w:sz w:val="22"/>
                <w:szCs w:val="22"/>
              </w:rPr>
              <w:t>176.1</w:t>
            </w:r>
          </w:p>
        </w:tc>
      </w:tr>
    </w:tbl>
    <w:p w:rsidR="00766B04" w:rsidRDefault="003905ED">
      <w:pPr>
        <w:spacing w:line="400" w:lineRule="exact"/>
        <w:ind w:firstLineChars="50" w:firstLine="108"/>
        <w:jc w:val="left"/>
        <w:rPr>
          <w:rFonts w:ascii="仿宋_GB2312" w:eastAsia="仿宋_GB2312" w:hAnsi="宋体"/>
          <w:sz w:val="22"/>
          <w:szCs w:val="22"/>
        </w:rPr>
      </w:pPr>
      <w:r>
        <w:rPr>
          <w:rFonts w:ascii="仿宋_GB2312" w:eastAsia="仿宋_GB2312" w:hAnsi="宋体" w:hint="eastAsia"/>
          <w:sz w:val="22"/>
          <w:szCs w:val="22"/>
        </w:rPr>
        <w:t>注：本表反映部门本年度一般公共预算财政拨款支出情况。</w:t>
      </w:r>
    </w:p>
    <w:p w:rsidR="00766B04" w:rsidRDefault="00766B04">
      <w:pPr>
        <w:spacing w:line="400" w:lineRule="exact"/>
        <w:jc w:val="left"/>
        <w:rPr>
          <w:rFonts w:ascii="仿宋_GB2312" w:eastAsia="仿宋_GB2312" w:hAnsi="宋体"/>
          <w:sz w:val="22"/>
          <w:szCs w:val="22"/>
        </w:rPr>
        <w:sectPr w:rsidR="00766B04">
          <w:pgSz w:w="16838" w:h="11906" w:orient="landscape"/>
          <w:pgMar w:top="1531" w:right="1701" w:bottom="1531" w:left="1701" w:header="0" w:footer="1418" w:gutter="0"/>
          <w:cols w:space="720"/>
          <w:docGrid w:type="linesAndChars" w:linePitch="610" w:charSpace="-849"/>
        </w:sect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一般公共预算财政拨款基本支出决算表</w:t>
      </w:r>
    </w:p>
    <w:p w:rsidR="00766B04" w:rsidRDefault="003905ED">
      <w:pPr>
        <w:spacing w:line="400" w:lineRule="exact"/>
        <w:jc w:val="right"/>
        <w:rPr>
          <w:rFonts w:ascii="楷体_GB2312" w:eastAsia="楷体_GB2312"/>
          <w:sz w:val="28"/>
          <w:szCs w:val="28"/>
        </w:rPr>
      </w:pPr>
      <w:r>
        <w:rPr>
          <w:rFonts w:ascii="楷体_GB2312" w:eastAsia="楷体_GB2312" w:hint="eastAsia"/>
          <w:sz w:val="28"/>
          <w:szCs w:val="28"/>
        </w:rPr>
        <w:t>公开</w:t>
      </w:r>
      <w:r>
        <w:rPr>
          <w:rFonts w:ascii="楷体_GB2312" w:eastAsia="楷体_GB2312" w:hint="eastAsia"/>
          <w:sz w:val="28"/>
          <w:szCs w:val="28"/>
        </w:rPr>
        <w:t>06</w:t>
      </w:r>
      <w:r>
        <w:rPr>
          <w:rFonts w:ascii="楷体_GB2312" w:eastAsia="楷体_GB2312" w:hint="eastAsia"/>
          <w:sz w:val="28"/>
          <w:szCs w:val="28"/>
        </w:rPr>
        <w:t>表</w:t>
      </w:r>
    </w:p>
    <w:p w:rsidR="00766B04" w:rsidRDefault="003905ED">
      <w:pPr>
        <w:spacing w:line="400" w:lineRule="exact"/>
        <w:ind w:right="552"/>
        <w:jc w:val="center"/>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275" w:type="dxa"/>
        <w:jc w:val="center"/>
        <w:tblLayout w:type="fixed"/>
        <w:tblLook w:val="04A0"/>
      </w:tblPr>
      <w:tblGrid>
        <w:gridCol w:w="1008"/>
        <w:gridCol w:w="3023"/>
        <w:gridCol w:w="847"/>
        <w:gridCol w:w="1138"/>
        <w:gridCol w:w="1984"/>
        <w:gridCol w:w="833"/>
        <w:gridCol w:w="1010"/>
        <w:gridCol w:w="2551"/>
        <w:gridCol w:w="881"/>
      </w:tblGrid>
      <w:tr w:rsidR="00766B04">
        <w:trPr>
          <w:trHeight w:val="369"/>
          <w:tblHeader/>
          <w:jc w:val="center"/>
        </w:trPr>
        <w:tc>
          <w:tcPr>
            <w:tcW w:w="4878" w:type="dxa"/>
            <w:gridSpan w:val="3"/>
            <w:tcBorders>
              <w:top w:val="single" w:sz="8" w:space="0" w:color="auto"/>
              <w:left w:val="single" w:sz="8"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2"/>
                <w:szCs w:val="22"/>
              </w:rPr>
            </w:pPr>
            <w:r>
              <w:rPr>
                <w:rFonts w:ascii="仿宋_GB2312" w:eastAsia="仿宋_GB2312" w:hAnsi="宋体" w:cs="宋体" w:hint="eastAsia"/>
                <w:color w:val="000000"/>
                <w:kern w:val="0"/>
                <w:sz w:val="22"/>
                <w:szCs w:val="22"/>
              </w:rPr>
              <w:t>人员经费</w:t>
            </w:r>
          </w:p>
        </w:tc>
        <w:tc>
          <w:tcPr>
            <w:tcW w:w="8397" w:type="dxa"/>
            <w:gridSpan w:val="6"/>
            <w:tcBorders>
              <w:top w:val="single" w:sz="8" w:space="0" w:color="auto"/>
              <w:left w:val="nil"/>
              <w:bottom w:val="single" w:sz="4" w:space="0" w:color="auto"/>
              <w:right w:val="single" w:sz="8" w:space="0" w:color="000000"/>
            </w:tcBorders>
            <w:vAlign w:val="center"/>
          </w:tcPr>
          <w:p w:rsidR="00766B04" w:rsidRDefault="003905ED">
            <w:pPr>
              <w:widowControl/>
              <w:spacing w:line="300" w:lineRule="exact"/>
              <w:jc w:val="center"/>
              <w:rPr>
                <w:rFonts w:ascii="仿宋_GB2312" w:eastAsia="仿宋_GB2312" w:hAnsi="宋体" w:cs="宋体"/>
                <w:color w:val="000000"/>
                <w:kern w:val="0"/>
                <w:sz w:val="22"/>
                <w:szCs w:val="22"/>
              </w:rPr>
            </w:pPr>
            <w:r>
              <w:rPr>
                <w:rFonts w:ascii="仿宋_GB2312" w:eastAsia="仿宋_GB2312" w:hAnsi="宋体" w:cs="宋体" w:hint="eastAsia"/>
                <w:color w:val="000000"/>
                <w:kern w:val="0"/>
                <w:sz w:val="22"/>
                <w:szCs w:val="22"/>
              </w:rPr>
              <w:t>公用经费</w:t>
            </w:r>
          </w:p>
        </w:tc>
      </w:tr>
      <w:tr w:rsidR="00766B04">
        <w:trPr>
          <w:trHeight w:val="300"/>
          <w:tblHeader/>
          <w:jc w:val="center"/>
        </w:trPr>
        <w:tc>
          <w:tcPr>
            <w:tcW w:w="1008" w:type="dxa"/>
            <w:vMerge w:val="restart"/>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w:t>
            </w:r>
            <w:r>
              <w:rPr>
                <w:rFonts w:ascii="仿宋_GB2312" w:eastAsia="仿宋_GB2312" w:hAnsi="宋体" w:cs="宋体" w:hint="eastAsia"/>
                <w:color w:val="000000"/>
                <w:kern w:val="0"/>
                <w:sz w:val="20"/>
                <w:szCs w:val="20"/>
              </w:rPr>
              <w:t xml:space="preserve"> </w:t>
            </w:r>
            <w:r>
              <w:rPr>
                <w:rFonts w:ascii="仿宋_GB2312" w:eastAsia="仿宋_GB2312" w:hAnsi="宋体" w:cs="宋体" w:hint="eastAsia"/>
                <w:color w:val="000000"/>
                <w:kern w:val="0"/>
                <w:sz w:val="20"/>
                <w:szCs w:val="20"/>
              </w:rPr>
              <w:t>科目编码</w:t>
            </w:r>
          </w:p>
        </w:tc>
        <w:tc>
          <w:tcPr>
            <w:tcW w:w="3023"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47"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c>
          <w:tcPr>
            <w:tcW w:w="1138"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经济分类科目编码</w:t>
            </w:r>
          </w:p>
        </w:tc>
        <w:tc>
          <w:tcPr>
            <w:tcW w:w="1984"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33"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c>
          <w:tcPr>
            <w:tcW w:w="1010"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经济分类科目编码</w:t>
            </w:r>
          </w:p>
        </w:tc>
        <w:tc>
          <w:tcPr>
            <w:tcW w:w="2551" w:type="dxa"/>
            <w:vMerge w:val="restart"/>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81" w:type="dxa"/>
            <w:vMerge w:val="restart"/>
            <w:tcBorders>
              <w:top w:val="nil"/>
              <w:left w:val="single" w:sz="4" w:space="0" w:color="auto"/>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r>
      <w:tr w:rsidR="00766B04">
        <w:trPr>
          <w:trHeight w:val="300"/>
          <w:tblHeader/>
          <w:jc w:val="center"/>
        </w:trPr>
        <w:tc>
          <w:tcPr>
            <w:tcW w:w="1008" w:type="dxa"/>
            <w:vMerge/>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3023"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847"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1138"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1984"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833"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1010"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2551" w:type="dxa"/>
            <w:vMerge/>
            <w:tcBorders>
              <w:top w:val="nil"/>
              <w:left w:val="single" w:sz="4" w:space="0" w:color="auto"/>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c>
          <w:tcPr>
            <w:tcW w:w="881" w:type="dxa"/>
            <w:vMerge/>
            <w:tcBorders>
              <w:top w:val="nil"/>
              <w:left w:val="single" w:sz="4" w:space="0" w:color="auto"/>
              <w:bottom w:val="single" w:sz="4" w:space="0" w:color="auto"/>
              <w:right w:val="single" w:sz="8" w:space="0" w:color="auto"/>
            </w:tcBorders>
            <w:vAlign w:val="center"/>
          </w:tcPr>
          <w:p w:rsidR="00766B04" w:rsidRDefault="00766B04">
            <w:pPr>
              <w:widowControl/>
              <w:spacing w:line="300" w:lineRule="exact"/>
              <w:jc w:val="left"/>
              <w:rPr>
                <w:rFonts w:ascii="仿宋_GB2312" w:eastAsia="仿宋_GB2312" w:hAnsi="宋体" w:cs="宋体"/>
                <w:color w:val="000000"/>
                <w:kern w:val="0"/>
                <w:sz w:val="22"/>
                <w:szCs w:val="22"/>
              </w:rPr>
            </w:pP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工资福利支出</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422.26</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商品和服务支出</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161.15</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资本性支出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30101</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基本工资</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111.53</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30201</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办公费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19.19</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31001</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房屋建筑物购建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30102</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津贴补贴</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160.59</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30202</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印刷费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8.87</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31002</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办公设备购置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30103</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奖金</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18.99</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30203</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咨询费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31003</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专用设备购置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30106</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伙食补助费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30204</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手续费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31005</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基础设施建设</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30107</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绩效工资</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30205</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水费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31006</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大型修缮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30108</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机关事业单位基本养老保险费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23.32</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30206</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电费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1.49</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31007</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信息网络及软件购置更新</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30109</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职业年金缴费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30207</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邮电费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2.06</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31008</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物资储备</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30110</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职工基本医疗保险缴费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10.51</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30208</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取暖费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3.27</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土地补偿</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30111</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公务员医疗补助缴费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2.56</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30209</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物业管理费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3.24</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31010</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安置补助</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30112</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其他社会保障缴费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0.45</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30211</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差旅费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5.37</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31011</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地上附着物和青苗补偿</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30113</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住房公积金</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32.95</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30212</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因公出国（境）费用</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31012</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拆迁补偿</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30114</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医疗费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30213</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维修（护）费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31013</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公务用车购置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30199</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其他工资福利支出</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61.36</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30214</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租赁费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其他交通工具购置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对个人和家庭的补助</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332.34</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30215</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会议费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31021</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文物和陈列品购置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30301</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离休费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30216</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培训费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7.77</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31022</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无形资产购置</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30302</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退休费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30217</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公务招待费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2.03</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31099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其他资本性支出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30303</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退职（役）费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30218</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专用材料费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对企业补助</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30304</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抚恤金</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30224</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被装购置费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5.91</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31201</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资本金注入</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30305</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生活补助</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30225</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专用燃料费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31203</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政府投资基金股权投资</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lastRenderedPageBreak/>
              <w:t>30306</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救济费</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30226</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劳务费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31.4</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31204</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费用补贴</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30307</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医疗费补助</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30227</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委托业务费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24</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31205</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利息补贴</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30308</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助学金</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30228</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工会经费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ind w:right="108"/>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13.07</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31299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其他对企业补助</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30309</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奖励金</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0.02</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30229</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福利费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313</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对社会保障基金补助</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30310</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个人农业生产补贴</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30231</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公务用车运行维护费</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31302</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对社会保险基金补助</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30399</w:t>
            </w:r>
          </w:p>
        </w:tc>
        <w:tc>
          <w:tcPr>
            <w:tcW w:w="3023"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对其他个人和家庭的补助支出</w:t>
            </w:r>
          </w:p>
        </w:tc>
        <w:tc>
          <w:tcPr>
            <w:tcW w:w="847"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332.32</w:t>
            </w: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30239</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其他交通费用</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20.59</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31303</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补充全国社会保障基金</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30240</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税金及附加费用</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其他支出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30299</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其他商品和服务支出</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12.89</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39906</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赠与</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债务利息及费用支出</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39907</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国家赔偿费用支出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30701</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国内债务付息</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39908</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对民间非营利组织和群众性自治组织补贴</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30702</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国外债务付息</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39999</w:t>
            </w:r>
          </w:p>
        </w:tc>
        <w:tc>
          <w:tcPr>
            <w:tcW w:w="2551"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其他支出</w:t>
            </w:r>
          </w:p>
        </w:tc>
        <w:tc>
          <w:tcPr>
            <w:tcW w:w="881" w:type="dxa"/>
            <w:tcBorders>
              <w:top w:val="nil"/>
              <w:left w:val="nil"/>
              <w:bottom w:val="single" w:sz="4"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int="eastAsia"/>
                <w:sz w:val="20"/>
                <w:szCs w:val="20"/>
              </w:rPr>
              <w:t>0.00</w:t>
            </w: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30703</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国内债务发行费用</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2551"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81" w:type="dxa"/>
            <w:tcBorders>
              <w:top w:val="nil"/>
              <w:left w:val="nil"/>
              <w:bottom w:val="single" w:sz="4" w:space="0" w:color="auto"/>
              <w:right w:val="single" w:sz="8" w:space="0" w:color="auto"/>
            </w:tcBorders>
            <w:vAlign w:val="center"/>
          </w:tcPr>
          <w:p w:rsidR="00766B04" w:rsidRDefault="00766B04">
            <w:pPr>
              <w:widowControl/>
              <w:spacing w:line="300" w:lineRule="exact"/>
              <w:jc w:val="center"/>
              <w:rPr>
                <w:rFonts w:ascii="仿宋_GB2312" w:eastAsia="仿宋_GB2312" w:hAnsi="宋体" w:cs="宋体"/>
                <w:color w:val="000000"/>
                <w:kern w:val="0"/>
                <w:sz w:val="20"/>
                <w:szCs w:val="20"/>
              </w:rPr>
            </w:pPr>
          </w:p>
        </w:tc>
      </w:tr>
      <w:tr w:rsidR="00766B04">
        <w:trPr>
          <w:trHeight w:val="20"/>
          <w:jc w:val="center"/>
        </w:trPr>
        <w:tc>
          <w:tcPr>
            <w:tcW w:w="1008" w:type="dxa"/>
            <w:tcBorders>
              <w:top w:val="nil"/>
              <w:left w:val="single" w:sz="8" w:space="0" w:color="auto"/>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30704</w:t>
            </w:r>
          </w:p>
        </w:tc>
        <w:tc>
          <w:tcPr>
            <w:tcW w:w="1984" w:type="dxa"/>
            <w:tcBorders>
              <w:top w:val="nil"/>
              <w:left w:val="nil"/>
              <w:bottom w:val="single" w:sz="4" w:space="0" w:color="auto"/>
              <w:right w:val="single" w:sz="4" w:space="0" w:color="auto"/>
            </w:tcBorders>
            <w:vAlign w:val="center"/>
          </w:tcPr>
          <w:p w:rsidR="00766B04" w:rsidRDefault="003905ED">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国外债务发行费用</w:t>
            </w:r>
          </w:p>
        </w:tc>
        <w:tc>
          <w:tcPr>
            <w:tcW w:w="833"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color w:val="000000"/>
                <w:kern w:val="0"/>
                <w:sz w:val="20"/>
                <w:szCs w:val="20"/>
              </w:rPr>
            </w:pPr>
            <w:r>
              <w:rPr>
                <w:rFonts w:ascii="仿宋_GB2312" w:eastAsia="仿宋_GB2312" w:hint="eastAsia"/>
                <w:sz w:val="20"/>
                <w:szCs w:val="20"/>
              </w:rPr>
              <w:t>0.00</w:t>
            </w:r>
          </w:p>
        </w:tc>
        <w:tc>
          <w:tcPr>
            <w:tcW w:w="1010"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2551"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color w:val="000000"/>
                <w:kern w:val="0"/>
                <w:sz w:val="20"/>
                <w:szCs w:val="20"/>
              </w:rPr>
            </w:pPr>
          </w:p>
        </w:tc>
        <w:tc>
          <w:tcPr>
            <w:tcW w:w="881" w:type="dxa"/>
            <w:tcBorders>
              <w:top w:val="nil"/>
              <w:left w:val="nil"/>
              <w:bottom w:val="single" w:sz="4" w:space="0" w:color="auto"/>
              <w:right w:val="single" w:sz="8" w:space="0" w:color="auto"/>
            </w:tcBorders>
            <w:vAlign w:val="center"/>
          </w:tcPr>
          <w:p w:rsidR="00766B04" w:rsidRDefault="00766B04">
            <w:pPr>
              <w:widowControl/>
              <w:spacing w:line="300" w:lineRule="exact"/>
              <w:jc w:val="center"/>
              <w:rPr>
                <w:rFonts w:ascii="仿宋_GB2312" w:eastAsia="仿宋_GB2312" w:hAnsi="宋体" w:cs="宋体"/>
                <w:color w:val="000000"/>
                <w:kern w:val="0"/>
                <w:sz w:val="20"/>
                <w:szCs w:val="20"/>
              </w:rPr>
            </w:pPr>
          </w:p>
        </w:tc>
      </w:tr>
      <w:tr w:rsidR="00766B04">
        <w:trPr>
          <w:trHeight w:val="20"/>
          <w:jc w:val="center"/>
        </w:trPr>
        <w:tc>
          <w:tcPr>
            <w:tcW w:w="4031" w:type="dxa"/>
            <w:gridSpan w:val="2"/>
            <w:tcBorders>
              <w:top w:val="single" w:sz="4" w:space="0" w:color="auto"/>
              <w:left w:val="single" w:sz="8" w:space="0" w:color="auto"/>
              <w:bottom w:val="single" w:sz="8"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人员经费合计</w:t>
            </w:r>
          </w:p>
        </w:tc>
        <w:tc>
          <w:tcPr>
            <w:tcW w:w="847" w:type="dxa"/>
            <w:tcBorders>
              <w:top w:val="nil"/>
              <w:left w:val="nil"/>
              <w:bottom w:val="single" w:sz="8"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423.29</w:t>
            </w:r>
          </w:p>
        </w:tc>
        <w:tc>
          <w:tcPr>
            <w:tcW w:w="7516" w:type="dxa"/>
            <w:gridSpan w:val="5"/>
            <w:tcBorders>
              <w:top w:val="single" w:sz="4" w:space="0" w:color="auto"/>
              <w:left w:val="nil"/>
              <w:bottom w:val="single" w:sz="8"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公用经费合计</w:t>
            </w:r>
          </w:p>
        </w:tc>
        <w:tc>
          <w:tcPr>
            <w:tcW w:w="881" w:type="dxa"/>
            <w:tcBorders>
              <w:top w:val="nil"/>
              <w:left w:val="nil"/>
              <w:bottom w:val="single" w:sz="8" w:space="0" w:color="auto"/>
              <w:right w:val="single" w:sz="8" w:space="0" w:color="auto"/>
            </w:tcBorders>
            <w:vAlign w:val="center"/>
          </w:tcPr>
          <w:p w:rsidR="00766B04" w:rsidRDefault="003905ED">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161.15</w:t>
            </w:r>
          </w:p>
        </w:tc>
      </w:tr>
    </w:tbl>
    <w:p w:rsidR="00766B04" w:rsidRDefault="003905ED">
      <w:pPr>
        <w:spacing w:line="400" w:lineRule="exact"/>
        <w:ind w:firstLineChars="50" w:firstLine="108"/>
        <w:jc w:val="left"/>
        <w:rPr>
          <w:rFonts w:ascii="仿宋_GB2312" w:eastAsia="仿宋_GB2312" w:hAnsi="宋体"/>
          <w:sz w:val="22"/>
          <w:szCs w:val="22"/>
        </w:rPr>
      </w:pPr>
      <w:r>
        <w:rPr>
          <w:rFonts w:ascii="仿宋_GB2312" w:eastAsia="仿宋_GB2312" w:hAnsi="宋体" w:hint="eastAsia"/>
          <w:sz w:val="22"/>
          <w:szCs w:val="22"/>
        </w:rPr>
        <w:t>注</w:t>
      </w:r>
      <w:r>
        <w:rPr>
          <w:rFonts w:ascii="仿宋_GB2312" w:eastAsia="仿宋_GB2312" w:hAnsi="宋体" w:hint="eastAsia"/>
          <w:sz w:val="22"/>
          <w:szCs w:val="22"/>
        </w:rPr>
        <w:t>:</w:t>
      </w:r>
      <w:r>
        <w:rPr>
          <w:rFonts w:ascii="仿宋_GB2312" w:eastAsia="仿宋_GB2312" w:hAnsi="宋体" w:hint="eastAsia"/>
          <w:sz w:val="22"/>
          <w:szCs w:val="22"/>
        </w:rPr>
        <w:t>本表反映部门本年度一般公共预算财政拨款基本支出明细情况。</w:t>
      </w:r>
    </w:p>
    <w:p w:rsidR="00766B04" w:rsidRDefault="00766B04">
      <w:pPr>
        <w:rPr>
          <w:rFonts w:ascii="仿宋_GB2312" w:eastAsia="仿宋_GB2312" w:hAnsi="宋体"/>
          <w:sz w:val="22"/>
          <w:szCs w:val="22"/>
        </w:rPr>
        <w:sectPr w:rsidR="00766B04">
          <w:pgSz w:w="16838" w:h="11906" w:orient="landscape"/>
          <w:pgMar w:top="1531" w:right="1701" w:bottom="1531" w:left="1701" w:header="0" w:footer="1418" w:gutter="0"/>
          <w:cols w:space="720"/>
          <w:docGrid w:type="linesAndChars" w:linePitch="610" w:charSpace="-849"/>
        </w:sect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一般公共预算财政拨款“三公”经费支出决算表</w:t>
      </w:r>
    </w:p>
    <w:p w:rsidR="00766B04" w:rsidRDefault="003905ED">
      <w:pPr>
        <w:wordWrap w:val="0"/>
        <w:spacing w:line="400" w:lineRule="exact"/>
        <w:jc w:val="right"/>
        <w:rPr>
          <w:rFonts w:ascii="楷体_GB2312" w:eastAsia="楷体_GB2312"/>
          <w:sz w:val="28"/>
          <w:szCs w:val="28"/>
        </w:rPr>
      </w:pPr>
      <w:r>
        <w:rPr>
          <w:rFonts w:ascii="方正小标宋简体" w:eastAsia="方正小标宋简体" w:hint="eastAsia"/>
          <w:sz w:val="44"/>
          <w:szCs w:val="44"/>
        </w:rPr>
        <w:t xml:space="preserve">　</w:t>
      </w:r>
      <w:r>
        <w:rPr>
          <w:rFonts w:ascii="楷体_GB2312" w:eastAsia="楷体_GB2312" w:hint="eastAsia"/>
          <w:sz w:val="28"/>
          <w:szCs w:val="28"/>
        </w:rPr>
        <w:t>公开</w:t>
      </w:r>
      <w:r>
        <w:rPr>
          <w:rFonts w:ascii="楷体_GB2312" w:eastAsia="楷体_GB2312" w:hint="eastAsia"/>
          <w:sz w:val="28"/>
          <w:szCs w:val="28"/>
        </w:rPr>
        <w:t>07</w:t>
      </w:r>
      <w:r>
        <w:rPr>
          <w:rFonts w:ascii="楷体_GB2312" w:eastAsia="楷体_GB2312" w:hint="eastAsia"/>
          <w:sz w:val="28"/>
          <w:szCs w:val="28"/>
        </w:rPr>
        <w:t>表</w:t>
      </w:r>
    </w:p>
    <w:p w:rsidR="00766B04" w:rsidRDefault="003905ED">
      <w:pPr>
        <w:spacing w:line="400" w:lineRule="exact"/>
        <w:ind w:firstLineChars="50" w:firstLine="138"/>
        <w:jc w:val="lef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W w:w="13256" w:type="dxa"/>
        <w:jc w:val="center"/>
        <w:tblLayout w:type="fixed"/>
        <w:tblLook w:val="04A0"/>
      </w:tblPr>
      <w:tblGrid>
        <w:gridCol w:w="1179"/>
        <w:gridCol w:w="1195"/>
        <w:gridCol w:w="1180"/>
        <w:gridCol w:w="1180"/>
        <w:gridCol w:w="1188"/>
        <w:gridCol w:w="962"/>
        <w:gridCol w:w="1098"/>
        <w:gridCol w:w="1143"/>
        <w:gridCol w:w="851"/>
        <w:gridCol w:w="1132"/>
        <w:gridCol w:w="1164"/>
        <w:gridCol w:w="984"/>
      </w:tblGrid>
      <w:tr w:rsidR="00766B04">
        <w:trPr>
          <w:trHeight w:val="862"/>
          <w:jc w:val="center"/>
        </w:trPr>
        <w:tc>
          <w:tcPr>
            <w:tcW w:w="6884" w:type="dxa"/>
            <w:gridSpan w:val="6"/>
            <w:tcBorders>
              <w:top w:val="single" w:sz="8" w:space="0" w:color="auto"/>
              <w:left w:val="single" w:sz="8" w:space="0" w:color="auto"/>
              <w:bottom w:val="single" w:sz="4" w:space="0" w:color="auto"/>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预</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算</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数</w:t>
            </w:r>
          </w:p>
        </w:tc>
        <w:tc>
          <w:tcPr>
            <w:tcW w:w="6372" w:type="dxa"/>
            <w:gridSpan w:val="6"/>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决</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算</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 xml:space="preserve">数　</w:t>
            </w:r>
          </w:p>
        </w:tc>
      </w:tr>
      <w:tr w:rsidR="00766B04">
        <w:trPr>
          <w:trHeight w:val="862"/>
          <w:jc w:val="center"/>
        </w:trPr>
        <w:tc>
          <w:tcPr>
            <w:tcW w:w="1179" w:type="dxa"/>
            <w:vMerge w:val="restart"/>
            <w:tcBorders>
              <w:top w:val="nil"/>
              <w:left w:val="single" w:sz="8"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因公出国（境）费</w:t>
            </w:r>
          </w:p>
        </w:tc>
        <w:tc>
          <w:tcPr>
            <w:tcW w:w="3548" w:type="dxa"/>
            <w:gridSpan w:val="3"/>
            <w:tcBorders>
              <w:top w:val="single" w:sz="4" w:space="0" w:color="auto"/>
              <w:left w:val="nil"/>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公务用车购置及运行费</w:t>
            </w:r>
          </w:p>
        </w:tc>
        <w:tc>
          <w:tcPr>
            <w:tcW w:w="962" w:type="dxa"/>
            <w:vMerge w:val="restart"/>
            <w:tcBorders>
              <w:top w:val="nil"/>
              <w:left w:val="single" w:sz="4" w:space="0" w:color="auto"/>
              <w:bottom w:val="single" w:sz="4" w:space="0" w:color="auto"/>
              <w:right w:val="single" w:sz="8" w:space="0" w:color="000000"/>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接待费</w:t>
            </w:r>
          </w:p>
        </w:tc>
        <w:tc>
          <w:tcPr>
            <w:tcW w:w="1098"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143"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因公出国（境）费</w:t>
            </w:r>
          </w:p>
        </w:tc>
        <w:tc>
          <w:tcPr>
            <w:tcW w:w="3147" w:type="dxa"/>
            <w:gridSpan w:val="3"/>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公务用车购置及运行费</w:t>
            </w:r>
          </w:p>
        </w:tc>
        <w:tc>
          <w:tcPr>
            <w:tcW w:w="984" w:type="dxa"/>
            <w:vMerge w:val="restart"/>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w:t>
            </w:r>
          </w:p>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接待费</w:t>
            </w:r>
          </w:p>
        </w:tc>
      </w:tr>
      <w:tr w:rsidR="00766B04">
        <w:trPr>
          <w:trHeight w:val="862"/>
          <w:jc w:val="center"/>
        </w:trPr>
        <w:tc>
          <w:tcPr>
            <w:tcW w:w="1179" w:type="dxa"/>
            <w:vMerge/>
            <w:tcBorders>
              <w:top w:val="nil"/>
              <w:left w:val="single" w:sz="8" w:space="0" w:color="auto"/>
              <w:bottom w:val="single" w:sz="4" w:space="0" w:color="auto"/>
              <w:right w:val="single" w:sz="4" w:space="0" w:color="auto"/>
            </w:tcBorders>
            <w:shd w:val="clear" w:color="auto" w:fill="auto"/>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195" w:type="dxa"/>
            <w:vMerge/>
            <w:tcBorders>
              <w:top w:val="nil"/>
              <w:left w:val="single" w:sz="4" w:space="0" w:color="auto"/>
              <w:bottom w:val="single" w:sz="4" w:space="0" w:color="auto"/>
              <w:right w:val="single" w:sz="4" w:space="0" w:color="auto"/>
            </w:tcBorders>
            <w:shd w:val="clear" w:color="auto" w:fill="auto"/>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180" w:type="dxa"/>
            <w:tcBorders>
              <w:top w:val="nil"/>
              <w:left w:val="nil"/>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180" w:type="dxa"/>
            <w:tcBorders>
              <w:top w:val="nil"/>
              <w:left w:val="nil"/>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公务用车购置费</w:t>
            </w:r>
          </w:p>
        </w:tc>
        <w:tc>
          <w:tcPr>
            <w:tcW w:w="1188" w:type="dxa"/>
            <w:tcBorders>
              <w:top w:val="nil"/>
              <w:left w:val="nil"/>
              <w:bottom w:val="single" w:sz="4"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公务用车运行费</w:t>
            </w:r>
          </w:p>
        </w:tc>
        <w:tc>
          <w:tcPr>
            <w:tcW w:w="962" w:type="dxa"/>
            <w:vMerge/>
            <w:tcBorders>
              <w:top w:val="nil"/>
              <w:left w:val="single" w:sz="4" w:space="0" w:color="auto"/>
              <w:bottom w:val="single" w:sz="4" w:space="0" w:color="auto"/>
              <w:right w:val="single" w:sz="8" w:space="0" w:color="000000"/>
            </w:tcBorders>
            <w:shd w:val="clear" w:color="auto" w:fill="auto"/>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098"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766B04">
            <w:pPr>
              <w:spacing w:line="300" w:lineRule="exact"/>
              <w:jc w:val="left"/>
              <w:rPr>
                <w:rFonts w:ascii="仿宋_GB2312" w:eastAsia="仿宋_GB2312" w:hAnsi="宋体" w:cs="宋体"/>
                <w:kern w:val="0"/>
                <w:sz w:val="22"/>
                <w:szCs w:val="22"/>
              </w:rPr>
            </w:pPr>
          </w:p>
        </w:tc>
        <w:tc>
          <w:tcPr>
            <w:tcW w:w="1143"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766B04">
            <w:pPr>
              <w:spacing w:line="300" w:lineRule="exact"/>
              <w:jc w:val="left"/>
              <w:rPr>
                <w:rFonts w:ascii="仿宋_GB2312" w:eastAsia="仿宋_GB2312" w:hAnsi="宋体" w:cs="宋体"/>
                <w:kern w:val="0"/>
                <w:sz w:val="22"/>
                <w:szCs w:val="22"/>
              </w:rPr>
            </w:pPr>
          </w:p>
        </w:tc>
        <w:tc>
          <w:tcPr>
            <w:tcW w:w="851"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132"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公务用车购置费</w:t>
            </w:r>
          </w:p>
        </w:tc>
        <w:tc>
          <w:tcPr>
            <w:tcW w:w="1164"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公务用车运行费</w:t>
            </w:r>
          </w:p>
        </w:tc>
        <w:tc>
          <w:tcPr>
            <w:tcW w:w="984" w:type="dxa"/>
            <w:vMerge/>
            <w:tcBorders>
              <w:top w:val="single" w:sz="8" w:space="0" w:color="000000"/>
              <w:left w:val="single" w:sz="8" w:space="0" w:color="000000"/>
              <w:bottom w:val="single" w:sz="8" w:space="0" w:color="000000"/>
              <w:right w:val="single" w:sz="8" w:space="0" w:color="000000"/>
            </w:tcBorders>
            <w:vAlign w:val="center"/>
          </w:tcPr>
          <w:p w:rsidR="00766B04" w:rsidRDefault="00766B04">
            <w:pPr>
              <w:widowControl/>
              <w:spacing w:line="300" w:lineRule="exact"/>
              <w:jc w:val="left"/>
              <w:rPr>
                <w:rFonts w:ascii="仿宋_GB2312" w:eastAsia="仿宋_GB2312" w:hAnsi="宋体" w:cs="宋体"/>
                <w:kern w:val="0"/>
                <w:sz w:val="22"/>
                <w:szCs w:val="22"/>
              </w:rPr>
            </w:pPr>
          </w:p>
        </w:tc>
      </w:tr>
      <w:tr w:rsidR="00766B04">
        <w:trPr>
          <w:trHeight w:val="623"/>
          <w:jc w:val="center"/>
        </w:trPr>
        <w:tc>
          <w:tcPr>
            <w:tcW w:w="1179" w:type="dxa"/>
            <w:tcBorders>
              <w:top w:val="nil"/>
              <w:left w:val="single" w:sz="8" w:space="0" w:color="auto"/>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195"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180"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180"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188"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962" w:type="dxa"/>
            <w:tcBorders>
              <w:top w:val="nil"/>
              <w:left w:val="nil"/>
              <w:bottom w:val="single" w:sz="8" w:space="0" w:color="auto"/>
              <w:right w:val="single" w:sz="8" w:space="0" w:color="000000"/>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098"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c>
          <w:tcPr>
            <w:tcW w:w="1143"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w:t>
            </w:r>
          </w:p>
        </w:tc>
        <w:tc>
          <w:tcPr>
            <w:tcW w:w="851"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w:t>
            </w:r>
          </w:p>
        </w:tc>
        <w:tc>
          <w:tcPr>
            <w:tcW w:w="1132"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10</w:t>
            </w:r>
          </w:p>
        </w:tc>
        <w:tc>
          <w:tcPr>
            <w:tcW w:w="1164"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w:t>
            </w:r>
          </w:p>
        </w:tc>
        <w:tc>
          <w:tcPr>
            <w:tcW w:w="984"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12</w:t>
            </w:r>
          </w:p>
        </w:tc>
      </w:tr>
      <w:tr w:rsidR="00766B04">
        <w:trPr>
          <w:trHeight w:val="1296"/>
          <w:jc w:val="center"/>
        </w:trPr>
        <w:tc>
          <w:tcPr>
            <w:tcW w:w="1179" w:type="dxa"/>
            <w:tcBorders>
              <w:top w:val="nil"/>
              <w:left w:val="single" w:sz="8" w:space="0" w:color="auto"/>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8.5</w:t>
            </w:r>
          </w:p>
        </w:tc>
        <w:tc>
          <w:tcPr>
            <w:tcW w:w="1195"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1180"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w:t>
            </w:r>
            <w:r>
              <w:rPr>
                <w:rFonts w:ascii="仿宋_GB2312" w:eastAsia="仿宋_GB2312" w:hint="eastAsia"/>
                <w:sz w:val="20"/>
                <w:szCs w:val="20"/>
              </w:rPr>
              <w:t>00</w:t>
            </w:r>
          </w:p>
        </w:tc>
        <w:tc>
          <w:tcPr>
            <w:tcW w:w="1180"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1188" w:type="dxa"/>
            <w:tcBorders>
              <w:top w:val="nil"/>
              <w:left w:val="nil"/>
              <w:bottom w:val="single" w:sz="8" w:space="0" w:color="auto"/>
              <w:right w:val="single" w:sz="4" w:space="0" w:color="auto"/>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962" w:type="dxa"/>
            <w:tcBorders>
              <w:top w:val="nil"/>
              <w:left w:val="nil"/>
              <w:bottom w:val="single" w:sz="8" w:space="0" w:color="auto"/>
              <w:right w:val="single" w:sz="8" w:space="0" w:color="000000"/>
            </w:tcBorders>
            <w:shd w:val="clear" w:color="auto" w:fill="auto"/>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8.5</w:t>
            </w:r>
          </w:p>
        </w:tc>
        <w:tc>
          <w:tcPr>
            <w:tcW w:w="1098"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2.03</w:t>
            </w:r>
          </w:p>
        </w:tc>
        <w:tc>
          <w:tcPr>
            <w:tcW w:w="1143"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851"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1132"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1164"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int="eastAsia"/>
                <w:sz w:val="20"/>
                <w:szCs w:val="20"/>
              </w:rPr>
              <w:t>0.00</w:t>
            </w:r>
          </w:p>
        </w:tc>
        <w:tc>
          <w:tcPr>
            <w:tcW w:w="984" w:type="dxa"/>
            <w:tcBorders>
              <w:top w:val="single" w:sz="8" w:space="0" w:color="000000"/>
              <w:left w:val="single" w:sz="8" w:space="0" w:color="000000"/>
              <w:bottom w:val="single" w:sz="8" w:space="0" w:color="000000"/>
              <w:right w:val="single" w:sz="8" w:space="0" w:color="000000"/>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2.03</w:t>
            </w:r>
          </w:p>
        </w:tc>
      </w:tr>
    </w:tbl>
    <w:p w:rsidR="00766B04" w:rsidRDefault="003905ED">
      <w:pPr>
        <w:spacing w:line="360" w:lineRule="exact"/>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注：本表反映部门本年度“三公”经费支出预决算情况。其中：预算数为“三公”经费年初预算数，决算数包括当年一般公共预算财政拨款</w:t>
      </w:r>
    </w:p>
    <w:p w:rsidR="00766B04" w:rsidRDefault="003905ED">
      <w:pPr>
        <w:spacing w:line="360" w:lineRule="exact"/>
        <w:ind w:firstLineChars="250" w:firstLine="540"/>
        <w:rPr>
          <w:rFonts w:ascii="仿宋_GB2312" w:eastAsia="仿宋_GB2312" w:hAnsi="宋体"/>
          <w:sz w:val="22"/>
          <w:szCs w:val="22"/>
        </w:rPr>
      </w:pPr>
      <w:r>
        <w:rPr>
          <w:rFonts w:ascii="仿宋_GB2312" w:eastAsia="仿宋_GB2312" w:hAnsi="宋体" w:hint="eastAsia"/>
          <w:sz w:val="22"/>
          <w:szCs w:val="22"/>
        </w:rPr>
        <w:t>和以前年度结转资金安排的实际支出。</w:t>
      </w:r>
    </w:p>
    <w:p w:rsidR="00766B04" w:rsidRDefault="00766B04">
      <w:pPr>
        <w:ind w:firstLineChars="50" w:firstLine="108"/>
        <w:rPr>
          <w:rFonts w:ascii="仿宋_GB2312" w:eastAsia="仿宋_GB2312" w:hAnsi="宋体"/>
          <w:sz w:val="22"/>
          <w:szCs w:val="22"/>
        </w:rPr>
      </w:pPr>
    </w:p>
    <w:p w:rsidR="00766B04" w:rsidRDefault="00766B04">
      <w:pPr>
        <w:ind w:firstLineChars="50" w:firstLine="108"/>
        <w:rPr>
          <w:rFonts w:ascii="仿宋_GB2312" w:eastAsia="仿宋_GB2312" w:hAnsi="宋体"/>
          <w:sz w:val="22"/>
          <w:szCs w:val="22"/>
        </w:rPr>
      </w:pPr>
    </w:p>
    <w:p w:rsidR="00766B04" w:rsidRDefault="00766B04">
      <w:pPr>
        <w:ind w:firstLineChars="50" w:firstLine="108"/>
        <w:rPr>
          <w:rFonts w:ascii="仿宋_GB2312" w:eastAsia="仿宋_GB2312" w:hAnsi="宋体"/>
          <w:sz w:val="22"/>
          <w:szCs w:val="22"/>
        </w:rPr>
      </w:pPr>
    </w:p>
    <w:p w:rsidR="00766B04" w:rsidRDefault="003905ED">
      <w:pPr>
        <w:jc w:val="center"/>
        <w:rPr>
          <w:rFonts w:ascii="仿宋" w:eastAsia="仿宋" w:hAnsi="仿宋" w:cs="仿宋"/>
          <w:sz w:val="44"/>
          <w:szCs w:val="44"/>
        </w:rPr>
      </w:pPr>
      <w:r>
        <w:rPr>
          <w:rFonts w:ascii="仿宋" w:eastAsia="仿宋" w:hAnsi="仿宋" w:cs="仿宋" w:hint="eastAsia"/>
          <w:sz w:val="44"/>
          <w:szCs w:val="44"/>
        </w:rPr>
        <w:lastRenderedPageBreak/>
        <w:t>政府性基金预算财政拨款收入支出决算表</w:t>
      </w:r>
    </w:p>
    <w:p w:rsidR="00766B04" w:rsidRDefault="003905ED">
      <w:pPr>
        <w:spacing w:line="400" w:lineRule="exact"/>
        <w:jc w:val="right"/>
        <w:rPr>
          <w:rFonts w:ascii="楷体_GB2312" w:eastAsia="楷体_GB2312"/>
          <w:sz w:val="28"/>
          <w:szCs w:val="28"/>
        </w:rPr>
      </w:pPr>
      <w:r>
        <w:rPr>
          <w:rFonts w:ascii="楷体_GB2312" w:eastAsia="楷体_GB2312" w:hint="eastAsia"/>
          <w:sz w:val="28"/>
          <w:szCs w:val="28"/>
        </w:rPr>
        <w:t>公开</w:t>
      </w:r>
      <w:r>
        <w:rPr>
          <w:rFonts w:ascii="楷体_GB2312" w:eastAsia="楷体_GB2312" w:hint="eastAsia"/>
          <w:sz w:val="28"/>
          <w:szCs w:val="28"/>
        </w:rPr>
        <w:t>08</w:t>
      </w:r>
      <w:r>
        <w:rPr>
          <w:rFonts w:ascii="楷体_GB2312" w:eastAsia="楷体_GB2312" w:hint="eastAsia"/>
          <w:sz w:val="28"/>
          <w:szCs w:val="28"/>
        </w:rPr>
        <w:t>表</w:t>
      </w:r>
    </w:p>
    <w:p w:rsidR="00766B04" w:rsidRDefault="003905ED">
      <w:pPr>
        <w:spacing w:line="400" w:lineRule="exact"/>
        <w:ind w:right="138" w:firstLineChars="50" w:firstLine="138"/>
        <w:jc w:val="left"/>
        <w:rPr>
          <w:rFonts w:ascii="楷体_GB2312" w:eastAsia="楷体_GB2312"/>
          <w:sz w:val="28"/>
          <w:szCs w:val="28"/>
        </w:rPr>
      </w:pPr>
      <w:r>
        <w:rPr>
          <w:rFonts w:ascii="楷体_GB2312" w:eastAsia="楷体_GB2312" w:hint="eastAsia"/>
          <w:sz w:val="28"/>
          <w:szCs w:val="28"/>
        </w:rPr>
        <w:t>部门：威海市文登区应急管理局</w:t>
      </w:r>
      <w:r>
        <w:rPr>
          <w:rFonts w:ascii="楷体_GB2312" w:eastAsia="楷体_GB2312" w:hint="eastAsia"/>
          <w:sz w:val="28"/>
          <w:szCs w:val="28"/>
        </w:rPr>
        <w:t xml:space="preserve">                                                        </w:t>
      </w:r>
      <w:r>
        <w:rPr>
          <w:rFonts w:ascii="楷体_GB2312" w:eastAsia="楷体_GB2312" w:hint="eastAsia"/>
          <w:sz w:val="28"/>
          <w:szCs w:val="28"/>
        </w:rPr>
        <w:t>单位：万元</w:t>
      </w:r>
    </w:p>
    <w:tbl>
      <w:tblPr>
        <w:tblpPr w:leftFromText="180" w:rightFromText="180" w:vertAnchor="text" w:tblpXSpec="center" w:tblpY="1"/>
        <w:tblOverlap w:val="never"/>
        <w:tblW w:w="13210" w:type="dxa"/>
        <w:tblLayout w:type="fixed"/>
        <w:tblLook w:val="04A0"/>
      </w:tblPr>
      <w:tblGrid>
        <w:gridCol w:w="1372"/>
        <w:gridCol w:w="56"/>
        <w:gridCol w:w="1429"/>
        <w:gridCol w:w="1731"/>
        <w:gridCol w:w="1707"/>
        <w:gridCol w:w="1708"/>
        <w:gridCol w:w="1708"/>
        <w:gridCol w:w="1708"/>
        <w:gridCol w:w="1791"/>
      </w:tblGrid>
      <w:tr w:rsidR="00766B04">
        <w:trPr>
          <w:trHeight w:val="453"/>
        </w:trPr>
        <w:tc>
          <w:tcPr>
            <w:tcW w:w="2857"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目</w:t>
            </w:r>
          </w:p>
        </w:tc>
        <w:tc>
          <w:tcPr>
            <w:tcW w:w="1731" w:type="dxa"/>
            <w:vMerge w:val="restart"/>
            <w:tcBorders>
              <w:top w:val="single" w:sz="4" w:space="0" w:color="auto"/>
              <w:left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年初结转和结余</w:t>
            </w:r>
          </w:p>
        </w:tc>
        <w:tc>
          <w:tcPr>
            <w:tcW w:w="1707" w:type="dxa"/>
            <w:vMerge w:val="restart"/>
            <w:tcBorders>
              <w:top w:val="single" w:sz="4" w:space="0" w:color="auto"/>
              <w:left w:val="nil"/>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w:t>
            </w:r>
          </w:p>
        </w:tc>
        <w:tc>
          <w:tcPr>
            <w:tcW w:w="5124" w:type="dxa"/>
            <w:gridSpan w:val="3"/>
            <w:tcBorders>
              <w:top w:val="single" w:sz="4" w:space="0" w:color="auto"/>
              <w:left w:val="nil"/>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w:t>
            </w:r>
          </w:p>
        </w:tc>
        <w:tc>
          <w:tcPr>
            <w:tcW w:w="1791" w:type="dxa"/>
            <w:vMerge w:val="restart"/>
            <w:tcBorders>
              <w:top w:val="single" w:sz="4" w:space="0" w:color="auto"/>
              <w:left w:val="nil"/>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年末结转和结余</w:t>
            </w:r>
          </w:p>
        </w:tc>
      </w:tr>
      <w:tr w:rsidR="00766B04">
        <w:trPr>
          <w:trHeight w:val="599"/>
        </w:trPr>
        <w:tc>
          <w:tcPr>
            <w:tcW w:w="1428" w:type="dxa"/>
            <w:gridSpan w:val="2"/>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科目编码</w:t>
            </w:r>
          </w:p>
        </w:tc>
        <w:tc>
          <w:tcPr>
            <w:tcW w:w="1429" w:type="dxa"/>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31" w:type="dxa"/>
            <w:vMerge/>
            <w:tcBorders>
              <w:left w:val="single" w:sz="4" w:space="0" w:color="auto"/>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7" w:type="dxa"/>
            <w:vMerge/>
            <w:tcBorders>
              <w:left w:val="nil"/>
              <w:bottom w:val="single" w:sz="4" w:space="0" w:color="auto"/>
              <w:right w:val="single" w:sz="4" w:space="0" w:color="auto"/>
            </w:tcBorders>
            <w:vAlign w:val="center"/>
          </w:tcPr>
          <w:p w:rsidR="00766B04" w:rsidRDefault="00766B04">
            <w:pPr>
              <w:spacing w:line="300" w:lineRule="exact"/>
              <w:jc w:val="center"/>
              <w:rPr>
                <w:rFonts w:ascii="仿宋_GB2312" w:eastAsia="仿宋_GB2312" w:hAnsi="宋体" w:cs="宋体"/>
                <w:kern w:val="0"/>
                <w:sz w:val="22"/>
                <w:szCs w:val="22"/>
              </w:rPr>
            </w:pPr>
          </w:p>
        </w:tc>
        <w:tc>
          <w:tcPr>
            <w:tcW w:w="1708" w:type="dxa"/>
            <w:tcBorders>
              <w:top w:val="single" w:sz="4" w:space="0" w:color="auto"/>
              <w:left w:val="nil"/>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708" w:type="dxa"/>
            <w:tcBorders>
              <w:top w:val="single" w:sz="4" w:space="0" w:color="auto"/>
              <w:left w:val="nil"/>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08" w:type="dxa"/>
            <w:tcBorders>
              <w:top w:val="single" w:sz="4" w:space="0" w:color="auto"/>
              <w:left w:val="nil"/>
              <w:bottom w:val="single" w:sz="4" w:space="0" w:color="auto"/>
              <w:right w:val="single" w:sz="4" w:space="0" w:color="auto"/>
            </w:tcBorders>
            <w:vAlign w:val="center"/>
          </w:tcPr>
          <w:p w:rsidR="00766B04" w:rsidRDefault="003905ED">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91" w:type="dxa"/>
            <w:vMerge/>
            <w:tcBorders>
              <w:left w:val="nil"/>
              <w:bottom w:val="single" w:sz="4" w:space="0" w:color="auto"/>
              <w:right w:val="single" w:sz="4" w:space="0" w:color="auto"/>
            </w:tcBorders>
            <w:vAlign w:val="center"/>
          </w:tcPr>
          <w:p w:rsidR="00766B04" w:rsidRDefault="00766B04">
            <w:pPr>
              <w:spacing w:line="300" w:lineRule="exact"/>
              <w:jc w:val="center"/>
              <w:rPr>
                <w:rFonts w:ascii="仿宋_GB2312" w:eastAsia="仿宋_GB2312" w:hAnsi="宋体" w:cs="宋体"/>
                <w:kern w:val="0"/>
                <w:sz w:val="22"/>
                <w:szCs w:val="22"/>
              </w:rPr>
            </w:pPr>
          </w:p>
        </w:tc>
      </w:tr>
      <w:tr w:rsidR="00766B04">
        <w:trPr>
          <w:trHeight w:val="454"/>
        </w:trPr>
        <w:tc>
          <w:tcPr>
            <w:tcW w:w="2857"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次</w:t>
            </w:r>
          </w:p>
        </w:tc>
        <w:tc>
          <w:tcPr>
            <w:tcW w:w="1731"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07"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91" w:type="dxa"/>
            <w:tcBorders>
              <w:top w:val="nil"/>
              <w:left w:val="nil"/>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766B04">
        <w:trPr>
          <w:trHeight w:val="454"/>
        </w:trPr>
        <w:tc>
          <w:tcPr>
            <w:tcW w:w="2857" w:type="dxa"/>
            <w:gridSpan w:val="3"/>
            <w:tcBorders>
              <w:top w:val="single" w:sz="4" w:space="0" w:color="auto"/>
              <w:left w:val="single" w:sz="4" w:space="0" w:color="auto"/>
              <w:bottom w:val="single" w:sz="4" w:space="0" w:color="auto"/>
              <w:right w:val="single" w:sz="4" w:space="0" w:color="auto"/>
            </w:tcBorders>
            <w:vAlign w:val="center"/>
          </w:tcPr>
          <w:p w:rsidR="00766B04" w:rsidRDefault="003905E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w:t>
            </w:r>
            <w:r>
              <w:rPr>
                <w:rFonts w:ascii="仿宋_GB2312" w:eastAsia="仿宋_GB2312" w:hAnsi="宋体" w:cs="宋体" w:hint="eastAsia"/>
                <w:kern w:val="0"/>
                <w:sz w:val="22"/>
                <w:szCs w:val="22"/>
              </w:rPr>
              <w:t xml:space="preserve">  </w:t>
            </w:r>
            <w:r>
              <w:rPr>
                <w:rFonts w:ascii="仿宋_GB2312" w:eastAsia="仿宋_GB2312" w:hAnsi="宋体" w:cs="宋体" w:hint="eastAsia"/>
                <w:kern w:val="0"/>
                <w:sz w:val="22"/>
                <w:szCs w:val="22"/>
              </w:rPr>
              <w:t>计</w:t>
            </w:r>
          </w:p>
        </w:tc>
        <w:tc>
          <w:tcPr>
            <w:tcW w:w="1731"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766B04" w:rsidRDefault="00766B04">
            <w:pPr>
              <w:widowControl/>
              <w:spacing w:line="300" w:lineRule="exact"/>
              <w:jc w:val="center"/>
              <w:rPr>
                <w:rFonts w:ascii="仿宋_GB2312" w:eastAsia="仿宋_GB2312" w:hAnsi="宋体" w:cs="宋体"/>
                <w:kern w:val="0"/>
                <w:sz w:val="22"/>
                <w:szCs w:val="22"/>
              </w:rPr>
            </w:pPr>
          </w:p>
        </w:tc>
      </w:tr>
      <w:tr w:rsidR="00766B04">
        <w:trPr>
          <w:trHeight w:val="454"/>
        </w:trPr>
        <w:tc>
          <w:tcPr>
            <w:tcW w:w="1372" w:type="dxa"/>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454"/>
        </w:trPr>
        <w:tc>
          <w:tcPr>
            <w:tcW w:w="1372" w:type="dxa"/>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454"/>
        </w:trPr>
        <w:tc>
          <w:tcPr>
            <w:tcW w:w="1372" w:type="dxa"/>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single" w:sz="4" w:space="0" w:color="auto"/>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66B04">
        <w:trPr>
          <w:trHeight w:val="454"/>
        </w:trPr>
        <w:tc>
          <w:tcPr>
            <w:tcW w:w="1372" w:type="dxa"/>
            <w:tcBorders>
              <w:top w:val="nil"/>
              <w:left w:val="single" w:sz="4" w:space="0" w:color="auto"/>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766B04" w:rsidRDefault="003905E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766B04" w:rsidRDefault="00766B04">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3905E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766B04" w:rsidRDefault="00766B04">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766B04" w:rsidRDefault="003905ED">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bl>
    <w:p w:rsidR="00766B04" w:rsidRDefault="003905ED">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注：本表反映部门本年度政府性基金预算财政拨款收入、支出及结转和结余情况。</w:t>
      </w:r>
    </w:p>
    <w:p w:rsidR="00766B04" w:rsidRDefault="003905ED">
      <w:pPr>
        <w:ind w:firstLineChars="50" w:firstLine="118"/>
        <w:rPr>
          <w:rFonts w:ascii="仿宋_GB2312" w:eastAsia="仿宋_GB2312" w:hAnsi="宋体"/>
          <w:sz w:val="24"/>
        </w:rPr>
      </w:pPr>
      <w:r>
        <w:rPr>
          <w:rFonts w:ascii="仿宋_GB2312" w:eastAsia="仿宋_GB2312" w:hint="eastAsia"/>
          <w:b/>
          <w:sz w:val="24"/>
        </w:rPr>
        <w:t>本部门没有政府性基金收入，也没有使用政府性基金安排的支出，故本表无数据</w:t>
      </w:r>
    </w:p>
    <w:p w:rsidR="00766B04" w:rsidRDefault="00766B04">
      <w:pPr>
        <w:rPr>
          <w:rFonts w:ascii="仿宋_GB2312" w:eastAsia="仿宋_GB2312" w:hAnsi="宋体"/>
          <w:sz w:val="22"/>
          <w:szCs w:val="22"/>
        </w:rPr>
        <w:sectPr w:rsidR="00766B04">
          <w:pgSz w:w="16838" w:h="11906" w:orient="landscape"/>
          <w:pgMar w:top="1531" w:right="1701" w:bottom="1531" w:left="1701" w:header="0" w:footer="1418" w:gutter="0"/>
          <w:cols w:space="720"/>
          <w:docGrid w:type="linesAndChars" w:linePitch="610" w:charSpace="-849"/>
        </w:sectPr>
      </w:pPr>
    </w:p>
    <w:p w:rsidR="00766B04" w:rsidRDefault="00766B04">
      <w:pPr>
        <w:ind w:firstLineChars="100" w:firstLine="416"/>
        <w:rPr>
          <w:rFonts w:ascii="方正小标宋简体" w:eastAsia="方正小标宋简体"/>
          <w:sz w:val="42"/>
        </w:rPr>
      </w:pPr>
    </w:p>
    <w:p w:rsidR="00766B04" w:rsidRDefault="003905ED">
      <w:pPr>
        <w:ind w:firstLineChars="100" w:firstLine="536"/>
        <w:rPr>
          <w:rFonts w:ascii="仿宋" w:eastAsia="仿宋" w:hAnsi="仿宋" w:cs="仿宋"/>
          <w:spacing w:val="60"/>
          <w:sz w:val="42"/>
        </w:rPr>
      </w:pPr>
      <w:r>
        <w:rPr>
          <w:rFonts w:ascii="仿宋" w:eastAsia="仿宋" w:hAnsi="仿宋" w:cs="仿宋" w:hint="eastAsia"/>
          <w:spacing w:val="60"/>
          <w:sz w:val="42"/>
        </w:rPr>
        <w:t>第三部分</w:t>
      </w:r>
    </w:p>
    <w:p w:rsidR="00766B04" w:rsidRDefault="00766B04">
      <w:pPr>
        <w:jc w:val="center"/>
        <w:rPr>
          <w:rFonts w:ascii="仿宋" w:eastAsia="仿宋" w:hAnsi="仿宋" w:cs="仿宋"/>
          <w:spacing w:val="60"/>
          <w:sz w:val="42"/>
        </w:rPr>
      </w:pPr>
    </w:p>
    <w:p w:rsidR="00766B04" w:rsidRDefault="003905ED">
      <w:pPr>
        <w:spacing w:line="800" w:lineRule="exact"/>
        <w:jc w:val="center"/>
        <w:rPr>
          <w:rFonts w:ascii="方正小标宋简体" w:eastAsia="方正小标宋简体"/>
          <w:spacing w:val="60"/>
          <w:sz w:val="48"/>
        </w:rPr>
        <w:sectPr w:rsidR="00766B04">
          <w:pgSz w:w="11906" w:h="16838"/>
          <w:pgMar w:top="1701" w:right="1531" w:bottom="1701" w:left="1531" w:header="0" w:footer="1418" w:gutter="0"/>
          <w:cols w:space="720"/>
          <w:docGrid w:type="linesAndChars" w:linePitch="610" w:charSpace="-849"/>
        </w:sectPr>
      </w:pPr>
      <w:r>
        <w:rPr>
          <w:rFonts w:ascii="仿宋" w:eastAsia="仿宋" w:hAnsi="仿宋" w:cs="仿宋" w:hint="eastAsia"/>
          <w:spacing w:val="60"/>
          <w:sz w:val="48"/>
        </w:rPr>
        <w:t>2019</w:t>
      </w:r>
      <w:r>
        <w:rPr>
          <w:rFonts w:ascii="仿宋" w:eastAsia="仿宋" w:hAnsi="仿宋" w:cs="仿宋" w:hint="eastAsia"/>
          <w:spacing w:val="60"/>
          <w:sz w:val="48"/>
        </w:rPr>
        <w:t>年度部门决算情况说明</w:t>
      </w:r>
    </w:p>
    <w:p w:rsidR="00766B04" w:rsidRDefault="003905ED">
      <w:pPr>
        <w:ind w:firstLineChars="200" w:firstLine="632"/>
        <w:rPr>
          <w:rFonts w:ascii="黑体" w:eastAsia="黑体" w:hAnsi="黑体"/>
          <w:szCs w:val="32"/>
        </w:rPr>
      </w:pPr>
      <w:r>
        <w:rPr>
          <w:rFonts w:ascii="黑体" w:eastAsia="黑体" w:hAnsi="黑体" w:hint="eastAsia"/>
          <w:szCs w:val="32"/>
        </w:rPr>
        <w:lastRenderedPageBreak/>
        <w:t>一、收入支出决算总体情况说明</w:t>
      </w:r>
    </w:p>
    <w:p w:rsidR="00766B04" w:rsidRDefault="003905ED">
      <w:pPr>
        <w:spacing w:line="580" w:lineRule="exact"/>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年度收、支总计</w:t>
      </w:r>
      <w:r>
        <w:rPr>
          <w:rFonts w:ascii="仿宋_GB2312" w:eastAsia="仿宋_GB2312" w:hint="eastAsia"/>
          <w:szCs w:val="32"/>
        </w:rPr>
        <w:t xml:space="preserve"> 995.33</w:t>
      </w:r>
      <w:r>
        <w:rPr>
          <w:rFonts w:ascii="仿宋_GB2312" w:eastAsia="仿宋_GB2312" w:hint="eastAsia"/>
          <w:szCs w:val="32"/>
        </w:rPr>
        <w:t>万元。</w:t>
      </w:r>
      <w:r>
        <w:rPr>
          <w:rFonts w:ascii="仿宋_GB2312" w:eastAsia="仿宋_GB2312" w:hint="eastAsia"/>
          <w:szCs w:val="32"/>
        </w:rPr>
        <w:t>2019</w:t>
      </w:r>
      <w:r>
        <w:rPr>
          <w:rFonts w:ascii="仿宋_GB2312" w:eastAsia="仿宋_GB2312" w:hint="eastAsia"/>
          <w:szCs w:val="32"/>
        </w:rPr>
        <w:t>年机构改革，新成立威海市文登区应急管理局，预算收支主要承接原威海市文登区安全生产监督管理局预算，由于职能人员变化较大，</w:t>
      </w:r>
      <w:r>
        <w:rPr>
          <w:rFonts w:ascii="仿宋_GB2312" w:eastAsia="仿宋_GB2312" w:hint="eastAsia"/>
          <w:szCs w:val="32"/>
        </w:rPr>
        <w:t>2019</w:t>
      </w:r>
      <w:r>
        <w:rPr>
          <w:rFonts w:ascii="仿宋_GB2312" w:eastAsia="仿宋_GB2312" w:hint="eastAsia"/>
          <w:szCs w:val="32"/>
        </w:rPr>
        <w:t>年决算与</w:t>
      </w:r>
      <w:r>
        <w:rPr>
          <w:rFonts w:ascii="仿宋_GB2312" w:eastAsia="仿宋_GB2312" w:hint="eastAsia"/>
          <w:szCs w:val="32"/>
        </w:rPr>
        <w:t>2018</w:t>
      </w:r>
      <w:r>
        <w:rPr>
          <w:rFonts w:ascii="仿宋_GB2312" w:eastAsia="仿宋_GB2312" w:hint="eastAsia"/>
          <w:szCs w:val="32"/>
        </w:rPr>
        <w:t>年决算不具对比性，因此增减变化柱状图仅供参考。</w:t>
      </w:r>
    </w:p>
    <w:p w:rsidR="00766B04" w:rsidRDefault="003905ED">
      <w:pPr>
        <w:spacing w:line="580" w:lineRule="exact"/>
        <w:ind w:firstLineChars="200" w:firstLine="632"/>
        <w:rPr>
          <w:rFonts w:ascii="仿宋_GB2312" w:eastAsia="仿宋_GB2312"/>
          <w:szCs w:val="32"/>
        </w:rPr>
      </w:pPr>
      <w:r>
        <w:rPr>
          <w:rFonts w:ascii="仿宋_GB2312" w:eastAsia="仿宋_GB2312"/>
          <w:noProof/>
          <w:szCs w:val="32"/>
        </w:rPr>
        <w:drawing>
          <wp:anchor distT="0" distB="0" distL="114300" distR="114300" simplePos="0" relativeHeight="251663360" behindDoc="0" locked="0" layoutInCell="1" allowOverlap="1">
            <wp:simplePos x="0" y="0"/>
            <wp:positionH relativeFrom="column">
              <wp:posOffset>951865</wp:posOffset>
            </wp:positionH>
            <wp:positionV relativeFrom="paragraph">
              <wp:posOffset>193040</wp:posOffset>
            </wp:positionV>
            <wp:extent cx="3762375" cy="2019300"/>
            <wp:effectExtent l="0" t="0" r="0" b="0"/>
            <wp:wrapTight wrapText="bothSides">
              <wp:wrapPolygon edited="0">
                <wp:start x="219" y="408"/>
                <wp:lineTo x="547" y="9985"/>
                <wp:lineTo x="2187" y="10189"/>
                <wp:lineTo x="18702" y="10189"/>
                <wp:lineTo x="656" y="11615"/>
                <wp:lineTo x="656" y="12838"/>
                <wp:lineTo x="10718" y="13449"/>
                <wp:lineTo x="656" y="14468"/>
                <wp:lineTo x="656" y="15691"/>
                <wp:lineTo x="10718" y="16709"/>
                <wp:lineTo x="1422" y="17321"/>
                <wp:lineTo x="1312" y="18340"/>
                <wp:lineTo x="3718" y="19970"/>
                <wp:lineTo x="3937" y="20581"/>
                <wp:lineTo x="15421" y="20581"/>
                <wp:lineTo x="15530" y="20581"/>
                <wp:lineTo x="15749" y="20174"/>
                <wp:lineTo x="15968" y="19562"/>
                <wp:lineTo x="10609" y="16709"/>
                <wp:lineTo x="10718" y="13449"/>
                <wp:lineTo x="17717" y="13449"/>
                <wp:lineTo x="21108" y="12430"/>
                <wp:lineTo x="20998" y="9170"/>
                <wp:lineTo x="13562" y="7336"/>
                <wp:lineTo x="2078" y="6928"/>
                <wp:lineTo x="2078" y="3668"/>
                <wp:lineTo x="16077" y="2853"/>
                <wp:lineTo x="16077" y="1630"/>
                <wp:lineTo x="2078" y="408"/>
                <wp:lineTo x="219" y="408"/>
              </wp:wrapPolygon>
            </wp:wrapTight>
            <wp:docPr id="5" name="对象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3905ED">
      <w:pPr>
        <w:ind w:firstLineChars="200" w:firstLine="632"/>
        <w:rPr>
          <w:rFonts w:ascii="黑体" w:eastAsia="黑体" w:hAnsi="黑体"/>
          <w:szCs w:val="32"/>
        </w:rPr>
      </w:pPr>
      <w:r>
        <w:rPr>
          <w:rFonts w:ascii="黑体" w:eastAsia="黑体" w:hAnsi="黑体" w:hint="eastAsia"/>
          <w:szCs w:val="32"/>
        </w:rPr>
        <w:t>二、收入决算情况说明</w:t>
      </w:r>
    </w:p>
    <w:p w:rsidR="00766B04" w:rsidRDefault="003905ED">
      <w:pPr>
        <w:ind w:firstLineChars="200" w:firstLine="632"/>
        <w:rPr>
          <w:rFonts w:ascii="仿宋_GB2312" w:eastAsia="仿宋_GB2312"/>
          <w:szCs w:val="32"/>
        </w:rPr>
      </w:pPr>
      <w:r>
        <w:rPr>
          <w:rFonts w:ascii="仿宋_GB2312" w:eastAsia="仿宋_GB2312" w:hint="eastAsia"/>
          <w:szCs w:val="32"/>
        </w:rPr>
        <w:t>本年收入合计</w:t>
      </w:r>
      <w:r>
        <w:rPr>
          <w:rFonts w:ascii="仿宋_GB2312" w:eastAsia="仿宋_GB2312" w:hint="eastAsia"/>
          <w:szCs w:val="32"/>
        </w:rPr>
        <w:t xml:space="preserve"> 995.33</w:t>
      </w:r>
      <w:r>
        <w:rPr>
          <w:rFonts w:ascii="仿宋_GB2312" w:eastAsia="仿宋_GB2312" w:hint="eastAsia"/>
          <w:szCs w:val="32"/>
        </w:rPr>
        <w:t>万元，其中：财政拨款收入</w:t>
      </w:r>
      <w:r>
        <w:rPr>
          <w:rFonts w:ascii="仿宋_GB2312" w:eastAsia="仿宋_GB2312" w:hint="eastAsia"/>
          <w:szCs w:val="32"/>
        </w:rPr>
        <w:t>995.33</w:t>
      </w:r>
      <w:r>
        <w:rPr>
          <w:rFonts w:ascii="仿宋_GB2312" w:eastAsia="仿宋_GB2312" w:hint="eastAsia"/>
          <w:szCs w:val="32"/>
        </w:rPr>
        <w:t>万元，占</w:t>
      </w:r>
      <w:r>
        <w:rPr>
          <w:rFonts w:ascii="仿宋_GB2312" w:eastAsia="仿宋_GB2312" w:hint="eastAsia"/>
          <w:szCs w:val="32"/>
        </w:rPr>
        <w:t>100%</w:t>
      </w:r>
      <w:r>
        <w:rPr>
          <w:rFonts w:ascii="仿宋_GB2312" w:eastAsia="仿宋_GB2312" w:hint="eastAsia"/>
          <w:szCs w:val="32"/>
        </w:rPr>
        <w:t>。</w:t>
      </w:r>
    </w:p>
    <w:p w:rsidR="00766B04" w:rsidRDefault="003905ED">
      <w:pPr>
        <w:ind w:firstLineChars="200" w:firstLine="634"/>
        <w:rPr>
          <w:rFonts w:ascii="仿宋_GB2312" w:eastAsia="仿宋_GB2312"/>
          <w:szCs w:val="32"/>
        </w:rPr>
      </w:pPr>
      <w:r>
        <w:rPr>
          <w:rFonts w:ascii="仿宋_GB2312" w:eastAsia="仿宋_GB2312" w:hint="eastAsia"/>
          <w:b/>
          <w:noProof/>
          <w:szCs w:val="32"/>
        </w:rPr>
        <w:drawing>
          <wp:anchor distT="0" distB="0" distL="114300" distR="114300" simplePos="0" relativeHeight="251657216" behindDoc="0" locked="0" layoutInCell="1" allowOverlap="1">
            <wp:simplePos x="0" y="0"/>
            <wp:positionH relativeFrom="column">
              <wp:posOffset>1113790</wp:posOffset>
            </wp:positionH>
            <wp:positionV relativeFrom="paragraph">
              <wp:posOffset>31115</wp:posOffset>
            </wp:positionV>
            <wp:extent cx="3543300" cy="2190750"/>
            <wp:effectExtent l="19050" t="0" r="19050" b="0"/>
            <wp:wrapSquare wrapText="bothSides"/>
            <wp:docPr id="3" name="对象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766B04" w:rsidRDefault="00766B04">
      <w:pPr>
        <w:ind w:firstLineChars="200" w:firstLine="632"/>
        <w:rPr>
          <w:rFonts w:ascii="仿宋_GB2312" w:eastAsia="仿宋_GB2312"/>
          <w:szCs w:val="32"/>
        </w:rPr>
      </w:pPr>
    </w:p>
    <w:p w:rsidR="00766B04" w:rsidRDefault="00766B04">
      <w:pPr>
        <w:rPr>
          <w:rFonts w:ascii="仿宋_GB2312" w:eastAsia="仿宋_GB2312"/>
          <w:szCs w:val="32"/>
        </w:rPr>
      </w:pPr>
    </w:p>
    <w:p w:rsidR="00766B04" w:rsidRDefault="00766B04">
      <w:pPr>
        <w:ind w:firstLineChars="200" w:firstLine="632"/>
        <w:rPr>
          <w:rFonts w:ascii="仿宋_GB2312" w:eastAsia="仿宋_GB2312"/>
          <w:szCs w:val="32"/>
        </w:rPr>
      </w:pPr>
    </w:p>
    <w:p w:rsidR="00766B04" w:rsidRDefault="00766B04">
      <w:pPr>
        <w:ind w:firstLineChars="200" w:firstLine="632"/>
        <w:rPr>
          <w:rFonts w:ascii="黑体" w:eastAsia="黑体" w:hAnsi="黑体"/>
          <w:szCs w:val="32"/>
        </w:rPr>
      </w:pPr>
    </w:p>
    <w:p w:rsidR="00766B04" w:rsidRDefault="00766B04">
      <w:pPr>
        <w:ind w:firstLineChars="200" w:firstLine="632"/>
        <w:rPr>
          <w:rFonts w:ascii="黑体" w:eastAsia="黑体" w:hAnsi="黑体"/>
          <w:szCs w:val="32"/>
        </w:rPr>
      </w:pPr>
    </w:p>
    <w:p w:rsidR="00766B04" w:rsidRDefault="003905ED">
      <w:pPr>
        <w:ind w:firstLineChars="200" w:firstLine="632"/>
        <w:rPr>
          <w:rFonts w:ascii="黑体" w:eastAsia="黑体" w:hAnsi="黑体"/>
          <w:szCs w:val="32"/>
        </w:rPr>
      </w:pPr>
      <w:r>
        <w:rPr>
          <w:rFonts w:ascii="黑体" w:eastAsia="黑体" w:hAnsi="黑体" w:hint="eastAsia"/>
          <w:szCs w:val="32"/>
        </w:rPr>
        <w:t>三、支出决算情况说明</w:t>
      </w:r>
    </w:p>
    <w:p w:rsidR="00766B04" w:rsidRDefault="003905ED">
      <w:pPr>
        <w:ind w:firstLineChars="200" w:firstLine="632"/>
        <w:rPr>
          <w:rFonts w:ascii="仿宋_GB2312" w:eastAsia="仿宋_GB2312"/>
          <w:szCs w:val="32"/>
        </w:rPr>
      </w:pPr>
      <w:r>
        <w:rPr>
          <w:rFonts w:ascii="仿宋_GB2312" w:eastAsia="仿宋_GB2312" w:hint="eastAsia"/>
          <w:szCs w:val="32"/>
        </w:rPr>
        <w:t>本年支出合计</w:t>
      </w:r>
      <w:r>
        <w:rPr>
          <w:rFonts w:ascii="仿宋_GB2312" w:eastAsia="仿宋_GB2312" w:hint="eastAsia"/>
          <w:szCs w:val="32"/>
        </w:rPr>
        <w:t>995.33</w:t>
      </w:r>
      <w:r>
        <w:rPr>
          <w:rFonts w:ascii="仿宋_GB2312" w:eastAsia="仿宋_GB2312" w:hint="eastAsia"/>
          <w:szCs w:val="32"/>
        </w:rPr>
        <w:t>万元，其中：基本支出</w:t>
      </w:r>
      <w:r>
        <w:rPr>
          <w:rFonts w:ascii="仿宋_GB2312" w:eastAsia="仿宋_GB2312" w:hint="eastAsia"/>
          <w:szCs w:val="32"/>
        </w:rPr>
        <w:t>584.44</w:t>
      </w:r>
      <w:r>
        <w:rPr>
          <w:rFonts w:ascii="仿宋_GB2312" w:eastAsia="仿宋_GB2312" w:hint="eastAsia"/>
          <w:szCs w:val="32"/>
        </w:rPr>
        <w:t>万元，</w:t>
      </w:r>
      <w:r>
        <w:rPr>
          <w:rFonts w:ascii="仿宋_GB2312" w:eastAsia="仿宋_GB2312" w:hint="eastAsia"/>
          <w:szCs w:val="32"/>
        </w:rPr>
        <w:lastRenderedPageBreak/>
        <w:t>占</w:t>
      </w:r>
      <w:r>
        <w:rPr>
          <w:rFonts w:ascii="仿宋_GB2312" w:eastAsia="仿宋_GB2312" w:hint="eastAsia"/>
          <w:szCs w:val="32"/>
        </w:rPr>
        <w:t>58.72%</w:t>
      </w:r>
      <w:r>
        <w:rPr>
          <w:rFonts w:ascii="仿宋_GB2312" w:eastAsia="仿宋_GB2312" w:hint="eastAsia"/>
          <w:szCs w:val="32"/>
        </w:rPr>
        <w:t>；项目支出</w:t>
      </w:r>
      <w:r>
        <w:rPr>
          <w:rFonts w:ascii="仿宋_GB2312" w:eastAsia="仿宋_GB2312" w:hint="eastAsia"/>
          <w:szCs w:val="32"/>
        </w:rPr>
        <w:t>410.89</w:t>
      </w:r>
      <w:r>
        <w:rPr>
          <w:rFonts w:ascii="仿宋_GB2312" w:eastAsia="仿宋_GB2312" w:hint="eastAsia"/>
          <w:szCs w:val="32"/>
        </w:rPr>
        <w:t>万元，占</w:t>
      </w:r>
      <w:r>
        <w:rPr>
          <w:rFonts w:ascii="仿宋_GB2312" w:eastAsia="仿宋_GB2312" w:hint="eastAsia"/>
          <w:szCs w:val="32"/>
        </w:rPr>
        <w:t>41.28%</w:t>
      </w:r>
      <w:r>
        <w:rPr>
          <w:rFonts w:ascii="仿宋_GB2312" w:eastAsia="仿宋_GB2312" w:hint="eastAsia"/>
          <w:szCs w:val="32"/>
        </w:rPr>
        <w:t>。</w:t>
      </w:r>
    </w:p>
    <w:p w:rsidR="00766B04" w:rsidRDefault="003905ED">
      <w:pPr>
        <w:ind w:firstLineChars="200" w:firstLine="634"/>
        <w:rPr>
          <w:rFonts w:ascii="仿宋_GB2312" w:eastAsia="仿宋_GB2312"/>
          <w:b/>
          <w:szCs w:val="32"/>
        </w:rPr>
      </w:pPr>
      <w:r>
        <w:rPr>
          <w:rFonts w:ascii="仿宋_GB2312" w:eastAsia="仿宋_GB2312" w:hint="eastAsia"/>
          <w:b/>
          <w:noProof/>
          <w:szCs w:val="32"/>
        </w:rPr>
        <w:drawing>
          <wp:anchor distT="0" distB="0" distL="114300" distR="114300" simplePos="0" relativeHeight="251660288" behindDoc="0" locked="0" layoutInCell="1" allowOverlap="1">
            <wp:simplePos x="0" y="0"/>
            <wp:positionH relativeFrom="column">
              <wp:posOffset>999490</wp:posOffset>
            </wp:positionH>
            <wp:positionV relativeFrom="paragraph">
              <wp:posOffset>158115</wp:posOffset>
            </wp:positionV>
            <wp:extent cx="3619500" cy="2133600"/>
            <wp:effectExtent l="19050" t="0" r="19050" b="0"/>
            <wp:wrapSquare wrapText="bothSides"/>
            <wp:docPr id="2" name="对象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766B04" w:rsidRDefault="00766B04">
      <w:pPr>
        <w:ind w:firstLineChars="200" w:firstLine="634"/>
        <w:rPr>
          <w:rFonts w:ascii="仿宋_GB2312" w:eastAsia="仿宋_GB2312"/>
          <w:b/>
          <w:szCs w:val="32"/>
        </w:rPr>
      </w:pPr>
    </w:p>
    <w:p w:rsidR="00766B04" w:rsidRDefault="00766B04">
      <w:pPr>
        <w:ind w:firstLineChars="200" w:firstLine="634"/>
        <w:rPr>
          <w:rFonts w:ascii="仿宋_GB2312" w:eastAsia="仿宋_GB2312"/>
          <w:b/>
          <w:szCs w:val="32"/>
        </w:rPr>
      </w:pPr>
    </w:p>
    <w:p w:rsidR="00766B04" w:rsidRDefault="00766B04">
      <w:pPr>
        <w:ind w:firstLineChars="200" w:firstLine="634"/>
        <w:rPr>
          <w:rFonts w:ascii="仿宋_GB2312" w:eastAsia="仿宋_GB2312"/>
          <w:b/>
          <w:szCs w:val="32"/>
        </w:rPr>
      </w:pPr>
    </w:p>
    <w:p w:rsidR="00766B04" w:rsidRDefault="00766B04">
      <w:pPr>
        <w:ind w:firstLineChars="200" w:firstLine="634"/>
        <w:rPr>
          <w:rFonts w:ascii="仿宋_GB2312" w:eastAsia="仿宋_GB2312"/>
          <w:b/>
          <w:szCs w:val="32"/>
        </w:rPr>
      </w:pPr>
    </w:p>
    <w:p w:rsidR="00766B04" w:rsidRDefault="00766B04">
      <w:pPr>
        <w:ind w:firstLineChars="200" w:firstLine="634"/>
        <w:rPr>
          <w:rFonts w:ascii="仿宋_GB2312" w:eastAsia="仿宋_GB2312"/>
          <w:b/>
          <w:szCs w:val="32"/>
        </w:rPr>
      </w:pPr>
    </w:p>
    <w:p w:rsidR="00766B04" w:rsidRDefault="003905ED">
      <w:pPr>
        <w:ind w:firstLineChars="200" w:firstLine="632"/>
        <w:rPr>
          <w:rFonts w:ascii="黑体" w:eastAsia="黑体" w:hAnsi="黑体"/>
          <w:szCs w:val="32"/>
        </w:rPr>
      </w:pPr>
      <w:r>
        <w:rPr>
          <w:rFonts w:ascii="黑体" w:eastAsia="黑体" w:hAnsi="黑体" w:hint="eastAsia"/>
          <w:szCs w:val="32"/>
        </w:rPr>
        <w:t>四、财政拨款收入支出决算总体情况说明</w:t>
      </w:r>
    </w:p>
    <w:p w:rsidR="00766B04" w:rsidRDefault="003905ED">
      <w:pPr>
        <w:spacing w:line="580" w:lineRule="exact"/>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年度财政拨款收、支总计</w:t>
      </w:r>
      <w:r>
        <w:rPr>
          <w:rFonts w:ascii="仿宋_GB2312" w:eastAsia="仿宋_GB2312" w:hint="eastAsia"/>
          <w:szCs w:val="32"/>
        </w:rPr>
        <w:t>995.33</w:t>
      </w:r>
      <w:r>
        <w:rPr>
          <w:rFonts w:ascii="仿宋_GB2312" w:eastAsia="仿宋_GB2312" w:hint="eastAsia"/>
          <w:szCs w:val="32"/>
        </w:rPr>
        <w:t>万元。</w:t>
      </w:r>
      <w:r>
        <w:rPr>
          <w:rFonts w:ascii="仿宋_GB2312" w:eastAsia="仿宋_GB2312" w:hint="eastAsia"/>
          <w:szCs w:val="32"/>
        </w:rPr>
        <w:t>2019</w:t>
      </w:r>
      <w:r>
        <w:rPr>
          <w:rFonts w:ascii="仿宋_GB2312" w:eastAsia="仿宋_GB2312" w:hint="eastAsia"/>
          <w:szCs w:val="32"/>
        </w:rPr>
        <w:t>年机构改革，新成立威海市文登区应急管理局，预算收支主要承接原威海市文登区安全生产监督管理局预算，由于职能人员变化较大，</w:t>
      </w:r>
      <w:r>
        <w:rPr>
          <w:rFonts w:ascii="仿宋_GB2312" w:eastAsia="仿宋_GB2312" w:hint="eastAsia"/>
          <w:szCs w:val="32"/>
        </w:rPr>
        <w:t>2019</w:t>
      </w:r>
      <w:r>
        <w:rPr>
          <w:rFonts w:ascii="仿宋_GB2312" w:eastAsia="仿宋_GB2312" w:hint="eastAsia"/>
          <w:szCs w:val="32"/>
        </w:rPr>
        <w:t>年决算与</w:t>
      </w:r>
      <w:r>
        <w:rPr>
          <w:rFonts w:ascii="仿宋_GB2312" w:eastAsia="仿宋_GB2312" w:hint="eastAsia"/>
          <w:szCs w:val="32"/>
        </w:rPr>
        <w:t>2018</w:t>
      </w:r>
      <w:r>
        <w:rPr>
          <w:rFonts w:ascii="仿宋_GB2312" w:eastAsia="仿宋_GB2312" w:hint="eastAsia"/>
          <w:szCs w:val="32"/>
        </w:rPr>
        <w:t>年决算不具对比性，因此增减变化柱状图仅供参考。</w:t>
      </w:r>
    </w:p>
    <w:p w:rsidR="00766B04" w:rsidRDefault="003905ED">
      <w:pPr>
        <w:spacing w:line="580" w:lineRule="exact"/>
        <w:ind w:firstLineChars="200" w:firstLine="632"/>
        <w:rPr>
          <w:rFonts w:ascii="仿宋_GB2312" w:eastAsia="仿宋_GB2312"/>
          <w:szCs w:val="32"/>
        </w:rPr>
      </w:pPr>
      <w:bookmarkStart w:id="0" w:name="_GoBack"/>
      <w:r>
        <w:rPr>
          <w:rFonts w:ascii="仿宋_GB2312" w:eastAsia="仿宋_GB2312" w:hint="eastAsia"/>
          <w:noProof/>
          <w:szCs w:val="32"/>
        </w:rPr>
        <w:drawing>
          <wp:anchor distT="0" distB="0" distL="114300" distR="114300" simplePos="0" relativeHeight="251664384" behindDoc="0" locked="0" layoutInCell="1" allowOverlap="1">
            <wp:simplePos x="0" y="0"/>
            <wp:positionH relativeFrom="column">
              <wp:posOffset>427990</wp:posOffset>
            </wp:positionH>
            <wp:positionV relativeFrom="paragraph">
              <wp:posOffset>129540</wp:posOffset>
            </wp:positionV>
            <wp:extent cx="4648200" cy="2428875"/>
            <wp:effectExtent l="0" t="0" r="0" b="0"/>
            <wp:wrapTight wrapText="bothSides">
              <wp:wrapPolygon edited="0">
                <wp:start x="708" y="847"/>
                <wp:lineTo x="708" y="1864"/>
                <wp:lineTo x="7082" y="3558"/>
                <wp:lineTo x="708" y="3558"/>
                <wp:lineTo x="708" y="4574"/>
                <wp:lineTo x="10800" y="6268"/>
                <wp:lineTo x="974" y="6438"/>
                <wp:lineTo x="885" y="7285"/>
                <wp:lineTo x="3984" y="8979"/>
                <wp:lineTo x="885" y="9318"/>
                <wp:lineTo x="1062" y="10673"/>
                <wp:lineTo x="19830" y="11689"/>
                <wp:lineTo x="1062" y="12028"/>
                <wp:lineTo x="974" y="13214"/>
                <wp:lineTo x="10800" y="14400"/>
                <wp:lineTo x="974" y="15078"/>
                <wp:lineTo x="974" y="16094"/>
                <wp:lineTo x="10800" y="17111"/>
                <wp:lineTo x="1682" y="17958"/>
                <wp:lineTo x="1593" y="18805"/>
                <wp:lineTo x="2567" y="19821"/>
                <wp:lineTo x="2567" y="20838"/>
                <wp:lineTo x="16200" y="20838"/>
                <wp:lineTo x="16377" y="20838"/>
                <wp:lineTo x="16554" y="20160"/>
                <wp:lineTo x="16466" y="19821"/>
                <wp:lineTo x="10711" y="17111"/>
                <wp:lineTo x="10800" y="14400"/>
                <wp:lineTo x="11154" y="14400"/>
                <wp:lineTo x="20184" y="11859"/>
                <wp:lineTo x="20184" y="11689"/>
                <wp:lineTo x="20361" y="11181"/>
                <wp:lineTo x="20361" y="9148"/>
                <wp:lineTo x="20272" y="8979"/>
                <wp:lineTo x="10711" y="6268"/>
                <wp:lineTo x="10800" y="3558"/>
                <wp:lineTo x="15403" y="3388"/>
                <wp:lineTo x="15226" y="2372"/>
                <wp:lineTo x="2125" y="847"/>
                <wp:lineTo x="708" y="847"/>
              </wp:wrapPolygon>
            </wp:wrapTight>
            <wp:docPr id="6" name="对象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bookmarkEnd w:id="0"/>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B66DFA" w:rsidRDefault="00B66DFA" w:rsidP="00B66DFA">
      <w:pPr>
        <w:rPr>
          <w:rFonts w:ascii="黑体" w:eastAsia="黑体" w:hAnsi="黑体" w:hint="eastAsia"/>
          <w:szCs w:val="32"/>
        </w:rPr>
      </w:pPr>
    </w:p>
    <w:p w:rsidR="00766B04" w:rsidRDefault="003905ED">
      <w:pPr>
        <w:ind w:firstLineChars="200" w:firstLine="632"/>
        <w:rPr>
          <w:rFonts w:ascii="黑体" w:eastAsia="黑体" w:hAnsi="黑体"/>
          <w:szCs w:val="32"/>
        </w:rPr>
      </w:pPr>
      <w:r>
        <w:rPr>
          <w:rFonts w:ascii="黑体" w:eastAsia="黑体" w:hAnsi="黑体" w:hint="eastAsia"/>
          <w:szCs w:val="32"/>
        </w:rPr>
        <w:t>五、一般公共预算财政拨款支出决算情况说明</w:t>
      </w:r>
    </w:p>
    <w:p w:rsidR="00766B04" w:rsidRDefault="003905ED">
      <w:pPr>
        <w:ind w:firstLineChars="200" w:firstLine="632"/>
        <w:rPr>
          <w:rFonts w:ascii="楷体_GB2312" w:eastAsia="楷体_GB2312"/>
          <w:szCs w:val="32"/>
        </w:rPr>
      </w:pPr>
      <w:r>
        <w:rPr>
          <w:rFonts w:ascii="楷体_GB2312" w:eastAsia="楷体_GB2312" w:hint="eastAsia"/>
          <w:szCs w:val="32"/>
        </w:rPr>
        <w:t>（一）一般公共预算财政拨款支出决</w:t>
      </w:r>
      <w:r>
        <w:rPr>
          <w:rFonts w:ascii="楷体_GB2312" w:eastAsia="楷体_GB2312" w:hint="eastAsia"/>
          <w:szCs w:val="32"/>
        </w:rPr>
        <w:t>算总体情况</w:t>
      </w:r>
    </w:p>
    <w:p w:rsidR="00766B04" w:rsidRDefault="003905ED">
      <w:pPr>
        <w:spacing w:line="580" w:lineRule="exact"/>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年度一般公共预算财政拨款支出</w:t>
      </w:r>
      <w:r>
        <w:rPr>
          <w:rFonts w:ascii="仿宋_GB2312" w:eastAsia="仿宋_GB2312" w:hint="eastAsia"/>
          <w:szCs w:val="32"/>
        </w:rPr>
        <w:t>995.33</w:t>
      </w:r>
      <w:r>
        <w:rPr>
          <w:rFonts w:ascii="仿宋_GB2312" w:eastAsia="仿宋_GB2312" w:hint="eastAsia"/>
          <w:szCs w:val="32"/>
        </w:rPr>
        <w:t>万元，占本年</w:t>
      </w:r>
      <w:r>
        <w:rPr>
          <w:rFonts w:ascii="仿宋_GB2312" w:eastAsia="仿宋_GB2312" w:hint="eastAsia"/>
          <w:szCs w:val="32"/>
        </w:rPr>
        <w:lastRenderedPageBreak/>
        <w:t>支出合计的</w:t>
      </w:r>
      <w:r>
        <w:rPr>
          <w:rFonts w:ascii="仿宋_GB2312" w:eastAsia="仿宋_GB2312" w:hint="eastAsia"/>
          <w:szCs w:val="32"/>
        </w:rPr>
        <w:t>100%</w:t>
      </w:r>
      <w:r>
        <w:rPr>
          <w:rFonts w:ascii="仿宋_GB2312" w:eastAsia="仿宋_GB2312" w:hint="eastAsia"/>
          <w:szCs w:val="32"/>
        </w:rPr>
        <w:t>。</w:t>
      </w:r>
      <w:r>
        <w:rPr>
          <w:rFonts w:ascii="仿宋_GB2312" w:eastAsia="仿宋_GB2312" w:hint="eastAsia"/>
          <w:szCs w:val="32"/>
        </w:rPr>
        <w:t>2019</w:t>
      </w:r>
      <w:r>
        <w:rPr>
          <w:rFonts w:ascii="仿宋_GB2312" w:eastAsia="仿宋_GB2312" w:hint="eastAsia"/>
          <w:szCs w:val="32"/>
        </w:rPr>
        <w:t>年机构改革，新成立威海市文登区应急管理局，预算收支主要承接原威海市文登区安全生产监督管理局预算，由于职能人员变化较大，</w:t>
      </w:r>
      <w:r>
        <w:rPr>
          <w:rFonts w:ascii="仿宋_GB2312" w:eastAsia="仿宋_GB2312" w:hint="eastAsia"/>
          <w:szCs w:val="32"/>
        </w:rPr>
        <w:t>2019</w:t>
      </w:r>
      <w:r>
        <w:rPr>
          <w:rFonts w:ascii="仿宋_GB2312" w:eastAsia="仿宋_GB2312" w:hint="eastAsia"/>
          <w:szCs w:val="32"/>
        </w:rPr>
        <w:t>年决算与</w:t>
      </w:r>
      <w:r>
        <w:rPr>
          <w:rFonts w:ascii="仿宋_GB2312" w:eastAsia="仿宋_GB2312" w:hint="eastAsia"/>
          <w:szCs w:val="32"/>
        </w:rPr>
        <w:t>2018</w:t>
      </w:r>
      <w:r>
        <w:rPr>
          <w:rFonts w:ascii="仿宋_GB2312" w:eastAsia="仿宋_GB2312" w:hint="eastAsia"/>
          <w:szCs w:val="32"/>
        </w:rPr>
        <w:t>年决算不具对比性，因此增减变化柱状图仅供参考。</w:t>
      </w:r>
    </w:p>
    <w:p w:rsidR="00766B04" w:rsidRDefault="003905ED">
      <w:pPr>
        <w:spacing w:line="580" w:lineRule="exact"/>
        <w:ind w:firstLineChars="200" w:firstLine="632"/>
        <w:rPr>
          <w:rFonts w:ascii="仿宋_GB2312" w:eastAsia="仿宋_GB2312"/>
          <w:szCs w:val="32"/>
        </w:rPr>
      </w:pPr>
      <w:r>
        <w:rPr>
          <w:rFonts w:ascii="仿宋_GB2312" w:eastAsia="仿宋_GB2312" w:hint="eastAsia"/>
          <w:noProof/>
          <w:szCs w:val="32"/>
        </w:rPr>
        <w:drawing>
          <wp:anchor distT="0" distB="0" distL="114300" distR="114300" simplePos="0" relativeHeight="251665408" behindDoc="0" locked="0" layoutInCell="1" allowOverlap="1">
            <wp:simplePos x="0" y="0"/>
            <wp:positionH relativeFrom="column">
              <wp:posOffset>570865</wp:posOffset>
            </wp:positionH>
            <wp:positionV relativeFrom="paragraph">
              <wp:posOffset>218440</wp:posOffset>
            </wp:positionV>
            <wp:extent cx="4314825" cy="2361565"/>
            <wp:effectExtent l="0" t="0" r="0" b="0"/>
            <wp:wrapTight wrapText="bothSides">
              <wp:wrapPolygon edited="0">
                <wp:start x="572" y="523"/>
                <wp:lineTo x="572" y="4182"/>
                <wp:lineTo x="7820" y="6098"/>
                <wp:lineTo x="858" y="6098"/>
                <wp:lineTo x="858" y="9932"/>
                <wp:lineTo x="18310" y="11674"/>
                <wp:lineTo x="954" y="11674"/>
                <wp:lineTo x="858" y="12894"/>
                <wp:lineTo x="10776" y="14462"/>
                <wp:lineTo x="858" y="14636"/>
                <wp:lineTo x="858" y="15682"/>
                <wp:lineTo x="10776" y="17250"/>
                <wp:lineTo x="1621" y="17424"/>
                <wp:lineTo x="1526" y="19689"/>
                <wp:lineTo x="4005" y="20560"/>
                <wp:lineTo x="14972" y="20560"/>
                <wp:lineTo x="15068" y="20560"/>
                <wp:lineTo x="15354" y="20038"/>
                <wp:lineTo x="15544" y="19689"/>
                <wp:lineTo x="14400" y="18992"/>
                <wp:lineTo x="10681" y="17250"/>
                <wp:lineTo x="10776" y="14462"/>
                <wp:lineTo x="13065" y="14462"/>
                <wp:lineTo x="20789" y="12371"/>
                <wp:lineTo x="20980" y="9409"/>
                <wp:lineTo x="10681" y="8886"/>
                <wp:lineTo x="10681" y="6098"/>
                <wp:lineTo x="2098" y="3311"/>
                <wp:lineTo x="12493" y="2962"/>
                <wp:lineTo x="12493" y="1917"/>
                <wp:lineTo x="2098" y="523"/>
                <wp:lineTo x="572" y="523"/>
              </wp:wrapPolygon>
            </wp:wrapTight>
            <wp:docPr id="7" name="对象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766B04">
      <w:pPr>
        <w:spacing w:line="580" w:lineRule="exact"/>
        <w:ind w:firstLineChars="200" w:firstLine="632"/>
        <w:rPr>
          <w:rFonts w:ascii="仿宋_GB2312" w:eastAsia="仿宋_GB2312"/>
          <w:szCs w:val="32"/>
        </w:rPr>
      </w:pPr>
    </w:p>
    <w:p w:rsidR="00766B04" w:rsidRDefault="003905ED">
      <w:pPr>
        <w:ind w:firstLineChars="200" w:firstLine="632"/>
        <w:rPr>
          <w:rFonts w:ascii="楷体_GB2312" w:eastAsia="楷体_GB2312"/>
          <w:szCs w:val="32"/>
        </w:rPr>
      </w:pPr>
      <w:r>
        <w:rPr>
          <w:rFonts w:ascii="楷体_GB2312" w:eastAsia="楷体_GB2312" w:hint="eastAsia"/>
          <w:szCs w:val="32"/>
        </w:rPr>
        <w:t>（二）一般公共预算财政拨款支出决算结构情况</w:t>
      </w:r>
    </w:p>
    <w:p w:rsidR="00766B04" w:rsidRDefault="003905ED">
      <w:pPr>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年度一般公共服务支出</w:t>
      </w:r>
      <w:r>
        <w:rPr>
          <w:rFonts w:ascii="仿宋_GB2312" w:eastAsia="仿宋_GB2312" w:hint="eastAsia"/>
          <w:szCs w:val="32"/>
        </w:rPr>
        <w:t>3.57</w:t>
      </w:r>
      <w:r>
        <w:rPr>
          <w:rFonts w:ascii="仿宋_GB2312" w:eastAsia="仿宋_GB2312" w:hint="eastAsia"/>
          <w:szCs w:val="32"/>
        </w:rPr>
        <w:t>万元，主要用于劳务费支出，占</w:t>
      </w:r>
      <w:r>
        <w:rPr>
          <w:rFonts w:ascii="仿宋_GB2312" w:eastAsia="仿宋_GB2312" w:hint="eastAsia"/>
          <w:szCs w:val="32"/>
        </w:rPr>
        <w:t>0.36%</w:t>
      </w:r>
      <w:r>
        <w:rPr>
          <w:rFonts w:ascii="仿宋_GB2312" w:eastAsia="仿宋_GB2312" w:hint="eastAsia"/>
          <w:szCs w:val="32"/>
        </w:rPr>
        <w:t>；社会保障和就业支出</w:t>
      </w:r>
      <w:r>
        <w:rPr>
          <w:rFonts w:ascii="仿宋_GB2312" w:eastAsia="仿宋_GB2312" w:hint="eastAsia"/>
          <w:szCs w:val="32"/>
        </w:rPr>
        <w:t>129.99</w:t>
      </w:r>
      <w:r>
        <w:rPr>
          <w:rFonts w:ascii="仿宋_GB2312" w:eastAsia="仿宋_GB2312" w:hint="eastAsia"/>
          <w:szCs w:val="32"/>
        </w:rPr>
        <w:t>万元，主要用于以下方面：机关事业单位基本养老保险支出以及购买威海政府救助保险，占</w:t>
      </w:r>
      <w:r>
        <w:rPr>
          <w:rFonts w:ascii="仿宋_GB2312" w:eastAsia="仿宋_GB2312" w:hint="eastAsia"/>
          <w:szCs w:val="32"/>
        </w:rPr>
        <w:t>13.06%</w:t>
      </w:r>
      <w:r>
        <w:rPr>
          <w:rFonts w:ascii="仿宋_GB2312" w:eastAsia="仿宋_GB2312" w:hint="eastAsia"/>
          <w:szCs w:val="32"/>
        </w:rPr>
        <w:t>；卫生健康支出</w:t>
      </w:r>
      <w:r>
        <w:rPr>
          <w:rFonts w:ascii="仿宋_GB2312" w:eastAsia="仿宋_GB2312" w:hint="eastAsia"/>
          <w:szCs w:val="32"/>
        </w:rPr>
        <w:t>13.07</w:t>
      </w:r>
      <w:r>
        <w:rPr>
          <w:rFonts w:ascii="仿宋_GB2312" w:eastAsia="仿宋_GB2312" w:hint="eastAsia"/>
          <w:szCs w:val="32"/>
        </w:rPr>
        <w:t>万元，主要用于行政事业单位医疗保险及医疗补助，占</w:t>
      </w:r>
      <w:r>
        <w:rPr>
          <w:rFonts w:ascii="仿宋_GB2312" w:eastAsia="仿宋_GB2312" w:hint="eastAsia"/>
          <w:szCs w:val="32"/>
        </w:rPr>
        <w:t>1.31%</w:t>
      </w:r>
      <w:r>
        <w:rPr>
          <w:rFonts w:ascii="仿宋_GB2312" w:eastAsia="仿宋_GB2312" w:hint="eastAsia"/>
          <w:szCs w:val="32"/>
        </w:rPr>
        <w:t>；灾害防治及应急管理支出</w:t>
      </w:r>
      <w:r>
        <w:rPr>
          <w:rFonts w:ascii="仿宋_GB2312" w:eastAsia="仿宋_GB2312" w:hint="eastAsia"/>
          <w:szCs w:val="32"/>
        </w:rPr>
        <w:t>815.75</w:t>
      </w:r>
      <w:r>
        <w:rPr>
          <w:rFonts w:ascii="仿宋_GB2312" w:eastAsia="仿宋_GB2312" w:hint="eastAsia"/>
          <w:szCs w:val="32"/>
        </w:rPr>
        <w:t>万元，主要用于本机关职工工资、津贴以及应急管理、安全生产监管、灾害救助、地震预测预报等支出，占</w:t>
      </w:r>
      <w:r>
        <w:rPr>
          <w:rFonts w:ascii="仿宋_GB2312" w:eastAsia="仿宋_GB2312" w:hint="eastAsia"/>
          <w:szCs w:val="32"/>
        </w:rPr>
        <w:t>81.96%</w:t>
      </w:r>
      <w:r>
        <w:rPr>
          <w:rFonts w:ascii="仿宋_GB2312" w:eastAsia="仿宋_GB2312" w:hint="eastAsia"/>
          <w:szCs w:val="32"/>
        </w:rPr>
        <w:t>；住房保障支出</w:t>
      </w:r>
      <w:r>
        <w:rPr>
          <w:rFonts w:ascii="仿宋_GB2312" w:eastAsia="仿宋_GB2312" w:hint="eastAsia"/>
          <w:szCs w:val="32"/>
        </w:rPr>
        <w:t>32.95</w:t>
      </w:r>
      <w:r>
        <w:rPr>
          <w:rFonts w:ascii="仿宋_GB2312" w:eastAsia="仿宋_GB2312" w:hint="eastAsia"/>
          <w:szCs w:val="32"/>
        </w:rPr>
        <w:t>万元，占</w:t>
      </w:r>
      <w:r>
        <w:rPr>
          <w:rFonts w:ascii="仿宋_GB2312" w:eastAsia="仿宋_GB2312" w:hint="eastAsia"/>
          <w:szCs w:val="32"/>
        </w:rPr>
        <w:t>3.31%</w:t>
      </w:r>
      <w:r>
        <w:rPr>
          <w:rFonts w:ascii="仿宋_GB2312" w:eastAsia="仿宋_GB2312" w:hint="eastAsia"/>
          <w:szCs w:val="32"/>
        </w:rPr>
        <w:t>，主要用于职工住房公积金缴纳。</w:t>
      </w:r>
      <w:r>
        <w:rPr>
          <w:rFonts w:ascii="仿宋_GB2312" w:eastAsia="仿宋_GB2312" w:hint="eastAsia"/>
          <w:szCs w:val="32"/>
        </w:rPr>
        <w:t xml:space="preserve"> </w:t>
      </w:r>
    </w:p>
    <w:p w:rsidR="00766B04" w:rsidRDefault="003905ED">
      <w:pPr>
        <w:ind w:firstLineChars="200" w:firstLine="632"/>
        <w:rPr>
          <w:rFonts w:ascii="仿宋_GB2312" w:eastAsia="仿宋_GB2312"/>
          <w:szCs w:val="32"/>
        </w:rPr>
      </w:pPr>
      <w:r>
        <w:rPr>
          <w:rFonts w:ascii="仿宋_GB2312" w:eastAsia="仿宋_GB2312" w:hint="eastAsia"/>
          <w:noProof/>
          <w:szCs w:val="32"/>
        </w:rPr>
        <w:lastRenderedPageBreak/>
        <w:drawing>
          <wp:anchor distT="0" distB="0" distL="114300" distR="114300" simplePos="0" relativeHeight="251662336" behindDoc="0" locked="0" layoutInCell="1" allowOverlap="1">
            <wp:simplePos x="0" y="0"/>
            <wp:positionH relativeFrom="column">
              <wp:posOffset>370840</wp:posOffset>
            </wp:positionH>
            <wp:positionV relativeFrom="paragraph">
              <wp:posOffset>330200</wp:posOffset>
            </wp:positionV>
            <wp:extent cx="4657725" cy="2590165"/>
            <wp:effectExtent l="19050" t="0" r="9525" b="635"/>
            <wp:wrapSquare wrapText="bothSides"/>
            <wp:docPr id="4" name="对象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766B04" w:rsidRDefault="00766B04">
      <w:pPr>
        <w:ind w:firstLineChars="200" w:firstLine="632"/>
        <w:rPr>
          <w:rFonts w:ascii="仿宋_GB2312" w:eastAsia="仿宋_GB2312"/>
          <w:szCs w:val="32"/>
        </w:rPr>
      </w:pPr>
    </w:p>
    <w:p w:rsidR="00766B04" w:rsidRDefault="00766B04">
      <w:pPr>
        <w:ind w:firstLineChars="200" w:firstLine="632"/>
        <w:rPr>
          <w:rFonts w:ascii="仿宋_GB2312" w:eastAsia="仿宋_GB2312"/>
          <w:szCs w:val="32"/>
        </w:rPr>
      </w:pPr>
    </w:p>
    <w:p w:rsidR="00766B04" w:rsidRDefault="00766B04">
      <w:pPr>
        <w:ind w:firstLineChars="200" w:firstLine="632"/>
        <w:rPr>
          <w:rFonts w:ascii="仿宋_GB2312" w:eastAsia="仿宋_GB2312"/>
          <w:szCs w:val="32"/>
        </w:rPr>
      </w:pPr>
    </w:p>
    <w:p w:rsidR="00766B04" w:rsidRDefault="00766B04">
      <w:pPr>
        <w:ind w:firstLineChars="200" w:firstLine="632"/>
        <w:rPr>
          <w:rFonts w:ascii="仿宋_GB2312" w:eastAsia="仿宋_GB2312"/>
          <w:szCs w:val="32"/>
        </w:rPr>
      </w:pPr>
    </w:p>
    <w:p w:rsidR="00766B04" w:rsidRDefault="003905ED">
      <w:pPr>
        <w:ind w:firstLineChars="200" w:firstLine="632"/>
        <w:rPr>
          <w:rFonts w:ascii="楷体_GB2312" w:eastAsia="楷体_GB2312"/>
          <w:szCs w:val="32"/>
        </w:rPr>
      </w:pPr>
      <w:r>
        <w:rPr>
          <w:rFonts w:ascii="楷体_GB2312" w:eastAsia="楷体_GB2312" w:hint="eastAsia"/>
          <w:szCs w:val="32"/>
        </w:rPr>
        <w:t>（</w:t>
      </w:r>
      <w:r>
        <w:rPr>
          <w:rFonts w:ascii="楷体_GB2312" w:eastAsia="楷体_GB2312" w:hint="eastAsia"/>
          <w:szCs w:val="32"/>
        </w:rPr>
        <w:t>三）一般公共预算财政拨款支出决算具体情况</w:t>
      </w:r>
    </w:p>
    <w:p w:rsidR="00766B04" w:rsidRDefault="003905ED">
      <w:pPr>
        <w:ind w:firstLineChars="200" w:firstLine="632"/>
        <w:rPr>
          <w:rFonts w:ascii="仿宋_GB2312" w:eastAsia="仿宋_GB2312"/>
          <w:b/>
          <w:szCs w:val="32"/>
        </w:rPr>
      </w:pPr>
      <w:r>
        <w:rPr>
          <w:rFonts w:ascii="仿宋_GB2312" w:eastAsia="仿宋_GB2312" w:hint="eastAsia"/>
          <w:szCs w:val="32"/>
        </w:rPr>
        <w:t>2019</w:t>
      </w:r>
      <w:r>
        <w:rPr>
          <w:rFonts w:ascii="仿宋_GB2312" w:eastAsia="仿宋_GB2312" w:hint="eastAsia"/>
          <w:szCs w:val="32"/>
        </w:rPr>
        <w:t>年机构改革，新成立威海市文登区应急管理局，预算收支主要承接原威海市文登区安全生产监督管理局</w:t>
      </w:r>
      <w:r>
        <w:rPr>
          <w:rFonts w:ascii="仿宋_GB2312" w:eastAsia="仿宋_GB2312" w:hint="eastAsia"/>
          <w:szCs w:val="32"/>
        </w:rPr>
        <w:t>2019</w:t>
      </w:r>
      <w:r>
        <w:rPr>
          <w:rFonts w:ascii="仿宋_GB2312" w:eastAsia="仿宋_GB2312" w:hint="eastAsia"/>
          <w:szCs w:val="32"/>
        </w:rPr>
        <w:t>年预算，</w:t>
      </w:r>
      <w:r>
        <w:rPr>
          <w:rFonts w:ascii="仿宋_GB2312" w:eastAsia="仿宋_GB2312" w:hint="eastAsia"/>
          <w:szCs w:val="32"/>
        </w:rPr>
        <w:t>2019</w:t>
      </w:r>
      <w:r>
        <w:rPr>
          <w:rFonts w:ascii="仿宋_GB2312" w:eastAsia="仿宋_GB2312" w:hint="eastAsia"/>
          <w:szCs w:val="32"/>
        </w:rPr>
        <w:t>年度原安监局一般公共预算财政拨款支出年初预算为</w:t>
      </w:r>
      <w:r>
        <w:rPr>
          <w:rFonts w:ascii="仿宋_GB2312" w:eastAsia="仿宋_GB2312" w:hint="eastAsia"/>
          <w:szCs w:val="32"/>
        </w:rPr>
        <w:t>543.91</w:t>
      </w:r>
      <w:r>
        <w:rPr>
          <w:rFonts w:ascii="仿宋_GB2312" w:eastAsia="仿宋_GB2312" w:hint="eastAsia"/>
          <w:szCs w:val="32"/>
        </w:rPr>
        <w:t>万元，应急管理局支出决算为</w:t>
      </w:r>
      <w:r>
        <w:rPr>
          <w:rFonts w:ascii="仿宋_GB2312" w:eastAsia="仿宋_GB2312" w:hint="eastAsia"/>
          <w:szCs w:val="32"/>
        </w:rPr>
        <w:t>995.33</w:t>
      </w:r>
      <w:r>
        <w:rPr>
          <w:rFonts w:ascii="仿宋_GB2312" w:eastAsia="仿宋_GB2312" w:hint="eastAsia"/>
          <w:szCs w:val="32"/>
        </w:rPr>
        <w:t>万元，完成年初预算的</w:t>
      </w:r>
      <w:r>
        <w:rPr>
          <w:rFonts w:ascii="仿宋_GB2312" w:eastAsia="仿宋_GB2312" w:hint="eastAsia"/>
          <w:szCs w:val="32"/>
        </w:rPr>
        <w:t>183.00%</w:t>
      </w:r>
      <w:r>
        <w:rPr>
          <w:rFonts w:ascii="仿宋_GB2312" w:eastAsia="仿宋_GB2312" w:hint="eastAsia"/>
          <w:szCs w:val="32"/>
        </w:rPr>
        <w:t>。由于职能人员变化较大，</w:t>
      </w:r>
      <w:r>
        <w:rPr>
          <w:rFonts w:ascii="仿宋_GB2312" w:eastAsia="仿宋_GB2312" w:hint="eastAsia"/>
          <w:szCs w:val="32"/>
        </w:rPr>
        <w:t>2019</w:t>
      </w:r>
      <w:r>
        <w:rPr>
          <w:rFonts w:ascii="仿宋_GB2312" w:eastAsia="仿宋_GB2312" w:hint="eastAsia"/>
          <w:szCs w:val="32"/>
        </w:rPr>
        <w:t>年决算与预算不具对比性，在此不做详细对比。</w:t>
      </w:r>
    </w:p>
    <w:p w:rsidR="00766B04" w:rsidRDefault="003905ED">
      <w:pPr>
        <w:ind w:firstLineChars="200" w:firstLine="632"/>
        <w:rPr>
          <w:rFonts w:ascii="黑体" w:eastAsia="黑体" w:hAnsi="黑体"/>
          <w:szCs w:val="32"/>
        </w:rPr>
      </w:pPr>
      <w:r>
        <w:rPr>
          <w:rFonts w:ascii="黑体" w:eastAsia="黑体" w:hAnsi="黑体" w:hint="eastAsia"/>
          <w:szCs w:val="32"/>
        </w:rPr>
        <w:t>六、一般公共预算财政拨款基本支出决算情况说明</w:t>
      </w:r>
    </w:p>
    <w:p w:rsidR="00766B04" w:rsidRDefault="003905ED">
      <w:pPr>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年度一般公共预算财政拨款基本支出决算</w:t>
      </w:r>
      <w:r>
        <w:rPr>
          <w:rFonts w:ascii="仿宋_GB2312" w:eastAsia="仿宋_GB2312" w:hint="eastAsia"/>
          <w:szCs w:val="32"/>
        </w:rPr>
        <w:t>584.44</w:t>
      </w:r>
      <w:r>
        <w:rPr>
          <w:rFonts w:ascii="仿宋_GB2312" w:eastAsia="仿宋_GB2312" w:hint="eastAsia"/>
          <w:szCs w:val="32"/>
        </w:rPr>
        <w:t>万元，包括人员经费和公用经费，支出具体情</w:t>
      </w:r>
      <w:r>
        <w:rPr>
          <w:rFonts w:ascii="仿宋_GB2312" w:eastAsia="仿宋_GB2312" w:hint="eastAsia"/>
          <w:szCs w:val="32"/>
        </w:rPr>
        <w:t>况如下：</w:t>
      </w:r>
    </w:p>
    <w:p w:rsidR="00766B04" w:rsidRDefault="003905ED">
      <w:pPr>
        <w:ind w:firstLineChars="200" w:firstLine="632"/>
        <w:rPr>
          <w:rFonts w:ascii="仿宋_GB2312" w:eastAsia="仿宋_GB2312"/>
          <w:szCs w:val="32"/>
        </w:rPr>
      </w:pPr>
      <w:r>
        <w:rPr>
          <w:rFonts w:ascii="仿宋_GB2312" w:eastAsia="仿宋_GB2312" w:hint="eastAsia"/>
          <w:szCs w:val="32"/>
        </w:rPr>
        <w:t>人员经费</w:t>
      </w:r>
      <w:r>
        <w:rPr>
          <w:rFonts w:ascii="仿宋_GB2312" w:eastAsia="仿宋_GB2312" w:hint="eastAsia"/>
          <w:szCs w:val="32"/>
        </w:rPr>
        <w:t>423.29</w:t>
      </w:r>
      <w:r>
        <w:rPr>
          <w:rFonts w:ascii="仿宋_GB2312" w:eastAsia="仿宋_GB2312" w:hint="eastAsia"/>
          <w:szCs w:val="32"/>
        </w:rPr>
        <w:t>万元，主要包括：基本工资、津贴补贴、奖金、机关事业单位基本养老保险费、职工基本医疗保险费、其他工资福利福利支出等。</w:t>
      </w:r>
    </w:p>
    <w:p w:rsidR="00766B04" w:rsidRDefault="003905ED">
      <w:pPr>
        <w:ind w:firstLineChars="200" w:firstLine="632"/>
        <w:rPr>
          <w:rFonts w:ascii="仿宋_GB2312" w:eastAsia="仿宋_GB2312"/>
          <w:b/>
          <w:szCs w:val="32"/>
        </w:rPr>
      </w:pPr>
      <w:r>
        <w:rPr>
          <w:rFonts w:ascii="仿宋_GB2312" w:eastAsia="仿宋_GB2312" w:hint="eastAsia"/>
          <w:szCs w:val="32"/>
        </w:rPr>
        <w:lastRenderedPageBreak/>
        <w:t>公用经费</w:t>
      </w:r>
      <w:r>
        <w:rPr>
          <w:rFonts w:ascii="仿宋_GB2312" w:eastAsia="仿宋_GB2312" w:hint="eastAsia"/>
          <w:szCs w:val="32"/>
        </w:rPr>
        <w:t>161.15</w:t>
      </w:r>
      <w:r>
        <w:rPr>
          <w:rFonts w:ascii="仿宋_GB2312" w:eastAsia="仿宋_GB2312" w:hint="eastAsia"/>
          <w:szCs w:val="32"/>
        </w:rPr>
        <w:t>万元，主要包括：办公费、印刷费、电费、邮电费、取暖费、物业管理费、差旅费、培训费、公务招待费、被装购置费、劳务费、委托业务费、工会费等。</w:t>
      </w:r>
    </w:p>
    <w:p w:rsidR="00766B04" w:rsidRDefault="003905ED">
      <w:pPr>
        <w:ind w:firstLineChars="200" w:firstLine="632"/>
        <w:rPr>
          <w:rFonts w:ascii="黑体" w:eastAsia="黑体" w:hAnsi="黑体"/>
          <w:szCs w:val="32"/>
        </w:rPr>
      </w:pPr>
      <w:r>
        <w:rPr>
          <w:rFonts w:ascii="黑体" w:eastAsia="黑体" w:hAnsi="黑体" w:hint="eastAsia"/>
          <w:szCs w:val="32"/>
        </w:rPr>
        <w:t>七、一般公共预算财政拨款“三公”经费支出决算情况说明</w:t>
      </w:r>
    </w:p>
    <w:p w:rsidR="00766B04" w:rsidRDefault="003905ED">
      <w:pPr>
        <w:ind w:firstLineChars="200" w:firstLine="632"/>
        <w:rPr>
          <w:rFonts w:ascii="楷体_GB2312" w:eastAsia="楷体_GB2312"/>
          <w:szCs w:val="32"/>
        </w:rPr>
      </w:pPr>
      <w:r>
        <w:rPr>
          <w:rFonts w:ascii="楷体_GB2312" w:eastAsia="楷体_GB2312" w:hint="eastAsia"/>
          <w:szCs w:val="32"/>
        </w:rPr>
        <w:t>（一）“三公”经费支出决算总体情况及增减变动原因</w:t>
      </w:r>
    </w:p>
    <w:p w:rsidR="00766B04" w:rsidRDefault="003905ED">
      <w:pPr>
        <w:ind w:firstLineChars="200" w:firstLine="632"/>
        <w:rPr>
          <w:rFonts w:ascii="仿宋_GB2312" w:eastAsia="仿宋_GB2312"/>
          <w:szCs w:val="32"/>
        </w:rPr>
      </w:pPr>
      <w:r>
        <w:rPr>
          <w:rFonts w:ascii="仿宋_GB2312" w:eastAsia="仿宋_GB2312" w:hAnsi="宋体" w:cs="Courier New" w:hint="eastAsia"/>
          <w:szCs w:val="32"/>
        </w:rPr>
        <w:t>一般公共预算财政拨款“三公”经费支出范围包括区应急局局机关及其所属预算单位，共</w:t>
      </w:r>
      <w:r>
        <w:rPr>
          <w:rFonts w:ascii="仿宋_GB2312" w:eastAsia="仿宋_GB2312" w:hAnsi="宋体" w:cs="Courier New" w:hint="eastAsia"/>
          <w:szCs w:val="32"/>
        </w:rPr>
        <w:t>3</w:t>
      </w:r>
      <w:r>
        <w:rPr>
          <w:rFonts w:ascii="仿宋_GB2312" w:eastAsia="仿宋_GB2312" w:hAnsi="宋体" w:cs="Courier New" w:hint="eastAsia"/>
          <w:szCs w:val="32"/>
        </w:rPr>
        <w:t>个预算单位。</w:t>
      </w:r>
      <w:r>
        <w:rPr>
          <w:rFonts w:ascii="仿宋_GB2312" w:eastAsia="仿宋_GB2312" w:hint="eastAsia"/>
          <w:szCs w:val="32"/>
        </w:rPr>
        <w:t>2019</w:t>
      </w:r>
      <w:r>
        <w:rPr>
          <w:rFonts w:ascii="仿宋_GB2312" w:eastAsia="仿宋_GB2312" w:hint="eastAsia"/>
          <w:szCs w:val="32"/>
        </w:rPr>
        <w:t>年度</w:t>
      </w:r>
      <w:r>
        <w:rPr>
          <w:rFonts w:ascii="仿宋_GB2312" w:eastAsia="仿宋_GB2312" w:hint="eastAsia"/>
          <w:szCs w:val="32"/>
        </w:rPr>
        <w:t>一般公共预算财政拨款“三公”经费决算数为</w:t>
      </w:r>
      <w:r>
        <w:rPr>
          <w:rFonts w:ascii="仿宋_GB2312" w:eastAsia="仿宋_GB2312" w:hint="eastAsia"/>
          <w:szCs w:val="32"/>
        </w:rPr>
        <w:t>2.03</w:t>
      </w:r>
      <w:r>
        <w:rPr>
          <w:rFonts w:ascii="仿宋_GB2312" w:eastAsia="仿宋_GB2312" w:hint="eastAsia"/>
          <w:szCs w:val="32"/>
        </w:rPr>
        <w:t>万元，完成年初预算的</w:t>
      </w:r>
      <w:r>
        <w:rPr>
          <w:rFonts w:ascii="仿宋_GB2312" w:eastAsia="仿宋_GB2312" w:hint="eastAsia"/>
          <w:szCs w:val="32"/>
        </w:rPr>
        <w:t>23.88%</w:t>
      </w:r>
      <w:r>
        <w:rPr>
          <w:rFonts w:ascii="仿宋_GB2312" w:eastAsia="仿宋_GB2312" w:hint="eastAsia"/>
          <w:szCs w:val="32"/>
        </w:rPr>
        <w:t>，其中：因公出国（境）费</w:t>
      </w:r>
      <w:r>
        <w:rPr>
          <w:rFonts w:ascii="仿宋_GB2312" w:eastAsia="仿宋_GB2312" w:hint="eastAsia"/>
          <w:szCs w:val="32"/>
        </w:rPr>
        <w:t>0</w:t>
      </w:r>
      <w:r>
        <w:rPr>
          <w:rFonts w:ascii="仿宋_GB2312" w:eastAsia="仿宋_GB2312" w:hint="eastAsia"/>
          <w:szCs w:val="32"/>
        </w:rPr>
        <w:t>万元；公务用车购置及运行维护费</w:t>
      </w:r>
      <w:r>
        <w:rPr>
          <w:rFonts w:ascii="仿宋_GB2312" w:eastAsia="仿宋_GB2312" w:hint="eastAsia"/>
          <w:szCs w:val="32"/>
        </w:rPr>
        <w:t>0</w:t>
      </w:r>
      <w:r>
        <w:rPr>
          <w:rFonts w:ascii="仿宋_GB2312" w:eastAsia="仿宋_GB2312" w:hint="eastAsia"/>
          <w:szCs w:val="32"/>
        </w:rPr>
        <w:t>万元；公务接待费</w:t>
      </w:r>
      <w:r>
        <w:rPr>
          <w:rFonts w:ascii="仿宋_GB2312" w:eastAsia="仿宋_GB2312" w:hint="eastAsia"/>
          <w:szCs w:val="32"/>
        </w:rPr>
        <w:t>2.03</w:t>
      </w:r>
      <w:r>
        <w:rPr>
          <w:rFonts w:ascii="仿宋_GB2312" w:eastAsia="仿宋_GB2312" w:hint="eastAsia"/>
          <w:szCs w:val="32"/>
        </w:rPr>
        <w:t>万元，完成年初预算的</w:t>
      </w:r>
      <w:r>
        <w:rPr>
          <w:rFonts w:ascii="仿宋_GB2312" w:eastAsia="仿宋_GB2312" w:hint="eastAsia"/>
          <w:szCs w:val="32"/>
        </w:rPr>
        <w:t>23.88%</w:t>
      </w:r>
      <w:r>
        <w:rPr>
          <w:rFonts w:ascii="仿宋_GB2312" w:eastAsia="仿宋_GB2312" w:hint="eastAsia"/>
          <w:szCs w:val="32"/>
        </w:rPr>
        <w:t>。（此项中的年初预算均为原区安监局预算，对比数据仅供参考）</w:t>
      </w:r>
    </w:p>
    <w:p w:rsidR="00766B04" w:rsidRDefault="003905ED">
      <w:pPr>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年“三公”经费决算比年初预算数减少</w:t>
      </w:r>
      <w:r>
        <w:rPr>
          <w:rFonts w:ascii="仿宋_GB2312" w:eastAsia="仿宋_GB2312" w:hint="eastAsia"/>
          <w:szCs w:val="32"/>
        </w:rPr>
        <w:t>6.47</w:t>
      </w:r>
      <w:r>
        <w:rPr>
          <w:rFonts w:ascii="仿宋_GB2312" w:eastAsia="仿宋_GB2312" w:hint="eastAsia"/>
          <w:szCs w:val="32"/>
        </w:rPr>
        <w:t>万元，主要原因是严格执公务接待规定，压缩一般经费支出，接待次数、人次及标准均下降。其中：因公出国（境）费与</w:t>
      </w:r>
      <w:r>
        <w:rPr>
          <w:rFonts w:ascii="仿宋_GB2312" w:eastAsia="仿宋_GB2312" w:hint="eastAsia"/>
          <w:szCs w:val="32"/>
        </w:rPr>
        <w:t>2019</w:t>
      </w:r>
      <w:r>
        <w:rPr>
          <w:rFonts w:ascii="仿宋_GB2312" w:eastAsia="仿宋_GB2312" w:hint="eastAsia"/>
          <w:szCs w:val="32"/>
        </w:rPr>
        <w:t>年预算均为</w:t>
      </w:r>
      <w:r>
        <w:rPr>
          <w:rFonts w:ascii="仿宋_GB2312" w:eastAsia="仿宋_GB2312" w:hint="eastAsia"/>
          <w:szCs w:val="32"/>
        </w:rPr>
        <w:t>0</w:t>
      </w:r>
      <w:r>
        <w:rPr>
          <w:rFonts w:ascii="仿宋_GB2312" w:eastAsia="仿宋_GB2312" w:hint="eastAsia"/>
          <w:szCs w:val="32"/>
        </w:rPr>
        <w:t>万元、公务用车购置及运行费与</w:t>
      </w:r>
      <w:r>
        <w:rPr>
          <w:rFonts w:ascii="仿宋_GB2312" w:eastAsia="仿宋_GB2312" w:hint="eastAsia"/>
          <w:szCs w:val="32"/>
        </w:rPr>
        <w:t>2019</w:t>
      </w:r>
      <w:r>
        <w:rPr>
          <w:rFonts w:ascii="仿宋_GB2312" w:eastAsia="仿宋_GB2312" w:hint="eastAsia"/>
          <w:szCs w:val="32"/>
        </w:rPr>
        <w:t>年预算均为</w:t>
      </w:r>
      <w:r>
        <w:rPr>
          <w:rFonts w:ascii="仿宋_GB2312" w:eastAsia="仿宋_GB2312" w:hint="eastAsia"/>
          <w:szCs w:val="32"/>
        </w:rPr>
        <w:t>0</w:t>
      </w:r>
      <w:r>
        <w:rPr>
          <w:rFonts w:ascii="仿宋_GB2312" w:eastAsia="仿宋_GB2312" w:hint="eastAsia"/>
          <w:szCs w:val="32"/>
        </w:rPr>
        <w:t>万元、公务接待费减少</w:t>
      </w:r>
      <w:r>
        <w:rPr>
          <w:rFonts w:ascii="仿宋_GB2312" w:eastAsia="仿宋_GB2312" w:hint="eastAsia"/>
          <w:szCs w:val="32"/>
        </w:rPr>
        <w:t>6.47</w:t>
      </w:r>
      <w:r>
        <w:rPr>
          <w:rFonts w:ascii="仿宋_GB2312" w:eastAsia="仿宋_GB2312" w:hint="eastAsia"/>
          <w:szCs w:val="32"/>
        </w:rPr>
        <w:t>万元。</w:t>
      </w:r>
      <w:r>
        <w:rPr>
          <w:rFonts w:ascii="仿宋_GB2312" w:eastAsia="仿宋_GB2312" w:hint="eastAsia"/>
          <w:szCs w:val="32"/>
        </w:rPr>
        <w:t>公务接待费减少的主要原因是严格执公务接待规定，压缩一般经费支出，接待次数、人次及标准均下降。（此项中的年初预算均为原区安监局</w:t>
      </w:r>
      <w:r>
        <w:rPr>
          <w:rFonts w:ascii="仿宋_GB2312" w:eastAsia="仿宋_GB2312" w:hint="eastAsia"/>
          <w:szCs w:val="32"/>
        </w:rPr>
        <w:t>2019</w:t>
      </w:r>
      <w:r>
        <w:rPr>
          <w:rFonts w:ascii="仿宋_GB2312" w:eastAsia="仿宋_GB2312" w:hint="eastAsia"/>
          <w:szCs w:val="32"/>
        </w:rPr>
        <w:t>年预算，对比数据仅供参考）</w:t>
      </w:r>
    </w:p>
    <w:p w:rsidR="00766B04" w:rsidRDefault="003905ED">
      <w:pPr>
        <w:ind w:firstLineChars="200" w:firstLine="632"/>
        <w:rPr>
          <w:rFonts w:ascii="楷体_GB2312" w:eastAsia="楷体_GB2312"/>
          <w:szCs w:val="32"/>
        </w:rPr>
      </w:pPr>
      <w:r>
        <w:rPr>
          <w:rFonts w:ascii="楷体_GB2312" w:eastAsia="楷体_GB2312" w:hint="eastAsia"/>
          <w:szCs w:val="32"/>
        </w:rPr>
        <w:t>（二）“三公”经费支出决算具体情况</w:t>
      </w:r>
    </w:p>
    <w:p w:rsidR="00766B04" w:rsidRDefault="003905ED">
      <w:pPr>
        <w:ind w:firstLineChars="200" w:firstLine="632"/>
        <w:rPr>
          <w:rFonts w:ascii="仿宋_GB2312" w:eastAsia="仿宋_GB2312" w:hAnsi="仿宋_GB2312" w:cs="仿宋_GB2312"/>
          <w:szCs w:val="32"/>
        </w:rPr>
      </w:pPr>
      <w:r>
        <w:rPr>
          <w:rFonts w:ascii="仿宋_GB2312" w:eastAsia="仿宋_GB2312" w:hAnsi="仿宋_GB2312" w:cs="仿宋_GB2312" w:hint="eastAsia"/>
          <w:szCs w:val="32"/>
        </w:rPr>
        <w:t>1.</w:t>
      </w:r>
      <w:r>
        <w:rPr>
          <w:rFonts w:ascii="仿宋_GB2312" w:eastAsia="仿宋_GB2312" w:hint="eastAsia"/>
          <w:szCs w:val="32"/>
        </w:rPr>
        <w:t xml:space="preserve"> </w:t>
      </w:r>
      <w:r>
        <w:rPr>
          <w:rFonts w:ascii="仿宋_GB2312" w:eastAsia="仿宋_GB2312" w:hint="eastAsia"/>
          <w:szCs w:val="32"/>
        </w:rPr>
        <w:t>因公出国（境）费决算数为</w:t>
      </w:r>
      <w:r>
        <w:rPr>
          <w:rFonts w:ascii="仿宋_GB2312" w:eastAsia="仿宋_GB2312" w:hint="eastAsia"/>
          <w:szCs w:val="32"/>
        </w:rPr>
        <w:t>0</w:t>
      </w:r>
      <w:r>
        <w:rPr>
          <w:rFonts w:ascii="仿宋_GB2312" w:eastAsia="仿宋_GB2312" w:hint="eastAsia"/>
          <w:szCs w:val="32"/>
        </w:rPr>
        <w:t>万元，因公出国（境）团组</w:t>
      </w:r>
      <w:r>
        <w:rPr>
          <w:rFonts w:ascii="仿宋_GB2312" w:eastAsia="仿宋_GB2312" w:hint="eastAsia"/>
          <w:szCs w:val="32"/>
        </w:rPr>
        <w:t>0</w:t>
      </w:r>
      <w:r>
        <w:rPr>
          <w:rFonts w:ascii="仿宋_GB2312" w:eastAsia="仿宋_GB2312" w:hint="eastAsia"/>
          <w:szCs w:val="32"/>
        </w:rPr>
        <w:t>个</w:t>
      </w:r>
      <w:r>
        <w:rPr>
          <w:rFonts w:ascii="仿宋_GB2312" w:eastAsia="仿宋_GB2312" w:hint="eastAsia"/>
          <w:szCs w:val="32"/>
        </w:rPr>
        <w:t>,</w:t>
      </w:r>
      <w:r>
        <w:rPr>
          <w:rFonts w:ascii="仿宋_GB2312" w:eastAsia="仿宋_GB2312" w:hint="eastAsia"/>
          <w:szCs w:val="32"/>
        </w:rPr>
        <w:t>累计</w:t>
      </w:r>
      <w:r>
        <w:rPr>
          <w:rFonts w:ascii="仿宋_GB2312" w:eastAsia="仿宋_GB2312" w:hint="eastAsia"/>
          <w:szCs w:val="32"/>
        </w:rPr>
        <w:t>0</w:t>
      </w:r>
      <w:r>
        <w:rPr>
          <w:rFonts w:ascii="仿宋_GB2312" w:eastAsia="仿宋_GB2312" w:hint="eastAsia"/>
          <w:szCs w:val="32"/>
        </w:rPr>
        <w:t>人次。</w:t>
      </w:r>
    </w:p>
    <w:p w:rsidR="00766B04" w:rsidRDefault="003905ED">
      <w:pPr>
        <w:ind w:firstLineChars="200" w:firstLine="632"/>
        <w:rPr>
          <w:rFonts w:ascii="仿宋_GB2312" w:eastAsia="仿宋_GB2312"/>
          <w:szCs w:val="32"/>
          <w:highlight w:val="yellow"/>
        </w:rPr>
      </w:pPr>
      <w:r>
        <w:rPr>
          <w:rFonts w:ascii="仿宋_GB2312" w:eastAsia="仿宋_GB2312" w:hAnsi="仿宋_GB2312" w:cs="仿宋_GB2312" w:hint="eastAsia"/>
          <w:szCs w:val="32"/>
        </w:rPr>
        <w:lastRenderedPageBreak/>
        <w:t>2.</w:t>
      </w:r>
      <w:r>
        <w:rPr>
          <w:rFonts w:ascii="仿宋_GB2312" w:eastAsia="仿宋_GB2312" w:hint="eastAsia"/>
          <w:szCs w:val="32"/>
        </w:rPr>
        <w:t xml:space="preserve"> </w:t>
      </w:r>
      <w:r>
        <w:rPr>
          <w:rFonts w:ascii="仿宋_GB2312" w:eastAsia="仿宋_GB2312" w:hint="eastAsia"/>
          <w:szCs w:val="32"/>
        </w:rPr>
        <w:t>公务用车购置及运行维护费决算数为</w:t>
      </w:r>
      <w:r>
        <w:rPr>
          <w:rFonts w:ascii="仿宋_GB2312" w:eastAsia="仿宋_GB2312" w:hint="eastAsia"/>
          <w:szCs w:val="32"/>
        </w:rPr>
        <w:t>0</w:t>
      </w:r>
      <w:r>
        <w:rPr>
          <w:rFonts w:ascii="仿宋_GB2312" w:eastAsia="仿宋_GB2312" w:hint="eastAsia"/>
          <w:szCs w:val="32"/>
        </w:rPr>
        <w:t>万元，其中：公务用车购置费支出</w:t>
      </w:r>
      <w:r>
        <w:rPr>
          <w:rFonts w:ascii="仿宋_GB2312" w:eastAsia="仿宋_GB2312" w:hint="eastAsia"/>
          <w:szCs w:val="32"/>
        </w:rPr>
        <w:t>0</w:t>
      </w:r>
      <w:r>
        <w:rPr>
          <w:rFonts w:ascii="仿宋_GB2312" w:eastAsia="仿宋_GB2312" w:hint="eastAsia"/>
          <w:szCs w:val="32"/>
        </w:rPr>
        <w:t>万元，</w:t>
      </w:r>
      <w:r>
        <w:rPr>
          <w:rFonts w:ascii="仿宋_GB2312" w:eastAsia="仿宋_GB2312" w:hint="eastAsia"/>
          <w:szCs w:val="32"/>
        </w:rPr>
        <w:t>2019</w:t>
      </w:r>
      <w:r>
        <w:rPr>
          <w:rFonts w:ascii="仿宋_GB2312" w:eastAsia="仿宋_GB2312" w:hint="eastAsia"/>
          <w:szCs w:val="32"/>
        </w:rPr>
        <w:t>年使用财政拨款购置公务用车</w:t>
      </w:r>
      <w:r>
        <w:rPr>
          <w:rFonts w:ascii="仿宋_GB2312" w:eastAsia="仿宋_GB2312" w:hint="eastAsia"/>
          <w:szCs w:val="32"/>
        </w:rPr>
        <w:t>0</w:t>
      </w:r>
      <w:r>
        <w:rPr>
          <w:rFonts w:ascii="仿宋_GB2312" w:eastAsia="仿宋_GB2312" w:hint="eastAsia"/>
          <w:szCs w:val="32"/>
        </w:rPr>
        <w:t>辆；公务用车运行维护费</w:t>
      </w:r>
      <w:r>
        <w:rPr>
          <w:rFonts w:ascii="仿宋_GB2312" w:eastAsia="仿宋_GB2312" w:hint="eastAsia"/>
          <w:szCs w:val="32"/>
        </w:rPr>
        <w:t>0</w:t>
      </w:r>
      <w:r>
        <w:rPr>
          <w:rFonts w:ascii="仿宋_GB2312" w:eastAsia="仿宋_GB2312" w:hint="eastAsia"/>
          <w:szCs w:val="32"/>
        </w:rPr>
        <w:t>万元，</w:t>
      </w:r>
      <w:r>
        <w:rPr>
          <w:rFonts w:ascii="仿宋_GB2312" w:eastAsia="仿宋_GB2312" w:hint="eastAsia"/>
          <w:szCs w:val="32"/>
        </w:rPr>
        <w:t>2019</w:t>
      </w:r>
      <w:r>
        <w:rPr>
          <w:rFonts w:ascii="仿宋_GB2312" w:eastAsia="仿宋_GB2312" w:hint="eastAsia"/>
          <w:szCs w:val="32"/>
        </w:rPr>
        <w:t>年财政拨款开支运行维护费的公务用车保有量为</w:t>
      </w:r>
      <w:r>
        <w:rPr>
          <w:rFonts w:ascii="仿宋_GB2312" w:eastAsia="仿宋_GB2312" w:hint="eastAsia"/>
          <w:szCs w:val="32"/>
        </w:rPr>
        <w:t>0</w:t>
      </w:r>
      <w:r>
        <w:rPr>
          <w:rFonts w:ascii="仿宋_GB2312" w:eastAsia="仿宋_GB2312" w:hint="eastAsia"/>
          <w:szCs w:val="32"/>
        </w:rPr>
        <w:t>辆。</w:t>
      </w:r>
    </w:p>
    <w:p w:rsidR="00766B04" w:rsidRDefault="003905ED">
      <w:pPr>
        <w:ind w:firstLineChars="200" w:firstLine="632"/>
        <w:rPr>
          <w:rFonts w:ascii="仿宋_GB2312" w:eastAsia="仿宋_GB2312"/>
          <w:szCs w:val="32"/>
        </w:rPr>
      </w:pPr>
      <w:r>
        <w:rPr>
          <w:rFonts w:ascii="仿宋_GB2312" w:eastAsia="仿宋_GB2312" w:hint="eastAsia"/>
          <w:szCs w:val="32"/>
        </w:rPr>
        <w:t>3</w:t>
      </w:r>
      <w:r>
        <w:rPr>
          <w:rFonts w:ascii="仿宋_GB2312" w:eastAsia="仿宋_GB2312" w:hAnsi="仿宋_GB2312" w:cs="仿宋_GB2312" w:hint="eastAsia"/>
          <w:szCs w:val="32"/>
        </w:rPr>
        <w:t>.</w:t>
      </w:r>
      <w:r>
        <w:rPr>
          <w:rFonts w:ascii="仿宋_GB2312" w:eastAsia="仿宋_GB2312" w:hint="eastAsia"/>
          <w:szCs w:val="32"/>
        </w:rPr>
        <w:t>公务接待费决算数为</w:t>
      </w:r>
      <w:r>
        <w:rPr>
          <w:rFonts w:ascii="仿宋_GB2312" w:eastAsia="仿宋_GB2312" w:hint="eastAsia"/>
          <w:szCs w:val="32"/>
        </w:rPr>
        <w:t>2.03</w:t>
      </w:r>
      <w:r>
        <w:rPr>
          <w:rFonts w:ascii="仿宋_GB2312" w:eastAsia="仿宋_GB2312" w:hint="eastAsia"/>
          <w:szCs w:val="32"/>
        </w:rPr>
        <w:t>万元，其</w:t>
      </w:r>
      <w:r>
        <w:rPr>
          <w:rFonts w:ascii="仿宋_GB2312" w:eastAsia="仿宋_GB2312" w:hint="eastAsia"/>
          <w:szCs w:val="32"/>
        </w:rPr>
        <w:t>中：国内接待费</w:t>
      </w:r>
      <w:r>
        <w:rPr>
          <w:rFonts w:ascii="仿宋_GB2312" w:eastAsia="仿宋_GB2312" w:hint="eastAsia"/>
          <w:szCs w:val="32"/>
        </w:rPr>
        <w:t>2.03</w:t>
      </w:r>
      <w:r>
        <w:rPr>
          <w:rFonts w:ascii="仿宋_GB2312" w:eastAsia="仿宋_GB2312" w:hint="eastAsia"/>
          <w:szCs w:val="32"/>
        </w:rPr>
        <w:t>万元，共计接待</w:t>
      </w:r>
      <w:r>
        <w:rPr>
          <w:rFonts w:ascii="仿宋_GB2312" w:eastAsia="仿宋_GB2312" w:hint="eastAsia"/>
          <w:szCs w:val="32"/>
        </w:rPr>
        <w:t>25</w:t>
      </w:r>
      <w:r>
        <w:rPr>
          <w:rFonts w:ascii="仿宋_GB2312" w:eastAsia="仿宋_GB2312" w:hint="eastAsia"/>
          <w:szCs w:val="32"/>
        </w:rPr>
        <w:t>批次、</w:t>
      </w:r>
      <w:r>
        <w:rPr>
          <w:rFonts w:ascii="仿宋_GB2312" w:eastAsia="仿宋_GB2312" w:hint="eastAsia"/>
          <w:szCs w:val="32"/>
        </w:rPr>
        <w:t>186</w:t>
      </w:r>
      <w:r>
        <w:rPr>
          <w:rFonts w:ascii="仿宋_GB2312" w:eastAsia="仿宋_GB2312" w:hint="eastAsia"/>
          <w:szCs w:val="32"/>
        </w:rPr>
        <w:t>人次（含外事接待</w:t>
      </w:r>
      <w:r>
        <w:rPr>
          <w:rFonts w:ascii="仿宋_GB2312" w:eastAsia="仿宋_GB2312" w:hint="eastAsia"/>
          <w:szCs w:val="32"/>
        </w:rPr>
        <w:t>0</w:t>
      </w:r>
      <w:r>
        <w:rPr>
          <w:rFonts w:ascii="仿宋_GB2312" w:eastAsia="仿宋_GB2312" w:hint="eastAsia"/>
          <w:szCs w:val="32"/>
        </w:rPr>
        <w:t>批次、</w:t>
      </w:r>
      <w:r>
        <w:rPr>
          <w:rFonts w:ascii="仿宋_GB2312" w:eastAsia="仿宋_GB2312" w:hint="eastAsia"/>
          <w:szCs w:val="32"/>
        </w:rPr>
        <w:t>0</w:t>
      </w:r>
      <w:r>
        <w:rPr>
          <w:rFonts w:ascii="仿宋_GB2312" w:eastAsia="仿宋_GB2312" w:hint="eastAsia"/>
          <w:szCs w:val="32"/>
        </w:rPr>
        <w:t>人次）；国（境）外接待费</w:t>
      </w:r>
      <w:r>
        <w:rPr>
          <w:rFonts w:ascii="仿宋_GB2312" w:eastAsia="仿宋_GB2312" w:hint="eastAsia"/>
          <w:szCs w:val="32"/>
        </w:rPr>
        <w:t>0</w:t>
      </w:r>
      <w:r>
        <w:rPr>
          <w:rFonts w:ascii="仿宋_GB2312" w:eastAsia="仿宋_GB2312" w:hint="eastAsia"/>
          <w:szCs w:val="32"/>
        </w:rPr>
        <w:t>万元，共计接待</w:t>
      </w:r>
      <w:r>
        <w:rPr>
          <w:rFonts w:ascii="仿宋_GB2312" w:eastAsia="仿宋_GB2312" w:hint="eastAsia"/>
          <w:szCs w:val="32"/>
        </w:rPr>
        <w:t>0</w:t>
      </w:r>
      <w:r>
        <w:rPr>
          <w:rFonts w:ascii="仿宋_GB2312" w:eastAsia="仿宋_GB2312" w:hint="eastAsia"/>
          <w:szCs w:val="32"/>
        </w:rPr>
        <w:t>批次、</w:t>
      </w:r>
      <w:r>
        <w:rPr>
          <w:rFonts w:ascii="仿宋_GB2312" w:eastAsia="仿宋_GB2312" w:hint="eastAsia"/>
          <w:szCs w:val="32"/>
        </w:rPr>
        <w:t>0</w:t>
      </w:r>
      <w:r>
        <w:rPr>
          <w:rFonts w:ascii="仿宋_GB2312" w:eastAsia="仿宋_GB2312" w:hint="eastAsia"/>
          <w:szCs w:val="32"/>
        </w:rPr>
        <w:t>人次。</w:t>
      </w:r>
    </w:p>
    <w:p w:rsidR="00766B04" w:rsidRDefault="003905ED">
      <w:pPr>
        <w:ind w:firstLineChars="200" w:firstLine="632"/>
        <w:rPr>
          <w:rFonts w:ascii="黑体" w:eastAsia="黑体" w:hAnsi="黑体"/>
          <w:szCs w:val="32"/>
        </w:rPr>
      </w:pPr>
      <w:r>
        <w:rPr>
          <w:rFonts w:ascii="黑体" w:eastAsia="黑体" w:hAnsi="黑体" w:hint="eastAsia"/>
          <w:szCs w:val="32"/>
        </w:rPr>
        <w:t>八、政府性基金预算财政拨款收入支出决算情况说明</w:t>
      </w:r>
    </w:p>
    <w:p w:rsidR="00766B04" w:rsidRDefault="003905ED">
      <w:pPr>
        <w:ind w:firstLineChars="200" w:firstLine="632"/>
        <w:rPr>
          <w:rFonts w:ascii="黑体" w:eastAsia="黑体" w:hAnsi="黑体"/>
          <w:szCs w:val="32"/>
        </w:rPr>
      </w:pPr>
      <w:r>
        <w:rPr>
          <w:rFonts w:ascii="仿宋_GB2312" w:eastAsia="仿宋_GB2312" w:hint="eastAsia"/>
          <w:szCs w:val="32"/>
        </w:rPr>
        <w:t>本部门没有政府性基金财政拨款收支。</w:t>
      </w:r>
    </w:p>
    <w:p w:rsidR="00766B04" w:rsidRDefault="003905ED">
      <w:pPr>
        <w:ind w:firstLineChars="200" w:firstLine="632"/>
        <w:rPr>
          <w:rFonts w:ascii="黑体" w:eastAsia="黑体" w:hAnsi="黑体"/>
          <w:szCs w:val="32"/>
        </w:rPr>
      </w:pPr>
      <w:r>
        <w:rPr>
          <w:rFonts w:ascii="黑体" w:eastAsia="黑体" w:hAnsi="黑体" w:hint="eastAsia"/>
          <w:szCs w:val="32"/>
        </w:rPr>
        <w:t>九、重要事项情况说明</w:t>
      </w:r>
    </w:p>
    <w:p w:rsidR="00766B04" w:rsidRDefault="003905ED">
      <w:pPr>
        <w:ind w:firstLineChars="200" w:firstLine="632"/>
        <w:rPr>
          <w:rFonts w:ascii="楷体_GB2312" w:eastAsia="楷体_GB2312"/>
          <w:szCs w:val="32"/>
        </w:rPr>
      </w:pPr>
      <w:r>
        <w:rPr>
          <w:rFonts w:ascii="楷体_GB2312" w:eastAsia="楷体_GB2312" w:hint="eastAsia"/>
          <w:szCs w:val="32"/>
        </w:rPr>
        <w:t>（一）机关运行经费支出情况</w:t>
      </w:r>
    </w:p>
    <w:p w:rsidR="00766B04" w:rsidRDefault="003905ED">
      <w:pPr>
        <w:ind w:firstLineChars="200" w:firstLine="632"/>
        <w:rPr>
          <w:rFonts w:ascii="仿宋_GB2312" w:eastAsia="仿宋_GB2312"/>
          <w:szCs w:val="32"/>
        </w:rPr>
      </w:pPr>
      <w:r>
        <w:rPr>
          <w:rFonts w:ascii="仿宋_GB2312" w:eastAsia="仿宋_GB2312" w:hint="eastAsia"/>
          <w:szCs w:val="32"/>
        </w:rPr>
        <w:t>2019</w:t>
      </w:r>
      <w:r>
        <w:rPr>
          <w:rFonts w:ascii="仿宋_GB2312" w:eastAsia="仿宋_GB2312" w:hint="eastAsia"/>
          <w:szCs w:val="32"/>
        </w:rPr>
        <w:t>年度，机关运行经费支出</w:t>
      </w:r>
      <w:r>
        <w:rPr>
          <w:rFonts w:ascii="仿宋_GB2312" w:eastAsia="仿宋_GB2312" w:hint="eastAsia"/>
          <w:szCs w:val="32"/>
        </w:rPr>
        <w:t>240.73</w:t>
      </w:r>
      <w:r>
        <w:rPr>
          <w:rFonts w:ascii="仿宋_GB2312" w:eastAsia="仿宋_GB2312" w:hint="eastAsia"/>
          <w:szCs w:val="32"/>
        </w:rPr>
        <w:t>万元。</w:t>
      </w:r>
      <w:r>
        <w:rPr>
          <w:rFonts w:ascii="仿宋_GB2312" w:eastAsia="仿宋_GB2312" w:hint="eastAsia"/>
          <w:szCs w:val="32"/>
        </w:rPr>
        <w:t>2019</w:t>
      </w:r>
      <w:r>
        <w:rPr>
          <w:rFonts w:ascii="仿宋_GB2312" w:eastAsia="仿宋_GB2312" w:hint="eastAsia"/>
          <w:szCs w:val="32"/>
        </w:rPr>
        <w:t>年机构改革，新成立威海市文登区应急管理局，预算收支主要承接原威海市文登区安全生产监督管理局</w:t>
      </w:r>
      <w:r>
        <w:rPr>
          <w:rFonts w:ascii="仿宋_GB2312" w:eastAsia="仿宋_GB2312" w:hint="eastAsia"/>
          <w:szCs w:val="32"/>
        </w:rPr>
        <w:t>2019</w:t>
      </w:r>
      <w:r>
        <w:rPr>
          <w:rFonts w:ascii="仿宋_GB2312" w:eastAsia="仿宋_GB2312" w:hint="eastAsia"/>
          <w:szCs w:val="32"/>
        </w:rPr>
        <w:t>年预算，因职责及人员变化较大，</w:t>
      </w:r>
      <w:r>
        <w:rPr>
          <w:rFonts w:ascii="仿宋_GB2312" w:eastAsia="仿宋_GB2312" w:hint="eastAsia"/>
          <w:szCs w:val="32"/>
        </w:rPr>
        <w:t>2019</w:t>
      </w:r>
      <w:r>
        <w:rPr>
          <w:rFonts w:ascii="仿宋_GB2312" w:eastAsia="仿宋_GB2312" w:hint="eastAsia"/>
          <w:szCs w:val="32"/>
        </w:rPr>
        <w:t>年决算与预算不具对比性，在此不做对比说明。</w:t>
      </w:r>
    </w:p>
    <w:p w:rsidR="00766B04" w:rsidRDefault="003905ED">
      <w:pPr>
        <w:ind w:firstLineChars="200" w:firstLine="632"/>
        <w:rPr>
          <w:rFonts w:ascii="楷体_GB2312" w:eastAsia="楷体_GB2312"/>
          <w:szCs w:val="32"/>
        </w:rPr>
      </w:pPr>
      <w:r>
        <w:rPr>
          <w:rFonts w:ascii="楷体_GB2312" w:eastAsia="楷体_GB2312" w:hint="eastAsia"/>
          <w:szCs w:val="32"/>
        </w:rPr>
        <w:t>（二）政府采购支出情况</w:t>
      </w:r>
    </w:p>
    <w:p w:rsidR="00766B04" w:rsidRDefault="003905ED">
      <w:pPr>
        <w:autoSpaceDE w:val="0"/>
        <w:autoSpaceDN w:val="0"/>
        <w:adjustRightInd w:val="0"/>
        <w:ind w:firstLineChars="200" w:firstLine="632"/>
        <w:jc w:val="left"/>
        <w:rPr>
          <w:rFonts w:ascii="仿宋_GB2312" w:eastAsia="仿宋_GB2312" w:hAnsi="仿宋_GB2312" w:cs="仿宋_GB2312"/>
          <w:szCs w:val="32"/>
        </w:rPr>
      </w:pPr>
      <w:r>
        <w:rPr>
          <w:rFonts w:ascii="仿宋_GB2312" w:eastAsia="仿宋_GB2312" w:cs="仿宋_GB2312"/>
          <w:kern w:val="0"/>
          <w:szCs w:val="32"/>
        </w:rPr>
        <w:t xml:space="preserve">2019 </w:t>
      </w:r>
      <w:r>
        <w:rPr>
          <w:rFonts w:ascii="仿宋_GB2312" w:eastAsia="仿宋_GB2312" w:cs="仿宋_GB2312" w:hint="eastAsia"/>
          <w:kern w:val="0"/>
          <w:szCs w:val="32"/>
        </w:rPr>
        <w:t>年度政府采购支出总额</w:t>
      </w:r>
      <w:r>
        <w:rPr>
          <w:rFonts w:ascii="仿宋_GB2312" w:eastAsia="仿宋_GB2312" w:cs="仿宋_GB2312" w:hint="eastAsia"/>
          <w:kern w:val="0"/>
          <w:szCs w:val="32"/>
        </w:rPr>
        <w:t>0</w:t>
      </w:r>
      <w:r>
        <w:rPr>
          <w:rFonts w:ascii="仿宋_GB2312" w:eastAsia="仿宋_GB2312" w:cs="仿宋_GB2312" w:hint="eastAsia"/>
          <w:kern w:val="0"/>
          <w:szCs w:val="32"/>
        </w:rPr>
        <w:t>万元，其中：政府采购货物支出</w:t>
      </w:r>
      <w:r>
        <w:rPr>
          <w:rFonts w:ascii="仿宋_GB2312" w:eastAsia="仿宋_GB2312" w:cs="仿宋_GB2312" w:hint="eastAsia"/>
          <w:kern w:val="0"/>
          <w:szCs w:val="32"/>
        </w:rPr>
        <w:t>0</w:t>
      </w:r>
      <w:r>
        <w:rPr>
          <w:rFonts w:ascii="仿宋_GB2312" w:eastAsia="仿宋_GB2312" w:cs="仿宋_GB2312" w:hint="eastAsia"/>
          <w:kern w:val="0"/>
          <w:szCs w:val="32"/>
        </w:rPr>
        <w:t>万元、政府采购工程支出</w:t>
      </w:r>
      <w:r>
        <w:rPr>
          <w:rFonts w:ascii="仿宋_GB2312" w:eastAsia="仿宋_GB2312" w:cs="仿宋_GB2312" w:hint="eastAsia"/>
          <w:kern w:val="0"/>
          <w:szCs w:val="32"/>
        </w:rPr>
        <w:t>0</w:t>
      </w:r>
      <w:r>
        <w:rPr>
          <w:rFonts w:ascii="仿宋_GB2312" w:eastAsia="仿宋_GB2312" w:cs="仿宋_GB2312" w:hint="eastAsia"/>
          <w:kern w:val="0"/>
          <w:szCs w:val="32"/>
        </w:rPr>
        <w:t>万元、政府采购服务支出</w:t>
      </w:r>
      <w:r>
        <w:rPr>
          <w:rFonts w:ascii="仿宋_GB2312" w:eastAsia="仿宋_GB2312" w:cs="仿宋_GB2312" w:hint="eastAsia"/>
          <w:kern w:val="0"/>
          <w:szCs w:val="32"/>
        </w:rPr>
        <w:t>0</w:t>
      </w:r>
      <w:r>
        <w:rPr>
          <w:rFonts w:ascii="仿宋_GB2312" w:eastAsia="仿宋_GB2312" w:cs="仿宋_GB2312" w:hint="eastAsia"/>
          <w:kern w:val="0"/>
          <w:szCs w:val="32"/>
        </w:rPr>
        <w:t>万元。授予中小企业合同金额</w:t>
      </w:r>
      <w:r>
        <w:rPr>
          <w:rFonts w:ascii="仿宋_GB2312" w:eastAsia="仿宋_GB2312" w:cs="仿宋_GB2312" w:hint="eastAsia"/>
          <w:kern w:val="0"/>
          <w:szCs w:val="32"/>
        </w:rPr>
        <w:t>0</w:t>
      </w:r>
      <w:r>
        <w:rPr>
          <w:rFonts w:ascii="仿宋_GB2312" w:eastAsia="仿宋_GB2312" w:cs="仿宋_GB2312" w:hint="eastAsia"/>
          <w:kern w:val="0"/>
          <w:szCs w:val="32"/>
        </w:rPr>
        <w:t>万元，其中：授予小微企业合同金额</w:t>
      </w:r>
      <w:r>
        <w:rPr>
          <w:rFonts w:ascii="仿宋_GB2312" w:eastAsia="仿宋_GB2312" w:cs="仿宋_GB2312" w:hint="eastAsia"/>
          <w:kern w:val="0"/>
          <w:szCs w:val="32"/>
        </w:rPr>
        <w:t>0</w:t>
      </w:r>
      <w:r>
        <w:rPr>
          <w:rFonts w:ascii="仿宋_GB2312" w:eastAsia="仿宋_GB2312" w:cs="仿宋_GB2312" w:hint="eastAsia"/>
          <w:kern w:val="0"/>
          <w:szCs w:val="32"/>
        </w:rPr>
        <w:t>万元。</w:t>
      </w:r>
    </w:p>
    <w:p w:rsidR="00766B04" w:rsidRDefault="003905ED">
      <w:pPr>
        <w:ind w:firstLineChars="200" w:firstLine="632"/>
        <w:rPr>
          <w:rFonts w:ascii="楷体_GB2312" w:eastAsia="楷体_GB2312"/>
          <w:szCs w:val="32"/>
          <w:highlight w:val="yellow"/>
        </w:rPr>
      </w:pPr>
      <w:r>
        <w:rPr>
          <w:rFonts w:ascii="楷体_GB2312" w:eastAsia="楷体_GB2312" w:hint="eastAsia"/>
          <w:szCs w:val="32"/>
        </w:rPr>
        <w:t>（三）国有资产占用情况</w:t>
      </w:r>
    </w:p>
    <w:p w:rsidR="00766B04" w:rsidRDefault="003905ED">
      <w:pPr>
        <w:ind w:firstLineChars="200" w:firstLine="632"/>
        <w:rPr>
          <w:rFonts w:ascii="仿宋_GB2312" w:eastAsia="仿宋_GB2312" w:hAnsi="宋体" w:cs="Courier New"/>
          <w:szCs w:val="32"/>
        </w:rPr>
      </w:pPr>
      <w:r>
        <w:rPr>
          <w:rFonts w:ascii="仿宋_GB2312" w:eastAsia="仿宋_GB2312" w:hAnsi="宋体" w:cs="Courier New" w:hint="eastAsia"/>
          <w:szCs w:val="32"/>
        </w:rPr>
        <w:t>截至</w:t>
      </w:r>
      <w:r>
        <w:rPr>
          <w:rFonts w:ascii="仿宋_GB2312" w:eastAsia="仿宋_GB2312" w:hAnsi="宋体" w:cs="Courier New"/>
          <w:szCs w:val="32"/>
        </w:rPr>
        <w:t>201</w:t>
      </w:r>
      <w:r>
        <w:rPr>
          <w:rFonts w:ascii="仿宋_GB2312" w:eastAsia="仿宋_GB2312" w:hAnsi="宋体" w:cs="Courier New" w:hint="eastAsia"/>
          <w:szCs w:val="32"/>
        </w:rPr>
        <w:t>9</w:t>
      </w:r>
      <w:r>
        <w:rPr>
          <w:rFonts w:ascii="仿宋_GB2312" w:eastAsia="仿宋_GB2312" w:hAnsi="宋体" w:cs="Courier New" w:hint="eastAsia"/>
          <w:szCs w:val="32"/>
        </w:rPr>
        <w:t>年</w:t>
      </w:r>
      <w:r>
        <w:rPr>
          <w:rFonts w:ascii="仿宋_GB2312" w:eastAsia="仿宋_GB2312" w:hAnsi="宋体" w:cs="Courier New"/>
          <w:szCs w:val="32"/>
        </w:rPr>
        <w:t>12</w:t>
      </w:r>
      <w:r>
        <w:rPr>
          <w:rFonts w:ascii="仿宋_GB2312" w:eastAsia="仿宋_GB2312" w:hAnsi="宋体" w:cs="Courier New" w:hint="eastAsia"/>
          <w:szCs w:val="32"/>
        </w:rPr>
        <w:t>月</w:t>
      </w:r>
      <w:r>
        <w:rPr>
          <w:rFonts w:ascii="仿宋_GB2312" w:eastAsia="仿宋_GB2312" w:hAnsi="宋体" w:cs="Courier New"/>
          <w:szCs w:val="32"/>
        </w:rPr>
        <w:t>31</w:t>
      </w:r>
      <w:r>
        <w:rPr>
          <w:rFonts w:ascii="仿宋_GB2312" w:eastAsia="仿宋_GB2312" w:hAnsi="宋体" w:cs="Courier New" w:hint="eastAsia"/>
          <w:szCs w:val="32"/>
        </w:rPr>
        <w:t>日，共有车辆</w:t>
      </w:r>
      <w:r>
        <w:rPr>
          <w:rFonts w:ascii="仿宋_GB2312" w:eastAsia="仿宋_GB2312" w:hAnsi="宋体" w:cs="Courier New" w:hint="eastAsia"/>
          <w:szCs w:val="32"/>
        </w:rPr>
        <w:t>17</w:t>
      </w:r>
      <w:r>
        <w:rPr>
          <w:rFonts w:ascii="仿宋_GB2312" w:eastAsia="仿宋_GB2312" w:hAnsi="宋体" w:cs="Courier New" w:hint="eastAsia"/>
          <w:szCs w:val="32"/>
        </w:rPr>
        <w:t>辆，其中，符合规定的领导干部用车</w:t>
      </w:r>
      <w:r>
        <w:rPr>
          <w:rFonts w:ascii="仿宋_GB2312" w:eastAsia="仿宋_GB2312" w:hAnsi="宋体" w:cs="Courier New" w:hint="eastAsia"/>
          <w:szCs w:val="32"/>
        </w:rPr>
        <w:t>0</w:t>
      </w:r>
      <w:r>
        <w:rPr>
          <w:rFonts w:ascii="仿宋_GB2312" w:eastAsia="仿宋_GB2312" w:hAnsi="宋体" w:cs="Courier New" w:hint="eastAsia"/>
          <w:szCs w:val="32"/>
        </w:rPr>
        <w:t>辆、机要通信用车</w:t>
      </w:r>
      <w:r>
        <w:rPr>
          <w:rFonts w:ascii="仿宋_GB2312" w:eastAsia="仿宋_GB2312" w:hAnsi="宋体" w:cs="Courier New" w:hint="eastAsia"/>
          <w:szCs w:val="32"/>
        </w:rPr>
        <w:t>0</w:t>
      </w:r>
      <w:r>
        <w:rPr>
          <w:rFonts w:ascii="仿宋_GB2312" w:eastAsia="仿宋_GB2312" w:hAnsi="宋体" w:cs="Courier New" w:hint="eastAsia"/>
          <w:szCs w:val="32"/>
        </w:rPr>
        <w:t>辆、应急保障用车</w:t>
      </w:r>
      <w:r>
        <w:rPr>
          <w:rFonts w:ascii="仿宋_GB2312" w:eastAsia="仿宋_GB2312" w:hAnsi="宋体" w:cs="Courier New" w:hint="eastAsia"/>
          <w:szCs w:val="32"/>
        </w:rPr>
        <w:t>0</w:t>
      </w:r>
      <w:r>
        <w:rPr>
          <w:rFonts w:ascii="仿宋_GB2312" w:eastAsia="仿宋_GB2312" w:hAnsi="宋体" w:cs="Courier New" w:hint="eastAsia"/>
          <w:szCs w:val="32"/>
        </w:rPr>
        <w:t>辆、</w:t>
      </w:r>
      <w:r>
        <w:rPr>
          <w:rFonts w:ascii="仿宋_GB2312" w:eastAsia="仿宋_GB2312" w:hAnsi="宋体" w:cs="Courier New" w:hint="eastAsia"/>
          <w:szCs w:val="32"/>
        </w:rPr>
        <w:lastRenderedPageBreak/>
        <w:t>执法执勤用车</w:t>
      </w:r>
      <w:r>
        <w:rPr>
          <w:rFonts w:ascii="仿宋_GB2312" w:eastAsia="仿宋_GB2312" w:hAnsi="宋体" w:cs="Courier New" w:hint="eastAsia"/>
          <w:szCs w:val="32"/>
        </w:rPr>
        <w:t>17</w:t>
      </w:r>
      <w:r>
        <w:rPr>
          <w:rFonts w:ascii="仿宋_GB2312" w:eastAsia="仿宋_GB2312" w:hAnsi="宋体" w:cs="Courier New" w:hint="eastAsia"/>
          <w:szCs w:val="32"/>
        </w:rPr>
        <w:t>辆（资产计入局资产帐，车辆登记在区公车平台名下，公车平台负责管理及承担燃修费用，车辆归各镇办使用）、特种专业技术用车</w:t>
      </w:r>
      <w:r>
        <w:rPr>
          <w:rFonts w:ascii="仿宋_GB2312" w:eastAsia="仿宋_GB2312" w:hAnsi="宋体" w:cs="Courier New" w:hint="eastAsia"/>
          <w:szCs w:val="32"/>
        </w:rPr>
        <w:t>0</w:t>
      </w:r>
      <w:r>
        <w:rPr>
          <w:rFonts w:ascii="仿宋_GB2312" w:eastAsia="仿宋_GB2312" w:hAnsi="宋体" w:cs="Courier New" w:hint="eastAsia"/>
          <w:szCs w:val="32"/>
        </w:rPr>
        <w:t>辆、其他用车</w:t>
      </w:r>
      <w:r>
        <w:rPr>
          <w:rFonts w:ascii="仿宋_GB2312" w:eastAsia="仿宋_GB2312" w:hAnsi="宋体" w:cs="Courier New" w:hint="eastAsia"/>
          <w:szCs w:val="32"/>
        </w:rPr>
        <w:t>0</w:t>
      </w:r>
      <w:r>
        <w:rPr>
          <w:rFonts w:ascii="仿宋_GB2312" w:eastAsia="仿宋_GB2312" w:hAnsi="宋体" w:cs="Courier New" w:hint="eastAsia"/>
          <w:szCs w:val="32"/>
        </w:rPr>
        <w:t>辆；单位价值</w:t>
      </w:r>
      <w:r>
        <w:rPr>
          <w:rFonts w:ascii="仿宋_GB2312" w:eastAsia="仿宋_GB2312" w:hAnsi="宋体" w:cs="Courier New"/>
          <w:szCs w:val="32"/>
        </w:rPr>
        <w:t>50</w:t>
      </w:r>
      <w:r>
        <w:rPr>
          <w:rFonts w:ascii="仿宋_GB2312" w:eastAsia="仿宋_GB2312" w:hAnsi="宋体" w:cs="Courier New" w:hint="eastAsia"/>
          <w:szCs w:val="32"/>
        </w:rPr>
        <w:t>万元以</w:t>
      </w:r>
      <w:r>
        <w:rPr>
          <w:rFonts w:ascii="仿宋_GB2312" w:eastAsia="仿宋_GB2312" w:hAnsi="宋体" w:cs="Courier New" w:hint="eastAsia"/>
          <w:szCs w:val="32"/>
        </w:rPr>
        <w:t>上通用设备</w:t>
      </w:r>
      <w:r>
        <w:rPr>
          <w:rFonts w:ascii="仿宋_GB2312" w:eastAsia="仿宋_GB2312" w:hAnsi="宋体" w:cs="Courier New" w:hint="eastAsia"/>
          <w:szCs w:val="32"/>
        </w:rPr>
        <w:t>0</w:t>
      </w:r>
      <w:r>
        <w:rPr>
          <w:rFonts w:ascii="仿宋_GB2312" w:eastAsia="仿宋_GB2312" w:hAnsi="宋体" w:cs="Courier New" w:hint="eastAsia"/>
          <w:szCs w:val="32"/>
        </w:rPr>
        <w:t>台（套）；单位价值</w:t>
      </w:r>
      <w:r>
        <w:rPr>
          <w:rFonts w:ascii="仿宋_GB2312" w:eastAsia="仿宋_GB2312" w:hAnsi="宋体" w:cs="Courier New"/>
          <w:szCs w:val="32"/>
        </w:rPr>
        <w:t>100</w:t>
      </w:r>
      <w:r>
        <w:rPr>
          <w:rFonts w:ascii="仿宋_GB2312" w:eastAsia="仿宋_GB2312" w:hAnsi="宋体" w:cs="Courier New" w:hint="eastAsia"/>
          <w:szCs w:val="32"/>
        </w:rPr>
        <w:t>万元以上专用设备</w:t>
      </w:r>
      <w:r>
        <w:rPr>
          <w:rFonts w:ascii="仿宋_GB2312" w:eastAsia="仿宋_GB2312" w:hAnsi="宋体" w:cs="Courier New" w:hint="eastAsia"/>
          <w:szCs w:val="32"/>
        </w:rPr>
        <w:t>0</w:t>
      </w:r>
      <w:r>
        <w:rPr>
          <w:rFonts w:ascii="仿宋_GB2312" w:eastAsia="仿宋_GB2312" w:hAnsi="宋体" w:cs="Courier New" w:hint="eastAsia"/>
          <w:szCs w:val="32"/>
        </w:rPr>
        <w:t>台（套）。</w:t>
      </w:r>
    </w:p>
    <w:p w:rsidR="00766B04" w:rsidRDefault="003905ED">
      <w:pPr>
        <w:ind w:firstLineChars="200" w:firstLine="632"/>
        <w:rPr>
          <w:rFonts w:ascii="楷体_GB2312" w:eastAsia="楷体_GB2312"/>
          <w:szCs w:val="32"/>
        </w:rPr>
      </w:pPr>
      <w:r>
        <w:rPr>
          <w:rFonts w:ascii="楷体_GB2312" w:eastAsia="楷体_GB2312" w:hint="eastAsia"/>
          <w:szCs w:val="32"/>
        </w:rPr>
        <w:t>（四）预算绩效情况</w:t>
      </w:r>
    </w:p>
    <w:p w:rsidR="00766B04" w:rsidRDefault="003905ED">
      <w:pPr>
        <w:ind w:firstLineChars="200" w:firstLine="634"/>
        <w:rPr>
          <w:rFonts w:ascii="仿宋_GB2312" w:eastAsia="仿宋_GB2312" w:hAnsi="宋体" w:cs="Courier New"/>
          <w:b/>
          <w:szCs w:val="32"/>
        </w:rPr>
      </w:pPr>
      <w:r>
        <w:rPr>
          <w:rFonts w:ascii="仿宋_GB2312" w:eastAsia="仿宋_GB2312" w:hAnsi="宋体" w:cs="Courier New" w:hint="eastAsia"/>
          <w:b/>
          <w:szCs w:val="32"/>
        </w:rPr>
        <w:t>1</w:t>
      </w:r>
      <w:r>
        <w:rPr>
          <w:rFonts w:ascii="仿宋_GB2312" w:eastAsia="仿宋_GB2312" w:hAnsi="宋体" w:cs="Courier New" w:hint="eastAsia"/>
          <w:b/>
          <w:szCs w:val="32"/>
        </w:rPr>
        <w:t>、预算绩效管理工作开展情况。</w:t>
      </w:r>
    </w:p>
    <w:p w:rsidR="00766B04" w:rsidRDefault="003905ED">
      <w:pPr>
        <w:ind w:firstLineChars="200" w:firstLine="632"/>
        <w:rPr>
          <w:rFonts w:ascii="仿宋_GB2312" w:eastAsia="仿宋_GB2312"/>
          <w:bCs/>
          <w:kern w:val="0"/>
          <w:szCs w:val="32"/>
        </w:rPr>
      </w:pPr>
      <w:r>
        <w:rPr>
          <w:rFonts w:ascii="仿宋_GB2312" w:eastAsia="仿宋_GB2312" w:hint="eastAsia"/>
          <w:bCs/>
          <w:kern w:val="0"/>
          <w:szCs w:val="32"/>
        </w:rPr>
        <w:t>本部门项目为一般行政性支出，无绩效评价项目。</w:t>
      </w:r>
    </w:p>
    <w:p w:rsidR="00766B04" w:rsidRDefault="003905ED">
      <w:pPr>
        <w:ind w:firstLineChars="200" w:firstLine="634"/>
        <w:rPr>
          <w:rFonts w:ascii="仿宋_GB2312" w:eastAsia="仿宋_GB2312"/>
          <w:b/>
          <w:bCs/>
          <w:kern w:val="0"/>
          <w:szCs w:val="32"/>
        </w:rPr>
      </w:pPr>
      <w:r>
        <w:rPr>
          <w:rFonts w:ascii="仿宋_GB2312" w:eastAsia="仿宋_GB2312" w:hint="eastAsia"/>
          <w:b/>
          <w:bCs/>
          <w:kern w:val="0"/>
          <w:szCs w:val="32"/>
        </w:rPr>
        <w:t>2</w:t>
      </w:r>
      <w:r>
        <w:rPr>
          <w:rFonts w:ascii="仿宋_GB2312" w:eastAsia="仿宋_GB2312" w:hint="eastAsia"/>
          <w:b/>
          <w:bCs/>
          <w:kern w:val="0"/>
          <w:szCs w:val="32"/>
        </w:rPr>
        <w:t>、部门决算中项目绩效自评结果。</w:t>
      </w:r>
    </w:p>
    <w:p w:rsidR="00766B04" w:rsidRDefault="003905ED">
      <w:pPr>
        <w:ind w:firstLineChars="200" w:firstLine="632"/>
        <w:rPr>
          <w:rFonts w:ascii="仿宋_GB2312" w:eastAsia="仿宋_GB2312"/>
          <w:bCs/>
          <w:kern w:val="0"/>
          <w:szCs w:val="32"/>
        </w:rPr>
      </w:pPr>
      <w:r>
        <w:rPr>
          <w:rFonts w:ascii="仿宋_GB2312" w:eastAsia="仿宋_GB2312" w:hint="eastAsia"/>
          <w:bCs/>
          <w:kern w:val="0"/>
          <w:szCs w:val="32"/>
        </w:rPr>
        <w:t>本部门项目为一般行政性支出，无绩效评价项目。</w:t>
      </w:r>
    </w:p>
    <w:p w:rsidR="00766B04" w:rsidRDefault="003905ED">
      <w:pPr>
        <w:widowControl/>
        <w:spacing w:line="580" w:lineRule="exact"/>
        <w:ind w:firstLine="540"/>
        <w:rPr>
          <w:rFonts w:ascii="仿宋_GB2312" w:eastAsia="仿宋_GB2312"/>
          <w:szCs w:val="32"/>
        </w:rPr>
      </w:pPr>
      <w:r>
        <w:rPr>
          <w:rFonts w:ascii="仿宋_GB2312" w:eastAsia="仿宋_GB2312" w:hint="eastAsia"/>
          <w:b/>
          <w:bCs/>
          <w:kern w:val="0"/>
          <w:szCs w:val="32"/>
        </w:rPr>
        <w:t>3</w:t>
      </w:r>
      <w:r>
        <w:rPr>
          <w:rFonts w:ascii="仿宋_GB2312" w:eastAsia="仿宋_GB2312" w:hint="eastAsia"/>
          <w:b/>
          <w:bCs/>
          <w:kern w:val="0"/>
          <w:szCs w:val="32"/>
        </w:rPr>
        <w:t>、部门评价项目绩效评价结果</w:t>
      </w:r>
    </w:p>
    <w:p w:rsidR="00766B04" w:rsidRDefault="003905ED">
      <w:pPr>
        <w:ind w:firstLineChars="200" w:firstLine="632"/>
        <w:rPr>
          <w:rFonts w:ascii="仿宋_GB2312" w:eastAsia="仿宋_GB2312"/>
          <w:bCs/>
          <w:kern w:val="0"/>
          <w:szCs w:val="32"/>
        </w:rPr>
      </w:pPr>
      <w:r>
        <w:rPr>
          <w:rFonts w:ascii="仿宋_GB2312" w:eastAsia="仿宋_GB2312" w:hint="eastAsia"/>
          <w:bCs/>
          <w:kern w:val="0"/>
          <w:szCs w:val="32"/>
        </w:rPr>
        <w:t>本部门项目为一般行政性支出，无绩效评价项目。</w:t>
      </w: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766B04">
      <w:pPr>
        <w:ind w:firstLineChars="200" w:firstLine="632"/>
        <w:rPr>
          <w:rFonts w:ascii="楷体_GB2312" w:eastAsia="楷体_GB2312"/>
          <w:szCs w:val="32"/>
        </w:rPr>
      </w:pPr>
    </w:p>
    <w:p w:rsidR="00766B04" w:rsidRDefault="003905ED">
      <w:pPr>
        <w:ind w:firstLineChars="100" w:firstLine="536"/>
        <w:rPr>
          <w:rFonts w:ascii="仿宋" w:eastAsia="仿宋" w:hAnsi="仿宋" w:cs="仿宋"/>
          <w:spacing w:val="60"/>
          <w:sz w:val="42"/>
        </w:rPr>
      </w:pPr>
      <w:r>
        <w:rPr>
          <w:rFonts w:ascii="仿宋" w:eastAsia="仿宋" w:hAnsi="仿宋" w:cs="仿宋" w:hint="eastAsia"/>
          <w:spacing w:val="60"/>
          <w:sz w:val="42"/>
        </w:rPr>
        <w:lastRenderedPageBreak/>
        <w:t>第四部分</w:t>
      </w:r>
    </w:p>
    <w:p w:rsidR="00766B04" w:rsidRDefault="00766B04">
      <w:pPr>
        <w:jc w:val="center"/>
        <w:rPr>
          <w:rFonts w:ascii="仿宋" w:eastAsia="仿宋" w:hAnsi="仿宋" w:cs="仿宋"/>
          <w:spacing w:val="60"/>
          <w:sz w:val="42"/>
        </w:rPr>
      </w:pPr>
    </w:p>
    <w:p w:rsidR="00766B04" w:rsidRDefault="00766B04">
      <w:pPr>
        <w:jc w:val="center"/>
        <w:rPr>
          <w:rFonts w:ascii="仿宋" w:eastAsia="仿宋" w:hAnsi="仿宋" w:cs="仿宋"/>
          <w:spacing w:val="60"/>
          <w:sz w:val="42"/>
        </w:rPr>
      </w:pPr>
    </w:p>
    <w:p w:rsidR="00766B04" w:rsidRDefault="003905ED">
      <w:pPr>
        <w:jc w:val="center"/>
        <w:rPr>
          <w:rFonts w:ascii="仿宋" w:eastAsia="仿宋" w:hAnsi="仿宋" w:cs="仿宋"/>
          <w:spacing w:val="60"/>
          <w:sz w:val="48"/>
        </w:rPr>
        <w:sectPr w:rsidR="00766B04">
          <w:pgSz w:w="11906" w:h="16838"/>
          <w:pgMar w:top="1701" w:right="1531" w:bottom="1701" w:left="1531" w:header="0" w:footer="1418" w:gutter="0"/>
          <w:cols w:space="720"/>
          <w:docGrid w:type="linesAndChars" w:linePitch="610" w:charSpace="-849"/>
        </w:sectPr>
      </w:pPr>
      <w:r>
        <w:rPr>
          <w:rFonts w:ascii="仿宋" w:eastAsia="仿宋" w:hAnsi="仿宋" w:cs="仿宋" w:hint="eastAsia"/>
          <w:spacing w:val="60"/>
          <w:sz w:val="48"/>
        </w:rPr>
        <w:t>名词解释</w:t>
      </w:r>
    </w:p>
    <w:p w:rsidR="00766B04" w:rsidRDefault="003905ED">
      <w:pPr>
        <w:spacing w:line="580" w:lineRule="exact"/>
        <w:ind w:firstLineChars="200" w:firstLine="640"/>
        <w:rPr>
          <w:rFonts w:ascii="仿宋_GB2312" w:eastAsia="仿宋_GB2312"/>
          <w:szCs w:val="32"/>
        </w:rPr>
      </w:pPr>
      <w:r>
        <w:rPr>
          <w:rFonts w:ascii="仿宋_GB2312" w:eastAsia="仿宋_GB2312" w:hAnsi="黑体" w:hint="eastAsia"/>
          <w:color w:val="000000"/>
          <w:szCs w:val="32"/>
        </w:rPr>
        <w:lastRenderedPageBreak/>
        <w:t>一、财政拨款收入：</w:t>
      </w:r>
      <w:r>
        <w:rPr>
          <w:rFonts w:ascii="仿宋_GB2312" w:eastAsia="仿宋_GB2312" w:hint="eastAsia"/>
          <w:szCs w:val="32"/>
        </w:rPr>
        <w:t>指单位从区级财政部门取得的财政预算资金。按现行管理制度，反映的财政拨款包括一般公共预算财政拨款和政府性基金财政拨款。</w:t>
      </w:r>
    </w:p>
    <w:p w:rsidR="00766B04" w:rsidRDefault="003905ED">
      <w:pPr>
        <w:spacing w:line="580" w:lineRule="exact"/>
        <w:ind w:firstLineChars="200" w:firstLine="640"/>
        <w:rPr>
          <w:rFonts w:ascii="仿宋_GB2312" w:eastAsia="仿宋_GB2312"/>
          <w:szCs w:val="32"/>
        </w:rPr>
      </w:pPr>
      <w:r>
        <w:rPr>
          <w:rFonts w:ascii="仿宋_GB2312" w:eastAsia="仿宋_GB2312" w:hAnsi="黑体" w:hint="eastAsia"/>
          <w:szCs w:val="32"/>
        </w:rPr>
        <w:t>二、基本支出：</w:t>
      </w:r>
      <w:r>
        <w:rPr>
          <w:rFonts w:ascii="仿宋_GB2312" w:eastAsia="仿宋_GB2312" w:hint="eastAsia"/>
          <w:szCs w:val="32"/>
        </w:rPr>
        <w:t>指单位为保障其机构正常运转、完成日常工作任务而发生的人员支出和日常公用支出。</w:t>
      </w:r>
    </w:p>
    <w:p w:rsidR="00766B04" w:rsidRDefault="003905ED">
      <w:pPr>
        <w:spacing w:line="580" w:lineRule="exact"/>
        <w:ind w:firstLineChars="200" w:firstLine="640"/>
        <w:rPr>
          <w:rFonts w:ascii="仿宋_GB2312" w:eastAsia="仿宋_GB2312"/>
          <w:szCs w:val="32"/>
        </w:rPr>
      </w:pPr>
      <w:r>
        <w:rPr>
          <w:rFonts w:ascii="仿宋_GB2312" w:eastAsia="仿宋_GB2312" w:hAnsi="黑体" w:hint="eastAsia"/>
          <w:szCs w:val="32"/>
        </w:rPr>
        <w:t>三、项目支出：</w:t>
      </w:r>
      <w:r>
        <w:rPr>
          <w:rFonts w:ascii="仿宋_GB2312" w:eastAsia="仿宋_GB2312" w:hint="eastAsia"/>
          <w:szCs w:val="32"/>
        </w:rPr>
        <w:t>指单位在基本支出之外为完成特定的工作任务或事业发展目标所发生的支出。</w:t>
      </w:r>
    </w:p>
    <w:p w:rsidR="00766B04" w:rsidRDefault="003905ED">
      <w:pPr>
        <w:spacing w:line="580" w:lineRule="exact"/>
        <w:ind w:firstLineChars="200" w:firstLine="640"/>
        <w:rPr>
          <w:rFonts w:ascii="仿宋_GB2312" w:eastAsia="仿宋_GB2312"/>
          <w:szCs w:val="32"/>
        </w:rPr>
      </w:pPr>
      <w:r>
        <w:rPr>
          <w:rFonts w:ascii="仿宋_GB2312" w:eastAsia="仿宋_GB2312" w:hAnsi="黑体" w:hint="eastAsia"/>
          <w:szCs w:val="32"/>
        </w:rPr>
        <w:t>四、“三公”经费：</w:t>
      </w:r>
      <w:r>
        <w:rPr>
          <w:rFonts w:ascii="仿宋_GB2312" w:eastAsia="仿宋_GB2312" w:hint="eastAsia"/>
          <w:szCs w:val="32"/>
        </w:rPr>
        <w:t>指区级部门用财政拨款安排的因公出国（境）费、公务用车购置及运行费和公务接待费。其中，因公出国（境）费反映单位公务出国（境）的国际旅费、国外城市间交通费、住宿费、伙食费、培训费、公杂费等支出；公务用车购</w:t>
      </w:r>
      <w:r>
        <w:rPr>
          <w:rFonts w:ascii="仿宋_GB2312" w:eastAsia="仿宋_GB2312" w:hint="eastAsia"/>
          <w:szCs w:val="32"/>
        </w:rPr>
        <w:t>置及运行费反映单位公务用车购置支出（含车辆购置税）及按规定保留的公务用车燃料费、维修费、过路过桥费、保险费等支出；公务接待费反映单位按规定开支的各类公务接待（含外宾接待）支出。</w:t>
      </w:r>
    </w:p>
    <w:p w:rsidR="00766B04" w:rsidRDefault="003905ED">
      <w:pPr>
        <w:spacing w:line="580" w:lineRule="exact"/>
        <w:ind w:firstLineChars="200" w:firstLine="640"/>
        <w:rPr>
          <w:rFonts w:ascii="仿宋_GB2312" w:eastAsia="仿宋_GB2312"/>
          <w:szCs w:val="32"/>
        </w:rPr>
      </w:pPr>
      <w:r>
        <w:rPr>
          <w:rFonts w:ascii="仿宋_GB2312" w:eastAsia="仿宋_GB2312" w:hAnsi="黑体" w:hint="eastAsia"/>
          <w:szCs w:val="32"/>
        </w:rPr>
        <w:t>五、机关运行经费：</w:t>
      </w:r>
      <w:r>
        <w:rPr>
          <w:rFonts w:ascii="仿宋_GB2312" w:eastAsia="仿宋_GB2312" w:hint="eastAsia"/>
          <w:szCs w:val="32"/>
        </w:rPr>
        <w:t>指为保障行政单位（包括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w:t>
      </w:r>
      <w:r>
        <w:rPr>
          <w:rFonts w:ascii="仿宋_GB2312" w:eastAsia="仿宋_GB2312" w:hint="eastAsia"/>
          <w:szCs w:val="32"/>
        </w:rPr>
        <w:t>等。</w:t>
      </w:r>
    </w:p>
    <w:p w:rsidR="00766B04" w:rsidRDefault="003905ED">
      <w:pPr>
        <w:spacing w:line="580" w:lineRule="exact"/>
        <w:ind w:firstLineChars="200" w:firstLine="640"/>
        <w:rPr>
          <w:rFonts w:ascii="仿宋_GB2312" w:eastAsia="仿宋_GB2312"/>
          <w:szCs w:val="32"/>
        </w:rPr>
      </w:pPr>
      <w:r>
        <w:rPr>
          <w:rFonts w:ascii="仿宋_GB2312" w:eastAsia="仿宋_GB2312" w:hint="eastAsia"/>
          <w:szCs w:val="32"/>
        </w:rPr>
        <w:lastRenderedPageBreak/>
        <w:t>六、上年结转：指以前年度尚未完成、结转到本年仍按原规定用途继续使用的资金。</w:t>
      </w:r>
      <w:r>
        <w:rPr>
          <w:rFonts w:ascii="仿宋_GB2312" w:eastAsia="仿宋_GB2312" w:hint="eastAsia"/>
          <w:szCs w:val="32"/>
        </w:rPr>
        <w:t xml:space="preserve"> </w:t>
      </w:r>
    </w:p>
    <w:p w:rsidR="00766B04" w:rsidRDefault="003905ED">
      <w:pPr>
        <w:spacing w:line="580" w:lineRule="exact"/>
        <w:ind w:firstLineChars="200" w:firstLine="640"/>
        <w:rPr>
          <w:rFonts w:ascii="仿宋_GB2312" w:eastAsia="仿宋_GB2312"/>
          <w:szCs w:val="32"/>
        </w:rPr>
      </w:pPr>
      <w:r>
        <w:rPr>
          <w:rFonts w:ascii="仿宋_GB2312" w:eastAsia="仿宋_GB2312" w:hint="eastAsia"/>
          <w:szCs w:val="32"/>
        </w:rPr>
        <w:t>七、社会保障和就业支出（类）行政事业单位养老支出（款）机关事业单位基本养老保险缴费支出（项）：在编工作人员基本养老保险缴费支出。</w:t>
      </w:r>
      <w:r>
        <w:rPr>
          <w:rFonts w:ascii="仿宋_GB2312" w:eastAsia="仿宋_GB2312" w:hint="eastAsia"/>
          <w:szCs w:val="32"/>
        </w:rPr>
        <w:t xml:space="preserve"> </w:t>
      </w:r>
    </w:p>
    <w:p w:rsidR="00766B04" w:rsidRDefault="003905ED">
      <w:pPr>
        <w:spacing w:line="580" w:lineRule="exact"/>
        <w:ind w:firstLineChars="200" w:firstLine="640"/>
        <w:rPr>
          <w:rFonts w:ascii="仿宋_GB2312" w:eastAsia="仿宋_GB2312"/>
          <w:szCs w:val="32"/>
        </w:rPr>
      </w:pPr>
      <w:r>
        <w:rPr>
          <w:rFonts w:ascii="仿宋_GB2312" w:eastAsia="仿宋_GB2312" w:hint="eastAsia"/>
          <w:szCs w:val="32"/>
        </w:rPr>
        <w:t>八、社会保障和就业支出（类）行政事业单位养老支出（款）机关事业单位职业年金缴费支出（项）：在编工作人员职业年金缴费支出。</w:t>
      </w:r>
      <w:r>
        <w:rPr>
          <w:rFonts w:ascii="仿宋_GB2312" w:eastAsia="仿宋_GB2312" w:hint="eastAsia"/>
          <w:szCs w:val="32"/>
        </w:rPr>
        <w:t xml:space="preserve"> </w:t>
      </w:r>
    </w:p>
    <w:p w:rsidR="00766B04" w:rsidRDefault="003905ED">
      <w:pPr>
        <w:spacing w:line="580" w:lineRule="exact"/>
        <w:ind w:firstLineChars="200" w:firstLine="640"/>
        <w:rPr>
          <w:rFonts w:ascii="仿宋_GB2312" w:eastAsia="仿宋_GB2312"/>
          <w:szCs w:val="32"/>
        </w:rPr>
      </w:pPr>
      <w:r>
        <w:rPr>
          <w:rFonts w:ascii="仿宋_GB2312" w:eastAsia="仿宋_GB2312" w:hint="eastAsia"/>
          <w:szCs w:val="32"/>
        </w:rPr>
        <w:t>九、卫生健康支出（类）行政事业单位医疗（款）行政单位医疗（项）：基本医疗保险缴费支出。</w:t>
      </w:r>
    </w:p>
    <w:p w:rsidR="00766B04" w:rsidRDefault="003905ED">
      <w:pPr>
        <w:spacing w:line="580" w:lineRule="exact"/>
        <w:ind w:firstLineChars="200" w:firstLine="640"/>
        <w:jc w:val="left"/>
        <w:rPr>
          <w:rFonts w:ascii="仿宋_GB2312" w:eastAsia="仿宋_GB2312"/>
          <w:szCs w:val="32"/>
        </w:rPr>
      </w:pPr>
      <w:r>
        <w:rPr>
          <w:rFonts w:ascii="仿宋_GB2312" w:eastAsia="仿宋_GB2312" w:hint="eastAsia"/>
          <w:szCs w:val="32"/>
        </w:rPr>
        <w:t>十、灾害防治及应急管理支出（类）应急管理事务（款）</w:t>
      </w:r>
      <w:r>
        <w:rPr>
          <w:rFonts w:ascii="仿宋_GB2312" w:eastAsia="仿宋_GB2312" w:hint="eastAsia"/>
          <w:szCs w:val="32"/>
        </w:rPr>
        <w:t xml:space="preserve"> </w:t>
      </w:r>
      <w:r>
        <w:rPr>
          <w:rFonts w:ascii="仿宋_GB2312" w:eastAsia="仿宋_GB2312" w:hint="eastAsia"/>
          <w:szCs w:val="32"/>
        </w:rPr>
        <w:t>行政运行（项）：行政管理运行基本</w:t>
      </w:r>
      <w:r>
        <w:rPr>
          <w:rFonts w:ascii="仿宋_GB2312" w:eastAsia="仿宋_GB2312" w:hint="eastAsia"/>
          <w:szCs w:val="32"/>
        </w:rPr>
        <w:t>支出。</w:t>
      </w:r>
      <w:r>
        <w:rPr>
          <w:rFonts w:ascii="仿宋_GB2312" w:eastAsia="仿宋_GB2312" w:hint="eastAsia"/>
          <w:szCs w:val="32"/>
        </w:rPr>
        <w:t xml:space="preserve"> </w:t>
      </w:r>
    </w:p>
    <w:p w:rsidR="00766B04" w:rsidRDefault="003905ED">
      <w:pPr>
        <w:spacing w:line="580" w:lineRule="exact"/>
        <w:ind w:firstLineChars="200" w:firstLine="640"/>
        <w:jc w:val="left"/>
        <w:rPr>
          <w:rFonts w:ascii="仿宋_GB2312" w:eastAsia="仿宋_GB2312"/>
          <w:szCs w:val="32"/>
        </w:rPr>
      </w:pPr>
      <w:r>
        <w:rPr>
          <w:rFonts w:ascii="仿宋_GB2312" w:eastAsia="仿宋_GB2312" w:hint="eastAsia"/>
          <w:szCs w:val="32"/>
        </w:rPr>
        <w:t>十一、灾害防治及应急管理支出（类）应急管理事务</w:t>
      </w:r>
      <w:r>
        <w:rPr>
          <w:rFonts w:ascii="仿宋_GB2312" w:eastAsia="仿宋_GB2312" w:hint="eastAsia"/>
          <w:szCs w:val="32"/>
        </w:rPr>
        <w:t xml:space="preserve"> </w:t>
      </w:r>
      <w:r>
        <w:rPr>
          <w:rFonts w:ascii="仿宋_GB2312" w:eastAsia="仿宋_GB2312" w:hint="eastAsia"/>
          <w:szCs w:val="32"/>
        </w:rPr>
        <w:t>（款）安全监管（项）：指安全生产及局工资福利及保险方面的支出。</w:t>
      </w:r>
      <w:r>
        <w:rPr>
          <w:rFonts w:ascii="仿宋_GB2312" w:eastAsia="仿宋_GB2312" w:hint="eastAsia"/>
          <w:szCs w:val="32"/>
        </w:rPr>
        <w:t xml:space="preserve"> </w:t>
      </w:r>
    </w:p>
    <w:p w:rsidR="00766B04" w:rsidRDefault="003905ED">
      <w:pPr>
        <w:spacing w:line="580" w:lineRule="exact"/>
        <w:ind w:firstLineChars="200" w:firstLine="640"/>
        <w:jc w:val="left"/>
        <w:rPr>
          <w:rFonts w:ascii="仿宋_GB2312" w:eastAsia="仿宋_GB2312"/>
          <w:szCs w:val="32"/>
        </w:rPr>
      </w:pPr>
      <w:r>
        <w:rPr>
          <w:rFonts w:ascii="仿宋_GB2312" w:eastAsia="仿宋_GB2312" w:hint="eastAsia"/>
          <w:szCs w:val="32"/>
        </w:rPr>
        <w:t>十二、灾害防治及应急管理支出（类）应急管理事务</w:t>
      </w:r>
      <w:r>
        <w:rPr>
          <w:rFonts w:ascii="仿宋_GB2312" w:eastAsia="仿宋_GB2312" w:hint="eastAsia"/>
          <w:szCs w:val="32"/>
        </w:rPr>
        <w:t xml:space="preserve"> </w:t>
      </w:r>
      <w:r>
        <w:rPr>
          <w:rFonts w:ascii="仿宋_GB2312" w:eastAsia="仿宋_GB2312" w:hint="eastAsia"/>
          <w:szCs w:val="32"/>
        </w:rPr>
        <w:t>（款）应急救援（项）：指购买应急管理装备方面的支出。</w:t>
      </w:r>
    </w:p>
    <w:p w:rsidR="00766B04" w:rsidRDefault="003905ED">
      <w:pPr>
        <w:spacing w:line="580" w:lineRule="exact"/>
        <w:ind w:firstLineChars="200" w:firstLine="640"/>
        <w:jc w:val="left"/>
        <w:rPr>
          <w:rFonts w:ascii="仿宋_GB2312" w:eastAsia="仿宋_GB2312"/>
          <w:szCs w:val="32"/>
        </w:rPr>
      </w:pPr>
      <w:r>
        <w:rPr>
          <w:rFonts w:ascii="仿宋_GB2312" w:eastAsia="仿宋_GB2312" w:hint="eastAsia"/>
          <w:szCs w:val="32"/>
        </w:rPr>
        <w:t>十三、灾害防治及应急管理支出（类）应急管理事务</w:t>
      </w:r>
      <w:r>
        <w:rPr>
          <w:rFonts w:ascii="仿宋_GB2312" w:eastAsia="仿宋_GB2312" w:hint="eastAsia"/>
          <w:szCs w:val="32"/>
        </w:rPr>
        <w:t xml:space="preserve"> </w:t>
      </w:r>
      <w:r>
        <w:rPr>
          <w:rFonts w:ascii="仿宋_GB2312" w:eastAsia="仿宋_GB2312" w:hint="eastAsia"/>
          <w:szCs w:val="32"/>
        </w:rPr>
        <w:t>（款）应急管理（项）：指应急管理及防灾减灾准备金，应急物资采购资金等。</w:t>
      </w:r>
    </w:p>
    <w:p w:rsidR="00766B04" w:rsidRDefault="00766B04">
      <w:pPr>
        <w:ind w:firstLineChars="100" w:firstLine="540"/>
        <w:rPr>
          <w:rFonts w:ascii="仿宋" w:eastAsia="仿宋" w:hAnsi="仿宋" w:cs="仿宋"/>
          <w:spacing w:val="60"/>
          <w:sz w:val="42"/>
        </w:rPr>
      </w:pPr>
    </w:p>
    <w:p w:rsidR="00766B04" w:rsidRDefault="00766B04">
      <w:pPr>
        <w:ind w:firstLineChars="100" w:firstLine="540"/>
        <w:rPr>
          <w:rFonts w:ascii="仿宋" w:eastAsia="仿宋" w:hAnsi="仿宋" w:cs="仿宋"/>
          <w:spacing w:val="60"/>
          <w:sz w:val="42"/>
        </w:rPr>
      </w:pPr>
    </w:p>
    <w:p w:rsidR="00766B04" w:rsidRDefault="00766B04">
      <w:pPr>
        <w:ind w:firstLineChars="100" w:firstLine="540"/>
        <w:rPr>
          <w:rFonts w:ascii="仿宋" w:eastAsia="仿宋" w:hAnsi="仿宋" w:cs="仿宋"/>
          <w:spacing w:val="60"/>
          <w:sz w:val="42"/>
        </w:rPr>
      </w:pPr>
    </w:p>
    <w:p w:rsidR="00766B04" w:rsidRDefault="003905ED">
      <w:pPr>
        <w:ind w:firstLineChars="100" w:firstLine="540"/>
        <w:rPr>
          <w:rFonts w:ascii="仿宋" w:eastAsia="仿宋" w:hAnsi="仿宋" w:cs="仿宋"/>
          <w:spacing w:val="60"/>
          <w:sz w:val="42"/>
        </w:rPr>
      </w:pPr>
      <w:r>
        <w:rPr>
          <w:rFonts w:ascii="仿宋" w:eastAsia="仿宋" w:hAnsi="仿宋" w:cs="仿宋" w:hint="eastAsia"/>
          <w:spacing w:val="60"/>
          <w:sz w:val="42"/>
        </w:rPr>
        <w:lastRenderedPageBreak/>
        <w:t>第五部分</w:t>
      </w:r>
    </w:p>
    <w:p w:rsidR="00766B04" w:rsidRDefault="00766B04">
      <w:pPr>
        <w:jc w:val="center"/>
        <w:rPr>
          <w:rFonts w:ascii="仿宋" w:eastAsia="仿宋" w:hAnsi="仿宋" w:cs="仿宋"/>
          <w:spacing w:val="60"/>
          <w:sz w:val="42"/>
        </w:rPr>
      </w:pPr>
    </w:p>
    <w:p w:rsidR="00766B04" w:rsidRDefault="00766B04">
      <w:pPr>
        <w:jc w:val="center"/>
        <w:rPr>
          <w:rFonts w:ascii="仿宋" w:eastAsia="仿宋" w:hAnsi="仿宋" w:cs="仿宋"/>
          <w:spacing w:val="60"/>
          <w:sz w:val="42"/>
        </w:rPr>
      </w:pPr>
    </w:p>
    <w:p w:rsidR="00766B04" w:rsidRDefault="003905ED">
      <w:pPr>
        <w:jc w:val="center"/>
        <w:rPr>
          <w:rFonts w:ascii="仿宋" w:eastAsia="仿宋" w:hAnsi="仿宋" w:cs="仿宋"/>
          <w:spacing w:val="60"/>
          <w:sz w:val="48"/>
        </w:rPr>
      </w:pPr>
      <w:r>
        <w:rPr>
          <w:rFonts w:ascii="仿宋" w:eastAsia="仿宋" w:hAnsi="仿宋" w:cs="仿宋" w:hint="eastAsia"/>
          <w:spacing w:val="60"/>
          <w:sz w:val="48"/>
        </w:rPr>
        <w:t xml:space="preserve">  </w:t>
      </w:r>
      <w:r>
        <w:rPr>
          <w:rFonts w:ascii="仿宋" w:eastAsia="仿宋" w:hAnsi="仿宋" w:cs="仿宋" w:hint="eastAsia"/>
          <w:spacing w:val="60"/>
          <w:sz w:val="48"/>
        </w:rPr>
        <w:t>附</w:t>
      </w:r>
      <w:r>
        <w:rPr>
          <w:rFonts w:ascii="仿宋" w:eastAsia="仿宋" w:hAnsi="仿宋" w:cs="仿宋" w:hint="eastAsia"/>
          <w:spacing w:val="60"/>
          <w:sz w:val="48"/>
        </w:rPr>
        <w:t xml:space="preserve">  </w:t>
      </w:r>
      <w:r>
        <w:rPr>
          <w:rFonts w:ascii="仿宋" w:eastAsia="仿宋" w:hAnsi="仿宋" w:cs="仿宋" w:hint="eastAsia"/>
          <w:spacing w:val="60"/>
          <w:sz w:val="48"/>
        </w:rPr>
        <w:t>件</w:t>
      </w:r>
    </w:p>
    <w:p w:rsidR="00766B04" w:rsidRDefault="00766B04">
      <w:pPr>
        <w:tabs>
          <w:tab w:val="left" w:pos="5891"/>
        </w:tabs>
        <w:spacing w:line="580" w:lineRule="exact"/>
        <w:rPr>
          <w:rFonts w:ascii="仿宋" w:eastAsia="仿宋" w:hAnsi="仿宋" w:cs="仿宋"/>
          <w:szCs w:val="32"/>
        </w:rPr>
        <w:sectPr w:rsidR="00766B04">
          <w:pgSz w:w="11906" w:h="16838"/>
          <w:pgMar w:top="2098" w:right="1418" w:bottom="1871" w:left="1531" w:header="851" w:footer="992" w:gutter="0"/>
          <w:cols w:space="720"/>
          <w:docGrid w:type="lines" w:linePitch="312"/>
        </w:sectPr>
      </w:pPr>
    </w:p>
    <w:tbl>
      <w:tblPr>
        <w:tblpPr w:leftFromText="180" w:rightFromText="180" w:vertAnchor="text" w:horzAnchor="page" w:tblpX="2027" w:tblpY="259"/>
        <w:tblOverlap w:val="never"/>
        <w:tblW w:w="13189" w:type="dxa"/>
        <w:tblLayout w:type="fixed"/>
        <w:tblCellMar>
          <w:top w:w="15" w:type="dxa"/>
          <w:left w:w="15" w:type="dxa"/>
          <w:bottom w:w="15" w:type="dxa"/>
          <w:right w:w="15" w:type="dxa"/>
        </w:tblCellMar>
        <w:tblLook w:val="04A0"/>
      </w:tblPr>
      <w:tblGrid>
        <w:gridCol w:w="830"/>
        <w:gridCol w:w="5686"/>
        <w:gridCol w:w="3056"/>
        <w:gridCol w:w="1783"/>
        <w:gridCol w:w="321"/>
        <w:gridCol w:w="1233"/>
        <w:gridCol w:w="280"/>
      </w:tblGrid>
      <w:tr w:rsidR="00766B04">
        <w:trPr>
          <w:trHeight w:val="459"/>
        </w:trPr>
        <w:tc>
          <w:tcPr>
            <w:tcW w:w="13189" w:type="dxa"/>
            <w:gridSpan w:val="7"/>
            <w:vAlign w:val="center"/>
          </w:tcPr>
          <w:p w:rsidR="00766B04" w:rsidRDefault="003905ED">
            <w:pPr>
              <w:rPr>
                <w:sz w:val="44"/>
                <w:szCs w:val="44"/>
              </w:rPr>
            </w:pPr>
            <w:r>
              <w:rPr>
                <w:rFonts w:hint="eastAsia"/>
                <w:sz w:val="44"/>
                <w:szCs w:val="44"/>
              </w:rPr>
              <w:lastRenderedPageBreak/>
              <w:t>2019</w:t>
            </w:r>
            <w:r>
              <w:rPr>
                <w:rFonts w:hint="eastAsia"/>
                <w:sz w:val="44"/>
                <w:szCs w:val="44"/>
              </w:rPr>
              <w:t>年度威海市文登区应急局部门预算项目绩效自评情况汇总表</w:t>
            </w:r>
          </w:p>
          <w:p w:rsidR="00766B04" w:rsidRDefault="00766B04">
            <w:pPr>
              <w:rPr>
                <w:rFonts w:ascii="仿宋_GB2312" w:eastAsia="仿宋_GB2312" w:hAnsi="宋体" w:cs="仿宋_GB2312"/>
                <w:color w:val="000000"/>
                <w:sz w:val="24"/>
              </w:rPr>
            </w:pPr>
          </w:p>
        </w:tc>
      </w:tr>
      <w:tr w:rsidR="00766B04">
        <w:trPr>
          <w:gridAfter w:val="2"/>
          <w:wAfter w:w="1513" w:type="dxa"/>
          <w:trHeight w:val="483"/>
        </w:trPr>
        <w:tc>
          <w:tcPr>
            <w:tcW w:w="830" w:type="dxa"/>
            <w:vAlign w:val="center"/>
          </w:tcPr>
          <w:p w:rsidR="00766B04" w:rsidRDefault="00766B04">
            <w:pPr>
              <w:rPr>
                <w:rFonts w:ascii="仿宋_GB2312" w:eastAsia="仿宋_GB2312" w:hAnsi="宋体" w:cs="仿宋_GB2312"/>
                <w:color w:val="000000"/>
                <w:sz w:val="28"/>
                <w:szCs w:val="28"/>
              </w:rPr>
            </w:pPr>
          </w:p>
        </w:tc>
        <w:tc>
          <w:tcPr>
            <w:tcW w:w="5686" w:type="dxa"/>
            <w:vAlign w:val="center"/>
          </w:tcPr>
          <w:p w:rsidR="00766B04" w:rsidRDefault="00766B04">
            <w:pPr>
              <w:rPr>
                <w:rFonts w:ascii="仿宋_GB2312" w:eastAsia="仿宋_GB2312" w:hAnsi="宋体" w:cs="仿宋_GB2312"/>
                <w:color w:val="000000"/>
                <w:sz w:val="28"/>
                <w:szCs w:val="28"/>
              </w:rPr>
            </w:pPr>
          </w:p>
        </w:tc>
        <w:tc>
          <w:tcPr>
            <w:tcW w:w="3056" w:type="dxa"/>
            <w:vAlign w:val="center"/>
          </w:tcPr>
          <w:p w:rsidR="00766B04" w:rsidRDefault="00766B04">
            <w:pPr>
              <w:rPr>
                <w:rFonts w:ascii="仿宋_GB2312" w:eastAsia="仿宋_GB2312" w:hAnsi="宋体" w:cs="仿宋_GB2312"/>
                <w:color w:val="000000"/>
                <w:sz w:val="28"/>
                <w:szCs w:val="28"/>
              </w:rPr>
            </w:pPr>
          </w:p>
        </w:tc>
        <w:tc>
          <w:tcPr>
            <w:tcW w:w="2104" w:type="dxa"/>
            <w:gridSpan w:val="2"/>
            <w:tcBorders>
              <w:bottom w:val="single" w:sz="4" w:space="0" w:color="000000"/>
            </w:tcBorders>
            <w:vAlign w:val="center"/>
          </w:tcPr>
          <w:p w:rsidR="00766B04" w:rsidRDefault="003905ED">
            <w:pPr>
              <w:widowControl/>
              <w:jc w:val="right"/>
              <w:textAlignment w:val="center"/>
              <w:rPr>
                <w:rFonts w:ascii="黑体" w:eastAsia="黑体" w:hAnsi="宋体" w:cs="黑体"/>
                <w:color w:val="000000"/>
                <w:sz w:val="24"/>
              </w:rPr>
            </w:pPr>
            <w:r>
              <w:rPr>
                <w:rFonts w:ascii="黑体" w:eastAsia="黑体" w:hAnsi="宋体" w:cs="黑体" w:hint="eastAsia"/>
                <w:color w:val="000000"/>
                <w:kern w:val="0"/>
                <w:sz w:val="24"/>
              </w:rPr>
              <w:t>单位：万元</w:t>
            </w:r>
          </w:p>
        </w:tc>
      </w:tr>
      <w:tr w:rsidR="00766B04">
        <w:trPr>
          <w:gridAfter w:val="1"/>
          <w:wAfter w:w="280" w:type="dxa"/>
          <w:trHeight w:val="610"/>
        </w:trPr>
        <w:tc>
          <w:tcPr>
            <w:tcW w:w="830" w:type="dxa"/>
            <w:vMerge w:val="restart"/>
            <w:tcBorders>
              <w:top w:val="single" w:sz="4" w:space="0" w:color="000000"/>
              <w:left w:val="single" w:sz="4" w:space="0" w:color="000000"/>
              <w:bottom w:val="single" w:sz="4" w:space="0" w:color="000000"/>
              <w:right w:val="single" w:sz="4" w:space="0" w:color="auto"/>
            </w:tcBorders>
            <w:vAlign w:val="center"/>
          </w:tcPr>
          <w:p w:rsidR="00766B04" w:rsidRDefault="003905ED">
            <w:pPr>
              <w:widowControl/>
              <w:jc w:val="center"/>
              <w:textAlignment w:val="center"/>
              <w:rPr>
                <w:rFonts w:ascii="黑体" w:eastAsia="黑体" w:hAnsi="宋体" w:cs="黑体"/>
                <w:color w:val="000000"/>
                <w:sz w:val="24"/>
              </w:rPr>
            </w:pPr>
            <w:r>
              <w:rPr>
                <w:rFonts w:ascii="黑体" w:eastAsia="黑体" w:hAnsi="宋体" w:cs="黑体" w:hint="eastAsia"/>
                <w:color w:val="000000"/>
                <w:kern w:val="0"/>
                <w:sz w:val="24"/>
              </w:rPr>
              <w:t>序号</w:t>
            </w:r>
          </w:p>
        </w:tc>
        <w:tc>
          <w:tcPr>
            <w:tcW w:w="5686" w:type="dxa"/>
            <w:vMerge w:val="restart"/>
            <w:tcBorders>
              <w:top w:val="single" w:sz="4" w:space="0" w:color="000000"/>
              <w:left w:val="single" w:sz="4" w:space="0" w:color="auto"/>
              <w:bottom w:val="single" w:sz="4" w:space="0" w:color="000000"/>
              <w:right w:val="single" w:sz="4" w:space="0" w:color="auto"/>
            </w:tcBorders>
            <w:vAlign w:val="center"/>
          </w:tcPr>
          <w:p w:rsidR="00766B04" w:rsidRDefault="003905ED">
            <w:pPr>
              <w:widowControl/>
              <w:jc w:val="center"/>
              <w:textAlignment w:val="center"/>
              <w:rPr>
                <w:rFonts w:ascii="黑体" w:eastAsia="黑体" w:hAnsi="宋体" w:cs="黑体"/>
                <w:color w:val="000000"/>
                <w:sz w:val="24"/>
              </w:rPr>
            </w:pPr>
            <w:r>
              <w:rPr>
                <w:rFonts w:ascii="黑体" w:eastAsia="黑体" w:hAnsi="宋体" w:cs="黑体" w:hint="eastAsia"/>
                <w:color w:val="000000"/>
                <w:kern w:val="0"/>
                <w:sz w:val="24"/>
              </w:rPr>
              <w:t>项目名称</w:t>
            </w:r>
          </w:p>
        </w:tc>
        <w:tc>
          <w:tcPr>
            <w:tcW w:w="3056" w:type="dxa"/>
            <w:vMerge w:val="restart"/>
            <w:tcBorders>
              <w:top w:val="single" w:sz="4" w:space="0" w:color="000000"/>
              <w:left w:val="single" w:sz="4" w:space="0" w:color="auto"/>
              <w:bottom w:val="single" w:sz="4" w:space="0" w:color="000000"/>
              <w:right w:val="single" w:sz="4" w:space="0" w:color="auto"/>
            </w:tcBorders>
            <w:vAlign w:val="center"/>
          </w:tcPr>
          <w:p w:rsidR="00766B04" w:rsidRDefault="003905ED">
            <w:pPr>
              <w:widowControl/>
              <w:jc w:val="center"/>
              <w:textAlignment w:val="center"/>
              <w:rPr>
                <w:rFonts w:ascii="黑体" w:eastAsia="黑体" w:hAnsi="宋体" w:cs="黑体"/>
                <w:color w:val="000000"/>
                <w:sz w:val="24"/>
              </w:rPr>
            </w:pPr>
            <w:r>
              <w:rPr>
                <w:rFonts w:ascii="黑体" w:eastAsia="黑体" w:hAnsi="宋体" w:cs="黑体" w:hint="eastAsia"/>
                <w:color w:val="000000"/>
                <w:kern w:val="0"/>
                <w:sz w:val="24"/>
              </w:rPr>
              <w:t>资金使用单位</w:t>
            </w:r>
          </w:p>
        </w:tc>
        <w:tc>
          <w:tcPr>
            <w:tcW w:w="1783" w:type="dxa"/>
            <w:vMerge w:val="restart"/>
            <w:tcBorders>
              <w:top w:val="single" w:sz="4" w:space="0" w:color="000000"/>
              <w:left w:val="single" w:sz="4" w:space="0" w:color="000000"/>
              <w:bottom w:val="single" w:sz="4" w:space="0" w:color="000000"/>
              <w:right w:val="single" w:sz="4" w:space="0" w:color="000000"/>
            </w:tcBorders>
            <w:vAlign w:val="center"/>
          </w:tcPr>
          <w:p w:rsidR="00766B04" w:rsidRDefault="003905ED">
            <w:pPr>
              <w:widowControl/>
              <w:jc w:val="center"/>
              <w:textAlignment w:val="center"/>
              <w:rPr>
                <w:rFonts w:ascii="黑体" w:eastAsia="黑体" w:hAnsi="宋体" w:cs="黑体"/>
                <w:color w:val="000000"/>
                <w:kern w:val="0"/>
                <w:sz w:val="24"/>
              </w:rPr>
            </w:pPr>
            <w:r>
              <w:rPr>
                <w:rFonts w:ascii="黑体" w:eastAsia="黑体" w:hAnsi="宋体" w:cs="黑体" w:hint="eastAsia"/>
                <w:color w:val="000000"/>
                <w:kern w:val="0"/>
                <w:sz w:val="24"/>
              </w:rPr>
              <w:t>自评</w:t>
            </w:r>
          </w:p>
          <w:p w:rsidR="00766B04" w:rsidRDefault="003905ED">
            <w:pPr>
              <w:widowControl/>
              <w:jc w:val="center"/>
              <w:textAlignment w:val="center"/>
              <w:rPr>
                <w:rFonts w:ascii="黑体" w:eastAsia="黑体" w:hAnsi="宋体" w:cs="黑体"/>
                <w:color w:val="000000"/>
                <w:sz w:val="24"/>
              </w:rPr>
            </w:pPr>
            <w:r>
              <w:rPr>
                <w:rFonts w:ascii="黑体" w:eastAsia="黑体" w:hAnsi="宋体" w:cs="黑体" w:hint="eastAsia"/>
                <w:color w:val="000000"/>
                <w:kern w:val="0"/>
                <w:sz w:val="24"/>
              </w:rPr>
              <w:t>得分</w:t>
            </w:r>
          </w:p>
        </w:tc>
        <w:tc>
          <w:tcPr>
            <w:tcW w:w="1554" w:type="dxa"/>
            <w:gridSpan w:val="2"/>
            <w:vMerge w:val="restart"/>
            <w:tcBorders>
              <w:top w:val="single" w:sz="4" w:space="0" w:color="000000"/>
              <w:left w:val="single" w:sz="4" w:space="0" w:color="000000"/>
              <w:bottom w:val="single" w:sz="4" w:space="0" w:color="000000"/>
              <w:right w:val="single" w:sz="4" w:space="0" w:color="000000"/>
            </w:tcBorders>
            <w:vAlign w:val="center"/>
          </w:tcPr>
          <w:p w:rsidR="00766B04" w:rsidRDefault="003905ED">
            <w:pPr>
              <w:widowControl/>
              <w:jc w:val="center"/>
              <w:textAlignment w:val="center"/>
              <w:rPr>
                <w:rFonts w:ascii="黑体" w:eastAsia="黑体" w:hAnsi="宋体" w:cs="黑体"/>
                <w:color w:val="000000"/>
                <w:kern w:val="0"/>
                <w:sz w:val="24"/>
              </w:rPr>
            </w:pPr>
            <w:r>
              <w:rPr>
                <w:rFonts w:ascii="黑体" w:eastAsia="黑体" w:hAnsi="宋体" w:cs="黑体" w:hint="eastAsia"/>
                <w:color w:val="000000"/>
                <w:kern w:val="0"/>
                <w:sz w:val="24"/>
              </w:rPr>
              <w:t>自评</w:t>
            </w:r>
          </w:p>
          <w:p w:rsidR="00766B04" w:rsidRDefault="003905ED">
            <w:pPr>
              <w:widowControl/>
              <w:jc w:val="center"/>
              <w:textAlignment w:val="center"/>
              <w:rPr>
                <w:rFonts w:ascii="黑体" w:eastAsia="黑体" w:hAnsi="宋体" w:cs="黑体"/>
                <w:color w:val="000000"/>
                <w:sz w:val="24"/>
              </w:rPr>
            </w:pPr>
            <w:r>
              <w:rPr>
                <w:rFonts w:ascii="黑体" w:eastAsia="黑体" w:hAnsi="宋体" w:cs="黑体" w:hint="eastAsia"/>
                <w:color w:val="000000"/>
                <w:kern w:val="0"/>
                <w:sz w:val="24"/>
              </w:rPr>
              <w:t>等级</w:t>
            </w:r>
          </w:p>
        </w:tc>
      </w:tr>
      <w:tr w:rsidR="00766B04">
        <w:trPr>
          <w:gridAfter w:val="1"/>
          <w:wAfter w:w="280" w:type="dxa"/>
          <w:trHeight w:val="610"/>
        </w:trPr>
        <w:tc>
          <w:tcPr>
            <w:tcW w:w="830" w:type="dxa"/>
            <w:vMerge/>
            <w:tcBorders>
              <w:top w:val="single" w:sz="4" w:space="0" w:color="000000"/>
              <w:left w:val="single" w:sz="4" w:space="0" w:color="000000"/>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5686" w:type="dxa"/>
            <w:vMerge/>
            <w:tcBorders>
              <w:top w:val="single" w:sz="4" w:space="0" w:color="000000"/>
              <w:left w:val="single" w:sz="4" w:space="0" w:color="auto"/>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3056" w:type="dxa"/>
            <w:vMerge/>
            <w:tcBorders>
              <w:top w:val="single" w:sz="4" w:space="0" w:color="000000"/>
              <w:left w:val="single" w:sz="4" w:space="0" w:color="auto"/>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1783" w:type="dxa"/>
            <w:vMerge/>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黑体" w:eastAsia="黑体" w:hAnsi="宋体" w:cs="黑体"/>
                <w:color w:val="000000"/>
                <w:sz w:val="24"/>
              </w:rPr>
            </w:pPr>
          </w:p>
        </w:tc>
        <w:tc>
          <w:tcPr>
            <w:tcW w:w="1554" w:type="dxa"/>
            <w:gridSpan w:val="2"/>
            <w:vMerge/>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黑体" w:eastAsia="黑体" w:hAnsi="宋体" w:cs="黑体"/>
                <w:color w:val="000000"/>
                <w:sz w:val="24"/>
              </w:rPr>
            </w:pPr>
          </w:p>
        </w:tc>
      </w:tr>
      <w:tr w:rsidR="00766B04">
        <w:trPr>
          <w:gridAfter w:val="1"/>
          <w:wAfter w:w="280" w:type="dxa"/>
          <w:trHeight w:val="610"/>
        </w:trPr>
        <w:tc>
          <w:tcPr>
            <w:tcW w:w="830" w:type="dxa"/>
            <w:vMerge/>
            <w:tcBorders>
              <w:top w:val="single" w:sz="4" w:space="0" w:color="000000"/>
              <w:left w:val="single" w:sz="4" w:space="0" w:color="000000"/>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5686" w:type="dxa"/>
            <w:vMerge/>
            <w:tcBorders>
              <w:top w:val="single" w:sz="4" w:space="0" w:color="000000"/>
              <w:left w:val="single" w:sz="4" w:space="0" w:color="auto"/>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3056" w:type="dxa"/>
            <w:vMerge/>
            <w:tcBorders>
              <w:top w:val="single" w:sz="4" w:space="0" w:color="000000"/>
              <w:left w:val="single" w:sz="4" w:space="0" w:color="auto"/>
              <w:bottom w:val="single" w:sz="4" w:space="0" w:color="000000"/>
              <w:right w:val="single" w:sz="4" w:space="0" w:color="auto"/>
            </w:tcBorders>
            <w:vAlign w:val="center"/>
          </w:tcPr>
          <w:p w:rsidR="00766B04" w:rsidRDefault="00766B04">
            <w:pPr>
              <w:jc w:val="center"/>
              <w:rPr>
                <w:rFonts w:ascii="黑体" w:eastAsia="黑体" w:hAnsi="宋体" w:cs="黑体"/>
                <w:color w:val="000000"/>
                <w:sz w:val="24"/>
              </w:rPr>
            </w:pPr>
          </w:p>
        </w:tc>
        <w:tc>
          <w:tcPr>
            <w:tcW w:w="1783" w:type="dxa"/>
            <w:vMerge/>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黑体" w:eastAsia="黑体" w:hAnsi="宋体" w:cs="黑体"/>
                <w:color w:val="000000"/>
                <w:sz w:val="24"/>
              </w:rPr>
            </w:pPr>
          </w:p>
        </w:tc>
        <w:tc>
          <w:tcPr>
            <w:tcW w:w="1554" w:type="dxa"/>
            <w:gridSpan w:val="2"/>
            <w:vMerge/>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黑体" w:eastAsia="黑体" w:hAnsi="宋体" w:cs="黑体"/>
                <w:color w:val="000000"/>
                <w:sz w:val="24"/>
              </w:rPr>
            </w:pPr>
          </w:p>
        </w:tc>
      </w:tr>
      <w:tr w:rsidR="00766B04">
        <w:trPr>
          <w:gridAfter w:val="1"/>
          <w:wAfter w:w="280" w:type="dxa"/>
          <w:trHeight w:val="444"/>
        </w:trPr>
        <w:tc>
          <w:tcPr>
            <w:tcW w:w="830" w:type="dxa"/>
            <w:tcBorders>
              <w:top w:val="single" w:sz="4" w:space="0" w:color="000000"/>
              <w:left w:val="single" w:sz="4" w:space="0" w:color="000000"/>
              <w:bottom w:val="single" w:sz="4" w:space="0" w:color="000000"/>
              <w:right w:val="single" w:sz="4" w:space="0" w:color="000000"/>
            </w:tcBorders>
            <w:vAlign w:val="center"/>
          </w:tcPr>
          <w:p w:rsidR="00766B04" w:rsidRDefault="003905ED">
            <w:pPr>
              <w:widowControl/>
              <w:jc w:val="center"/>
              <w:textAlignment w:val="center"/>
              <w:rPr>
                <w:rFonts w:ascii="仿宋_GB2312" w:eastAsia="仿宋_GB2312" w:hAnsi="宋体" w:cs="仿宋_GB2312"/>
                <w:color w:val="000000"/>
                <w:sz w:val="24"/>
              </w:rPr>
            </w:pPr>
            <w:r>
              <w:rPr>
                <w:rFonts w:ascii="仿宋_GB2312" w:eastAsia="仿宋_GB2312" w:hAnsi="宋体" w:cs="仿宋_GB2312" w:hint="eastAsia"/>
                <w:color w:val="000000"/>
                <w:kern w:val="0"/>
                <w:sz w:val="24"/>
              </w:rPr>
              <w:t>1</w:t>
            </w:r>
          </w:p>
        </w:tc>
        <w:tc>
          <w:tcPr>
            <w:tcW w:w="5686" w:type="dxa"/>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仿宋_GB2312" w:eastAsia="仿宋_GB2312" w:hAnsi="宋体" w:cs="仿宋_GB2312"/>
                <w:color w:val="000000"/>
                <w:sz w:val="24"/>
              </w:rPr>
            </w:pPr>
          </w:p>
        </w:tc>
        <w:tc>
          <w:tcPr>
            <w:tcW w:w="3056" w:type="dxa"/>
            <w:tcBorders>
              <w:top w:val="single" w:sz="4" w:space="0" w:color="000000"/>
              <w:left w:val="single" w:sz="4" w:space="0" w:color="000000"/>
              <w:bottom w:val="single" w:sz="4" w:space="0" w:color="000000"/>
              <w:right w:val="single" w:sz="4" w:space="0" w:color="000000"/>
            </w:tcBorders>
            <w:vAlign w:val="center"/>
          </w:tcPr>
          <w:p w:rsidR="00766B04" w:rsidRDefault="00766B04">
            <w:pPr>
              <w:jc w:val="center"/>
              <w:rPr>
                <w:rFonts w:ascii="仿宋_GB2312" w:eastAsia="仿宋_GB2312" w:hAnsi="宋体" w:cs="仿宋_GB2312"/>
                <w:color w:val="000000"/>
                <w:sz w:val="24"/>
              </w:rPr>
            </w:pPr>
          </w:p>
        </w:tc>
        <w:tc>
          <w:tcPr>
            <w:tcW w:w="1783" w:type="dxa"/>
            <w:tcBorders>
              <w:top w:val="single" w:sz="4" w:space="0" w:color="000000"/>
              <w:bottom w:val="single" w:sz="4" w:space="0" w:color="000000"/>
              <w:right w:val="single" w:sz="4" w:space="0" w:color="000000"/>
            </w:tcBorders>
            <w:vAlign w:val="center"/>
          </w:tcPr>
          <w:p w:rsidR="00766B04" w:rsidRDefault="00766B04">
            <w:pPr>
              <w:jc w:val="center"/>
              <w:rPr>
                <w:rFonts w:ascii="仿宋_GB2312" w:eastAsia="仿宋_GB2312" w:hAnsi="宋体" w:cs="仿宋_GB2312"/>
                <w:color w:val="000000"/>
                <w:sz w:val="24"/>
              </w:rPr>
            </w:pPr>
          </w:p>
        </w:tc>
        <w:tc>
          <w:tcPr>
            <w:tcW w:w="1554" w:type="dxa"/>
            <w:gridSpan w:val="2"/>
            <w:tcBorders>
              <w:top w:val="single" w:sz="4" w:space="0" w:color="000000"/>
              <w:left w:val="single" w:sz="4" w:space="0" w:color="000000"/>
              <w:bottom w:val="single" w:sz="4" w:space="0" w:color="000000"/>
              <w:right w:val="single" w:sz="4" w:space="0" w:color="000000"/>
            </w:tcBorders>
            <w:vAlign w:val="center"/>
          </w:tcPr>
          <w:p w:rsidR="00766B04" w:rsidRDefault="00766B04">
            <w:pPr>
              <w:rPr>
                <w:rFonts w:ascii="仿宋_GB2312" w:eastAsia="仿宋_GB2312" w:hAnsi="宋体" w:cs="仿宋_GB2312"/>
                <w:color w:val="000000"/>
                <w:sz w:val="24"/>
              </w:rPr>
            </w:pPr>
          </w:p>
        </w:tc>
      </w:tr>
    </w:tbl>
    <w:p w:rsidR="00766B04" w:rsidRDefault="003905ED">
      <w:pPr>
        <w:tabs>
          <w:tab w:val="left" w:pos="1170"/>
        </w:tabs>
        <w:rPr>
          <w:rFonts w:ascii="仿宋_GB2312" w:eastAsia="仿宋_GB2312" w:hAnsi="黑体" w:cs="黑体"/>
          <w:szCs w:val="32"/>
        </w:rPr>
      </w:pPr>
      <w:r>
        <w:rPr>
          <w:rFonts w:ascii="黑体" w:eastAsia="黑体" w:hAnsi="黑体" w:cs="黑体"/>
          <w:szCs w:val="32"/>
        </w:rPr>
        <w:tab/>
      </w:r>
      <w:r>
        <w:rPr>
          <w:rFonts w:ascii="仿宋_GB2312" w:eastAsia="仿宋_GB2312" w:hAnsi="黑体" w:cs="黑体" w:hint="eastAsia"/>
          <w:szCs w:val="32"/>
        </w:rPr>
        <w:t>应急管理局</w:t>
      </w:r>
      <w:r>
        <w:rPr>
          <w:rFonts w:ascii="仿宋_GB2312" w:eastAsia="仿宋_GB2312" w:hAnsi="黑体" w:cs="黑体" w:hint="eastAsia"/>
          <w:szCs w:val="32"/>
        </w:rPr>
        <w:t>2019</w:t>
      </w:r>
      <w:r>
        <w:rPr>
          <w:rFonts w:ascii="仿宋_GB2312" w:eastAsia="仿宋_GB2312" w:hAnsi="黑体" w:cs="黑体" w:hint="eastAsia"/>
          <w:szCs w:val="32"/>
        </w:rPr>
        <w:t>项目支出为一般性行政经费支出，无需项目绩效评。</w:t>
      </w:r>
    </w:p>
    <w:p w:rsidR="00766B04" w:rsidRDefault="00766B04">
      <w:pPr>
        <w:tabs>
          <w:tab w:val="left" w:pos="1170"/>
        </w:tabs>
        <w:rPr>
          <w:rFonts w:ascii="仿宋_GB2312" w:eastAsia="仿宋_GB2312" w:hAnsi="黑体" w:cs="黑体"/>
          <w:szCs w:val="32"/>
        </w:rPr>
      </w:pPr>
    </w:p>
    <w:p w:rsidR="00766B04" w:rsidRDefault="00766B04">
      <w:pPr>
        <w:tabs>
          <w:tab w:val="left" w:pos="1170"/>
        </w:tabs>
        <w:rPr>
          <w:rFonts w:ascii="仿宋_GB2312" w:eastAsia="仿宋_GB2312" w:hAnsi="黑体" w:cs="黑体"/>
          <w:szCs w:val="32"/>
        </w:rPr>
      </w:pPr>
    </w:p>
    <w:p w:rsidR="00766B04" w:rsidRDefault="00766B04">
      <w:pPr>
        <w:tabs>
          <w:tab w:val="left" w:pos="1170"/>
        </w:tabs>
        <w:rPr>
          <w:rFonts w:ascii="仿宋_GB2312" w:eastAsia="仿宋_GB2312" w:hAnsi="黑体" w:cs="黑体"/>
          <w:szCs w:val="32"/>
        </w:rPr>
        <w:sectPr w:rsidR="00766B04">
          <w:pgSz w:w="16838" w:h="11906" w:orient="landscape"/>
          <w:pgMar w:top="1531" w:right="1701" w:bottom="1531" w:left="1701" w:header="0" w:footer="1418" w:gutter="0"/>
          <w:cols w:space="720"/>
          <w:docGrid w:type="linesAndChars" w:linePitch="610" w:charSpace="-849"/>
        </w:sectPr>
      </w:pPr>
    </w:p>
    <w:p w:rsidR="00766B04" w:rsidRDefault="003905ED">
      <w:pPr>
        <w:overflowPunct w:val="0"/>
        <w:adjustRightInd w:val="0"/>
        <w:snapToGrid w:val="0"/>
        <w:jc w:val="left"/>
        <w:outlineLvl w:val="0"/>
      </w:pPr>
      <w:r>
        <w:rPr>
          <w:rFonts w:hint="eastAsia"/>
        </w:rPr>
        <w:lastRenderedPageBreak/>
        <w:t>无附件</w:t>
      </w:r>
    </w:p>
    <w:sectPr w:rsidR="00766B04" w:rsidSect="00766B04">
      <w:pgSz w:w="11906" w:h="16838"/>
      <w:pgMar w:top="1701" w:right="1531" w:bottom="1701" w:left="1531" w:header="0" w:footer="1418" w:gutter="0"/>
      <w:cols w:space="720"/>
      <w:docGrid w:type="linesAndChars" w:linePitch="610" w:charSpace="-8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05ED" w:rsidRDefault="003905ED" w:rsidP="00766B04">
      <w:r>
        <w:separator/>
      </w:r>
    </w:p>
  </w:endnote>
  <w:endnote w:type="continuationSeparator" w:id="1">
    <w:p w:rsidR="003905ED" w:rsidRDefault="003905ED" w:rsidP="00766B0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B04" w:rsidRDefault="003905ED">
    <w:pPr>
      <w:pStyle w:val="a3"/>
      <w:framePr w:wrap="around" w:vAnchor="text" w:hAnchor="margin" w:xAlign="outside" w:y="1"/>
      <w:rPr>
        <w:rStyle w:val="a6"/>
        <w:rFonts w:ascii="宋体" w:hAnsi="宋体"/>
        <w:sz w:val="28"/>
        <w:szCs w:val="28"/>
      </w:rPr>
    </w:pPr>
    <w:r>
      <w:rPr>
        <w:rFonts w:ascii="宋体" w:hAnsi="宋体" w:hint="eastAsia"/>
        <w:sz w:val="28"/>
        <w:szCs w:val="28"/>
      </w:rPr>
      <w:t>—</w:t>
    </w:r>
    <w:r>
      <w:rPr>
        <w:rFonts w:ascii="宋体" w:hAnsi="宋体" w:hint="eastAsia"/>
        <w:sz w:val="28"/>
        <w:szCs w:val="28"/>
      </w:rPr>
      <w:t xml:space="preserve"> </w:t>
    </w:r>
    <w:r w:rsidR="00766B04">
      <w:rPr>
        <w:rFonts w:ascii="宋体" w:hAnsi="宋体"/>
        <w:sz w:val="28"/>
        <w:szCs w:val="28"/>
      </w:rPr>
      <w:fldChar w:fldCharType="begin"/>
    </w:r>
    <w:r>
      <w:rPr>
        <w:rStyle w:val="a6"/>
        <w:rFonts w:ascii="宋体" w:hAnsi="宋体"/>
        <w:sz w:val="28"/>
        <w:szCs w:val="28"/>
      </w:rPr>
      <w:instrText xml:space="preserve">PAGE  </w:instrText>
    </w:r>
    <w:r w:rsidR="00766B04">
      <w:rPr>
        <w:rFonts w:ascii="宋体" w:hAnsi="宋体"/>
        <w:sz w:val="28"/>
        <w:szCs w:val="28"/>
      </w:rPr>
      <w:fldChar w:fldCharType="separate"/>
    </w:r>
    <w:r w:rsidR="00ED6845">
      <w:rPr>
        <w:rStyle w:val="a6"/>
        <w:rFonts w:ascii="宋体" w:hAnsi="宋体"/>
        <w:noProof/>
        <w:sz w:val="28"/>
        <w:szCs w:val="28"/>
      </w:rPr>
      <w:t>33</w:t>
    </w:r>
    <w:r w:rsidR="00766B04">
      <w:rPr>
        <w:rFonts w:ascii="宋体" w:hAnsi="宋体"/>
        <w:sz w:val="28"/>
        <w:szCs w:val="28"/>
      </w:rPr>
      <w:fldChar w:fldCharType="end"/>
    </w:r>
    <w:r>
      <w:rPr>
        <w:rFonts w:ascii="宋体" w:hAnsi="宋体" w:hint="eastAsia"/>
        <w:sz w:val="28"/>
        <w:szCs w:val="28"/>
      </w:rPr>
      <w:t xml:space="preserve"> </w:t>
    </w:r>
    <w:r>
      <w:rPr>
        <w:rFonts w:ascii="宋体" w:hAnsi="宋体" w:hint="eastAsia"/>
        <w:sz w:val="28"/>
        <w:szCs w:val="28"/>
      </w:rPr>
      <w:t>—</w:t>
    </w:r>
  </w:p>
  <w:p w:rsidR="00766B04" w:rsidRDefault="00766B04">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05ED" w:rsidRDefault="003905ED" w:rsidP="00766B04">
      <w:r>
        <w:separator/>
      </w:r>
    </w:p>
  </w:footnote>
  <w:footnote w:type="continuationSeparator" w:id="1">
    <w:p w:rsidR="003905ED" w:rsidRDefault="003905ED" w:rsidP="00766B0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B04" w:rsidRDefault="00766B04">
    <w:pPr>
      <w:pStyle w:val="a4"/>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58"/>
  <w:drawingGridVerticalSpacing w:val="305"/>
  <w:displayHorizontalDrawingGridEvery w:val="0"/>
  <w:displayVerticalDrawingGridEvery w:val="2"/>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2C377A2"/>
    <w:rsid w:val="00006A43"/>
    <w:rsid w:val="0003033B"/>
    <w:rsid w:val="00061F55"/>
    <w:rsid w:val="001061A6"/>
    <w:rsid w:val="0016008A"/>
    <w:rsid w:val="00165DDF"/>
    <w:rsid w:val="0017751F"/>
    <w:rsid w:val="001A03DB"/>
    <w:rsid w:val="001A3A2E"/>
    <w:rsid w:val="002362FC"/>
    <w:rsid w:val="00254ABD"/>
    <w:rsid w:val="002E4A5B"/>
    <w:rsid w:val="002F408A"/>
    <w:rsid w:val="003051C2"/>
    <w:rsid w:val="00332E01"/>
    <w:rsid w:val="003905ED"/>
    <w:rsid w:val="003929F8"/>
    <w:rsid w:val="003A6A94"/>
    <w:rsid w:val="00412FE7"/>
    <w:rsid w:val="00440F77"/>
    <w:rsid w:val="00443130"/>
    <w:rsid w:val="0046062E"/>
    <w:rsid w:val="0049771E"/>
    <w:rsid w:val="005B538B"/>
    <w:rsid w:val="005F77EF"/>
    <w:rsid w:val="00602B63"/>
    <w:rsid w:val="00636ABC"/>
    <w:rsid w:val="00637F0D"/>
    <w:rsid w:val="006452AD"/>
    <w:rsid w:val="006B2445"/>
    <w:rsid w:val="006C14BF"/>
    <w:rsid w:val="006C6D9F"/>
    <w:rsid w:val="006D41E0"/>
    <w:rsid w:val="00702130"/>
    <w:rsid w:val="00725490"/>
    <w:rsid w:val="00766B04"/>
    <w:rsid w:val="007B6BE5"/>
    <w:rsid w:val="00817B94"/>
    <w:rsid w:val="0082179D"/>
    <w:rsid w:val="00827E4B"/>
    <w:rsid w:val="00860095"/>
    <w:rsid w:val="00866C4F"/>
    <w:rsid w:val="008F7B1E"/>
    <w:rsid w:val="00911FB8"/>
    <w:rsid w:val="0094577E"/>
    <w:rsid w:val="009603C9"/>
    <w:rsid w:val="00976E6E"/>
    <w:rsid w:val="00981E64"/>
    <w:rsid w:val="00984584"/>
    <w:rsid w:val="009A51DC"/>
    <w:rsid w:val="009E5F11"/>
    <w:rsid w:val="00A21915"/>
    <w:rsid w:val="00A263B4"/>
    <w:rsid w:val="00A50D37"/>
    <w:rsid w:val="00A72923"/>
    <w:rsid w:val="00AC0067"/>
    <w:rsid w:val="00B15D8F"/>
    <w:rsid w:val="00B25AAB"/>
    <w:rsid w:val="00B322D8"/>
    <w:rsid w:val="00B66DFA"/>
    <w:rsid w:val="00BA61C9"/>
    <w:rsid w:val="00BE5CA8"/>
    <w:rsid w:val="00C36218"/>
    <w:rsid w:val="00C72710"/>
    <w:rsid w:val="00C72841"/>
    <w:rsid w:val="00C82D34"/>
    <w:rsid w:val="00CC5B70"/>
    <w:rsid w:val="00CD06CE"/>
    <w:rsid w:val="00CF1131"/>
    <w:rsid w:val="00D16580"/>
    <w:rsid w:val="00D31179"/>
    <w:rsid w:val="00D722D8"/>
    <w:rsid w:val="00D72313"/>
    <w:rsid w:val="00D837A6"/>
    <w:rsid w:val="00D8653E"/>
    <w:rsid w:val="00DD1174"/>
    <w:rsid w:val="00E364A2"/>
    <w:rsid w:val="00E4193B"/>
    <w:rsid w:val="00ED6845"/>
    <w:rsid w:val="00F042D1"/>
    <w:rsid w:val="00F16285"/>
    <w:rsid w:val="00F81231"/>
    <w:rsid w:val="00F84DCF"/>
    <w:rsid w:val="00FA7031"/>
    <w:rsid w:val="00FC32F7"/>
    <w:rsid w:val="00FC474F"/>
    <w:rsid w:val="00FE2EA2"/>
    <w:rsid w:val="00FF6135"/>
    <w:rsid w:val="010B710C"/>
    <w:rsid w:val="0243512B"/>
    <w:rsid w:val="02D71A8B"/>
    <w:rsid w:val="053662F7"/>
    <w:rsid w:val="0E5739C3"/>
    <w:rsid w:val="13EF3DB0"/>
    <w:rsid w:val="15EB6700"/>
    <w:rsid w:val="1E040D63"/>
    <w:rsid w:val="209C64F9"/>
    <w:rsid w:val="20CF4CA6"/>
    <w:rsid w:val="22C377A2"/>
    <w:rsid w:val="232143F4"/>
    <w:rsid w:val="264A49DD"/>
    <w:rsid w:val="2E5562D2"/>
    <w:rsid w:val="315557AF"/>
    <w:rsid w:val="3A214CB4"/>
    <w:rsid w:val="3E105E6A"/>
    <w:rsid w:val="4B0B26E3"/>
    <w:rsid w:val="4E8A0215"/>
    <w:rsid w:val="537E57E9"/>
    <w:rsid w:val="61660D05"/>
    <w:rsid w:val="653E58DE"/>
    <w:rsid w:val="6E905DFF"/>
    <w:rsid w:val="73623FBC"/>
    <w:rsid w:val="760B29C0"/>
    <w:rsid w:val="79EE022C"/>
    <w:rsid w:val="7DA070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semiHidden="0" w:unhideWhenUsed="0" w:qFormat="1"/>
    <w:lsdException w:name="footer" w:semiHidden="0" w:unhideWhenUsed="0" w:qFormat="1"/>
    <w:lsdException w:name="caption" w:qFormat="1"/>
    <w:lsdException w:name="page number" w:semiHidden="0" w:unhideWhenUsed="0"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semiHidden="0"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Web)" w:semiHidden="0"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Web 2" w:semiHidden="0" w:unhideWhenUsed="0"/>
    <w:lsdException w:name="Table Web 3" w:semiHidden="0" w:unhideWhenUsed="0"/>
    <w:lsdException w:name="Balloon Text" w:semiHidden="0" w:unhideWhenUsed="0"/>
    <w:lsdException w:name="Table Grid" w:semiHidden="0" w:unhideWhenUsed="0" w:qFormat="1"/>
    <w:lsdException w:name="Table Theme"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6B04"/>
    <w:pPr>
      <w:widowControl w:val="0"/>
      <w:jc w:val="both"/>
    </w:pPr>
    <w:rPr>
      <w:kern w:val="2"/>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766B04"/>
    <w:pPr>
      <w:tabs>
        <w:tab w:val="center" w:pos="4153"/>
        <w:tab w:val="right" w:pos="8306"/>
      </w:tabs>
      <w:snapToGrid w:val="0"/>
      <w:jc w:val="left"/>
    </w:pPr>
    <w:rPr>
      <w:sz w:val="18"/>
      <w:szCs w:val="18"/>
    </w:rPr>
  </w:style>
  <w:style w:type="paragraph" w:styleId="a4">
    <w:name w:val="header"/>
    <w:basedOn w:val="a"/>
    <w:qFormat/>
    <w:rsid w:val="00766B04"/>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rsid w:val="00766B04"/>
    <w:pPr>
      <w:widowControl/>
      <w:spacing w:before="100" w:beforeAutospacing="1" w:after="100" w:afterAutospacing="1"/>
      <w:jc w:val="left"/>
    </w:pPr>
    <w:rPr>
      <w:rFonts w:ascii="宋体" w:hAnsi="宋体" w:cs="宋体"/>
      <w:kern w:val="0"/>
      <w:sz w:val="24"/>
    </w:rPr>
  </w:style>
  <w:style w:type="character" w:styleId="a6">
    <w:name w:val="page number"/>
    <w:basedOn w:val="a0"/>
    <w:qFormat/>
    <w:rsid w:val="00766B04"/>
  </w:style>
  <w:style w:type="table" w:styleId="a7">
    <w:name w:val="Table Grid"/>
    <w:basedOn w:val="a1"/>
    <w:qFormat/>
    <w:rsid w:val="00766B0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0">
    <w:name w:val="p0"/>
    <w:basedOn w:val="a"/>
    <w:qFormat/>
    <w:rsid w:val="00766B04"/>
    <w:pPr>
      <w:widowControl/>
    </w:pPr>
    <w:rPr>
      <w:kern w:val="0"/>
      <w:sz w:val="20"/>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_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__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___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___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___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___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0.11729957805907175"/>
          <c:y val="4.3213708069441935E-2"/>
          <c:w val="0.69689119170984504"/>
          <c:h val="0.78712871287128805"/>
        </c:manualLayout>
      </c:layout>
      <c:barChart>
        <c:barDir val="col"/>
        <c:grouping val="clustered"/>
        <c:ser>
          <c:idx val="0"/>
          <c:order val="0"/>
          <c:tx>
            <c:strRef>
              <c:f>Sheet1!$A$2</c:f>
              <c:strCache>
                <c:ptCount val="1"/>
                <c:pt idx="0">
                  <c:v>2018年</c:v>
                </c:pt>
              </c:strCache>
            </c:strRef>
          </c:tx>
          <c:spPr>
            <a:solidFill>
              <a:srgbClr val="9999FF"/>
            </a:solidFill>
            <a:ln w="12668">
              <a:solidFill>
                <a:srgbClr val="000000"/>
              </a:solidFill>
              <a:prstDash val="solid"/>
            </a:ln>
            <a:effectLst/>
          </c:spPr>
          <c:dLbls>
            <c:spPr>
              <a:noFill/>
              <a:ln w="25336">
                <a:noFill/>
              </a:ln>
              <a:effectLst/>
            </c:spPr>
            <c:txPr>
              <a:bodyPr rot="0" spcFirstLastPara="0" vertOverflow="ellipsis" horzOverflow="overflow" vert="horz" wrap="square" anchor="ctr" anchorCtr="1"/>
              <a:lstStyle/>
              <a:p>
                <a:pPr>
                  <a:defRPr sz="995" b="0" i="0" u="none" strike="noStrike" baseline="0">
                    <a:solidFill>
                      <a:srgbClr val="000000"/>
                    </a:solidFill>
                    <a:latin typeface="宋体"/>
                    <a:ea typeface="宋体"/>
                    <a:cs typeface="宋体"/>
                  </a:defRPr>
                </a:pPr>
                <a:endParaRPr lang="zh-CN"/>
              </a:p>
            </c:txPr>
            <c:dLblPos val="outEnd"/>
            <c:showVal val="1"/>
            <c:extLst>
              <c:ext xmlns:c15="http://schemas.microsoft.com/office/drawing/2012/chart" uri="{CE6537A1-D6FC-4f65-9D91-7224C49458BB}">
                <c15:layout/>
                <c15:showLeaderLines val="0"/>
                <c15:leaderLines>
                  <c:spPr>
                    <a:noFill/>
                    <a:ln w="9525" cap="flat" cmpd="sng" algn="ctr">
                      <a:solidFill>
                        <a:schemeClr val="tx1"/>
                      </a:solidFill>
                      <a:prstDash val="solid"/>
                    </a:ln>
                    <a:effectLst/>
                  </c:spPr>
                </c15:leaderLines>
              </c:ext>
            </c:extLst>
          </c:dLbls>
          <c:cat>
            <c:strRef>
              <c:f>Sheet1!$B$1:$C$1</c:f>
              <c:strCache>
                <c:ptCount val="2"/>
                <c:pt idx="0">
                  <c:v>收入（万元）</c:v>
                </c:pt>
                <c:pt idx="1">
                  <c:v>支出（万元）</c:v>
                </c:pt>
              </c:strCache>
            </c:strRef>
          </c:cat>
          <c:val>
            <c:numRef>
              <c:f>Sheet1!$B$2:$C$2</c:f>
              <c:numCache>
                <c:formatCode>General</c:formatCode>
                <c:ptCount val="2"/>
                <c:pt idx="0">
                  <c:v>591.66999999999996</c:v>
                </c:pt>
                <c:pt idx="1">
                  <c:v>591.66999999999996</c:v>
                </c:pt>
              </c:numCache>
            </c:numRef>
          </c:val>
        </c:ser>
        <c:ser>
          <c:idx val="1"/>
          <c:order val="1"/>
          <c:tx>
            <c:strRef>
              <c:f>Sheet1!$A$3</c:f>
              <c:strCache>
                <c:ptCount val="1"/>
                <c:pt idx="0">
                  <c:v>2019年</c:v>
                </c:pt>
              </c:strCache>
            </c:strRef>
          </c:tx>
          <c:spPr>
            <a:solidFill>
              <a:srgbClr val="993366"/>
            </a:solidFill>
            <a:ln w="12668">
              <a:solidFill>
                <a:srgbClr val="000000"/>
              </a:solidFill>
              <a:prstDash val="solid"/>
            </a:ln>
            <a:effectLst/>
          </c:spPr>
          <c:dLbls>
            <c:spPr>
              <a:noFill/>
              <a:ln w="25336">
                <a:noFill/>
              </a:ln>
              <a:effectLst/>
            </c:spPr>
            <c:txPr>
              <a:bodyPr rot="0" spcFirstLastPara="0" vertOverflow="ellipsis" horzOverflow="overflow" vert="horz" wrap="square" anchor="ctr" anchorCtr="1"/>
              <a:lstStyle/>
              <a:p>
                <a:pPr>
                  <a:defRPr sz="995" b="0" i="0" u="none" strike="noStrike" baseline="0">
                    <a:solidFill>
                      <a:srgbClr val="000000"/>
                    </a:solidFill>
                    <a:latin typeface="宋体"/>
                    <a:ea typeface="宋体"/>
                    <a:cs typeface="宋体"/>
                  </a:defRPr>
                </a:pPr>
                <a:endParaRPr lang="zh-CN"/>
              </a:p>
            </c:txPr>
            <c:dLblPos val="outEnd"/>
            <c:showVal val="1"/>
            <c:extLst>
              <c:ext xmlns:c15="http://schemas.microsoft.com/office/drawing/2012/chart" uri="{CE6537A1-D6FC-4f65-9D91-7224C49458BB}">
                <c15:layout/>
                <c15:showLeaderLines val="0"/>
                <c15:leaderLines>
                  <c:spPr>
                    <a:noFill/>
                    <a:ln w="9525" cap="flat" cmpd="sng" algn="ctr">
                      <a:solidFill>
                        <a:schemeClr val="tx1"/>
                      </a:solidFill>
                      <a:prstDash val="solid"/>
                    </a:ln>
                    <a:effectLst/>
                  </c:spPr>
                </c15:leaderLines>
              </c:ext>
            </c:extLst>
          </c:dLbls>
          <c:cat>
            <c:strRef>
              <c:f>Sheet1!$B$1:$C$1</c:f>
              <c:strCache>
                <c:ptCount val="2"/>
                <c:pt idx="0">
                  <c:v>收入（万元）</c:v>
                </c:pt>
                <c:pt idx="1">
                  <c:v>支出（万元）</c:v>
                </c:pt>
              </c:strCache>
            </c:strRef>
          </c:cat>
          <c:val>
            <c:numRef>
              <c:f>Sheet1!$B$3:$C$3</c:f>
              <c:numCache>
                <c:formatCode>General</c:formatCode>
                <c:ptCount val="2"/>
                <c:pt idx="0">
                  <c:v>995.32999999999993</c:v>
                </c:pt>
                <c:pt idx="1">
                  <c:v>995.32999999999993</c:v>
                </c:pt>
              </c:numCache>
            </c:numRef>
          </c:val>
        </c:ser>
        <c:dLbls>
          <c:showVal val="1"/>
        </c:dLbls>
        <c:axId val="768454016"/>
        <c:axId val="768468096"/>
      </c:barChart>
      <c:catAx>
        <c:axId val="768454016"/>
        <c:scaling>
          <c:orientation val="minMax"/>
        </c:scaling>
        <c:axPos val="b"/>
        <c:numFmt formatCode="General" sourceLinked="1"/>
        <c:majorTickMark val="in"/>
        <c:tickLblPos val="low"/>
        <c:spPr>
          <a:noFill/>
          <a:ln w="3167">
            <a:solidFill>
              <a:srgbClr val="000000"/>
            </a:solidFill>
            <a:prstDash val="solid"/>
          </a:ln>
          <a:effectLst/>
        </c:spPr>
        <c:txPr>
          <a:bodyPr rot="0" spcFirstLastPara="0" vertOverflow="ellipsis" horzOverflow="overflow" vert="horz" wrap="square" anchor="ctr" anchorCtr="1"/>
          <a:lstStyle/>
          <a:p>
            <a:pPr>
              <a:defRPr sz="995" b="0" i="0" u="none" strike="noStrike" baseline="0">
                <a:solidFill>
                  <a:srgbClr val="000000"/>
                </a:solidFill>
                <a:latin typeface="宋体"/>
                <a:ea typeface="宋体"/>
                <a:cs typeface="宋体"/>
              </a:defRPr>
            </a:pPr>
            <a:endParaRPr lang="zh-CN"/>
          </a:p>
        </c:txPr>
        <c:crossAx val="768468096"/>
        <c:crosses val="autoZero"/>
        <c:auto val="1"/>
        <c:lblAlgn val="ctr"/>
        <c:lblOffset val="100"/>
        <c:tickLblSkip val="1"/>
        <c:tickMarkSkip val="1"/>
      </c:catAx>
      <c:valAx>
        <c:axId val="768468096"/>
        <c:scaling>
          <c:orientation val="minMax"/>
        </c:scaling>
        <c:axPos val="l"/>
        <c:majorGridlines>
          <c:spPr>
            <a:ln w="3167">
              <a:solidFill>
                <a:srgbClr val="000000"/>
              </a:solidFill>
              <a:prstDash val="solid"/>
            </a:ln>
            <a:effectLst/>
          </c:spPr>
        </c:majorGridlines>
        <c:numFmt formatCode="General" sourceLinked="1"/>
        <c:majorTickMark val="in"/>
        <c:tickLblPos val="nextTo"/>
        <c:spPr>
          <a:noFill/>
          <a:ln w="3167">
            <a:solidFill>
              <a:srgbClr val="000000"/>
            </a:solidFill>
            <a:prstDash val="solid"/>
          </a:ln>
          <a:effectLst/>
        </c:spPr>
        <c:txPr>
          <a:bodyPr rot="0" spcFirstLastPara="0" vertOverflow="ellipsis" horzOverflow="overflow" vert="horz" wrap="square" anchor="ctr" anchorCtr="1"/>
          <a:lstStyle/>
          <a:p>
            <a:pPr>
              <a:defRPr sz="995" b="0" i="0" u="none" strike="noStrike" baseline="0">
                <a:solidFill>
                  <a:srgbClr val="000000"/>
                </a:solidFill>
                <a:latin typeface="宋体"/>
                <a:ea typeface="宋体"/>
                <a:cs typeface="宋体"/>
              </a:defRPr>
            </a:pPr>
            <a:endParaRPr lang="zh-CN"/>
          </a:p>
        </c:txPr>
        <c:crossAx val="768454016"/>
        <c:crosses val="autoZero"/>
        <c:crossBetween val="between"/>
      </c:valAx>
      <c:spPr>
        <a:solidFill>
          <a:srgbClr val="C0C0C0"/>
        </a:solidFill>
        <a:ln w="12700">
          <a:solidFill>
            <a:srgbClr val="808080"/>
          </a:solidFill>
          <a:prstDash val="solid"/>
        </a:ln>
        <a:effectLst/>
      </c:spPr>
    </c:plotArea>
    <c:legend>
      <c:legendPos val="r"/>
      <c:layout>
        <c:manualLayout>
          <c:xMode val="edge"/>
          <c:yMode val="edge"/>
          <c:x val="0.8316062176165856"/>
          <c:y val="0.41089108910891109"/>
          <c:w val="0.15803108808290312"/>
          <c:h val="0.18316831683168305"/>
        </c:manualLayout>
      </c:layout>
      <c:spPr>
        <a:noFill/>
        <a:ln w="3167">
          <a:solidFill>
            <a:srgbClr val="000000"/>
          </a:solidFill>
          <a:prstDash val="solid"/>
        </a:ln>
        <a:effectLst/>
      </c:spPr>
      <c:txPr>
        <a:bodyPr rot="0" spcFirstLastPara="0" vertOverflow="ellipsis" horzOverflow="overflow" vert="horz" wrap="square" anchor="ctr" anchorCtr="1"/>
        <a:lstStyle/>
        <a:p>
          <a:pPr>
            <a:defRPr sz="920" b="0" i="0" u="none" strike="noStrike" baseline="0">
              <a:solidFill>
                <a:srgbClr val="000000"/>
              </a:solidFill>
              <a:latin typeface="宋体"/>
              <a:ea typeface="宋体"/>
              <a:cs typeface="宋体"/>
            </a:defRPr>
          </a:pPr>
          <a:endParaRPr lang="zh-CN"/>
        </a:p>
      </c:txPr>
    </c:legend>
    <c:plotVisOnly val="1"/>
    <c:dispBlanksAs val="gap"/>
  </c:chart>
  <c:spPr>
    <a:noFill/>
    <a:ln w="9525" cap="flat" cmpd="sng" algn="ctr">
      <a:noFill/>
      <a:prstDash val="solid"/>
    </a:ln>
    <a:effectLst/>
  </c:spPr>
  <c:txPr>
    <a:bodyPr rot="0" spcFirstLastPara="0" vertOverflow="ellipsis" horzOverflow="overflow" vert="horz" wrap="square" anchor="ctr" anchorCtr="1"/>
    <a:lstStyle/>
    <a:p>
      <a:pPr>
        <a:defRPr lang="zh-CN" sz="995" b="0" i="0" u="none" strike="noStrike" baseline="0">
          <a:solidFill>
            <a:srgbClr val="000000"/>
          </a:solidFill>
          <a:latin typeface="宋体"/>
          <a:ea typeface="宋体"/>
          <a:cs typeface="宋体"/>
        </a:defRPr>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vertOverflow="ellipsis" anchor="ctr" anchorCtr="1"/>
          <a:lstStyle/>
          <a:p>
            <a:pPr algn="ctr">
              <a:defRPr sz="1200" b="1" i="0" u="none" strike="noStrike" baseline="0">
                <a:solidFill>
                  <a:srgbClr val="000000"/>
                </a:solidFill>
                <a:latin typeface="宋体"/>
                <a:ea typeface="宋体"/>
                <a:cs typeface="宋体"/>
              </a:defRPr>
            </a:pPr>
            <a:r>
              <a:rPr lang="en-US" altLang="zh-CN"/>
              <a:t>2019</a:t>
            </a:r>
            <a:r>
              <a:rPr lang="zh-CN" altLang="en-US"/>
              <a:t>年收入决算</a:t>
            </a:r>
          </a:p>
        </c:rich>
      </c:tx>
      <c:layout>
        <c:manualLayout>
          <c:xMode val="edge"/>
          <c:yMode val="edge"/>
          <c:x val="0.32955098354641166"/>
          <c:y val="0.14411262330826752"/>
        </c:manualLayout>
      </c:layout>
      <c:spPr>
        <a:noFill/>
        <a:ln w="25371">
          <a:noFill/>
        </a:ln>
        <a:effectLst/>
      </c:spPr>
    </c:title>
    <c:plotArea>
      <c:layout>
        <c:manualLayout>
          <c:layoutTarget val="inner"/>
          <c:xMode val="edge"/>
          <c:yMode val="edge"/>
          <c:x val="0.24585635359116112"/>
          <c:y val="0.44769874476987409"/>
          <c:w val="0.16022099447513805"/>
          <c:h val="0.24267782426778195"/>
        </c:manualLayout>
      </c:layout>
      <c:pieChart>
        <c:varyColors val="1"/>
        <c:ser>
          <c:idx val="0"/>
          <c:order val="0"/>
          <c:tx>
            <c:strRef>
              <c:f>Sheet1!$A$2</c:f>
              <c:strCache>
                <c:ptCount val="1"/>
              </c:strCache>
            </c:strRef>
          </c:tx>
          <c:spPr>
            <a:solidFill>
              <a:srgbClr val="9999FF"/>
            </a:solidFill>
            <a:effectLst/>
          </c:spPr>
          <c:dPt>
            <c:idx val="0"/>
            <c:spPr>
              <a:solidFill>
                <a:srgbClr val="9999FF"/>
              </a:solidFill>
              <a:ln w="12686">
                <a:solidFill>
                  <a:srgbClr val="000000"/>
                </a:solidFill>
                <a:prstDash val="solid"/>
              </a:ln>
              <a:effectLst/>
            </c:spPr>
          </c:dPt>
          <c:dLbls>
            <c:numFmt formatCode="0%" sourceLinked="0"/>
            <c:spPr>
              <a:noFill/>
              <a:ln w="25371">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Sheet1!$B$1:$B$1</c:f>
              <c:strCache>
                <c:ptCount val="1"/>
                <c:pt idx="0">
                  <c:v>财政拨款收入995.33万</c:v>
                </c:pt>
              </c:strCache>
            </c:strRef>
          </c:cat>
          <c:val>
            <c:numRef>
              <c:f>Sheet1!$B$2:$B$2</c:f>
              <c:numCache>
                <c:formatCode>General</c:formatCode>
                <c:ptCount val="1"/>
                <c:pt idx="0">
                  <c:v>100</c:v>
                </c:pt>
              </c:numCache>
            </c:numRef>
          </c:val>
        </c:ser>
        <c:ser>
          <c:idx val="1"/>
          <c:order val="1"/>
          <c:tx>
            <c:strRef>
              <c:f>Sheet1!$A$3</c:f>
              <c:strCache>
                <c:ptCount val="1"/>
              </c:strCache>
            </c:strRef>
          </c:tx>
          <c:spPr>
            <a:solidFill>
              <a:srgbClr val="993366"/>
            </a:solidFill>
            <a:effectLst/>
          </c:spPr>
          <c:dPt>
            <c:idx val="0"/>
            <c:spPr>
              <a:solidFill>
                <a:srgbClr val="9999FF"/>
              </a:solidFill>
              <a:ln w="12686">
                <a:solidFill>
                  <a:srgbClr val="000000"/>
                </a:solidFill>
                <a:prstDash val="solid"/>
              </a:ln>
              <a:effectLst/>
            </c:spPr>
          </c:dPt>
          <c:dLbls>
            <c:numFmt formatCode="0%" sourceLinked="0"/>
            <c:spPr>
              <a:noFill/>
              <a:ln w="25371">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Sheet1!$B$1:$B$1</c:f>
              <c:strCache>
                <c:ptCount val="1"/>
                <c:pt idx="0">
                  <c:v>财政拨款收入995.33万</c:v>
                </c:pt>
              </c:strCache>
            </c:strRef>
          </c:cat>
          <c:val>
            <c:numRef>
              <c:f>Sheet1!$B$3:$B$3</c:f>
              <c:numCache>
                <c:formatCode>0%</c:formatCode>
                <c:ptCount val="1"/>
                <c:pt idx="0">
                  <c:v>1</c:v>
                </c:pt>
              </c:numCache>
            </c:numRef>
          </c:val>
        </c:ser>
        <c:dLbls>
          <c:showCatName val="1"/>
          <c:showPercent val="1"/>
        </c:dLbls>
        <c:firstSliceAng val="0"/>
      </c:pieChart>
      <c:spPr>
        <a:solidFill>
          <a:srgbClr val="C0C0C0"/>
        </a:solidFill>
        <a:ln w="12686">
          <a:solidFill>
            <a:srgbClr val="808080"/>
          </a:solidFill>
          <a:prstDash val="solid"/>
        </a:ln>
        <a:effectLst/>
      </c:spPr>
    </c:plotArea>
    <c:legend>
      <c:legendPos val="r"/>
      <c:layout>
        <c:manualLayout>
          <c:xMode val="edge"/>
          <c:yMode val="edge"/>
          <c:x val="0.65745856353591203"/>
          <c:y val="0.40167364016736401"/>
          <c:w val="0.33149171270718208"/>
          <c:h val="0.33054393305439411"/>
        </c:manualLayout>
      </c:layout>
      <c:spPr>
        <a:noFill/>
        <a:ln w="3171">
          <a:solidFill>
            <a:srgbClr val="000000"/>
          </a:solidFill>
          <a:prstDash val="solid"/>
        </a:ln>
        <a:effectLst/>
      </c:spPr>
      <c:txPr>
        <a:bodyPr rot="0" spcFirstLastPara="0" vertOverflow="ellipsis" horzOverflow="overflow" vert="horz" wrap="square" anchor="ctr" anchorCtr="1"/>
        <a:lstStyle/>
        <a:p>
          <a:pPr>
            <a:defRPr sz="1080" b="0" i="0" u="none" strike="noStrike" baseline="0">
              <a:solidFill>
                <a:srgbClr val="000000"/>
              </a:solidFill>
              <a:latin typeface="宋体"/>
              <a:ea typeface="宋体"/>
              <a:cs typeface="宋体"/>
            </a:defRPr>
          </a:pPr>
          <a:endParaRPr lang="zh-CN"/>
        </a:p>
      </c:txPr>
    </c:legend>
    <c:plotVisOnly val="1"/>
    <c:dispBlanksAs val="zero"/>
  </c:chart>
  <c:spPr>
    <a:noFill/>
    <a:ln w="3171" cap="flat" cmpd="sng" algn="ctr">
      <a:solidFill>
        <a:srgbClr val="000000"/>
      </a:solidFill>
      <a:prstDash val="solid"/>
    </a:ln>
    <a:effectLst/>
  </c:spPr>
  <c:txPr>
    <a:bodyPr rot="0" spcFirstLastPara="0" vertOverflow="ellipsis" horzOverflow="overflow" vert="horz" wrap="square" anchor="ctr" anchorCtr="1"/>
    <a:lstStyle/>
    <a:p>
      <a:pPr>
        <a:defRPr lang="zh-CN" sz="1175" b="0" i="0" u="none" strike="noStrike" baseline="0">
          <a:solidFill>
            <a:srgbClr val="000000"/>
          </a:solidFill>
          <a:latin typeface="宋体"/>
          <a:ea typeface="宋体"/>
          <a:cs typeface="宋体"/>
        </a:defRPr>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vertOverflow="ellipsis" anchor="ctr" anchorCtr="1"/>
          <a:lstStyle/>
          <a:p>
            <a:pPr algn="ctr">
              <a:defRPr sz="1200" b="1" i="0" u="none" strike="noStrike" baseline="0">
                <a:solidFill>
                  <a:srgbClr val="000000"/>
                </a:solidFill>
                <a:latin typeface="宋体"/>
                <a:ea typeface="宋体"/>
                <a:cs typeface="宋体"/>
              </a:defRPr>
            </a:pPr>
            <a:r>
              <a:rPr lang="en-US" altLang="zh-CN"/>
              <a:t>2019</a:t>
            </a:r>
            <a:r>
              <a:rPr lang="zh-CN" altLang="en-US"/>
              <a:t>年支出决算</a:t>
            </a:r>
          </a:p>
        </c:rich>
      </c:tx>
      <c:layout>
        <c:manualLayout>
          <c:xMode val="edge"/>
          <c:yMode val="edge"/>
          <c:x val="0.32596685082873111"/>
          <c:y val="2.0920502092050205E-2"/>
        </c:manualLayout>
      </c:layout>
      <c:spPr>
        <a:noFill/>
        <a:ln w="25371">
          <a:noFill/>
        </a:ln>
        <a:effectLst/>
      </c:spPr>
    </c:title>
    <c:plotArea>
      <c:layout>
        <c:manualLayout>
          <c:layoutTarget val="inner"/>
          <c:xMode val="edge"/>
          <c:yMode val="edge"/>
          <c:x val="0.2900552486187839"/>
          <c:y val="0.44769874476987409"/>
          <c:w val="0.16022099447513805"/>
          <c:h val="0.24267782426778195"/>
        </c:manualLayout>
      </c:layout>
      <c:pieChart>
        <c:varyColors val="1"/>
        <c:ser>
          <c:idx val="0"/>
          <c:order val="0"/>
          <c:tx>
            <c:strRef>
              <c:f>Sheet1!$A$2</c:f>
              <c:strCache>
                <c:ptCount val="1"/>
              </c:strCache>
            </c:strRef>
          </c:tx>
          <c:spPr>
            <a:solidFill>
              <a:srgbClr val="9999FF"/>
            </a:solidFill>
            <a:effectLst/>
          </c:spPr>
          <c:dPt>
            <c:idx val="0"/>
            <c:spPr>
              <a:solidFill>
                <a:srgbClr val="9999FF"/>
              </a:solidFill>
              <a:ln w="12686">
                <a:solidFill>
                  <a:srgbClr val="000000"/>
                </a:solidFill>
                <a:prstDash val="solid"/>
              </a:ln>
              <a:effectLst/>
            </c:spPr>
          </c:dPt>
          <c:dPt>
            <c:idx val="1"/>
            <c:spPr>
              <a:solidFill>
                <a:srgbClr val="993366"/>
              </a:solidFill>
              <a:ln w="12686">
                <a:solidFill>
                  <a:srgbClr val="000000"/>
                </a:solidFill>
                <a:prstDash val="solid"/>
              </a:ln>
              <a:effectLst/>
            </c:spPr>
          </c:dPt>
          <c:dLbls>
            <c:numFmt formatCode="0%" sourceLinked="0"/>
            <c:spPr>
              <a:noFill/>
              <a:ln w="25371">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Sheet1!$B$1:$C$1</c:f>
              <c:strCache>
                <c:ptCount val="2"/>
                <c:pt idx="0">
                  <c:v>基本支出584.44万</c:v>
                </c:pt>
                <c:pt idx="1">
                  <c:v>项目支出410.89万</c:v>
                </c:pt>
              </c:strCache>
            </c:strRef>
          </c:cat>
          <c:val>
            <c:numRef>
              <c:f>Sheet1!$B$2:$C$2</c:f>
              <c:numCache>
                <c:formatCode>0.00%</c:formatCode>
                <c:ptCount val="2"/>
                <c:pt idx="0">
                  <c:v>0.58719999999999983</c:v>
                </c:pt>
                <c:pt idx="1">
                  <c:v>0.41280000000000111</c:v>
                </c:pt>
              </c:numCache>
            </c:numRef>
          </c:val>
        </c:ser>
        <c:ser>
          <c:idx val="1"/>
          <c:order val="1"/>
          <c:tx>
            <c:strRef>
              <c:f>Sheet1!$A$3</c:f>
              <c:strCache>
                <c:ptCount val="1"/>
              </c:strCache>
            </c:strRef>
          </c:tx>
          <c:spPr>
            <a:solidFill>
              <a:srgbClr val="993366"/>
            </a:solidFill>
            <a:effectLst/>
          </c:spPr>
          <c:dPt>
            <c:idx val="0"/>
            <c:spPr>
              <a:solidFill>
                <a:srgbClr val="9999FF"/>
              </a:solidFill>
              <a:ln w="12686">
                <a:solidFill>
                  <a:srgbClr val="000000"/>
                </a:solidFill>
                <a:prstDash val="solid"/>
              </a:ln>
              <a:effectLst/>
            </c:spPr>
          </c:dPt>
          <c:dPt>
            <c:idx val="1"/>
            <c:spPr>
              <a:solidFill>
                <a:srgbClr val="993366"/>
              </a:solidFill>
              <a:ln w="12686">
                <a:solidFill>
                  <a:srgbClr val="000000"/>
                </a:solidFill>
                <a:prstDash val="solid"/>
              </a:ln>
              <a:effectLst/>
            </c:spPr>
          </c:dPt>
          <c:dLbls>
            <c:numFmt formatCode="0%" sourceLinked="0"/>
            <c:spPr>
              <a:noFill/>
              <a:ln w="25371">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Sheet1!$B$1:$C$1</c:f>
              <c:strCache>
                <c:ptCount val="2"/>
                <c:pt idx="0">
                  <c:v>基本支出584.44万</c:v>
                </c:pt>
                <c:pt idx="1">
                  <c:v>项目支出410.89万</c:v>
                </c:pt>
              </c:strCache>
            </c:strRef>
          </c:cat>
          <c:val>
            <c:numRef>
              <c:f>Sheet1!$B$3:$C$3</c:f>
              <c:numCache>
                <c:formatCode>General</c:formatCode>
                <c:ptCount val="2"/>
              </c:numCache>
            </c:numRef>
          </c:val>
        </c:ser>
        <c:dLbls>
          <c:showCatName val="1"/>
          <c:showPercent val="1"/>
        </c:dLbls>
        <c:firstSliceAng val="0"/>
      </c:pieChart>
      <c:spPr>
        <a:solidFill>
          <a:srgbClr val="C0C0C0"/>
        </a:solidFill>
        <a:ln w="12686">
          <a:solidFill>
            <a:srgbClr val="808080"/>
          </a:solidFill>
          <a:prstDash val="solid"/>
        </a:ln>
        <a:effectLst/>
      </c:spPr>
    </c:plotArea>
    <c:legend>
      <c:legendPos val="r"/>
      <c:layout>
        <c:manualLayout>
          <c:xMode val="edge"/>
          <c:yMode val="edge"/>
          <c:x val="0.7458563535911612"/>
          <c:y val="0.40167364016736401"/>
          <c:w val="0.24309392265193405"/>
          <c:h val="0.33054393305439411"/>
        </c:manualLayout>
      </c:layout>
      <c:spPr>
        <a:noFill/>
        <a:ln w="3171">
          <a:solidFill>
            <a:srgbClr val="000000"/>
          </a:solidFill>
          <a:prstDash val="solid"/>
        </a:ln>
        <a:effectLst/>
      </c:spPr>
      <c:txPr>
        <a:bodyPr rot="0" spcFirstLastPara="0" vertOverflow="ellipsis" horzOverflow="overflow" vert="horz" wrap="square" anchor="ctr" anchorCtr="1"/>
        <a:lstStyle/>
        <a:p>
          <a:pPr>
            <a:defRPr sz="1080" b="0" i="0" u="none" strike="noStrike" baseline="0">
              <a:solidFill>
                <a:srgbClr val="000000"/>
              </a:solidFill>
              <a:latin typeface="宋体"/>
              <a:ea typeface="宋体"/>
              <a:cs typeface="宋体"/>
            </a:defRPr>
          </a:pPr>
          <a:endParaRPr lang="zh-CN"/>
        </a:p>
      </c:txPr>
    </c:legend>
    <c:plotVisOnly val="1"/>
    <c:dispBlanksAs val="zero"/>
  </c:chart>
  <c:spPr>
    <a:noFill/>
    <a:ln w="3171" cap="flat" cmpd="sng" algn="ctr">
      <a:solidFill>
        <a:srgbClr val="000000"/>
      </a:solidFill>
      <a:prstDash val="solid"/>
    </a:ln>
    <a:effectLst/>
  </c:spPr>
  <c:txPr>
    <a:bodyPr rot="0" spcFirstLastPara="0" vertOverflow="ellipsis" horzOverflow="overflow" vert="horz" wrap="square" anchor="ctr" anchorCtr="1"/>
    <a:lstStyle/>
    <a:p>
      <a:pPr>
        <a:defRPr lang="zh-CN" sz="1175" b="0" i="0" u="none" strike="noStrike" baseline="0">
          <a:solidFill>
            <a:srgbClr val="000000"/>
          </a:solidFill>
          <a:latin typeface="宋体"/>
          <a:ea typeface="宋体"/>
          <a:cs typeface="宋体"/>
        </a:defRPr>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0.12261714211953013"/>
          <c:y val="5.7591630833379891E-2"/>
          <c:w val="0.65515188675186109"/>
          <c:h val="0.79666312987472299"/>
        </c:manualLayout>
      </c:layout>
      <c:barChart>
        <c:barDir val="col"/>
        <c:grouping val="clustered"/>
        <c:ser>
          <c:idx val="0"/>
          <c:order val="0"/>
          <c:tx>
            <c:strRef>
              <c:f>Sheet1!$A$2</c:f>
              <c:strCache>
                <c:ptCount val="1"/>
                <c:pt idx="0">
                  <c:v>2018年</c:v>
                </c:pt>
              </c:strCache>
            </c:strRef>
          </c:tx>
          <c:spPr>
            <a:solidFill>
              <a:srgbClr val="9999FF"/>
            </a:solidFill>
            <a:ln w="12690">
              <a:solidFill>
                <a:srgbClr val="000000"/>
              </a:solidFill>
              <a:prstDash val="solid"/>
            </a:ln>
            <a:effectLst/>
          </c:spPr>
          <c:dLbls>
            <c:spPr>
              <a:noFill/>
              <a:ln>
                <a:noFill/>
              </a:ln>
              <a:effectLst/>
            </c:spPr>
            <c:txPr>
              <a:bodyPr rot="0" spcFirstLastPara="0" vertOverflow="ellipsis" horzOverflow="overflow" vert="horz" wrap="square" anchor="ctr" anchorCtr="1"/>
              <a:lstStyle/>
              <a:p>
                <a:pPr>
                  <a:defRPr sz="1000" b="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Sheet1!$B$1:$C$1</c:f>
              <c:strCache>
                <c:ptCount val="2"/>
                <c:pt idx="0">
                  <c:v>财政拨款收入（万元）</c:v>
                </c:pt>
                <c:pt idx="1">
                  <c:v>财政拨款支出（万元）</c:v>
                </c:pt>
              </c:strCache>
            </c:strRef>
          </c:cat>
          <c:val>
            <c:numRef>
              <c:f>Sheet1!$B$2:$C$2</c:f>
              <c:numCache>
                <c:formatCode>General</c:formatCode>
                <c:ptCount val="2"/>
                <c:pt idx="0">
                  <c:v>591.66999999999996</c:v>
                </c:pt>
                <c:pt idx="1">
                  <c:v>591.66999999999996</c:v>
                </c:pt>
              </c:numCache>
            </c:numRef>
          </c:val>
        </c:ser>
        <c:ser>
          <c:idx val="1"/>
          <c:order val="1"/>
          <c:tx>
            <c:strRef>
              <c:f>Sheet1!$A$3</c:f>
              <c:strCache>
                <c:ptCount val="1"/>
                <c:pt idx="0">
                  <c:v>2019年</c:v>
                </c:pt>
              </c:strCache>
            </c:strRef>
          </c:tx>
          <c:spPr>
            <a:solidFill>
              <a:srgbClr val="993366"/>
            </a:solidFill>
            <a:ln w="12690">
              <a:solidFill>
                <a:srgbClr val="000000"/>
              </a:solidFill>
              <a:prstDash val="solid"/>
            </a:ln>
            <a:effectLst/>
          </c:spPr>
          <c:dLbls>
            <c:dLbl>
              <c:idx val="0"/>
              <c:spPr/>
              <c:txPr>
                <a:bodyPr/>
                <a:lstStyle/>
                <a:p>
                  <a:pPr>
                    <a:defRPr/>
                  </a:pPr>
                  <a:endParaRPr lang="zh-CN"/>
                </a:p>
              </c:txPr>
              <c:dLblPos val="outEnd"/>
              <c:showVal val="1"/>
              <c:extLst>
                <c:ext xmlns:c15="http://schemas.microsoft.com/office/drawing/2012/chart" uri="{CE6537A1-D6FC-4f65-9D91-7224C49458BB}"/>
              </c:extLst>
            </c:dLbl>
            <c:dLbl>
              <c:idx val="1"/>
              <c:spPr/>
              <c:txPr>
                <a:bodyPr/>
                <a:lstStyle/>
                <a:p>
                  <a:pPr>
                    <a:defRPr/>
                  </a:pPr>
                  <a:endParaRPr lang="zh-CN"/>
                </a:p>
              </c:txPr>
              <c:dLblPos val="outEnd"/>
              <c:showVal val="1"/>
              <c:extLst>
                <c:ext xmlns:c15="http://schemas.microsoft.com/office/drawing/2012/chart" uri="{CE6537A1-D6FC-4f65-9D91-7224C49458BB}"/>
              </c:extLst>
            </c:dLbl>
            <c:delete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Sheet1!$B$1:$C$1</c:f>
              <c:strCache>
                <c:ptCount val="2"/>
                <c:pt idx="0">
                  <c:v>财政拨款收入（万元）</c:v>
                </c:pt>
                <c:pt idx="1">
                  <c:v>财政拨款支出（万元）</c:v>
                </c:pt>
              </c:strCache>
            </c:strRef>
          </c:cat>
          <c:val>
            <c:numRef>
              <c:f>Sheet1!$B$3:$C$3</c:f>
              <c:numCache>
                <c:formatCode>General</c:formatCode>
                <c:ptCount val="2"/>
                <c:pt idx="0">
                  <c:v>995.32999999999993</c:v>
                </c:pt>
                <c:pt idx="1">
                  <c:v>995.32999999999993</c:v>
                </c:pt>
              </c:numCache>
            </c:numRef>
          </c:val>
        </c:ser>
        <c:axId val="770796160"/>
        <c:axId val="881349376"/>
      </c:barChart>
      <c:catAx>
        <c:axId val="770796160"/>
        <c:scaling>
          <c:orientation val="minMax"/>
        </c:scaling>
        <c:axPos val="b"/>
        <c:numFmt formatCode="General" sourceLinked="1"/>
        <c:majorTickMark val="in"/>
        <c:tickLblPos val="low"/>
        <c:spPr>
          <a:noFill/>
          <a:ln w="3172">
            <a:solidFill>
              <a:srgbClr val="000000"/>
            </a:solidFill>
            <a:prstDash val="solid"/>
          </a:ln>
          <a:effectLst/>
        </c:spPr>
        <c:txPr>
          <a:bodyPr rot="0" spcFirstLastPara="0" vertOverflow="ellipsis" horzOverflow="overflow" vert="horz" wrap="square" anchor="ctr" anchorCtr="1"/>
          <a:lstStyle/>
          <a:p>
            <a:pPr>
              <a:defRPr sz="1125" b="0" i="0" u="none" strike="noStrike" baseline="0">
                <a:solidFill>
                  <a:srgbClr val="000000"/>
                </a:solidFill>
                <a:latin typeface="宋体"/>
                <a:ea typeface="宋体"/>
                <a:cs typeface="宋体"/>
              </a:defRPr>
            </a:pPr>
            <a:endParaRPr lang="zh-CN"/>
          </a:p>
        </c:txPr>
        <c:crossAx val="881349376"/>
        <c:crosses val="autoZero"/>
        <c:auto val="1"/>
        <c:lblAlgn val="ctr"/>
        <c:lblOffset val="100"/>
        <c:tickLblSkip val="1"/>
        <c:tickMarkSkip val="1"/>
      </c:catAx>
      <c:valAx>
        <c:axId val="881349376"/>
        <c:scaling>
          <c:orientation val="minMax"/>
        </c:scaling>
        <c:axPos val="l"/>
        <c:majorGridlines>
          <c:spPr>
            <a:ln w="3172">
              <a:solidFill>
                <a:srgbClr val="000000"/>
              </a:solidFill>
              <a:prstDash val="solid"/>
            </a:ln>
            <a:effectLst/>
          </c:spPr>
        </c:majorGridlines>
        <c:numFmt formatCode="General" sourceLinked="1"/>
        <c:majorTickMark val="in"/>
        <c:tickLblPos val="nextTo"/>
        <c:spPr>
          <a:noFill/>
          <a:ln w="3172">
            <a:solidFill>
              <a:srgbClr val="000000"/>
            </a:solidFill>
            <a:prstDash val="solid"/>
          </a:ln>
          <a:effectLst/>
        </c:spPr>
        <c:txPr>
          <a:bodyPr rot="0" spcFirstLastPara="0" vertOverflow="ellipsis" horzOverflow="overflow" vert="horz" wrap="square" anchor="ctr" anchorCtr="1"/>
          <a:lstStyle/>
          <a:p>
            <a:pPr>
              <a:defRPr sz="1125" b="0" i="0" u="none" strike="noStrike" baseline="0">
                <a:solidFill>
                  <a:srgbClr val="000000"/>
                </a:solidFill>
                <a:latin typeface="宋体"/>
                <a:ea typeface="宋体"/>
                <a:cs typeface="宋体"/>
              </a:defRPr>
            </a:pPr>
            <a:endParaRPr lang="zh-CN"/>
          </a:p>
        </c:txPr>
        <c:crossAx val="770796160"/>
        <c:crosses val="autoZero"/>
        <c:crossBetween val="between"/>
      </c:valAx>
      <c:spPr>
        <a:solidFill>
          <a:srgbClr val="C0C0C0"/>
        </a:solidFill>
        <a:ln w="12700">
          <a:solidFill>
            <a:srgbClr val="808080"/>
          </a:solidFill>
          <a:prstDash val="solid"/>
        </a:ln>
        <a:effectLst/>
      </c:spPr>
    </c:plotArea>
    <c:legend>
      <c:legendPos val="r"/>
      <c:layout>
        <c:manualLayout>
          <c:xMode val="edge"/>
          <c:yMode val="edge"/>
          <c:x val="0.79402241727980738"/>
          <c:y val="0.3955205599300089"/>
          <c:w val="0.16796932145776866"/>
          <c:h val="0.15697622903520042"/>
        </c:manualLayout>
      </c:layout>
      <c:spPr>
        <a:noFill/>
        <a:ln w="3172">
          <a:solidFill>
            <a:srgbClr val="000000"/>
          </a:solidFill>
          <a:prstDash val="solid"/>
        </a:ln>
        <a:effectLst/>
      </c:spPr>
      <c:txPr>
        <a:bodyPr rot="0" spcFirstLastPara="0" vertOverflow="ellipsis" horzOverflow="overflow" vert="horz" wrap="square" anchor="ctr" anchorCtr="1"/>
        <a:lstStyle/>
        <a:p>
          <a:pPr>
            <a:defRPr sz="1035" b="0" i="0" u="none" strike="noStrike" baseline="0">
              <a:solidFill>
                <a:srgbClr val="000000"/>
              </a:solidFill>
              <a:latin typeface="宋体"/>
              <a:ea typeface="宋体"/>
              <a:cs typeface="宋体"/>
            </a:defRPr>
          </a:pPr>
          <a:endParaRPr lang="zh-CN"/>
        </a:p>
      </c:txPr>
    </c:legend>
    <c:plotVisOnly val="1"/>
    <c:dispBlanksAs val="gap"/>
  </c:chart>
  <c:spPr>
    <a:noFill/>
    <a:ln w="9525" cap="flat" cmpd="sng" algn="ctr">
      <a:noFill/>
      <a:prstDash val="solid"/>
    </a:ln>
    <a:effectLst/>
  </c:spPr>
  <c:txPr>
    <a:bodyPr rot="0" spcFirstLastPara="0" vertOverflow="ellipsis" horzOverflow="overflow" vert="horz" wrap="square" anchor="ctr" anchorCtr="1"/>
    <a:lstStyle/>
    <a:p>
      <a:pPr>
        <a:defRPr lang="zh-CN" sz="1125" b="0" i="0" u="none" strike="noStrike" baseline="0">
          <a:solidFill>
            <a:srgbClr val="000000"/>
          </a:solidFill>
          <a:latin typeface="宋体"/>
          <a:ea typeface="宋体"/>
          <a:cs typeface="宋体"/>
        </a:defRPr>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autoTitleDeleted val="1"/>
    <c:plotArea>
      <c:layout>
        <c:manualLayout>
          <c:layoutTarget val="inner"/>
          <c:xMode val="edge"/>
          <c:yMode val="edge"/>
          <c:x val="0.12362637362637403"/>
          <c:y val="3.7815126050420311E-2"/>
          <c:w val="0.63736263736263699"/>
          <c:h val="0.81092436974789883"/>
        </c:manualLayout>
      </c:layout>
      <c:barChart>
        <c:barDir val="col"/>
        <c:grouping val="clustered"/>
        <c:ser>
          <c:idx val="0"/>
          <c:order val="0"/>
          <c:tx>
            <c:strRef>
              <c:f>Sheet1!$A$2</c:f>
              <c:strCache>
                <c:ptCount val="1"/>
                <c:pt idx="0">
                  <c:v>2018年</c:v>
                </c:pt>
              </c:strCache>
            </c:strRef>
          </c:tx>
          <c:spPr>
            <a:solidFill>
              <a:srgbClr val="9999FF"/>
            </a:solidFill>
            <a:ln w="12680">
              <a:solidFill>
                <a:srgbClr val="000000"/>
              </a:solidFill>
              <a:prstDash val="solid"/>
            </a:ln>
            <a:effectLst/>
          </c:spPr>
          <c:dLbls>
            <c:spPr>
              <a:noFill/>
              <a:ln w="25360">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outEnd"/>
            <c:showVal val="1"/>
            <c:extLst>
              <c:ext xmlns:c15="http://schemas.microsoft.com/office/drawing/2012/chart" uri="{CE6537A1-D6FC-4f65-9D91-7224C49458BB}">
                <c15:layout/>
                <c15:showLeaderLines val="0"/>
                <c15:leaderLines>
                  <c:spPr>
                    <a:noFill/>
                    <a:ln w="9525" cap="flat" cmpd="sng" algn="ctr">
                      <a:solidFill>
                        <a:schemeClr val="tx1"/>
                      </a:solidFill>
                      <a:prstDash val="solid"/>
                    </a:ln>
                    <a:effectLst/>
                  </c:spPr>
                </c15:leaderLines>
              </c:ext>
            </c:extLst>
          </c:dLbls>
          <c:cat>
            <c:strRef>
              <c:f>Sheet1!$B$1:$B$1</c:f>
              <c:strCache>
                <c:ptCount val="1"/>
                <c:pt idx="0">
                  <c:v>一般公共预算财政拨款支出（万元）</c:v>
                </c:pt>
              </c:strCache>
            </c:strRef>
          </c:cat>
          <c:val>
            <c:numRef>
              <c:f>Sheet1!$B$2:$B$2</c:f>
              <c:numCache>
                <c:formatCode>General</c:formatCode>
                <c:ptCount val="1"/>
                <c:pt idx="0">
                  <c:v>591.66999999999996</c:v>
                </c:pt>
              </c:numCache>
            </c:numRef>
          </c:val>
        </c:ser>
        <c:ser>
          <c:idx val="1"/>
          <c:order val="1"/>
          <c:tx>
            <c:strRef>
              <c:f>Sheet1!$A$3</c:f>
              <c:strCache>
                <c:ptCount val="1"/>
                <c:pt idx="0">
                  <c:v>2019年</c:v>
                </c:pt>
              </c:strCache>
            </c:strRef>
          </c:tx>
          <c:spPr>
            <a:solidFill>
              <a:srgbClr val="993366"/>
            </a:solidFill>
            <a:ln w="12680">
              <a:solidFill>
                <a:srgbClr val="000000"/>
              </a:solidFill>
              <a:prstDash val="solid"/>
            </a:ln>
            <a:effectLst/>
          </c:spPr>
          <c:dLbls>
            <c:spPr>
              <a:noFill/>
              <a:ln w="25360">
                <a:noFill/>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dLblPos val="outEnd"/>
            <c:showVal val="1"/>
            <c:extLst>
              <c:ext xmlns:c15="http://schemas.microsoft.com/office/drawing/2012/chart" uri="{CE6537A1-D6FC-4f65-9D91-7224C49458BB}">
                <c15:layout/>
                <c15:showLeaderLines val="0"/>
                <c15:leaderLines>
                  <c:spPr>
                    <a:noFill/>
                    <a:ln w="9525" cap="flat" cmpd="sng" algn="ctr">
                      <a:solidFill>
                        <a:schemeClr val="tx1"/>
                      </a:solidFill>
                      <a:prstDash val="solid"/>
                    </a:ln>
                    <a:effectLst/>
                  </c:spPr>
                </c15:leaderLines>
              </c:ext>
            </c:extLst>
          </c:dLbls>
          <c:cat>
            <c:strRef>
              <c:f>Sheet1!$B$1:$B$1</c:f>
              <c:strCache>
                <c:ptCount val="1"/>
                <c:pt idx="0">
                  <c:v>一般公共预算财政拨款支出（万元）</c:v>
                </c:pt>
              </c:strCache>
            </c:strRef>
          </c:cat>
          <c:val>
            <c:numRef>
              <c:f>Sheet1!$B$3:$B$3</c:f>
              <c:numCache>
                <c:formatCode>General</c:formatCode>
                <c:ptCount val="1"/>
                <c:pt idx="0">
                  <c:v>995.32999999999993</c:v>
                </c:pt>
              </c:numCache>
            </c:numRef>
          </c:val>
        </c:ser>
        <c:dLbls>
          <c:showVal val="1"/>
        </c:dLbls>
        <c:axId val="952364416"/>
        <c:axId val="959325696"/>
      </c:barChart>
      <c:catAx>
        <c:axId val="952364416"/>
        <c:scaling>
          <c:orientation val="minMax"/>
        </c:scaling>
        <c:axPos val="b"/>
        <c:numFmt formatCode="General" sourceLinked="1"/>
        <c:majorTickMark val="in"/>
        <c:tickLblPos val="low"/>
        <c:spPr>
          <a:noFill/>
          <a:ln w="3170">
            <a:solidFill>
              <a:srgbClr val="000000"/>
            </a:solidFill>
            <a:prstDash val="solid"/>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crossAx val="959325696"/>
        <c:crosses val="autoZero"/>
        <c:auto val="1"/>
        <c:lblAlgn val="ctr"/>
        <c:lblOffset val="100"/>
        <c:tickLblSkip val="1"/>
        <c:tickMarkSkip val="1"/>
      </c:catAx>
      <c:valAx>
        <c:axId val="959325696"/>
        <c:scaling>
          <c:orientation val="minMax"/>
        </c:scaling>
        <c:axPos val="l"/>
        <c:majorGridlines>
          <c:spPr>
            <a:ln w="3170">
              <a:solidFill>
                <a:srgbClr val="000000"/>
              </a:solidFill>
              <a:prstDash val="solid"/>
            </a:ln>
            <a:effectLst/>
          </c:spPr>
        </c:majorGridlines>
        <c:numFmt formatCode="General" sourceLinked="1"/>
        <c:majorTickMark val="in"/>
        <c:tickLblPos val="nextTo"/>
        <c:spPr>
          <a:noFill/>
          <a:ln w="3170">
            <a:solidFill>
              <a:srgbClr val="000000"/>
            </a:solidFill>
            <a:prstDash val="solid"/>
          </a:ln>
          <a:effectLst/>
        </c:spPr>
        <c:txPr>
          <a:bodyPr rot="0" spcFirstLastPara="0" vertOverflow="ellipsis" horzOverflow="overflow" vert="horz" wrap="square" anchor="ctr" anchorCtr="1"/>
          <a:lstStyle/>
          <a:p>
            <a:pPr>
              <a:defRPr sz="1175" b="0" i="0" u="none" strike="noStrike" baseline="0">
                <a:solidFill>
                  <a:srgbClr val="000000"/>
                </a:solidFill>
                <a:latin typeface="宋体"/>
                <a:ea typeface="宋体"/>
                <a:cs typeface="宋体"/>
              </a:defRPr>
            </a:pPr>
            <a:endParaRPr lang="zh-CN"/>
          </a:p>
        </c:txPr>
        <c:crossAx val="952364416"/>
        <c:crosses val="autoZero"/>
        <c:crossBetween val="between"/>
      </c:valAx>
      <c:spPr>
        <a:solidFill>
          <a:srgbClr val="C0C0C0"/>
        </a:solidFill>
        <a:ln w="12700">
          <a:solidFill>
            <a:srgbClr val="808080"/>
          </a:solidFill>
          <a:prstDash val="solid"/>
        </a:ln>
        <a:effectLst/>
      </c:spPr>
    </c:plotArea>
    <c:legend>
      <c:legendPos val="r"/>
      <c:layout>
        <c:manualLayout>
          <c:xMode val="edge"/>
          <c:yMode val="edge"/>
          <c:x val="0.79120879120879217"/>
          <c:y val="0.4117647058823552"/>
          <c:w val="0.19780219780219907"/>
          <c:h val="0.18067226890756297"/>
        </c:manualLayout>
      </c:layout>
      <c:spPr>
        <a:noFill/>
        <a:ln w="3170">
          <a:solidFill>
            <a:srgbClr val="000000"/>
          </a:solidFill>
          <a:prstDash val="solid"/>
        </a:ln>
        <a:effectLst/>
      </c:spPr>
      <c:txPr>
        <a:bodyPr rot="0" spcFirstLastPara="0" vertOverflow="ellipsis" horzOverflow="overflow" vert="horz" wrap="square" anchor="ctr" anchorCtr="1"/>
        <a:lstStyle/>
        <a:p>
          <a:pPr>
            <a:defRPr sz="1080" b="0" i="0" u="none" strike="noStrike" baseline="0">
              <a:solidFill>
                <a:srgbClr val="000000"/>
              </a:solidFill>
              <a:latin typeface="宋体"/>
              <a:ea typeface="宋体"/>
              <a:cs typeface="宋体"/>
            </a:defRPr>
          </a:pPr>
          <a:endParaRPr lang="zh-CN"/>
        </a:p>
      </c:txPr>
    </c:legend>
    <c:plotVisOnly val="1"/>
    <c:dispBlanksAs val="gap"/>
  </c:chart>
  <c:spPr>
    <a:noFill/>
    <a:ln w="9525" cap="flat" cmpd="sng" algn="ctr">
      <a:noFill/>
      <a:prstDash val="solid"/>
    </a:ln>
    <a:effectLst/>
  </c:spPr>
  <c:txPr>
    <a:bodyPr rot="0" spcFirstLastPara="0" vertOverflow="ellipsis" horzOverflow="overflow" vert="horz" wrap="square" anchor="ctr" anchorCtr="1"/>
    <a:lstStyle/>
    <a:p>
      <a:pPr>
        <a:defRPr lang="zh-CN" sz="1175" b="0" i="0" u="none" strike="noStrike" baseline="0">
          <a:solidFill>
            <a:srgbClr val="000000"/>
          </a:solidFill>
          <a:latin typeface="宋体"/>
          <a:ea typeface="宋体"/>
          <a:cs typeface="宋体"/>
        </a:defRPr>
      </a:pPr>
      <a:endParaRPr lang="zh-CN"/>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chart>
    <c:title>
      <c:tx>
        <c:rich>
          <a:bodyPr vertOverflow="ellipsis" anchor="ctr" anchorCtr="1"/>
          <a:lstStyle/>
          <a:p>
            <a:pPr algn="ctr">
              <a:defRPr sz="1200" b="1" i="0" u="none" strike="noStrike" baseline="0">
                <a:solidFill>
                  <a:srgbClr val="000000"/>
                </a:solidFill>
                <a:latin typeface="宋体"/>
                <a:ea typeface="宋体"/>
                <a:cs typeface="宋体"/>
              </a:defRPr>
            </a:pPr>
            <a:r>
              <a:rPr lang="en-US" altLang="zh-CN"/>
              <a:t>2019</a:t>
            </a:r>
            <a:r>
              <a:rPr lang="zh-CN" altLang="en-US"/>
              <a:t>年支出决算</a:t>
            </a:r>
          </a:p>
        </c:rich>
      </c:tx>
      <c:layout>
        <c:manualLayout>
          <c:xMode val="edge"/>
          <c:yMode val="edge"/>
          <c:x val="0.36743215031315202"/>
          <c:y val="1.9083969465648901E-2"/>
        </c:manualLayout>
      </c:layout>
      <c:spPr>
        <a:noFill/>
        <a:ln w="25397">
          <a:noFill/>
        </a:ln>
        <a:effectLst/>
      </c:spPr>
    </c:title>
    <c:plotArea>
      <c:layout>
        <c:manualLayout>
          <c:layoutTarget val="inner"/>
          <c:xMode val="edge"/>
          <c:yMode val="edge"/>
          <c:x val="0.24843423799582612"/>
          <c:y val="0.40458015267175601"/>
          <c:w val="0.17327766179540705"/>
          <c:h val="0.31679389312977213"/>
        </c:manualLayout>
      </c:layout>
      <c:pieChart>
        <c:varyColors val="1"/>
        <c:ser>
          <c:idx val="0"/>
          <c:order val="0"/>
          <c:tx>
            <c:strRef>
              <c:f>Sheet1!$A$2</c:f>
              <c:strCache>
                <c:ptCount val="1"/>
              </c:strCache>
            </c:strRef>
          </c:tx>
          <c:spPr>
            <a:solidFill>
              <a:srgbClr val="9999FF"/>
            </a:solidFill>
            <a:effectLst/>
          </c:spPr>
          <c:dPt>
            <c:idx val="0"/>
            <c:spPr>
              <a:solidFill>
                <a:srgbClr val="9999FF"/>
              </a:solidFill>
              <a:ln w="12698">
                <a:solidFill>
                  <a:srgbClr val="000000"/>
                </a:solidFill>
                <a:prstDash val="solid"/>
              </a:ln>
              <a:effectLst/>
            </c:spPr>
          </c:dPt>
          <c:dPt>
            <c:idx val="1"/>
            <c:spPr>
              <a:solidFill>
                <a:srgbClr val="993366"/>
              </a:solidFill>
              <a:ln w="12698">
                <a:solidFill>
                  <a:srgbClr val="000000"/>
                </a:solidFill>
                <a:prstDash val="solid"/>
              </a:ln>
              <a:effectLst/>
            </c:spPr>
          </c:dPt>
          <c:dPt>
            <c:idx val="2"/>
            <c:spPr>
              <a:solidFill>
                <a:srgbClr val="FFFFCC"/>
              </a:solidFill>
              <a:ln w="12698">
                <a:solidFill>
                  <a:srgbClr val="000000"/>
                </a:solidFill>
                <a:prstDash val="solid"/>
              </a:ln>
              <a:effectLst/>
            </c:spPr>
          </c:dPt>
          <c:dPt>
            <c:idx val="3"/>
            <c:spPr>
              <a:solidFill>
                <a:srgbClr val="CCFFFF"/>
              </a:solidFill>
              <a:ln w="12698">
                <a:solidFill>
                  <a:srgbClr val="000000"/>
                </a:solidFill>
                <a:prstDash val="solid"/>
              </a:ln>
              <a:effectLst/>
            </c:spPr>
          </c:dPt>
          <c:dPt>
            <c:idx val="4"/>
            <c:spPr>
              <a:solidFill>
                <a:srgbClr val="660066"/>
              </a:solidFill>
              <a:ln w="12698">
                <a:solidFill>
                  <a:srgbClr val="000000"/>
                </a:solidFill>
                <a:prstDash val="solid"/>
              </a:ln>
              <a:effectLst/>
            </c:spPr>
          </c:dPt>
          <c:dLbls>
            <c:dLbl>
              <c:idx val="0"/>
              <c:layout>
                <c:manualLayout>
                  <c:x val="-2.8385394786141712E-2"/>
                  <c:y val="-6.4398010812187323E-2"/>
                </c:manualLayout>
              </c:layout>
              <c:spPr/>
              <c:txPr>
                <a:bodyPr/>
                <a:lstStyle/>
                <a:p>
                  <a:pPr>
                    <a:defRPr/>
                  </a:pPr>
                  <a:endParaRPr lang="zh-CN"/>
                </a:p>
              </c:txPr>
              <c:dLblPos val="bestFit"/>
              <c:showCatName val="1"/>
              <c:showPercent val="1"/>
              <c:separator>
</c:separator>
              <c:extLst>
                <c:ext xmlns:c15="http://schemas.microsoft.com/office/drawing/2012/chart" uri="{CE6537A1-D6FC-4f65-9D91-7224C49458BB}">
                  <c15:layout/>
                </c:ext>
              </c:extLst>
            </c:dLbl>
            <c:dLbl>
              <c:idx val="1"/>
              <c:layout>
                <c:manualLayout>
                  <c:x val="9.2635711466061935E-2"/>
                  <c:y val="1.9907335056400612E-2"/>
                </c:manualLayout>
              </c:layout>
              <c:spPr/>
              <c:txPr>
                <a:bodyPr/>
                <a:lstStyle/>
                <a:p>
                  <a:pPr>
                    <a:defRPr/>
                  </a:pPr>
                  <a:endParaRPr lang="zh-CN"/>
                </a:p>
              </c:txPr>
              <c:dLblPos val="bestFit"/>
              <c:showCatName val="1"/>
              <c:showPercent val="1"/>
              <c:separator>
</c:separator>
              <c:extLst>
                <c:ext xmlns:c15="http://schemas.microsoft.com/office/drawing/2012/chart" uri="{CE6537A1-D6FC-4f65-9D91-7224C49458BB}">
                  <c15:layout/>
                </c:ext>
              </c:extLst>
            </c:dLbl>
            <c:dLbl>
              <c:idx val="2"/>
              <c:layout>
                <c:manualLayout>
                  <c:x val="3.9418732416841601E-2"/>
                  <c:y val="0.12203070583285303"/>
                </c:manualLayout>
              </c:layout>
              <c:spPr/>
              <c:txPr>
                <a:bodyPr/>
                <a:lstStyle/>
                <a:p>
                  <a:pPr>
                    <a:defRPr/>
                  </a:pPr>
                  <a:endParaRPr lang="zh-CN"/>
                </a:p>
              </c:txPr>
              <c:dLblPos val="bestFit"/>
              <c:showCatName val="1"/>
              <c:showPercent val="1"/>
              <c:separator>
</c:separator>
              <c:extLst>
                <c:ext xmlns:c15="http://schemas.microsoft.com/office/drawing/2012/chart" uri="{CE6537A1-D6FC-4f65-9D91-7224C49458BB}">
                  <c15:layout/>
                </c:ext>
              </c:extLst>
            </c:dLbl>
            <c:dLbl>
              <c:idx val="4"/>
              <c:layout>
                <c:manualLayout>
                  <c:x val="-0.14715257712586596"/>
                  <c:y val="0.11878057353854603"/>
                </c:manualLayout>
              </c:layout>
              <c:spPr/>
              <c:txPr>
                <a:bodyPr/>
                <a:lstStyle/>
                <a:p>
                  <a:pPr>
                    <a:defRPr/>
                  </a:pPr>
                  <a:endParaRPr lang="zh-CN"/>
                </a:p>
              </c:txPr>
              <c:dLblPos val="bestFit"/>
              <c:showCatName val="1"/>
              <c:showPercent val="1"/>
              <c:separator>
</c:separator>
              <c:extLst>
                <c:ext xmlns:c15="http://schemas.microsoft.com/office/drawing/2012/chart" uri="{CE6537A1-D6FC-4f65-9D91-7224C49458BB}">
                  <c15:layout/>
                </c:ext>
              </c:extLst>
            </c:dLbl>
            <c:numFmt formatCode="0%" sourceLinked="0"/>
            <c:spPr>
              <a:noFill/>
              <a:ln w="25397">
                <a:noFill/>
              </a:ln>
              <a:effectLst/>
            </c:spPr>
            <c:txPr>
              <a:bodyPr rot="0" spcFirstLastPara="0" vertOverflow="ellipsis" horzOverflow="overflow" vert="horz" wrap="square" anchor="ctr" anchorCtr="1"/>
              <a:lstStyle/>
              <a:p>
                <a:pPr>
                  <a:defRPr sz="825"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Sheet1!$B$1:$F$1</c:f>
              <c:strCache>
                <c:ptCount val="5"/>
                <c:pt idx="0">
                  <c:v>一般公共服务3.57万</c:v>
                </c:pt>
                <c:pt idx="1">
                  <c:v>社会保障和就业129.99万</c:v>
                </c:pt>
                <c:pt idx="2">
                  <c:v>卫生健康13.07万</c:v>
                </c:pt>
                <c:pt idx="3">
                  <c:v>灾害防治及应急管理815.75万</c:v>
                </c:pt>
                <c:pt idx="4">
                  <c:v>住房保障32.95万</c:v>
                </c:pt>
              </c:strCache>
            </c:strRef>
          </c:cat>
          <c:val>
            <c:numRef>
              <c:f>Sheet1!$B$2:$F$2</c:f>
              <c:numCache>
                <c:formatCode>0.00%</c:formatCode>
                <c:ptCount val="5"/>
                <c:pt idx="0">
                  <c:v>3.6000000000000116E-3</c:v>
                </c:pt>
                <c:pt idx="1">
                  <c:v>0.13059999999999999</c:v>
                </c:pt>
                <c:pt idx="2">
                  <c:v>1.3100000000000004E-2</c:v>
                </c:pt>
                <c:pt idx="3">
                  <c:v>0.81960000000000222</c:v>
                </c:pt>
                <c:pt idx="4">
                  <c:v>3.3100000000000004E-2</c:v>
                </c:pt>
              </c:numCache>
            </c:numRef>
          </c:val>
        </c:ser>
        <c:ser>
          <c:idx val="1"/>
          <c:order val="1"/>
          <c:tx>
            <c:strRef>
              <c:f>Sheet1!$A$3</c:f>
              <c:strCache>
                <c:ptCount val="1"/>
              </c:strCache>
            </c:strRef>
          </c:tx>
          <c:spPr>
            <a:solidFill>
              <a:srgbClr val="993366"/>
            </a:solidFill>
            <a:effectLst/>
          </c:spPr>
          <c:dPt>
            <c:idx val="0"/>
            <c:spPr>
              <a:solidFill>
                <a:srgbClr val="9999FF"/>
              </a:solidFill>
              <a:ln w="12698">
                <a:solidFill>
                  <a:srgbClr val="000000"/>
                </a:solidFill>
                <a:prstDash val="solid"/>
              </a:ln>
              <a:effectLst/>
            </c:spPr>
          </c:dPt>
          <c:dPt>
            <c:idx val="1"/>
            <c:spPr>
              <a:solidFill>
                <a:srgbClr val="993366"/>
              </a:solidFill>
              <a:ln w="12698">
                <a:solidFill>
                  <a:srgbClr val="000000"/>
                </a:solidFill>
                <a:prstDash val="solid"/>
              </a:ln>
              <a:effectLst/>
            </c:spPr>
          </c:dPt>
          <c:dPt>
            <c:idx val="2"/>
            <c:spPr>
              <a:solidFill>
                <a:srgbClr val="FFFFCC"/>
              </a:solidFill>
              <a:ln w="12698">
                <a:solidFill>
                  <a:srgbClr val="000000"/>
                </a:solidFill>
                <a:prstDash val="solid"/>
              </a:ln>
              <a:effectLst/>
            </c:spPr>
          </c:dPt>
          <c:dPt>
            <c:idx val="3"/>
            <c:spPr>
              <a:solidFill>
                <a:srgbClr val="CCFFFF"/>
              </a:solidFill>
              <a:ln w="12698">
                <a:solidFill>
                  <a:srgbClr val="000000"/>
                </a:solidFill>
                <a:prstDash val="solid"/>
              </a:ln>
              <a:effectLst/>
            </c:spPr>
          </c:dPt>
          <c:dPt>
            <c:idx val="4"/>
            <c:spPr>
              <a:solidFill>
                <a:srgbClr val="660066"/>
              </a:solidFill>
              <a:ln w="12698">
                <a:solidFill>
                  <a:srgbClr val="000000"/>
                </a:solidFill>
                <a:prstDash val="solid"/>
              </a:ln>
              <a:effectLst/>
            </c:spPr>
          </c:dPt>
          <c:dLbls>
            <c:numFmt formatCode="0%" sourceLinked="0"/>
            <c:spPr>
              <a:noFill/>
              <a:ln w="25397">
                <a:noFill/>
              </a:ln>
              <a:effectLst/>
            </c:spPr>
            <c:txPr>
              <a:bodyPr rot="0" spcFirstLastPara="0" vertOverflow="ellipsis" horzOverflow="overflow" vert="horz" wrap="square" anchor="ctr" anchorCtr="1"/>
              <a:lstStyle/>
              <a:p>
                <a:pPr>
                  <a:defRPr sz="1200" b="0" i="0" u="none" strike="noStrike" baseline="0">
                    <a:solidFill>
                      <a:srgbClr val="000000"/>
                    </a:solidFill>
                    <a:latin typeface="宋体"/>
                    <a:ea typeface="宋体"/>
                    <a:cs typeface="宋体"/>
                  </a:defRPr>
                </a:pPr>
                <a:endParaRPr lang="zh-CN"/>
              </a:p>
            </c:txPr>
            <c:dLblPos val="bestFit"/>
            <c:showCatName val="1"/>
            <c:showPercent val="1"/>
            <c:separator>
</c:separator>
            <c:showLeaderLines val="1"/>
            <c:extLst>
              <c:ext xmlns:c15="http://schemas.microsoft.com/office/drawing/2012/chart" uri="{CE6537A1-D6FC-4f65-9D91-7224C49458BB}">
                <c15:layout/>
                <c15:showLeaderLines val="1"/>
                <c15:leaderLines>
                  <c:spPr>
                    <a:noFill/>
                    <a:ln w="9525" cap="flat" cmpd="sng" algn="ctr">
                      <a:solidFill>
                        <a:schemeClr val="tx1"/>
                      </a:solidFill>
                      <a:prstDash val="solid"/>
                    </a:ln>
                    <a:effectLst/>
                  </c:spPr>
                </c15:leaderLines>
              </c:ext>
            </c:extLst>
          </c:dLbls>
          <c:cat>
            <c:strRef>
              <c:f>Sheet1!$B$1:$F$1</c:f>
              <c:strCache>
                <c:ptCount val="5"/>
                <c:pt idx="0">
                  <c:v>一般公共服务3.57万</c:v>
                </c:pt>
                <c:pt idx="1">
                  <c:v>社会保障和就业129.99万</c:v>
                </c:pt>
                <c:pt idx="2">
                  <c:v>卫生健康13.07万</c:v>
                </c:pt>
                <c:pt idx="3">
                  <c:v>灾害防治及应急管理815.75万</c:v>
                </c:pt>
                <c:pt idx="4">
                  <c:v>住房保障32.95万</c:v>
                </c:pt>
              </c:strCache>
            </c:strRef>
          </c:cat>
          <c:val>
            <c:numRef>
              <c:f>Sheet1!$B$3:$F$3</c:f>
              <c:numCache>
                <c:formatCode>General</c:formatCode>
                <c:ptCount val="5"/>
              </c:numCache>
            </c:numRef>
          </c:val>
        </c:ser>
        <c:dLbls>
          <c:showCatName val="1"/>
          <c:showPercent val="1"/>
        </c:dLbls>
        <c:firstSliceAng val="0"/>
      </c:pieChart>
      <c:spPr>
        <a:solidFill>
          <a:srgbClr val="C0C0C0"/>
        </a:solidFill>
        <a:ln w="12698">
          <a:solidFill>
            <a:srgbClr val="808080"/>
          </a:solidFill>
          <a:prstDash val="solid"/>
        </a:ln>
        <a:effectLst/>
      </c:spPr>
    </c:plotArea>
    <c:legend>
      <c:legendPos val="r"/>
      <c:layout>
        <c:manualLayout>
          <c:xMode val="edge"/>
          <c:yMode val="edge"/>
          <c:x val="0.67432150313152739"/>
          <c:y val="0.18702290076335901"/>
          <c:w val="0.31732776617954433"/>
          <c:h val="0.74809160305344047"/>
        </c:manualLayout>
      </c:layout>
      <c:spPr>
        <a:noFill/>
        <a:ln w="3175">
          <a:solidFill>
            <a:srgbClr val="000000"/>
          </a:solidFill>
          <a:prstDash val="solid"/>
        </a:ln>
        <a:effectLst/>
      </c:spPr>
      <c:txPr>
        <a:bodyPr rot="0" spcFirstLastPara="0" vertOverflow="ellipsis" horzOverflow="overflow" vert="horz" wrap="square" anchor="ctr" anchorCtr="1"/>
        <a:lstStyle/>
        <a:p>
          <a:pPr>
            <a:defRPr sz="1100" b="0" i="0" u="none" strike="noStrike" baseline="0">
              <a:solidFill>
                <a:srgbClr val="000000"/>
              </a:solidFill>
              <a:latin typeface="宋体"/>
              <a:ea typeface="宋体"/>
              <a:cs typeface="宋体"/>
            </a:defRPr>
          </a:pPr>
          <a:endParaRPr lang="zh-CN"/>
        </a:p>
      </c:txPr>
    </c:legend>
    <c:plotVisOnly val="1"/>
    <c:dispBlanksAs val="zero"/>
  </c:chart>
  <c:spPr>
    <a:noFill/>
    <a:ln w="3175" cap="flat" cmpd="sng" algn="ctr">
      <a:solidFill>
        <a:srgbClr val="000000"/>
      </a:solidFill>
      <a:prstDash val="solid"/>
    </a:ln>
    <a:effectLst/>
  </c:spPr>
  <c:txPr>
    <a:bodyPr rot="0" spcFirstLastPara="0" vertOverflow="ellipsis" horzOverflow="overflow" vert="horz" wrap="square" anchor="ctr" anchorCtr="1"/>
    <a:lstStyle/>
    <a:p>
      <a:pPr>
        <a:defRPr lang="zh-CN" sz="1200" b="0" i="0" u="none" strike="noStrike" baseline="0">
          <a:solidFill>
            <a:srgbClr val="000000"/>
          </a:solidFill>
          <a:latin typeface="宋体"/>
          <a:ea typeface="宋体"/>
          <a:cs typeface="宋体"/>
        </a:defRPr>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2210</Words>
  <Characters>12599</Characters>
  <Application>Microsoft Office Word</Application>
  <DocSecurity>0</DocSecurity>
  <Lines>104</Lines>
  <Paragraphs>29</Paragraphs>
  <ScaleCrop>false</ScaleCrop>
  <Company>Lenovo</Company>
  <LinksUpToDate>false</LinksUpToDate>
  <CharactersWithSpaces>14780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2019年度</dc:title>
  <dc:creator>王丽靖</dc:creator>
  <cp:lastModifiedBy>User</cp:lastModifiedBy>
  <cp:revision>2</cp:revision>
  <cp:lastPrinted>2021-05-17T07:28:00Z</cp:lastPrinted>
  <dcterms:created xsi:type="dcterms:W3CDTF">2021-05-21T06:43:00Z</dcterms:created>
  <dcterms:modified xsi:type="dcterms:W3CDTF">2021-05-21T06:43:00Z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2052-10.1.0.5740</vt:lpwstr>
  </property>
  <property fmtid="{D5CDD505-2E9C-101B-9397-08002B2CF9AE}" pid="3" name="ICV">
    <vt:lpwstr>418BF7EEFCAD4D97A6C1CC6DF53D9B80</vt:lpwstr>
  </property>
</Properties>
</file>