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28C68A">
      <w:pPr>
        <w:keepNext w:val="0"/>
        <w:keepLines w:val="0"/>
        <w:pageBreakBefore w:val="0"/>
        <w:widowControl w:val="0"/>
        <w:kinsoku/>
        <w:wordWrap/>
        <w:overflowPunct/>
        <w:topLinePunct w:val="0"/>
        <w:bidi w:val="0"/>
        <w:adjustRightInd/>
        <w:snapToGrid/>
        <w:spacing w:before="0" w:beforeAutospacing="0" w:afterAutospacing="0" w:line="560" w:lineRule="exact"/>
        <w:jc w:val="both"/>
        <w:textAlignment w:val="baseline"/>
        <w:rPr>
          <w:rFonts w:hint="default" w:ascii="Times New Roman" w:hAnsi="Times New Roman" w:eastAsia="方正小标宋简体" w:cs="Times New Roman"/>
          <w:spacing w:val="24"/>
          <w:sz w:val="44"/>
          <w:szCs w:val="44"/>
        </w:rPr>
      </w:pPr>
    </w:p>
    <w:p w14:paraId="3DA83665">
      <w:pPr>
        <w:keepNext w:val="0"/>
        <w:keepLines w:val="0"/>
        <w:pageBreakBefore w:val="0"/>
        <w:widowControl w:val="0"/>
        <w:kinsoku/>
        <w:wordWrap/>
        <w:overflowPunct/>
        <w:topLinePunct w:val="0"/>
        <w:bidi w:val="0"/>
        <w:adjustRightInd/>
        <w:snapToGrid/>
        <w:spacing w:before="0" w:beforeAutospacing="0" w:afterAutospacing="0" w:line="560" w:lineRule="exact"/>
        <w:jc w:val="center"/>
        <w:textAlignment w:val="baseline"/>
        <w:rPr>
          <w:rFonts w:hint="default" w:ascii="Times New Roman" w:hAnsi="Times New Roman" w:eastAsia="方正小标宋简体" w:cs="Times New Roman"/>
          <w:spacing w:val="-11"/>
          <w:sz w:val="44"/>
          <w:szCs w:val="44"/>
        </w:rPr>
      </w:pPr>
      <w:r>
        <w:rPr>
          <w:rFonts w:hint="default" w:ascii="Times New Roman" w:hAnsi="Times New Roman" w:eastAsia="方正小标宋简体" w:cs="Times New Roman"/>
          <w:spacing w:val="-11"/>
          <w:sz w:val="44"/>
          <w:szCs w:val="44"/>
        </w:rPr>
        <w:t>威海市文登区发展和改革局</w:t>
      </w:r>
      <w:r>
        <w:rPr>
          <w:rFonts w:hint="eastAsia" w:ascii="宋体" w:hAnsi="宋体" w:eastAsia="宋体" w:cs="宋体"/>
          <w:spacing w:val="-11"/>
          <w:sz w:val="44"/>
          <w:szCs w:val="44"/>
          <w:lang w:val="en-US" w:eastAsia="zh-CN"/>
        </w:rPr>
        <w:t xml:space="preserve"> </w:t>
      </w:r>
      <w:r>
        <w:rPr>
          <w:rFonts w:hint="default" w:ascii="Times New Roman" w:hAnsi="Times New Roman" w:eastAsia="方正小标宋简体" w:cs="Times New Roman"/>
          <w:spacing w:val="-11"/>
          <w:sz w:val="44"/>
          <w:szCs w:val="44"/>
        </w:rPr>
        <w:t>威海市文登区住房和城乡建设局</w:t>
      </w:r>
      <w:r>
        <w:rPr>
          <w:rFonts w:hint="eastAsia" w:ascii="Times New Roman" w:hAnsi="Times New Roman" w:eastAsia="方正小标宋简体" w:cs="Times New Roman"/>
          <w:spacing w:val="-11"/>
          <w:sz w:val="44"/>
          <w:szCs w:val="44"/>
          <w:lang w:val="en-US" w:eastAsia="zh-CN"/>
        </w:rPr>
        <w:t xml:space="preserve"> </w:t>
      </w:r>
      <w:r>
        <w:rPr>
          <w:rFonts w:hint="default" w:ascii="Times New Roman" w:hAnsi="Times New Roman" w:eastAsia="方正小标宋简体" w:cs="Times New Roman"/>
          <w:spacing w:val="-11"/>
          <w:sz w:val="44"/>
          <w:szCs w:val="44"/>
        </w:rPr>
        <w:t>威海市文登区市场监督管理局</w:t>
      </w:r>
    </w:p>
    <w:p w14:paraId="08C79049">
      <w:pPr>
        <w:keepNext w:val="0"/>
        <w:keepLines w:val="0"/>
        <w:pageBreakBefore w:val="0"/>
        <w:widowControl w:val="0"/>
        <w:kinsoku/>
        <w:wordWrap/>
        <w:overflowPunct/>
        <w:topLinePunct w:val="0"/>
        <w:bidi w:val="0"/>
        <w:adjustRightInd/>
        <w:snapToGrid/>
        <w:spacing w:before="0" w:beforeAutospacing="0" w:afterAutospacing="0" w:line="560" w:lineRule="exact"/>
        <w:jc w:val="center"/>
        <w:textAlignment w:val="baseline"/>
        <w:rPr>
          <w:rFonts w:hint="default" w:ascii="Times New Roman" w:hAnsi="Times New Roman" w:eastAsia="方正小标宋简体" w:cs="Times New Roman"/>
          <w:spacing w:val="-11"/>
          <w:sz w:val="44"/>
          <w:szCs w:val="44"/>
          <w:lang w:val="en-US" w:eastAsia="zh-CN"/>
        </w:rPr>
      </w:pPr>
      <w:r>
        <w:rPr>
          <w:rFonts w:hint="default" w:ascii="Times New Roman" w:hAnsi="Times New Roman" w:eastAsia="方正小标宋简体" w:cs="Times New Roman"/>
          <w:spacing w:val="-11"/>
          <w:sz w:val="44"/>
          <w:szCs w:val="44"/>
          <w:lang w:val="en-US" w:eastAsia="zh-CN"/>
        </w:rPr>
        <w:t>关于修改《关于进一步规范文登区普通住宅</w:t>
      </w:r>
    </w:p>
    <w:p w14:paraId="763921F9">
      <w:pPr>
        <w:keepNext w:val="0"/>
        <w:keepLines w:val="0"/>
        <w:pageBreakBefore w:val="0"/>
        <w:widowControl w:val="0"/>
        <w:kinsoku/>
        <w:wordWrap/>
        <w:overflowPunct/>
        <w:topLinePunct w:val="0"/>
        <w:bidi w:val="0"/>
        <w:adjustRightInd/>
        <w:snapToGrid/>
        <w:spacing w:before="0" w:beforeAutospacing="0" w:afterAutospacing="0" w:line="560" w:lineRule="exact"/>
        <w:jc w:val="center"/>
        <w:textAlignment w:val="baseline"/>
        <w:rPr>
          <w:rFonts w:hint="default" w:ascii="Times New Roman" w:hAnsi="Times New Roman" w:eastAsia="方正小标宋简体" w:cs="Times New Roman"/>
          <w:spacing w:val="-11"/>
          <w:sz w:val="44"/>
          <w:szCs w:val="44"/>
          <w:lang w:val="en-US" w:eastAsia="zh-CN"/>
        </w:rPr>
      </w:pPr>
      <w:r>
        <w:rPr>
          <w:rFonts w:hint="default" w:ascii="Times New Roman" w:hAnsi="Times New Roman" w:eastAsia="方正小标宋简体" w:cs="Times New Roman"/>
          <w:spacing w:val="-11"/>
          <w:sz w:val="44"/>
          <w:szCs w:val="44"/>
          <w:lang w:val="en-US" w:eastAsia="zh-CN"/>
        </w:rPr>
        <w:t>物业服务收费有关问题的通知》的</w:t>
      </w:r>
      <w:r>
        <w:rPr>
          <w:rFonts w:hint="eastAsia" w:ascii="Times New Roman" w:hAnsi="Times New Roman" w:eastAsia="方正小标宋简体" w:cs="Times New Roman"/>
          <w:spacing w:val="-11"/>
          <w:sz w:val="44"/>
          <w:szCs w:val="44"/>
          <w:lang w:val="en-US" w:eastAsia="zh-CN"/>
        </w:rPr>
        <w:t>通知</w:t>
      </w:r>
    </w:p>
    <w:p w14:paraId="4D491C69">
      <w:pPr>
        <w:keepNext w:val="0"/>
        <w:keepLines w:val="0"/>
        <w:pageBreakBefore w:val="0"/>
        <w:widowControl w:val="0"/>
        <w:kinsoku/>
        <w:wordWrap/>
        <w:overflowPunct w:val="0"/>
        <w:topLinePunct w:val="0"/>
        <w:autoSpaceDE w:val="0"/>
        <w:autoSpaceDN w:val="0"/>
        <w:bidi w:val="0"/>
        <w:adjustRightInd w:val="0"/>
        <w:snapToGrid w:val="0"/>
        <w:spacing w:before="0" w:beforeAutospacing="0" w:afterAutospacing="0" w:line="560" w:lineRule="exact"/>
        <w:jc w:val="center"/>
        <w:textAlignment w:val="baseline"/>
        <w:rPr>
          <w:rFonts w:hint="eastAsia" w:ascii="方正小标宋简体" w:hAnsi="方正小标宋简体" w:eastAsia="方正小标宋简体" w:cs="方正小标宋简体"/>
          <w:color w:val="auto"/>
          <w:sz w:val="44"/>
          <w:szCs w:val="44"/>
          <w:lang w:val="en-US" w:eastAsia="zh-CN"/>
        </w:rPr>
      </w:pPr>
      <w:r>
        <w:rPr>
          <w:rFonts w:hint="default" w:ascii="Times New Roman" w:hAnsi="Times New Roman" w:eastAsia="仿宋_GB2312" w:cs="Times New Roman"/>
          <w:sz w:val="32"/>
          <w:szCs w:val="32"/>
        </w:rPr>
        <w:t>威文发改发〔202</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33</w:t>
      </w:r>
      <w:r>
        <w:rPr>
          <w:rFonts w:hint="default" w:ascii="Times New Roman" w:hAnsi="Times New Roman" w:eastAsia="仿宋_GB2312" w:cs="Times New Roman"/>
          <w:sz w:val="32"/>
          <w:szCs w:val="32"/>
        </w:rPr>
        <w:t>号</w:t>
      </w:r>
    </w:p>
    <w:p w14:paraId="638C56CB">
      <w:pPr>
        <w:keepNext w:val="0"/>
        <w:keepLines w:val="0"/>
        <w:pageBreakBefore w:val="0"/>
        <w:widowControl w:val="0"/>
        <w:kinsoku/>
        <w:wordWrap/>
        <w:overflowPunct/>
        <w:topLinePunct w:val="0"/>
        <w:autoSpaceDE/>
        <w:autoSpaceDN/>
        <w:bidi w:val="0"/>
        <w:adjustRightInd/>
        <w:snapToGrid/>
        <w:spacing w:before="0" w:beforeAutospacing="0" w:afterAutospacing="0" w:line="560" w:lineRule="exact"/>
        <w:jc w:val="center"/>
        <w:textAlignment w:val="auto"/>
        <w:rPr>
          <w:rFonts w:hint="default" w:ascii="Times New Roman" w:hAnsi="Times New Roman" w:eastAsia="仿宋_GB2312" w:cs="Times New Roman"/>
          <w:color w:val="auto"/>
          <w:sz w:val="32"/>
          <w:szCs w:val="32"/>
          <w:lang w:val="en-US" w:eastAsia="zh-CN"/>
        </w:rPr>
      </w:pPr>
    </w:p>
    <w:p w14:paraId="3E4C1DC6">
      <w:pPr>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rightChars="0"/>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rPr>
        <w:t>各镇街、</w:t>
      </w:r>
      <w:r>
        <w:rPr>
          <w:rFonts w:hint="eastAsia" w:ascii="Times New Roman" w:hAnsi="Times New Roman" w:eastAsia="仿宋_GB2312" w:cs="Times New Roman"/>
          <w:color w:val="auto"/>
          <w:sz w:val="32"/>
          <w:lang w:val="en-US" w:eastAsia="zh-CN"/>
        </w:rPr>
        <w:t>南海新区管委、</w:t>
      </w:r>
      <w:r>
        <w:rPr>
          <w:rFonts w:hint="default" w:ascii="Times New Roman" w:hAnsi="Times New Roman" w:eastAsia="仿宋_GB2312" w:cs="Times New Roman"/>
          <w:color w:val="auto"/>
          <w:sz w:val="32"/>
        </w:rPr>
        <w:t>金山综合服务中心，各物业服务人、业主委员会、建设单位：</w:t>
      </w:r>
    </w:p>
    <w:p w14:paraId="20C82C9A">
      <w:pPr>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right="0" w:rightChars="0" w:firstLine="640" w:firstLineChars="200"/>
        <w:jc w:val="both"/>
        <w:textAlignment w:val="auto"/>
        <w:outlineLvl w:val="9"/>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按照《山东省行政规范性文件评估暂行办法》《威海市行政规范性文件制定和监督管理办法》等有关规定，经过评估，决定对《关于进一步规范文登区普通住宅物业服务收费有关问题的通知》（威文发改发</w:t>
      </w:r>
      <w:r>
        <w:rPr>
          <w:rFonts w:hint="default" w:ascii="Times New Roman" w:hAnsi="Times New Roman" w:eastAsia="仿宋_GB2312" w:cs="Times New Roman"/>
          <w:color w:val="auto"/>
          <w:sz w:val="32"/>
        </w:rPr>
        <w:t>〔2022〕</w:t>
      </w:r>
      <w:r>
        <w:rPr>
          <w:rFonts w:hint="eastAsia" w:ascii="Times New Roman" w:hAnsi="Times New Roman" w:eastAsia="仿宋_GB2312" w:cs="Times New Roman"/>
          <w:color w:val="auto"/>
          <w:sz w:val="32"/>
          <w:lang w:val="en-US" w:eastAsia="zh-CN"/>
        </w:rPr>
        <w:t>97号）（WDDR</w:t>
      </w:r>
      <w:r>
        <w:rPr>
          <w:rFonts w:hint="eastAsia" w:ascii="仿宋_GB2312" w:hAnsi="仿宋_GB2312" w:eastAsia="仿宋_GB2312" w:cs="仿宋_GB2312"/>
          <w:color w:val="auto"/>
          <w:sz w:val="32"/>
          <w:szCs w:val="32"/>
          <w:lang w:val="en-US" w:eastAsia="zh-CN"/>
        </w:rPr>
        <w:t>-</w:t>
      </w:r>
      <w:r>
        <w:rPr>
          <w:rFonts w:hint="eastAsia" w:ascii="Times New Roman" w:hAnsi="Times New Roman" w:eastAsia="仿宋_GB2312" w:cs="Times New Roman"/>
          <w:color w:val="auto"/>
          <w:sz w:val="32"/>
          <w:lang w:val="en-US" w:eastAsia="zh-CN"/>
        </w:rPr>
        <w:t>2022</w:t>
      </w:r>
      <w:r>
        <w:rPr>
          <w:rFonts w:hint="eastAsia" w:ascii="仿宋_GB2312" w:hAnsi="仿宋_GB2312" w:eastAsia="仿宋_GB2312" w:cs="仿宋_GB2312"/>
          <w:color w:val="auto"/>
          <w:sz w:val="32"/>
          <w:szCs w:val="32"/>
          <w:lang w:val="en-US" w:eastAsia="zh-CN"/>
        </w:rPr>
        <w:t>-</w:t>
      </w:r>
      <w:r>
        <w:rPr>
          <w:rFonts w:hint="eastAsia" w:ascii="Times New Roman" w:hAnsi="Times New Roman" w:eastAsia="仿宋_GB2312" w:cs="Times New Roman"/>
          <w:color w:val="auto"/>
          <w:sz w:val="32"/>
          <w:lang w:val="en-US" w:eastAsia="zh-CN"/>
        </w:rPr>
        <w:t>0030006）</w:t>
      </w:r>
      <w:r>
        <w:rPr>
          <w:rFonts w:hint="eastAsia" w:ascii="Times New Roman" w:hAnsi="Times New Roman" w:eastAsia="仿宋_GB2312" w:cs="Times New Roman"/>
          <w:color w:val="auto"/>
          <w:sz w:val="32"/>
          <w:szCs w:val="32"/>
          <w:lang w:val="en-US" w:eastAsia="zh-CN"/>
        </w:rPr>
        <w:t>作如下修改：</w:t>
      </w:r>
    </w:p>
    <w:p w14:paraId="0DB8FB42">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560" w:lineRule="exact"/>
        <w:ind w:right="0" w:rightChars="0" w:firstLine="640" w:firstLineChars="200"/>
        <w:jc w:val="both"/>
        <w:textAlignment w:val="auto"/>
        <w:outlineLvl w:val="9"/>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val="en-US" w:eastAsia="zh-CN"/>
        </w:rPr>
        <w:t>1．将第一条第一部分第4小项中“报送区价格主管部门和物业主管部门备案”修改为“报送物业主管部门备案”；删除第5小项全部内容；第二部分内容修改为：“（二）</w:t>
      </w:r>
      <w:r>
        <w:rPr>
          <w:rFonts w:hint="eastAsia" w:ascii="Times New Roman" w:hAnsi="Times New Roman" w:eastAsia="仿宋_GB2312" w:cs="Times New Roman"/>
          <w:color w:val="auto"/>
          <w:sz w:val="32"/>
          <w:szCs w:val="32"/>
          <w:lang w:eastAsia="zh-CN"/>
        </w:rPr>
        <w:t>前期物业服务合同到期</w:t>
      </w:r>
      <w:r>
        <w:rPr>
          <w:rFonts w:hint="default" w:ascii="Times New Roman" w:hAnsi="Times New Roman" w:eastAsia="仿宋_GB2312" w:cs="Times New Roman"/>
          <w:color w:val="auto"/>
          <w:sz w:val="32"/>
          <w:szCs w:val="32"/>
        </w:rPr>
        <w:t>后的普通住宅物业公共服务费</w:t>
      </w:r>
      <w:r>
        <w:rPr>
          <w:rFonts w:hint="eastAsia" w:ascii="Times New Roman" w:hAnsi="Times New Roman" w:eastAsia="仿宋_GB2312" w:cs="Times New Roman"/>
          <w:color w:val="auto"/>
          <w:sz w:val="32"/>
          <w:szCs w:val="32"/>
          <w:lang w:eastAsia="zh-CN"/>
        </w:rPr>
        <w:t>。前期</w:t>
      </w:r>
      <w:r>
        <w:rPr>
          <w:rFonts w:hint="eastAsia" w:eastAsia="仿宋_GB2312" w:cs="Times New Roman"/>
          <w:color w:val="auto"/>
          <w:sz w:val="32"/>
          <w:szCs w:val="32"/>
          <w:lang w:eastAsia="zh-CN"/>
        </w:rPr>
        <w:t>物业服务合同到期</w:t>
      </w:r>
      <w:r>
        <w:rPr>
          <w:rFonts w:hint="default" w:ascii="Times New Roman" w:hAnsi="Times New Roman" w:eastAsia="仿宋_GB2312" w:cs="Times New Roman"/>
          <w:color w:val="auto"/>
          <w:sz w:val="32"/>
          <w:szCs w:val="32"/>
        </w:rPr>
        <w:t>的普通住宅</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物业服务</w:t>
      </w:r>
      <w:r>
        <w:rPr>
          <w:rFonts w:hint="default" w:ascii="Times New Roman" w:hAnsi="Times New Roman" w:eastAsia="仿宋_GB2312" w:cs="Times New Roman"/>
          <w:color w:val="auto"/>
          <w:sz w:val="32"/>
          <w:szCs w:val="32"/>
        </w:rPr>
        <w:t>内容及收费标准通过物业服务合同约定</w:t>
      </w:r>
      <w:r>
        <w:rPr>
          <w:rFonts w:hint="eastAsia" w:eastAsia="仿宋_GB2312" w:cs="Times New Roman"/>
          <w:color w:val="auto"/>
          <w:sz w:val="32"/>
          <w:szCs w:val="32"/>
          <w:lang w:eastAsia="zh-CN"/>
        </w:rPr>
        <w:t>。已</w:t>
      </w:r>
      <w:r>
        <w:rPr>
          <w:rFonts w:hint="default" w:ascii="Times New Roman" w:hAnsi="Times New Roman" w:eastAsia="仿宋_GB2312" w:cs="Times New Roman"/>
          <w:color w:val="auto"/>
          <w:sz w:val="32"/>
          <w:szCs w:val="32"/>
        </w:rPr>
        <w:t>成立业主委员会</w:t>
      </w:r>
      <w:r>
        <w:rPr>
          <w:rFonts w:hint="eastAsia" w:eastAsia="仿宋_GB2312" w:cs="Times New Roman"/>
          <w:color w:val="auto"/>
          <w:sz w:val="32"/>
          <w:szCs w:val="32"/>
          <w:lang w:eastAsia="zh-CN"/>
        </w:rPr>
        <w:t>（物业管理委员会）</w:t>
      </w:r>
      <w:r>
        <w:rPr>
          <w:rFonts w:hint="default" w:ascii="Times New Roman" w:hAnsi="Times New Roman" w:eastAsia="仿宋_GB2312" w:cs="Times New Roman"/>
          <w:color w:val="auto"/>
          <w:sz w:val="32"/>
          <w:szCs w:val="32"/>
        </w:rPr>
        <w:t>的</w:t>
      </w:r>
      <w:r>
        <w:rPr>
          <w:rFonts w:hint="eastAsia" w:eastAsia="仿宋_GB2312" w:cs="Times New Roman"/>
          <w:color w:val="auto"/>
          <w:sz w:val="32"/>
          <w:szCs w:val="32"/>
          <w:lang w:eastAsia="zh-CN"/>
        </w:rPr>
        <w:t>，</w:t>
      </w:r>
      <w:r>
        <w:rPr>
          <w:rFonts w:hint="default" w:ascii="Times New Roman" w:hAnsi="Times New Roman" w:eastAsia="仿宋_GB2312" w:cs="Times New Roman"/>
          <w:color w:val="auto"/>
          <w:sz w:val="32"/>
          <w:szCs w:val="32"/>
        </w:rPr>
        <w:t>由业主委员会</w:t>
      </w:r>
      <w:r>
        <w:rPr>
          <w:rFonts w:hint="eastAsia" w:eastAsia="仿宋_GB2312" w:cs="Times New Roman"/>
          <w:color w:val="auto"/>
          <w:sz w:val="32"/>
          <w:szCs w:val="32"/>
          <w:lang w:eastAsia="zh-CN"/>
        </w:rPr>
        <w:t>（物业管理委员会）</w:t>
      </w:r>
      <w:r>
        <w:rPr>
          <w:rFonts w:hint="eastAsia" w:eastAsia="仿宋_GB2312" w:cs="Times New Roman"/>
          <w:color w:val="auto"/>
          <w:sz w:val="32"/>
          <w:szCs w:val="32"/>
          <w:lang w:val="en-US" w:eastAsia="zh-CN"/>
        </w:rPr>
        <w:t>履行法定程序</w:t>
      </w:r>
      <w:r>
        <w:rPr>
          <w:rFonts w:hint="default" w:ascii="Times New Roman" w:hAnsi="Times New Roman" w:eastAsia="仿宋_GB2312" w:cs="Times New Roman"/>
          <w:color w:val="auto"/>
          <w:sz w:val="32"/>
          <w:szCs w:val="32"/>
        </w:rPr>
        <w:t>与物业服务人签订物业服务合同</w:t>
      </w:r>
      <w:r>
        <w:rPr>
          <w:rFonts w:hint="eastAsia" w:eastAsia="仿宋_GB2312" w:cs="Times New Roman"/>
          <w:color w:val="auto"/>
          <w:sz w:val="32"/>
          <w:szCs w:val="32"/>
          <w:lang w:eastAsia="zh-CN"/>
        </w:rPr>
        <w:t>；</w:t>
      </w:r>
      <w:r>
        <w:rPr>
          <w:rFonts w:hint="eastAsia" w:eastAsia="仿宋_GB2312" w:cs="Times New Roman"/>
          <w:color w:val="auto"/>
          <w:sz w:val="32"/>
          <w:szCs w:val="32"/>
          <w:lang w:val="en-US" w:eastAsia="zh-CN"/>
        </w:rPr>
        <w:t>经街道社区组织后，</w:t>
      </w:r>
      <w:r>
        <w:rPr>
          <w:rFonts w:hint="default" w:ascii="Times New Roman" w:hAnsi="Times New Roman" w:eastAsia="仿宋_GB2312" w:cs="Times New Roman"/>
          <w:color w:val="auto"/>
          <w:sz w:val="32"/>
          <w:szCs w:val="32"/>
        </w:rPr>
        <w:t>业主委员会</w:t>
      </w:r>
      <w:r>
        <w:rPr>
          <w:rFonts w:hint="eastAsia" w:eastAsia="仿宋_GB2312" w:cs="Times New Roman"/>
          <w:color w:val="auto"/>
          <w:sz w:val="32"/>
          <w:szCs w:val="32"/>
          <w:lang w:eastAsia="zh-CN"/>
        </w:rPr>
        <w:t>（物业管理委员会）</w:t>
      </w:r>
      <w:r>
        <w:rPr>
          <w:rFonts w:hint="eastAsia" w:eastAsia="仿宋_GB2312" w:cs="Times New Roman"/>
          <w:color w:val="auto"/>
          <w:sz w:val="32"/>
          <w:szCs w:val="32"/>
          <w:lang w:val="en-US" w:eastAsia="zh-CN"/>
        </w:rPr>
        <w:t>仍未成立的，由社区居委会代行业主委员会职责与</w:t>
      </w:r>
      <w:r>
        <w:rPr>
          <w:rFonts w:hint="default" w:ascii="Times New Roman" w:hAnsi="Times New Roman" w:eastAsia="仿宋_GB2312" w:cs="Times New Roman"/>
          <w:color w:val="auto"/>
          <w:sz w:val="32"/>
          <w:szCs w:val="32"/>
        </w:rPr>
        <w:t>物业服务人签订物业服务合同</w:t>
      </w:r>
      <w:r>
        <w:rPr>
          <w:rFonts w:hint="eastAsia" w:eastAsia="仿宋_GB2312" w:cs="Times New Roman"/>
          <w:color w:val="auto"/>
          <w:sz w:val="32"/>
          <w:szCs w:val="32"/>
          <w:lang w:eastAsia="zh-CN"/>
        </w:rPr>
        <w:t>。</w:t>
      </w:r>
      <w:r>
        <w:rPr>
          <w:rFonts w:hint="default" w:ascii="Times New Roman" w:hAnsi="Times New Roman" w:eastAsia="仿宋_GB2312" w:cs="Times New Roman"/>
          <w:color w:val="auto"/>
          <w:sz w:val="32"/>
          <w:szCs w:val="32"/>
        </w:rPr>
        <w:t>物业服务人应自签订物业服务合同之日起十日内</w:t>
      </w:r>
      <w:r>
        <w:rPr>
          <w:rFonts w:hint="eastAsia" w:ascii="Times New Roman" w:hAnsi="Times New Roman" w:eastAsia="仿宋_GB2312" w:cs="Times New Roman"/>
          <w:color w:val="auto"/>
          <w:sz w:val="32"/>
          <w:szCs w:val="32"/>
          <w:lang w:val="en-US" w:eastAsia="zh-CN"/>
        </w:rPr>
        <w:t>报送</w:t>
      </w:r>
      <w:r>
        <w:rPr>
          <w:rFonts w:hint="default" w:ascii="Times New Roman" w:hAnsi="Times New Roman" w:eastAsia="仿宋_GB2312" w:cs="Times New Roman"/>
          <w:color w:val="auto"/>
          <w:sz w:val="32"/>
          <w:szCs w:val="32"/>
        </w:rPr>
        <w:t>物业主管部门备案。</w:t>
      </w:r>
      <w:r>
        <w:rPr>
          <w:rFonts w:hint="eastAsia" w:ascii="Times New Roman" w:hAnsi="Times New Roman" w:eastAsia="仿宋_GB2312" w:cs="Times New Roman"/>
          <w:color w:val="auto"/>
          <w:sz w:val="32"/>
          <w:szCs w:val="32"/>
          <w:lang w:eastAsia="zh-CN"/>
        </w:rPr>
        <w:t>”</w:t>
      </w:r>
    </w:p>
    <w:p w14:paraId="1F57BB50">
      <w:pPr>
        <w:keepNext w:val="0"/>
        <w:keepLines w:val="0"/>
        <w:pageBreakBefore w:val="0"/>
        <w:widowControl w:val="0"/>
        <w:kinsoku/>
        <w:wordWrap/>
        <w:overflowPunct/>
        <w:topLinePunct w:val="0"/>
        <w:autoSpaceDE w:val="0"/>
        <w:autoSpaceDN w:val="0"/>
        <w:bidi w:val="0"/>
        <w:adjustRightInd/>
        <w:snapToGrid/>
        <w:spacing w:before="0" w:beforeAutospacing="0" w:afterAutospacing="0" w:line="560" w:lineRule="exact"/>
        <w:ind w:right="0" w:rightChars="0" w:firstLine="640"/>
        <w:jc w:val="both"/>
        <w:textAlignment w:val="baseline"/>
        <w:outlineLvl w:val="9"/>
        <w:rPr>
          <w:rFonts w:hint="eastAsia" w:ascii="Times New Roman" w:hAnsi="Times New Roman" w:eastAsia="仿宋_GB2312" w:cs="Times New Roman"/>
          <w:color w:val="auto"/>
          <w:sz w:val="32"/>
          <w:szCs w:val="32"/>
          <w:lang w:eastAsia="zh-CN"/>
        </w:rPr>
      </w:pPr>
      <w:r>
        <w:rPr>
          <w:rFonts w:hint="eastAsia" w:ascii="Times New Roman" w:hAnsi="Times New Roman" w:eastAsia="仿宋_GB2312" w:cs="Times New Roman"/>
          <w:color w:val="auto"/>
          <w:sz w:val="32"/>
          <w:szCs w:val="32"/>
          <w:lang w:val="en-US" w:eastAsia="zh-CN"/>
        </w:rPr>
        <w:t>2．将第二条第三段落中“停车服务费和车位场地使用费按月收取，经车位使用人同意，物业服务人可以预收”修改为“</w:t>
      </w:r>
      <w:r>
        <w:rPr>
          <w:rFonts w:hint="default" w:ascii="Times New Roman" w:hAnsi="Times New Roman" w:eastAsia="仿宋_GB2312" w:cs="Times New Roman"/>
          <w:color w:val="auto"/>
          <w:sz w:val="32"/>
          <w:szCs w:val="32"/>
        </w:rPr>
        <w:t>经车位使用人同意，物业服务人可以预收停车服务费和车位场地使用费</w:t>
      </w:r>
      <w:r>
        <w:rPr>
          <w:rFonts w:hint="eastAsia" w:ascii="Times New Roman" w:hAnsi="Times New Roman" w:eastAsia="仿宋_GB2312" w:cs="Times New Roman"/>
          <w:color w:val="auto"/>
          <w:sz w:val="32"/>
          <w:szCs w:val="32"/>
          <w:lang w:eastAsia="zh-CN"/>
        </w:rPr>
        <w:t>”。</w:t>
      </w:r>
    </w:p>
    <w:p w14:paraId="763D375E">
      <w:pPr>
        <w:keepNext w:val="0"/>
        <w:keepLines w:val="0"/>
        <w:pageBreakBefore w:val="0"/>
        <w:widowControl w:val="0"/>
        <w:kinsoku/>
        <w:wordWrap/>
        <w:overflowPunct/>
        <w:topLinePunct w:val="0"/>
        <w:autoSpaceDE w:val="0"/>
        <w:autoSpaceDN w:val="0"/>
        <w:bidi w:val="0"/>
        <w:adjustRightInd/>
        <w:snapToGrid/>
        <w:spacing w:before="0" w:beforeAutospacing="0" w:afterAutospacing="0" w:line="560" w:lineRule="exact"/>
        <w:ind w:right="0" w:rightChars="0" w:firstLine="640"/>
        <w:jc w:val="both"/>
        <w:textAlignment w:val="baseline"/>
        <w:outlineLvl w:val="9"/>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sz w:val="32"/>
          <w:szCs w:val="32"/>
          <w:lang w:val="en-US" w:eastAsia="zh-CN"/>
        </w:rPr>
        <w:t>3．删除第三条第一部分中“</w:t>
      </w:r>
      <w:r>
        <w:rPr>
          <w:rFonts w:hint="default" w:ascii="Times New Roman" w:hAnsi="Times New Roman" w:eastAsia="仿宋_GB2312" w:cs="Times New Roman"/>
          <w:sz w:val="32"/>
          <w:szCs w:val="32"/>
        </w:rPr>
        <w:t>主要用于补充专项维修资金，也可以优先用于折抵物业公共服务费</w:t>
      </w:r>
      <w:r>
        <w:rPr>
          <w:rFonts w:hint="eastAsia" w:ascii="Times New Roman" w:hAnsi="Times New Roman" w:eastAsia="仿宋_GB2312" w:cs="Times New Roman"/>
          <w:sz w:val="32"/>
          <w:szCs w:val="32"/>
          <w:lang w:eastAsia="zh-CN"/>
        </w:rPr>
        <w:t>”。</w:t>
      </w:r>
    </w:p>
    <w:p w14:paraId="1D5B5E69">
      <w:pPr>
        <w:keepNext w:val="0"/>
        <w:keepLines w:val="0"/>
        <w:pageBreakBefore w:val="0"/>
        <w:widowControl w:val="0"/>
        <w:kinsoku/>
        <w:wordWrap/>
        <w:overflowPunct/>
        <w:topLinePunct w:val="0"/>
        <w:autoSpaceDE w:val="0"/>
        <w:autoSpaceDN w:val="0"/>
        <w:bidi w:val="0"/>
        <w:adjustRightInd/>
        <w:snapToGrid/>
        <w:spacing w:before="0" w:beforeAutospacing="0" w:afterAutospacing="0" w:line="560" w:lineRule="exact"/>
        <w:ind w:right="0" w:rightChars="0" w:firstLine="640"/>
        <w:jc w:val="both"/>
        <w:textAlignment w:val="baseline"/>
        <w:outlineLvl w:val="9"/>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4．</w:t>
      </w:r>
      <w:r>
        <w:rPr>
          <w:rFonts w:hint="eastAsia" w:ascii="Times New Roman" w:hAnsi="Times New Roman" w:eastAsia="仿宋_GB2312" w:cs="Times New Roman"/>
          <w:color w:val="auto"/>
          <w:sz w:val="32"/>
          <w:lang w:val="en-US" w:eastAsia="zh-CN"/>
        </w:rPr>
        <w:t>删除</w:t>
      </w:r>
      <w:r>
        <w:rPr>
          <w:rFonts w:hint="eastAsia" w:ascii="Times New Roman" w:hAnsi="Times New Roman" w:eastAsia="仿宋_GB2312" w:cs="Times New Roman"/>
          <w:color w:val="auto"/>
          <w:sz w:val="32"/>
          <w:szCs w:val="32"/>
          <w:lang w:val="en-US" w:eastAsia="zh-CN"/>
        </w:rPr>
        <w:t>第四条第三部分内容。</w:t>
      </w:r>
    </w:p>
    <w:p w14:paraId="19CA68C9">
      <w:pPr>
        <w:keepNext w:val="0"/>
        <w:keepLines w:val="0"/>
        <w:pageBreakBefore w:val="0"/>
        <w:widowControl w:val="0"/>
        <w:kinsoku/>
        <w:wordWrap/>
        <w:overflowPunct/>
        <w:topLinePunct w:val="0"/>
        <w:autoSpaceDE w:val="0"/>
        <w:autoSpaceDN w:val="0"/>
        <w:bidi w:val="0"/>
        <w:adjustRightInd/>
        <w:snapToGrid/>
        <w:spacing w:before="0" w:beforeAutospacing="0" w:afterAutospacing="0" w:line="560" w:lineRule="exact"/>
        <w:ind w:right="0" w:rightChars="0" w:firstLine="640"/>
        <w:jc w:val="both"/>
        <w:textAlignment w:val="baseline"/>
        <w:outlineLvl w:val="9"/>
        <w:rPr>
          <w:rFonts w:hint="eastAsia" w:ascii="Times New Roman" w:hAnsi="Times New Roman" w:eastAsia="仿宋_GB2312" w:cs="Times New Roman"/>
          <w:color w:val="auto"/>
          <w:sz w:val="32"/>
          <w:lang w:val="en-US" w:eastAsia="zh-CN"/>
        </w:rPr>
      </w:pPr>
      <w:r>
        <w:rPr>
          <w:rFonts w:hint="eastAsia" w:ascii="Times New Roman" w:hAnsi="Times New Roman" w:eastAsia="仿宋_GB2312" w:cs="Times New Roman"/>
          <w:color w:val="auto"/>
          <w:sz w:val="32"/>
          <w:szCs w:val="32"/>
          <w:lang w:val="en-US" w:eastAsia="zh-CN"/>
        </w:rPr>
        <w:t>5．</w:t>
      </w:r>
      <w:r>
        <w:rPr>
          <w:rFonts w:hint="eastAsia" w:ascii="Times New Roman" w:hAnsi="Times New Roman" w:eastAsia="仿宋_GB2312" w:cs="Times New Roman"/>
          <w:color w:val="auto"/>
          <w:sz w:val="32"/>
          <w:lang w:val="en-US" w:eastAsia="zh-CN"/>
        </w:rPr>
        <w:t>将最后一段落中“本通知自2023年1月1日起施行，有效期至2027年12月31日”修改为“本通知自2023年1月1日起施行</w:t>
      </w:r>
      <w:r>
        <w:rPr>
          <w:rFonts w:hint="default" w:ascii="Times New Roman" w:hAnsi="Times New Roman" w:eastAsia="仿宋_GB2312" w:cs="Times New Roman"/>
          <w:color w:val="auto"/>
          <w:kern w:val="0"/>
          <w:sz w:val="32"/>
          <w:szCs w:val="32"/>
          <w:shd w:val="clear" w:color="auto" w:fill="FFFFFF"/>
        </w:rPr>
        <w:t>，</w:t>
      </w:r>
      <w:r>
        <w:rPr>
          <w:rFonts w:hint="default" w:ascii="Times New Roman" w:hAnsi="Times New Roman" w:eastAsia="仿宋_GB2312" w:cs="Times New Roman"/>
          <w:color w:val="auto"/>
          <w:sz w:val="32"/>
          <w:highlight w:val="none"/>
        </w:rPr>
        <w:t>其他未尽事项按照《山东省物业服务收费管理办法》执行</w:t>
      </w:r>
      <w:r>
        <w:rPr>
          <w:rFonts w:hint="eastAsia" w:ascii="Times New Roman" w:hAnsi="Times New Roman" w:eastAsia="仿宋_GB2312" w:cs="Times New Roman"/>
          <w:color w:val="auto"/>
          <w:sz w:val="32"/>
          <w:lang w:val="en-US" w:eastAsia="zh-CN"/>
        </w:rPr>
        <w:t>”。</w:t>
      </w:r>
    </w:p>
    <w:p w14:paraId="020C5BAA">
      <w:pPr>
        <w:keepNext w:val="0"/>
        <w:keepLines w:val="0"/>
        <w:pageBreakBefore w:val="0"/>
        <w:widowControl w:val="0"/>
        <w:kinsoku/>
        <w:wordWrap/>
        <w:overflowPunct/>
        <w:topLinePunct w:val="0"/>
        <w:autoSpaceDE w:val="0"/>
        <w:autoSpaceDN w:val="0"/>
        <w:bidi w:val="0"/>
        <w:adjustRightInd/>
        <w:snapToGrid/>
        <w:spacing w:before="0" w:beforeAutospacing="0" w:afterAutospacing="0" w:line="560" w:lineRule="exact"/>
        <w:ind w:right="0" w:rightChars="0" w:firstLine="640"/>
        <w:jc w:val="both"/>
        <w:textAlignment w:val="baseline"/>
        <w:outlineLvl w:val="9"/>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lang w:val="en-US" w:eastAsia="zh-CN"/>
        </w:rPr>
        <w:t>6．完善附件1中共用部位设施三、四、五级中雨污水井、化粪池检查服务内容，在“做出清掏计划”后增加“组织清掏”；调整附件3公示牌样式；</w:t>
      </w:r>
      <w:r>
        <w:rPr>
          <w:rFonts w:hint="eastAsia" w:ascii="Times New Roman" w:hAnsi="Times New Roman" w:eastAsia="仿宋_GB2312" w:cs="Times New Roman"/>
          <w:color w:val="auto"/>
          <w:sz w:val="32"/>
          <w:szCs w:val="32"/>
          <w:lang w:val="en-US" w:eastAsia="zh-CN"/>
        </w:rPr>
        <w:t>删除附件4和附件5。</w:t>
      </w:r>
    </w:p>
    <w:p w14:paraId="141D120B">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560" w:lineRule="exact"/>
        <w:ind w:right="0" w:rightChars="0" w:firstLine="640" w:firstLineChars="200"/>
        <w:jc w:val="both"/>
        <w:textAlignment w:val="auto"/>
        <w:outlineLvl w:val="9"/>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7．统一登记号调整为WDDR</w:t>
      </w:r>
      <w:r>
        <w:rPr>
          <w:rFonts w:hint="eastAsia" w:ascii="仿宋_GB2312" w:hAnsi="仿宋_GB2312" w:eastAsia="仿宋_GB2312" w:cs="仿宋_GB2312"/>
          <w:color w:val="auto"/>
          <w:sz w:val="32"/>
          <w:szCs w:val="32"/>
          <w:lang w:val="en-US" w:eastAsia="zh-CN"/>
        </w:rPr>
        <w:t>-</w:t>
      </w:r>
      <w:r>
        <w:rPr>
          <w:rFonts w:hint="eastAsia" w:ascii="Times New Roman" w:hAnsi="Times New Roman" w:eastAsia="仿宋_GB2312" w:cs="Times New Roman"/>
          <w:color w:val="auto"/>
          <w:sz w:val="32"/>
          <w:szCs w:val="32"/>
          <w:lang w:val="en-US" w:eastAsia="zh-CN"/>
        </w:rPr>
        <w:t>2026</w:t>
      </w:r>
      <w:r>
        <w:rPr>
          <w:rFonts w:hint="eastAsia" w:ascii="仿宋_GB2312" w:hAnsi="仿宋_GB2312" w:eastAsia="仿宋_GB2312" w:cs="仿宋_GB2312"/>
          <w:color w:val="auto"/>
          <w:sz w:val="32"/>
          <w:szCs w:val="32"/>
          <w:lang w:val="en-US" w:eastAsia="zh-CN"/>
        </w:rPr>
        <w:t>-</w:t>
      </w:r>
      <w:r>
        <w:rPr>
          <w:rFonts w:hint="eastAsia" w:ascii="Times New Roman" w:hAnsi="Times New Roman" w:eastAsia="仿宋_GB2312" w:cs="Times New Roman"/>
          <w:color w:val="auto"/>
          <w:sz w:val="32"/>
          <w:szCs w:val="32"/>
          <w:lang w:val="en-US" w:eastAsia="zh-CN"/>
        </w:rPr>
        <w:t>0030003。</w:t>
      </w:r>
    </w:p>
    <w:p w14:paraId="5F29BB3A">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560" w:lineRule="exact"/>
        <w:ind w:right="0" w:rightChars="0" w:firstLine="640" w:firstLineChars="200"/>
        <w:textAlignment w:val="auto"/>
        <w:outlineLvl w:val="9"/>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决定修改的规范性文件内容自2026年6月12日起施行。</w:t>
      </w:r>
    </w:p>
    <w:p w14:paraId="3ECF8FD7">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560" w:lineRule="exact"/>
        <w:ind w:right="0" w:rightChars="0" w:firstLine="640" w:firstLineChars="200"/>
        <w:textAlignment w:val="auto"/>
        <w:outlineLvl w:val="9"/>
        <w:rPr>
          <w:rFonts w:hint="eastAsia" w:ascii="Times New Roman" w:hAnsi="Times New Roman" w:eastAsia="仿宋_GB2312" w:cs="Times New Roman"/>
          <w:color w:val="auto"/>
          <w:sz w:val="32"/>
          <w:szCs w:val="32"/>
          <w:lang w:val="en-US" w:eastAsia="zh-CN"/>
        </w:rPr>
      </w:pPr>
    </w:p>
    <w:p w14:paraId="3A776E53">
      <w:pPr>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Autospacing="0" w:line="560" w:lineRule="exact"/>
        <w:ind w:left="1629" w:leftChars="304" w:right="0" w:rightChars="0" w:hanging="960" w:hangingChars="300"/>
        <w:jc w:val="distribute"/>
        <w:textAlignment w:val="auto"/>
        <w:outlineLvl w:val="9"/>
        <w:rPr>
          <w:rFonts w:hint="default"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附件：《关于进一步规范文登区普通住宅物业服务收费有关问题的通知》（根据《威海市文登区发展和改革局 威海市文登区住房和城乡建设局 威海市文登区市场监督管理局关于修改</w:t>
      </w:r>
      <w:r>
        <w:rPr>
          <w:rFonts w:hint="eastAsia" w:ascii="仿宋_GB2312" w:hAnsi="仿宋_GB2312" w:eastAsia="仿宋_GB2312" w:cs="仿宋_GB2312"/>
          <w:color w:val="auto"/>
          <w:sz w:val="32"/>
          <w:szCs w:val="32"/>
          <w:lang w:val="en-US" w:eastAsia="zh-CN"/>
        </w:rPr>
        <w:t>&lt;</w:t>
      </w:r>
      <w:r>
        <w:rPr>
          <w:rFonts w:hint="eastAsia" w:ascii="Times New Roman" w:hAnsi="Times New Roman" w:eastAsia="仿宋_GB2312" w:cs="Times New Roman"/>
          <w:color w:val="auto"/>
          <w:sz w:val="32"/>
          <w:szCs w:val="32"/>
          <w:lang w:val="en-US" w:eastAsia="zh-CN"/>
        </w:rPr>
        <w:t>关于进一步规范文登</w:t>
      </w:r>
      <w:r>
        <w:rPr>
          <w:rFonts w:hint="eastAsia" w:ascii="Times New Roman" w:hAnsi="Times New Roman" w:eastAsia="仿宋_GB2312" w:cs="Times New Roman"/>
          <w:color w:val="auto"/>
          <w:spacing w:val="-3"/>
          <w:sz w:val="32"/>
          <w:szCs w:val="32"/>
          <w:lang w:val="en-US" w:eastAsia="zh-CN"/>
        </w:rPr>
        <w:t>区普通住宅物业服</w:t>
      </w:r>
      <w:r>
        <w:rPr>
          <w:rFonts w:hint="eastAsia" w:ascii="Times New Roman" w:hAnsi="Times New Roman" w:eastAsia="仿宋_GB2312" w:cs="Times New Roman"/>
          <w:color w:val="auto"/>
          <w:sz w:val="32"/>
          <w:szCs w:val="32"/>
          <w:lang w:val="en-US" w:eastAsia="zh-CN"/>
        </w:rPr>
        <w:t>务</w:t>
      </w:r>
      <w:r>
        <w:rPr>
          <w:rFonts w:hint="eastAsia" w:ascii="Times New Roman" w:hAnsi="Times New Roman" w:eastAsia="仿宋_GB2312" w:cs="Times New Roman"/>
          <w:color w:val="auto"/>
          <w:spacing w:val="-3"/>
          <w:sz w:val="32"/>
          <w:szCs w:val="32"/>
          <w:lang w:val="en-US" w:eastAsia="zh-CN"/>
        </w:rPr>
        <w:t>收费有关问题的通</w:t>
      </w:r>
      <w:r>
        <w:rPr>
          <w:rFonts w:hint="eastAsia" w:ascii="Times New Roman" w:hAnsi="Times New Roman" w:eastAsia="仿宋_GB2312" w:cs="Times New Roman"/>
          <w:color w:val="auto"/>
          <w:sz w:val="32"/>
          <w:szCs w:val="32"/>
          <w:lang w:val="en-US" w:eastAsia="zh-CN"/>
        </w:rPr>
        <w:t>知</w:t>
      </w:r>
      <w:r>
        <w:rPr>
          <w:rFonts w:hint="eastAsia" w:ascii="仿宋_GB2312" w:hAnsi="仿宋_GB2312" w:eastAsia="仿宋_GB2312" w:cs="仿宋_GB2312"/>
          <w:color w:val="auto"/>
          <w:sz w:val="32"/>
          <w:szCs w:val="32"/>
          <w:lang w:val="en-US" w:eastAsia="zh-CN"/>
        </w:rPr>
        <w:t>&gt;</w:t>
      </w:r>
      <w:r>
        <w:rPr>
          <w:rFonts w:hint="eastAsia" w:ascii="Times New Roman" w:hAnsi="Times New Roman" w:eastAsia="仿宋_GB2312" w:cs="Times New Roman"/>
          <w:color w:val="auto"/>
          <w:sz w:val="32"/>
          <w:szCs w:val="32"/>
          <w:lang w:val="en-US" w:eastAsia="zh-CN"/>
        </w:rPr>
        <w:t>的通知》修改）</w:t>
      </w:r>
    </w:p>
    <w:p w14:paraId="246CAD07">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left="0" w:leftChars="0" w:right="0" w:rightChars="0" w:firstLine="0" w:firstLineChars="0"/>
        <w:jc w:val="left"/>
        <w:textAlignment w:val="auto"/>
        <w:outlineLvl w:val="1"/>
        <w:rPr>
          <w:rFonts w:hint="default"/>
          <w:lang w:val="en-US" w:eastAsia="zh-CN"/>
        </w:rPr>
      </w:pPr>
    </w:p>
    <w:p w14:paraId="3C571675">
      <w:pPr>
        <w:keepNext w:val="0"/>
        <w:keepLines w:val="0"/>
        <w:pageBreakBefore w:val="0"/>
        <w:widowControl w:val="0"/>
        <w:kinsoku/>
        <w:topLinePunct w:val="0"/>
        <w:bidi w:val="0"/>
        <w:spacing w:before="0" w:beforeAutospacing="0" w:afterAutospacing="0" w:line="560" w:lineRule="exact"/>
        <w:rPr>
          <w:rFonts w:hint="default"/>
          <w:lang w:val="en-US" w:eastAsia="zh-CN"/>
        </w:rPr>
      </w:pPr>
    </w:p>
    <w:p w14:paraId="37E89BF1">
      <w:pPr>
        <w:keepNext w:val="0"/>
        <w:keepLines w:val="0"/>
        <w:pageBreakBefore w:val="0"/>
        <w:widowControl w:val="0"/>
        <w:kinsoku/>
        <w:topLinePunct w:val="0"/>
        <w:bidi w:val="0"/>
        <w:spacing w:before="0" w:beforeAutospacing="0" w:afterAutospacing="0" w:line="560" w:lineRule="exact"/>
        <w:rPr>
          <w:rFonts w:hint="default"/>
          <w:lang w:val="en-US" w:eastAsia="zh-CN"/>
        </w:rPr>
      </w:pPr>
    </w:p>
    <w:p w14:paraId="7629D675">
      <w:pPr>
        <w:keepNext w:val="0"/>
        <w:keepLines w:val="0"/>
        <w:pageBreakBefore w:val="0"/>
        <w:widowControl w:val="0"/>
        <w:kinsoku/>
        <w:wordWrap/>
        <w:overflowPunct/>
        <w:topLinePunct w:val="0"/>
        <w:autoSpaceDE/>
        <w:autoSpaceDN/>
        <w:bidi w:val="0"/>
        <w:adjustRightInd/>
        <w:snapToGrid/>
        <w:spacing w:before="0" w:beforeAutospacing="0" w:afterAutospacing="0" w:line="560" w:lineRule="exact"/>
        <w:jc w:val="center"/>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威海市文登区发展和改革局  威海市文登区住房和城乡建设局</w:t>
      </w:r>
    </w:p>
    <w:p w14:paraId="2E25121D">
      <w:pPr>
        <w:keepNext w:val="0"/>
        <w:keepLines w:val="0"/>
        <w:pageBreakBefore w:val="0"/>
        <w:widowControl w:val="0"/>
        <w:kinsoku/>
        <w:wordWrap/>
        <w:overflowPunct/>
        <w:topLinePunct w:val="0"/>
        <w:autoSpaceDE/>
        <w:autoSpaceDN/>
        <w:bidi w:val="0"/>
        <w:adjustRightInd/>
        <w:snapToGrid/>
        <w:spacing w:before="0" w:beforeAutospacing="0" w:afterAutospacing="0" w:line="560" w:lineRule="exact"/>
        <w:jc w:val="center"/>
        <w:textAlignment w:val="auto"/>
        <w:rPr>
          <w:rFonts w:hint="eastAsia" w:ascii="Times New Roman" w:hAnsi="Times New Roman" w:eastAsia="仿宋_GB2312" w:cs="Times New Roman"/>
          <w:color w:val="auto"/>
          <w:sz w:val="32"/>
          <w:szCs w:val="32"/>
          <w:lang w:val="en-US" w:eastAsia="zh-CN"/>
        </w:rPr>
      </w:pPr>
    </w:p>
    <w:p w14:paraId="4885288D">
      <w:pPr>
        <w:keepNext w:val="0"/>
        <w:keepLines w:val="0"/>
        <w:pageBreakBefore w:val="0"/>
        <w:widowControl w:val="0"/>
        <w:kinsoku/>
        <w:wordWrap/>
        <w:overflowPunct/>
        <w:topLinePunct w:val="0"/>
        <w:autoSpaceDE/>
        <w:autoSpaceDN/>
        <w:bidi w:val="0"/>
        <w:adjustRightInd/>
        <w:snapToGrid/>
        <w:spacing w:before="0" w:beforeAutospacing="0" w:afterAutospacing="0" w:line="560" w:lineRule="exact"/>
        <w:jc w:val="center"/>
        <w:textAlignment w:val="auto"/>
        <w:rPr>
          <w:rFonts w:hint="eastAsia" w:ascii="Times New Roman" w:hAnsi="Times New Roman" w:eastAsia="仿宋_GB2312" w:cs="Times New Roman"/>
          <w:color w:val="auto"/>
          <w:sz w:val="32"/>
          <w:szCs w:val="32"/>
          <w:lang w:val="en-US" w:eastAsia="zh-CN"/>
        </w:rPr>
      </w:pPr>
    </w:p>
    <w:p w14:paraId="12040881">
      <w:pPr>
        <w:keepNext w:val="0"/>
        <w:keepLines w:val="0"/>
        <w:pageBreakBefore w:val="0"/>
        <w:widowControl w:val="0"/>
        <w:kinsoku/>
        <w:wordWrap/>
        <w:overflowPunct/>
        <w:topLinePunct w:val="0"/>
        <w:autoSpaceDE/>
        <w:autoSpaceDN/>
        <w:bidi w:val="0"/>
        <w:adjustRightInd/>
        <w:snapToGrid/>
        <w:spacing w:before="0" w:beforeAutospacing="0" w:afterAutospacing="0" w:line="560" w:lineRule="exact"/>
        <w:jc w:val="center"/>
        <w:textAlignment w:val="auto"/>
        <w:rPr>
          <w:rFonts w:hint="eastAsia" w:ascii="Times New Roman" w:hAnsi="Times New Roman" w:eastAsia="仿宋_GB2312" w:cs="Times New Roman"/>
          <w:color w:val="auto"/>
          <w:sz w:val="32"/>
          <w:szCs w:val="32"/>
          <w:lang w:val="en-US" w:eastAsia="zh-CN"/>
        </w:rPr>
      </w:pPr>
    </w:p>
    <w:p w14:paraId="45DE37DE">
      <w:pPr>
        <w:keepNext w:val="0"/>
        <w:keepLines w:val="0"/>
        <w:pageBreakBefore w:val="0"/>
        <w:widowControl w:val="0"/>
        <w:kinsoku/>
        <w:wordWrap/>
        <w:overflowPunct/>
        <w:topLinePunct w:val="0"/>
        <w:autoSpaceDE/>
        <w:autoSpaceDN/>
        <w:bidi w:val="0"/>
        <w:adjustRightInd/>
        <w:snapToGrid/>
        <w:spacing w:before="0" w:beforeAutospacing="0" w:afterAutospacing="0" w:line="560" w:lineRule="exact"/>
        <w:jc w:val="center"/>
        <w:textAlignment w:val="auto"/>
        <w:rPr>
          <w:rFonts w:hint="eastAsia" w:ascii="Times New Roman" w:hAnsi="Times New Roman" w:eastAsia="仿宋_GB2312" w:cs="Times New Roman"/>
          <w:color w:val="auto"/>
          <w:sz w:val="32"/>
          <w:szCs w:val="32"/>
          <w:lang w:val="en-US" w:eastAsia="zh-CN"/>
        </w:rPr>
      </w:pPr>
    </w:p>
    <w:p w14:paraId="3464AF5D">
      <w:pPr>
        <w:keepNext w:val="0"/>
        <w:keepLines w:val="0"/>
        <w:pageBreakBefore w:val="0"/>
        <w:widowControl w:val="0"/>
        <w:kinsoku/>
        <w:wordWrap w:val="0"/>
        <w:overflowPunct/>
        <w:topLinePunct w:val="0"/>
        <w:autoSpaceDE/>
        <w:autoSpaceDN/>
        <w:bidi w:val="0"/>
        <w:adjustRightInd/>
        <w:snapToGrid/>
        <w:spacing w:before="0" w:beforeAutospacing="0" w:afterAutospacing="0" w:line="560" w:lineRule="exact"/>
        <w:ind w:firstLine="4160" w:firstLineChars="1300"/>
        <w:jc w:val="right"/>
        <w:textAlignment w:val="auto"/>
        <w:rPr>
          <w:rFonts w:hint="eastAsia" w:ascii="Times New Roman" w:hAnsi="Times New Roman" w:eastAsia="仿宋_GB2312" w:cs="Times New Roman"/>
          <w:color w:val="auto"/>
          <w:sz w:val="32"/>
          <w:szCs w:val="32"/>
          <w:lang w:val="en-US" w:eastAsia="zh-CN"/>
        </w:rPr>
      </w:pPr>
      <w:r>
        <w:rPr>
          <w:rFonts w:hint="eastAsia" w:ascii="Times New Roman" w:hAnsi="Times New Roman" w:eastAsia="仿宋_GB2312" w:cs="Times New Roman"/>
          <w:color w:val="auto"/>
          <w:sz w:val="32"/>
          <w:szCs w:val="32"/>
          <w:lang w:val="en-US" w:eastAsia="zh-CN"/>
        </w:rPr>
        <w:t xml:space="preserve"> 威海市文登区市场监督管理局  </w:t>
      </w:r>
    </w:p>
    <w:p w14:paraId="6B9AEDB9">
      <w:pPr>
        <w:keepNext w:val="0"/>
        <w:keepLines w:val="0"/>
        <w:pageBreakBefore w:val="0"/>
        <w:widowControl w:val="0"/>
        <w:kinsoku/>
        <w:wordWrap/>
        <w:overflowPunct/>
        <w:topLinePunct w:val="0"/>
        <w:autoSpaceDE/>
        <w:autoSpaceDN/>
        <w:bidi w:val="0"/>
        <w:adjustRightInd/>
        <w:snapToGrid/>
        <w:spacing w:before="0" w:beforeAutospacing="0" w:afterAutospacing="0" w:line="560" w:lineRule="exact"/>
        <w:jc w:val="center"/>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 xml:space="preserve">            </w:t>
      </w:r>
      <w:r>
        <w:rPr>
          <w:rFonts w:hint="eastAsia"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val="en-US" w:eastAsia="zh-CN"/>
        </w:rPr>
        <w:t xml:space="preserve"> 2026年</w:t>
      </w:r>
      <w:r>
        <w:rPr>
          <w:rFonts w:hint="eastAsia" w:ascii="Times New Roman" w:hAnsi="Times New Roman" w:eastAsia="仿宋_GB2312" w:cs="Times New Roman"/>
          <w:color w:val="auto"/>
          <w:sz w:val="32"/>
          <w:szCs w:val="32"/>
          <w:lang w:val="en-US" w:eastAsia="zh-CN"/>
        </w:rPr>
        <w:t>6</w:t>
      </w:r>
      <w:r>
        <w:rPr>
          <w:rFonts w:hint="default" w:ascii="Times New Roman" w:hAnsi="Times New Roman" w:eastAsia="仿宋_GB2312" w:cs="Times New Roman"/>
          <w:color w:val="auto"/>
          <w:sz w:val="32"/>
          <w:szCs w:val="32"/>
          <w:lang w:val="en-US" w:eastAsia="zh-CN"/>
        </w:rPr>
        <w:t>月</w:t>
      </w:r>
      <w:r>
        <w:rPr>
          <w:rFonts w:hint="eastAsia" w:ascii="Times New Roman" w:hAnsi="Times New Roman" w:eastAsia="仿宋_GB2312" w:cs="Times New Roman"/>
          <w:color w:val="auto"/>
          <w:sz w:val="32"/>
          <w:szCs w:val="32"/>
          <w:lang w:val="en-US" w:eastAsia="zh-CN"/>
        </w:rPr>
        <w:t>11</w:t>
      </w:r>
      <w:r>
        <w:rPr>
          <w:rFonts w:hint="default" w:ascii="Times New Roman" w:hAnsi="Times New Roman" w:eastAsia="仿宋_GB2312" w:cs="Times New Roman"/>
          <w:color w:val="auto"/>
          <w:sz w:val="32"/>
          <w:szCs w:val="32"/>
          <w:lang w:val="en-US" w:eastAsia="zh-CN"/>
        </w:rPr>
        <w:t>日</w:t>
      </w:r>
    </w:p>
    <w:p w14:paraId="374C44F4">
      <w:pPr>
        <w:keepNext w:val="0"/>
        <w:keepLines w:val="0"/>
        <w:pageBreakBefore w:val="0"/>
        <w:widowControl w:val="0"/>
        <w:kinsoku/>
        <w:wordWrap/>
        <w:overflowPunct/>
        <w:topLinePunct w:val="0"/>
        <w:autoSpaceDE/>
        <w:autoSpaceDN/>
        <w:bidi w:val="0"/>
        <w:adjustRightInd/>
        <w:snapToGrid/>
        <w:spacing w:before="0" w:beforeAutospacing="0" w:afterAutospacing="0" w:line="560" w:lineRule="exact"/>
        <w:jc w:val="left"/>
        <w:textAlignment w:val="auto"/>
        <w:rPr>
          <w:rFonts w:hint="default" w:ascii="Times New Roman" w:hAnsi="Times New Roman" w:eastAsia="仿宋_GB2312" w:cs="Times New Roman"/>
          <w:color w:val="auto"/>
          <w:sz w:val="32"/>
          <w:szCs w:val="32"/>
          <w:lang w:val="en-US" w:eastAsia="zh-CN"/>
        </w:rPr>
      </w:pPr>
    </w:p>
    <w:p w14:paraId="5992AE08">
      <w:pPr>
        <w:keepNext w:val="0"/>
        <w:keepLines w:val="0"/>
        <w:pageBreakBefore w:val="0"/>
        <w:widowControl w:val="0"/>
        <w:kinsoku/>
        <w:topLinePunct w:val="0"/>
        <w:bidi w:val="0"/>
        <w:spacing w:before="0" w:beforeAutospacing="0" w:afterAutospacing="0" w:line="560" w:lineRule="exact"/>
        <w:rPr>
          <w:rFonts w:hint="default" w:ascii="Times New Roman" w:hAnsi="Times New Roman" w:eastAsia="仿宋_GB2312" w:cs="Times New Roman"/>
          <w:color w:val="auto"/>
          <w:sz w:val="32"/>
          <w:szCs w:val="32"/>
          <w:lang w:val="en-US" w:eastAsia="zh-CN"/>
        </w:rPr>
      </w:pPr>
    </w:p>
    <w:p w14:paraId="2F6070AF">
      <w:pPr>
        <w:pStyle w:val="3"/>
        <w:keepNext w:val="0"/>
        <w:keepLines w:val="0"/>
        <w:pageBreakBefore w:val="0"/>
        <w:widowControl w:val="0"/>
        <w:kinsoku/>
        <w:topLinePunct w:val="0"/>
        <w:bidi w:val="0"/>
        <w:spacing w:before="0" w:beforeAutospacing="0" w:afterAutospacing="0" w:line="560" w:lineRule="exact"/>
        <w:rPr>
          <w:rFonts w:hint="default" w:ascii="Times New Roman" w:hAnsi="Times New Roman" w:eastAsia="仿宋_GB2312" w:cs="Times New Roman"/>
          <w:kern w:val="0"/>
          <w:sz w:val="32"/>
          <w:szCs w:val="32"/>
          <w:shd w:val="clear" w:color="auto" w:fill="FFFFFF"/>
        </w:rPr>
      </w:pPr>
    </w:p>
    <w:p w14:paraId="51F397C5">
      <w:pPr>
        <w:pStyle w:val="3"/>
        <w:rPr>
          <w:rFonts w:hint="default" w:ascii="Times New Roman" w:hAnsi="Times New Roman" w:eastAsia="仿宋_GB2312" w:cs="Times New Roman"/>
          <w:kern w:val="0"/>
          <w:sz w:val="32"/>
          <w:szCs w:val="32"/>
          <w:shd w:val="clear" w:color="auto" w:fill="FFFFFF"/>
        </w:rPr>
      </w:pPr>
    </w:p>
    <w:p w14:paraId="5FE66FFB">
      <w:pPr>
        <w:rPr>
          <w:rFonts w:hint="default" w:ascii="Times New Roman" w:hAnsi="Times New Roman" w:eastAsia="仿宋_GB2312" w:cs="Times New Roman"/>
          <w:kern w:val="0"/>
          <w:sz w:val="32"/>
          <w:szCs w:val="32"/>
          <w:shd w:val="clear" w:color="auto" w:fill="FFFFFF"/>
        </w:rPr>
      </w:pPr>
    </w:p>
    <w:p w14:paraId="1B4FE022">
      <w:pPr>
        <w:rPr>
          <w:rFonts w:hint="default" w:ascii="Times New Roman" w:hAnsi="Times New Roman" w:eastAsia="仿宋_GB2312" w:cs="Times New Roman"/>
          <w:kern w:val="0"/>
          <w:sz w:val="32"/>
          <w:szCs w:val="32"/>
          <w:shd w:val="clear" w:color="auto" w:fill="FFFFFF"/>
        </w:rPr>
      </w:pPr>
    </w:p>
    <w:p w14:paraId="18476646">
      <w:pPr>
        <w:rPr>
          <w:rFonts w:hint="default" w:ascii="Times New Roman" w:hAnsi="Times New Roman" w:eastAsia="仿宋_GB2312" w:cs="Times New Roman"/>
          <w:kern w:val="0"/>
          <w:sz w:val="32"/>
          <w:szCs w:val="32"/>
          <w:shd w:val="clear" w:color="auto" w:fill="FFFFFF"/>
        </w:rPr>
      </w:pPr>
    </w:p>
    <w:p w14:paraId="57E2C0FC">
      <w:pPr>
        <w:rPr>
          <w:rFonts w:hint="default" w:ascii="Times New Roman" w:hAnsi="Times New Roman" w:eastAsia="仿宋_GB2312" w:cs="Times New Roman"/>
          <w:kern w:val="0"/>
          <w:sz w:val="32"/>
          <w:szCs w:val="32"/>
          <w:shd w:val="clear" w:color="auto" w:fill="FFFFFF"/>
        </w:rPr>
      </w:pPr>
      <w:r>
        <w:rPr>
          <w:rFonts w:hint="default" w:ascii="Times New Roman" w:hAnsi="Times New Roman" w:eastAsia="仿宋_GB2312" w:cs="Times New Roman"/>
          <w:kern w:val="0"/>
          <w:sz w:val="32"/>
          <w:szCs w:val="32"/>
          <w:shd w:val="clear" w:color="auto" w:fill="FFFFFF"/>
        </w:rPr>
        <w:br w:type="page"/>
      </w:r>
    </w:p>
    <w:p w14:paraId="3EC5194B">
      <w:pPr>
        <w:keepNext w:val="0"/>
        <w:keepLines w:val="0"/>
        <w:pageBreakBefore w:val="0"/>
        <w:widowControl w:val="0"/>
        <w:kinsoku/>
        <w:wordWrap/>
        <w:overflowPunct/>
        <w:topLinePunct w:val="0"/>
        <w:autoSpaceDE w:val="0"/>
        <w:autoSpaceDN w:val="0"/>
        <w:bidi w:val="0"/>
        <w:adjustRightInd w:val="0"/>
        <w:snapToGrid w:val="0"/>
        <w:spacing w:line="560" w:lineRule="exact"/>
        <w:ind w:left="0" w:leftChars="0" w:right="0" w:rightChars="0" w:firstLine="0" w:firstLineChars="0"/>
        <w:jc w:val="left"/>
        <w:textAlignment w:val="baseline"/>
        <w:outlineLvl w:val="9"/>
        <w:rPr>
          <w:rFonts w:hint="default" w:ascii="Times New Roman" w:hAnsi="Times New Roman" w:eastAsia="黑体" w:cs="Times New Roman"/>
          <w:color w:val="auto"/>
          <w:spacing w:val="0"/>
          <w:sz w:val="32"/>
          <w:szCs w:val="32"/>
          <w:lang w:val="en-US" w:eastAsia="zh-CN"/>
        </w:rPr>
      </w:pPr>
      <w:r>
        <w:rPr>
          <w:rFonts w:hint="default" w:ascii="Times New Roman" w:hAnsi="Times New Roman" w:eastAsia="黑体" w:cs="Times New Roman"/>
          <w:color w:val="auto"/>
          <w:spacing w:val="0"/>
          <w:sz w:val="32"/>
          <w:szCs w:val="32"/>
          <w:lang w:val="en-US" w:eastAsia="zh-CN"/>
        </w:rPr>
        <w:t>附件</w:t>
      </w:r>
    </w:p>
    <w:p w14:paraId="58B3F6F2">
      <w:pPr>
        <w:widowControl w:val="0"/>
        <w:snapToGrid w:val="0"/>
        <w:spacing w:line="560" w:lineRule="exact"/>
        <w:ind w:left="0" w:leftChars="0" w:firstLine="0" w:firstLineChars="0"/>
        <w:jc w:val="both"/>
        <w:rPr>
          <w:rFonts w:hint="eastAsia" w:ascii="黑体" w:hAnsi="黑体" w:eastAsia="黑体" w:cs="黑体"/>
          <w:color w:val="auto"/>
          <w:spacing w:val="0"/>
          <w:sz w:val="32"/>
          <w:szCs w:val="32"/>
          <w:lang w:val="en-US" w:eastAsia="zh-CN"/>
        </w:rPr>
      </w:pPr>
      <w:r>
        <w:rPr>
          <w:rFonts w:hint="eastAsia" w:ascii="黑体" w:hAnsi="黑体" w:eastAsia="黑体" w:cs="黑体"/>
          <w:color w:val="auto"/>
          <w:spacing w:val="0"/>
          <w:sz w:val="32"/>
          <w:szCs w:val="32"/>
          <w:lang w:val="en-US" w:eastAsia="zh-CN"/>
        </w:rPr>
        <w:t>WDDR-2026-0030003</w:t>
      </w:r>
    </w:p>
    <w:p w14:paraId="55BAB7D3">
      <w:pPr>
        <w:widowControl w:val="0"/>
        <w:snapToGrid w:val="0"/>
        <w:spacing w:line="560" w:lineRule="exact"/>
        <w:ind w:left="0" w:leftChars="0" w:firstLine="0" w:firstLineChars="0"/>
        <w:jc w:val="both"/>
        <w:rPr>
          <w:rFonts w:hint="eastAsia" w:ascii="黑体" w:hAnsi="黑体" w:eastAsia="黑体" w:cs="黑体"/>
          <w:color w:val="auto"/>
          <w:spacing w:val="0"/>
          <w:sz w:val="32"/>
          <w:szCs w:val="32"/>
          <w:lang w:val="en-US" w:eastAsia="zh-CN"/>
        </w:rPr>
      </w:pPr>
    </w:p>
    <w:p w14:paraId="0DB2CE05">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color w:val="auto"/>
          <w:spacing w:val="-17"/>
          <w:sz w:val="44"/>
          <w:szCs w:val="44"/>
          <w:highlight w:val="none"/>
          <w:lang w:val="en-US" w:eastAsia="zh-CN"/>
        </w:rPr>
      </w:pPr>
      <w:r>
        <w:rPr>
          <w:rFonts w:hint="default" w:ascii="Times New Roman" w:hAnsi="Times New Roman" w:eastAsia="方正小标宋简体" w:cs="Times New Roman"/>
          <w:color w:val="auto"/>
          <w:spacing w:val="-17"/>
          <w:sz w:val="44"/>
          <w:szCs w:val="44"/>
          <w:highlight w:val="none"/>
          <w:lang w:val="en-US" w:eastAsia="zh-CN"/>
        </w:rPr>
        <w:t>威海市文登区发展和改革局 威海市文登区住房和城乡建设局</w:t>
      </w:r>
      <w:r>
        <w:rPr>
          <w:rFonts w:hint="eastAsia" w:ascii="Times New Roman" w:hAnsi="Times New Roman" w:eastAsia="方正小标宋简体" w:cs="Times New Roman"/>
          <w:color w:val="auto"/>
          <w:spacing w:val="-17"/>
          <w:sz w:val="44"/>
          <w:szCs w:val="44"/>
          <w:highlight w:val="none"/>
          <w:lang w:val="en-US" w:eastAsia="zh-CN"/>
        </w:rPr>
        <w:t xml:space="preserve"> </w:t>
      </w:r>
      <w:r>
        <w:rPr>
          <w:rFonts w:hint="default" w:ascii="Times New Roman" w:hAnsi="Times New Roman" w:eastAsia="方正小标宋简体" w:cs="Times New Roman"/>
          <w:color w:val="auto"/>
          <w:spacing w:val="-17"/>
          <w:sz w:val="44"/>
          <w:szCs w:val="44"/>
          <w:highlight w:val="none"/>
          <w:lang w:val="en-US" w:eastAsia="zh-CN"/>
        </w:rPr>
        <w:t>威海市文登区市场监督管理局</w:t>
      </w:r>
    </w:p>
    <w:p w14:paraId="581882F5">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eastAsia" w:ascii="Times New Roman" w:hAnsi="Times New Roman" w:eastAsia="方正小标宋简体" w:cs="Times New Roman"/>
          <w:color w:val="auto"/>
          <w:spacing w:val="-17"/>
          <w:sz w:val="44"/>
          <w:szCs w:val="44"/>
          <w:highlight w:val="none"/>
          <w:lang w:val="en-US" w:eastAsia="zh-CN"/>
        </w:rPr>
      </w:pPr>
      <w:r>
        <w:rPr>
          <w:rFonts w:hint="eastAsia" w:ascii="Times New Roman" w:hAnsi="Times New Roman" w:eastAsia="方正小标宋简体" w:cs="Times New Roman"/>
          <w:color w:val="auto"/>
          <w:spacing w:val="-17"/>
          <w:sz w:val="44"/>
          <w:szCs w:val="44"/>
          <w:highlight w:val="none"/>
          <w:lang w:val="en-US" w:eastAsia="zh-CN"/>
        </w:rPr>
        <w:t>关于进一步规范文登区普通住宅物业</w:t>
      </w:r>
    </w:p>
    <w:p w14:paraId="078755BA">
      <w:pPr>
        <w:keepNext w:val="0"/>
        <w:keepLines w:val="0"/>
        <w:pageBreakBefore w:val="0"/>
        <w:widowControl w:val="0"/>
        <w:kinsoku/>
        <w:wordWrap/>
        <w:overflowPunct/>
        <w:topLinePunct w:val="0"/>
        <w:autoSpaceDE/>
        <w:autoSpaceDN/>
        <w:bidi w:val="0"/>
        <w:adjustRightInd w:val="0"/>
        <w:snapToGrid w:val="0"/>
        <w:spacing w:line="560" w:lineRule="exact"/>
        <w:jc w:val="center"/>
        <w:textAlignment w:val="auto"/>
        <w:rPr>
          <w:rFonts w:hint="default" w:ascii="Times New Roman" w:hAnsi="Times New Roman" w:eastAsia="方正小标宋简体" w:cs="Times New Roman"/>
          <w:color w:val="auto"/>
          <w:spacing w:val="-17"/>
          <w:sz w:val="44"/>
          <w:szCs w:val="44"/>
          <w:highlight w:val="none"/>
          <w:lang w:val="en-US" w:eastAsia="zh-CN"/>
        </w:rPr>
      </w:pPr>
      <w:r>
        <w:rPr>
          <w:rFonts w:hint="eastAsia" w:ascii="Times New Roman" w:hAnsi="Times New Roman" w:eastAsia="方正小标宋简体" w:cs="Times New Roman"/>
          <w:color w:val="auto"/>
          <w:spacing w:val="-17"/>
          <w:sz w:val="44"/>
          <w:szCs w:val="44"/>
          <w:highlight w:val="none"/>
          <w:lang w:val="en-US" w:eastAsia="zh-CN"/>
        </w:rPr>
        <w:t>服务收费有关问题的通知</w:t>
      </w:r>
    </w:p>
    <w:p w14:paraId="512B24CC">
      <w:pPr>
        <w:pStyle w:val="5"/>
        <w:keepNext w:val="0"/>
        <w:keepLines w:val="0"/>
        <w:widowControl/>
        <w:suppressLineNumbers w:val="0"/>
        <w:spacing w:before="0" w:beforeAutospacing="0" w:after="0" w:afterAutospacing="0" w:line="420" w:lineRule="atLeast"/>
        <w:ind w:left="0" w:right="0" w:firstLine="0"/>
        <w:jc w:val="center"/>
        <w:rPr>
          <w:rFonts w:hint="default"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威文发改发〔2022〕97号</w:t>
      </w:r>
    </w:p>
    <w:p w14:paraId="4E88F72D">
      <w:pPr>
        <w:keepNext w:val="0"/>
        <w:keepLines w:val="0"/>
        <w:pageBreakBefore w:val="0"/>
        <w:widowControl w:val="0"/>
        <w:kinsoku/>
        <w:wordWrap/>
        <w:overflowPunct/>
        <w:topLinePunct w:val="0"/>
        <w:bidi w:val="0"/>
        <w:adjustRightInd/>
        <w:snapToGrid/>
        <w:spacing w:line="520" w:lineRule="exact"/>
        <w:textAlignment w:val="baseline"/>
        <w:rPr>
          <w:rFonts w:hint="default" w:ascii="Times New Roman" w:hAnsi="Times New Roman" w:eastAsia="仿宋_GB2312" w:cs="Times New Roman"/>
          <w:sz w:val="32"/>
        </w:rPr>
      </w:pPr>
    </w:p>
    <w:p w14:paraId="3EA061FD">
      <w:pPr>
        <w:keepNext w:val="0"/>
        <w:keepLines w:val="0"/>
        <w:pageBreakBefore w:val="0"/>
        <w:widowControl w:val="0"/>
        <w:kinsoku/>
        <w:wordWrap/>
        <w:overflowPunct/>
        <w:topLinePunct w:val="0"/>
        <w:bidi w:val="0"/>
        <w:adjustRightInd/>
        <w:snapToGrid/>
        <w:spacing w:line="520" w:lineRule="exact"/>
        <w:textAlignment w:val="baseline"/>
        <w:rPr>
          <w:rFonts w:hint="default" w:ascii="Times New Roman" w:hAnsi="Times New Roman" w:eastAsia="仿宋_GB2312" w:cs="Times New Roman"/>
          <w:sz w:val="32"/>
        </w:rPr>
      </w:pPr>
      <w:r>
        <w:rPr>
          <w:rFonts w:hint="default" w:ascii="Times New Roman" w:hAnsi="Times New Roman" w:eastAsia="仿宋_GB2312" w:cs="Times New Roman"/>
          <w:sz w:val="32"/>
        </w:rPr>
        <w:t>各镇街</w:t>
      </w:r>
      <w:r>
        <w:rPr>
          <w:rFonts w:hint="default" w:ascii="Times New Roman" w:hAnsi="Times New Roman" w:eastAsia="仿宋_GB2312" w:cs="Times New Roman"/>
          <w:sz w:val="32"/>
          <w:lang w:eastAsia="zh-CN"/>
        </w:rPr>
        <w:t>、</w:t>
      </w:r>
      <w:r>
        <w:rPr>
          <w:rFonts w:hint="default" w:ascii="Times New Roman" w:hAnsi="Times New Roman" w:eastAsia="仿宋_GB2312" w:cs="Times New Roman"/>
          <w:sz w:val="32"/>
        </w:rPr>
        <w:t>金山综合服务中心，各物业服务人、业主委员会、建设单位：</w:t>
      </w:r>
    </w:p>
    <w:p w14:paraId="70C75673">
      <w:pPr>
        <w:keepNext w:val="0"/>
        <w:keepLines w:val="0"/>
        <w:pageBreakBefore w:val="0"/>
        <w:widowControl w:val="0"/>
        <w:kinsoku/>
        <w:wordWrap/>
        <w:overflowPunct w:val="0"/>
        <w:topLinePunct w:val="0"/>
        <w:autoSpaceDE/>
        <w:autoSpaceDN/>
        <w:bidi w:val="0"/>
        <w:adjustRightInd/>
        <w:snapToGrid/>
        <w:spacing w:line="520" w:lineRule="exact"/>
        <w:ind w:firstLine="640" w:firstLineChars="200"/>
        <w:jc w:val="both"/>
        <w:textAlignment w:val="baseline"/>
        <w:rPr>
          <w:rFonts w:hint="default" w:ascii="Times New Roman" w:hAnsi="Times New Roman" w:eastAsia="仿宋_GB2312" w:cs="Times New Roman"/>
          <w:sz w:val="32"/>
        </w:rPr>
      </w:pPr>
      <w:r>
        <w:rPr>
          <w:rFonts w:hint="default" w:ascii="Times New Roman" w:hAnsi="Times New Roman" w:eastAsia="仿宋_GB2312" w:cs="Times New Roman"/>
          <w:sz w:val="32"/>
        </w:rPr>
        <w:t>根据《山东省物业管理条例》、《山东省定价目录》、《山东省物业服务收费管理办法》及《威海市物业管理办法》的有关规定，经研究决定，对</w:t>
      </w:r>
      <w:r>
        <w:rPr>
          <w:rFonts w:hint="default" w:ascii="Times New Roman" w:hAnsi="Times New Roman" w:eastAsia="仿宋_GB2312" w:cs="Times New Roman"/>
          <w:sz w:val="32"/>
          <w:highlight w:val="none"/>
        </w:rPr>
        <w:t>文登区普通住</w:t>
      </w:r>
      <w:r>
        <w:rPr>
          <w:rFonts w:hint="default" w:ascii="Times New Roman" w:hAnsi="Times New Roman" w:eastAsia="仿宋_GB2312" w:cs="Times New Roman"/>
          <w:sz w:val="32"/>
        </w:rPr>
        <w:t>宅前期物业服务收费标准进行调整，现将有关事宜通知如下：</w:t>
      </w:r>
    </w:p>
    <w:p w14:paraId="3E933D1A">
      <w:pPr>
        <w:keepNext w:val="0"/>
        <w:keepLines w:val="0"/>
        <w:pageBreakBefore w:val="0"/>
        <w:widowControl w:val="0"/>
        <w:kinsoku/>
        <w:wordWrap/>
        <w:overflowPunct/>
        <w:topLinePunct w:val="0"/>
        <w:autoSpaceDE w:val="0"/>
        <w:autoSpaceDN w:val="0"/>
        <w:bidi w:val="0"/>
        <w:adjustRightInd/>
        <w:snapToGrid/>
        <w:spacing w:line="520" w:lineRule="exact"/>
        <w:ind w:firstLine="640"/>
        <w:jc w:val="both"/>
        <w:textAlignment w:val="baseline"/>
        <w:rPr>
          <w:rFonts w:hint="default" w:ascii="Times New Roman" w:hAnsi="Times New Roman" w:eastAsia="黑体" w:cs="Times New Roman"/>
          <w:sz w:val="32"/>
        </w:rPr>
      </w:pPr>
      <w:r>
        <w:rPr>
          <w:rFonts w:hint="default" w:ascii="Times New Roman" w:hAnsi="Times New Roman" w:eastAsia="黑体" w:cs="Times New Roman"/>
          <w:sz w:val="32"/>
        </w:rPr>
        <w:t>一、</w:t>
      </w:r>
      <w:bookmarkStart w:id="0" w:name="OLE_LINK1"/>
      <w:bookmarkStart w:id="1" w:name="OLE_LINK2"/>
      <w:r>
        <w:rPr>
          <w:rFonts w:hint="default" w:ascii="Times New Roman" w:hAnsi="Times New Roman" w:eastAsia="黑体" w:cs="Times New Roman"/>
          <w:sz w:val="32"/>
        </w:rPr>
        <w:t>物业公共服务费</w:t>
      </w:r>
    </w:p>
    <w:p w14:paraId="22D6A94D">
      <w:pPr>
        <w:keepNext w:val="0"/>
        <w:keepLines w:val="0"/>
        <w:pageBreakBefore w:val="0"/>
        <w:widowControl w:val="0"/>
        <w:kinsoku/>
        <w:wordWrap/>
        <w:overflowPunct/>
        <w:topLinePunct w:val="0"/>
        <w:autoSpaceDE w:val="0"/>
        <w:autoSpaceDN w:val="0"/>
        <w:bidi w:val="0"/>
        <w:adjustRightInd/>
        <w:snapToGrid/>
        <w:spacing w:line="520" w:lineRule="exact"/>
        <w:ind w:firstLine="640"/>
        <w:jc w:val="both"/>
        <w:textAlignment w:val="baseline"/>
        <w:rPr>
          <w:rFonts w:hint="default" w:ascii="Times New Roman" w:hAnsi="Times New Roman" w:eastAsia="楷体_GB2312" w:cs="Times New Roman"/>
          <w:sz w:val="32"/>
          <w:highlight w:val="none"/>
        </w:rPr>
      </w:pPr>
      <w:r>
        <w:rPr>
          <w:rFonts w:hint="default" w:ascii="Times New Roman" w:hAnsi="Times New Roman" w:eastAsia="楷体_GB2312" w:cs="Times New Roman"/>
          <w:sz w:val="32"/>
          <w:highlight w:val="none"/>
        </w:rPr>
        <w:t>（一）普通住宅前期物业公共服务费</w:t>
      </w:r>
    </w:p>
    <w:p w14:paraId="73AB38C6">
      <w:pPr>
        <w:keepNext w:val="0"/>
        <w:keepLines w:val="0"/>
        <w:pageBreakBefore w:val="0"/>
        <w:widowControl w:val="0"/>
        <w:kinsoku/>
        <w:wordWrap/>
        <w:overflowPunct/>
        <w:topLinePunct w:val="0"/>
        <w:autoSpaceDE w:val="0"/>
        <w:autoSpaceDN w:val="0"/>
        <w:bidi w:val="0"/>
        <w:adjustRightInd/>
        <w:snapToGrid/>
        <w:spacing w:line="520" w:lineRule="exact"/>
        <w:ind w:firstLine="640"/>
        <w:jc w:val="both"/>
        <w:textAlignment w:val="baseline"/>
        <w:rPr>
          <w:rFonts w:hint="default" w:ascii="Times New Roman" w:hAnsi="Times New Roman" w:eastAsia="仿宋_GB2312" w:cs="Times New Roman"/>
          <w:sz w:val="32"/>
        </w:rPr>
      </w:pPr>
      <w:r>
        <w:rPr>
          <w:rFonts w:hint="default" w:ascii="Times New Roman" w:hAnsi="Times New Roman" w:eastAsia="仿宋_GB2312" w:cs="Times New Roman"/>
          <w:sz w:val="32"/>
        </w:rPr>
        <w:t>1</w:t>
      </w:r>
      <w:r>
        <w:rPr>
          <w:rFonts w:hint="eastAsia" w:eastAsia="仿宋_GB2312" w:cs="Times New Roman"/>
          <w:sz w:val="32"/>
          <w:lang w:eastAsia="zh-CN"/>
        </w:rPr>
        <w:t>．</w:t>
      </w:r>
      <w:r>
        <w:rPr>
          <w:rFonts w:hint="default" w:ascii="Times New Roman" w:hAnsi="Times New Roman" w:eastAsia="仿宋_GB2312" w:cs="Times New Roman"/>
          <w:sz w:val="32"/>
        </w:rPr>
        <w:t>文登区普通住宅前期物业公共服务实行分等级收费管理，物业服务项目分为综合管理、秩序维护、卫生保洁、绿化养护和共用部位设施设备养护五个大项，每个项目划分为五个等级，其中共用部位设施设备养护中的消防系统和升降系统按照高层和多层划分为两个等级，各服务项目的服务等级及指导价格详见附件1和附件2。住宅小区物业公共服务费标准为选取的各服务项目服务等级对应收费标准的总和</w:t>
      </w:r>
      <w:bookmarkEnd w:id="0"/>
      <w:bookmarkEnd w:id="1"/>
      <w:r>
        <w:rPr>
          <w:rFonts w:hint="default" w:ascii="Times New Roman" w:hAnsi="Times New Roman" w:eastAsia="仿宋_GB2312" w:cs="Times New Roman"/>
          <w:sz w:val="32"/>
        </w:rPr>
        <w:t>。</w:t>
      </w:r>
    </w:p>
    <w:p w14:paraId="246BA6D4">
      <w:pPr>
        <w:keepNext w:val="0"/>
        <w:keepLines w:val="0"/>
        <w:pageBreakBefore w:val="0"/>
        <w:widowControl w:val="0"/>
        <w:kinsoku/>
        <w:wordWrap/>
        <w:overflowPunct/>
        <w:topLinePunct w:val="0"/>
        <w:autoSpaceDE w:val="0"/>
        <w:autoSpaceDN w:val="0"/>
        <w:bidi w:val="0"/>
        <w:adjustRightInd/>
        <w:snapToGrid/>
        <w:spacing w:line="520" w:lineRule="exact"/>
        <w:ind w:firstLine="640"/>
        <w:jc w:val="both"/>
        <w:textAlignment w:val="baseline"/>
        <w:rPr>
          <w:rFonts w:hint="default" w:ascii="Times New Roman" w:hAnsi="Times New Roman" w:eastAsia="仿宋_GB2312" w:cs="Times New Roman"/>
          <w:kern w:val="0"/>
          <w:sz w:val="32"/>
        </w:rPr>
      </w:pPr>
      <w:r>
        <w:rPr>
          <w:rFonts w:hint="default" w:ascii="Times New Roman" w:hAnsi="Times New Roman" w:eastAsia="仿宋_GB2312" w:cs="Times New Roman"/>
          <w:kern w:val="0"/>
          <w:sz w:val="32"/>
        </w:rPr>
        <w:t>2</w:t>
      </w:r>
      <w:r>
        <w:rPr>
          <w:rFonts w:hint="eastAsia" w:eastAsia="仿宋_GB2312" w:cs="Times New Roman"/>
          <w:kern w:val="0"/>
          <w:sz w:val="32"/>
          <w:lang w:eastAsia="zh-CN"/>
        </w:rPr>
        <w:t>．</w:t>
      </w:r>
      <w:r>
        <w:rPr>
          <w:rFonts w:hint="default" w:ascii="Times New Roman" w:hAnsi="Times New Roman" w:eastAsia="仿宋_GB2312" w:cs="Times New Roman"/>
          <w:kern w:val="0"/>
          <w:sz w:val="32"/>
        </w:rPr>
        <w:t>普通住宅达到交付条件后，物业服务人按照合同约定提</w:t>
      </w:r>
      <w:r>
        <w:rPr>
          <w:rFonts w:hint="default" w:ascii="Times New Roman" w:hAnsi="Times New Roman" w:eastAsia="仿宋_GB2312" w:cs="Times New Roman"/>
          <w:spacing w:val="-6"/>
          <w:kern w:val="0"/>
          <w:sz w:val="32"/>
        </w:rPr>
        <w:t>供相关服务方可收费。因建设单位分期开发、分批交付使用等原因，</w:t>
      </w:r>
      <w:r>
        <w:rPr>
          <w:rFonts w:hint="default" w:ascii="Times New Roman" w:hAnsi="Times New Roman" w:eastAsia="仿宋_GB2312" w:cs="Times New Roman"/>
          <w:kern w:val="0"/>
          <w:sz w:val="32"/>
        </w:rPr>
        <w:t>造成配套设施设备、道路通行、绿化环境等未能达到房屋买卖合同约定标准的，物业公共服务费按不超过前期物业服务合同约定收费标准的80%收取，差额部分由建设单位补偿给物业服务人。</w:t>
      </w:r>
    </w:p>
    <w:p w14:paraId="311AB7E4">
      <w:pPr>
        <w:keepNext w:val="0"/>
        <w:keepLines w:val="0"/>
        <w:pageBreakBefore w:val="0"/>
        <w:widowControl w:val="0"/>
        <w:kinsoku/>
        <w:wordWrap/>
        <w:overflowPunct/>
        <w:topLinePunct w:val="0"/>
        <w:autoSpaceDE w:val="0"/>
        <w:autoSpaceDN w:val="0"/>
        <w:bidi w:val="0"/>
        <w:adjustRightInd/>
        <w:snapToGrid/>
        <w:spacing w:line="520" w:lineRule="exact"/>
        <w:ind w:firstLine="640"/>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普通住宅前期物业服务期间</w:t>
      </w:r>
      <w:r>
        <w:rPr>
          <w:rFonts w:hint="default" w:ascii="Times New Roman" w:hAnsi="Times New Roman" w:eastAsia="仿宋_GB2312" w:cs="Times New Roman"/>
          <w:sz w:val="32"/>
        </w:rPr>
        <w:t>，</w:t>
      </w:r>
      <w:r>
        <w:rPr>
          <w:rFonts w:hint="default" w:ascii="Times New Roman" w:hAnsi="Times New Roman" w:eastAsia="仿宋_GB2312" w:cs="Times New Roman"/>
          <w:sz w:val="32"/>
          <w:szCs w:val="32"/>
        </w:rPr>
        <w:t>房屋空置六个月及以上的，由业主或物业使用人向物业服务人提前提出书面申请，与物业服务人签订空置房服务协议，约定好空置确认条件、减收比例、空置期间服务内容及双方的权利义务，其前期物业</w:t>
      </w:r>
      <w:r>
        <w:rPr>
          <w:rFonts w:hint="default" w:ascii="Times New Roman" w:hAnsi="Times New Roman" w:eastAsia="仿宋_GB2312" w:cs="Times New Roman"/>
          <w:color w:val="333333"/>
          <w:kern w:val="0"/>
          <w:sz w:val="32"/>
          <w:szCs w:val="32"/>
        </w:rPr>
        <w:t>公共</w:t>
      </w:r>
      <w:r>
        <w:rPr>
          <w:rFonts w:hint="default" w:ascii="Times New Roman" w:hAnsi="Times New Roman" w:eastAsia="仿宋_GB2312" w:cs="Times New Roman"/>
          <w:sz w:val="32"/>
          <w:szCs w:val="32"/>
        </w:rPr>
        <w:t>服务费按不超过前期物业服务合同约定收费标准的60%收取。</w:t>
      </w:r>
    </w:p>
    <w:p w14:paraId="46C174D9">
      <w:pPr>
        <w:keepNext w:val="0"/>
        <w:keepLines w:val="0"/>
        <w:pageBreakBefore w:val="0"/>
        <w:widowControl w:val="0"/>
        <w:kinsoku/>
        <w:wordWrap/>
        <w:overflowPunct/>
        <w:topLinePunct w:val="0"/>
        <w:autoSpaceDE w:val="0"/>
        <w:autoSpaceDN w:val="0"/>
        <w:bidi w:val="0"/>
        <w:adjustRightInd/>
        <w:snapToGrid/>
        <w:spacing w:line="520" w:lineRule="exact"/>
        <w:ind w:firstLine="640"/>
        <w:jc w:val="both"/>
        <w:textAlignment w:val="baseline"/>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sz w:val="32"/>
        </w:rPr>
        <w:t>4</w:t>
      </w:r>
      <w:r>
        <w:rPr>
          <w:rFonts w:hint="eastAsia" w:eastAsia="仿宋_GB2312" w:cs="Times New Roman"/>
          <w:sz w:val="32"/>
          <w:lang w:eastAsia="zh-CN"/>
        </w:rPr>
        <w:t>．</w:t>
      </w:r>
      <w:r>
        <w:rPr>
          <w:rFonts w:hint="default" w:ascii="Times New Roman" w:hAnsi="Times New Roman" w:eastAsia="仿宋_GB2312" w:cs="Times New Roman"/>
          <w:sz w:val="32"/>
        </w:rPr>
        <w:t>普通住宅在销售前，由建设单位按照《文登区普通住宅前期物业公共服务等级标准》选择相应的服务等级，根据政府指导价格确定收费标准，依法选聘物业服务人，签订前期物业服务合同，并于</w:t>
      </w:r>
      <w:r>
        <w:rPr>
          <w:rFonts w:hint="default" w:ascii="Times New Roman" w:hAnsi="Times New Roman" w:eastAsia="仿宋_GB2312" w:cs="Times New Roman"/>
          <w:color w:val="auto"/>
          <w:sz w:val="32"/>
          <w:highlight w:val="none"/>
        </w:rPr>
        <w:t>合同签订之日起十日内报</w:t>
      </w:r>
      <w:r>
        <w:rPr>
          <w:rFonts w:hint="default" w:ascii="Times New Roman" w:hAnsi="Times New Roman" w:eastAsia="仿宋_GB2312" w:cs="Times New Roman"/>
          <w:color w:val="auto"/>
          <w:sz w:val="32"/>
          <w:highlight w:val="none"/>
          <w:lang w:val="en-US" w:eastAsia="zh-CN"/>
        </w:rPr>
        <w:t>送</w:t>
      </w:r>
      <w:r>
        <w:rPr>
          <w:rFonts w:hint="default" w:ascii="Times New Roman" w:hAnsi="Times New Roman" w:eastAsia="仿宋_GB2312" w:cs="Times New Roman"/>
          <w:color w:val="auto"/>
          <w:sz w:val="32"/>
          <w:highlight w:val="none"/>
        </w:rPr>
        <w:t>物业主管部门备案。</w:t>
      </w:r>
    </w:p>
    <w:p w14:paraId="7D8F9D2B">
      <w:pPr>
        <w:keepNext w:val="0"/>
        <w:keepLines w:val="0"/>
        <w:pageBreakBefore w:val="0"/>
        <w:widowControl w:val="0"/>
        <w:kinsoku/>
        <w:wordWrap/>
        <w:overflowPunct/>
        <w:topLinePunct w:val="0"/>
        <w:bidi w:val="0"/>
        <w:adjustRightInd/>
        <w:snapToGrid/>
        <w:spacing w:line="520" w:lineRule="exact"/>
        <w:ind w:firstLine="640" w:firstLineChars="200"/>
        <w:jc w:val="both"/>
        <w:rPr>
          <w:rFonts w:hint="default" w:ascii="Times New Roman" w:hAnsi="Times New Roman" w:eastAsia="楷体_GB2312" w:cs="Times New Roman"/>
          <w:color w:val="auto"/>
          <w:sz w:val="32"/>
          <w:szCs w:val="32"/>
          <w:highlight w:val="none"/>
        </w:rPr>
      </w:pPr>
      <w:r>
        <w:rPr>
          <w:rFonts w:hint="default" w:ascii="Times New Roman" w:hAnsi="Times New Roman" w:eastAsia="楷体_GB2312" w:cs="Times New Roman"/>
          <w:color w:val="auto"/>
          <w:sz w:val="32"/>
          <w:szCs w:val="32"/>
          <w:highlight w:val="none"/>
        </w:rPr>
        <w:t>（二）</w:t>
      </w:r>
      <w:r>
        <w:rPr>
          <w:rFonts w:hint="default" w:ascii="Times New Roman" w:hAnsi="Times New Roman" w:eastAsia="楷体_GB2312" w:cs="Times New Roman"/>
          <w:color w:val="auto"/>
          <w:sz w:val="32"/>
          <w:szCs w:val="32"/>
          <w:highlight w:val="none"/>
          <w:lang w:eastAsia="zh-CN"/>
        </w:rPr>
        <w:t>前期物业服务合同到期</w:t>
      </w:r>
      <w:r>
        <w:rPr>
          <w:rFonts w:hint="default" w:ascii="Times New Roman" w:hAnsi="Times New Roman" w:eastAsia="楷体_GB2312" w:cs="Times New Roman"/>
          <w:color w:val="auto"/>
          <w:sz w:val="32"/>
          <w:szCs w:val="32"/>
          <w:highlight w:val="none"/>
        </w:rPr>
        <w:t>后的普通住宅物业公共服务费</w:t>
      </w:r>
    </w:p>
    <w:p w14:paraId="549C403B">
      <w:pPr>
        <w:keepNext w:val="0"/>
        <w:keepLines w:val="0"/>
        <w:pageBreakBefore w:val="0"/>
        <w:widowControl w:val="0"/>
        <w:kinsoku/>
        <w:wordWrap/>
        <w:overflowPunct/>
        <w:topLinePunct w:val="0"/>
        <w:bidi w:val="0"/>
        <w:adjustRightInd/>
        <w:snapToGrid/>
        <w:spacing w:line="520" w:lineRule="exact"/>
        <w:ind w:firstLine="640" w:firstLineChars="200"/>
        <w:jc w:val="both"/>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eastAsia="zh-CN"/>
        </w:rPr>
        <w:t>前期物业服务合同到期</w:t>
      </w:r>
      <w:r>
        <w:rPr>
          <w:rFonts w:hint="default" w:ascii="Times New Roman" w:hAnsi="Times New Roman" w:eastAsia="仿宋_GB2312" w:cs="Times New Roman"/>
          <w:color w:val="auto"/>
          <w:sz w:val="32"/>
          <w:szCs w:val="32"/>
          <w:highlight w:val="none"/>
        </w:rPr>
        <w:t>的普通住宅</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物业服务</w:t>
      </w:r>
      <w:r>
        <w:rPr>
          <w:rFonts w:hint="default" w:ascii="Times New Roman" w:hAnsi="Times New Roman" w:eastAsia="仿宋_GB2312" w:cs="Times New Roman"/>
          <w:color w:val="auto"/>
          <w:sz w:val="32"/>
          <w:szCs w:val="32"/>
          <w:highlight w:val="none"/>
        </w:rPr>
        <w:t>内容及收费标准通过物业服务合同约定</w:t>
      </w:r>
      <w:r>
        <w:rPr>
          <w:rFonts w:hint="default" w:ascii="Times New Roman" w:hAnsi="Times New Roman" w:eastAsia="仿宋_GB2312" w:cs="Times New Roman"/>
          <w:color w:val="auto"/>
          <w:sz w:val="32"/>
          <w:szCs w:val="32"/>
          <w:highlight w:val="none"/>
          <w:lang w:eastAsia="zh-CN"/>
        </w:rPr>
        <w:t>。已</w:t>
      </w:r>
      <w:r>
        <w:rPr>
          <w:rFonts w:hint="default" w:ascii="Times New Roman" w:hAnsi="Times New Roman" w:eastAsia="仿宋_GB2312" w:cs="Times New Roman"/>
          <w:color w:val="auto"/>
          <w:sz w:val="32"/>
          <w:szCs w:val="32"/>
          <w:highlight w:val="none"/>
        </w:rPr>
        <w:t>成立业主委员会</w:t>
      </w:r>
      <w:r>
        <w:rPr>
          <w:rFonts w:hint="default" w:ascii="Times New Roman" w:hAnsi="Times New Roman" w:eastAsia="仿宋_GB2312" w:cs="Times New Roman"/>
          <w:color w:val="auto"/>
          <w:sz w:val="32"/>
          <w:szCs w:val="32"/>
          <w:highlight w:val="none"/>
          <w:lang w:eastAsia="zh-CN"/>
        </w:rPr>
        <w:t>（物业管理委员会）</w:t>
      </w:r>
      <w:r>
        <w:rPr>
          <w:rFonts w:hint="default" w:ascii="Times New Roman" w:hAnsi="Times New Roman" w:eastAsia="仿宋_GB2312" w:cs="Times New Roman"/>
          <w:color w:val="auto"/>
          <w:sz w:val="32"/>
          <w:szCs w:val="32"/>
          <w:highlight w:val="none"/>
        </w:rPr>
        <w:t>的</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由业主委员会</w:t>
      </w:r>
      <w:r>
        <w:rPr>
          <w:rFonts w:hint="default" w:ascii="Times New Roman" w:hAnsi="Times New Roman" w:eastAsia="仿宋_GB2312" w:cs="Times New Roman"/>
          <w:color w:val="auto"/>
          <w:sz w:val="32"/>
          <w:szCs w:val="32"/>
          <w:highlight w:val="none"/>
          <w:lang w:eastAsia="zh-CN"/>
        </w:rPr>
        <w:t>（物业管理委员会）</w:t>
      </w:r>
      <w:r>
        <w:rPr>
          <w:rFonts w:hint="default" w:ascii="Times New Roman" w:hAnsi="Times New Roman" w:eastAsia="仿宋_GB2312" w:cs="Times New Roman"/>
          <w:color w:val="auto"/>
          <w:sz w:val="32"/>
          <w:szCs w:val="32"/>
          <w:highlight w:val="none"/>
          <w:lang w:val="en-US" w:eastAsia="zh-CN"/>
        </w:rPr>
        <w:t>履行法定程序</w:t>
      </w:r>
      <w:r>
        <w:rPr>
          <w:rFonts w:hint="default" w:ascii="Times New Roman" w:hAnsi="Times New Roman" w:eastAsia="仿宋_GB2312" w:cs="Times New Roman"/>
          <w:color w:val="auto"/>
          <w:sz w:val="32"/>
          <w:szCs w:val="32"/>
          <w:highlight w:val="none"/>
        </w:rPr>
        <w:t>与物业服务人签订物业服务合同</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经街道社区组织后，</w:t>
      </w:r>
      <w:r>
        <w:rPr>
          <w:rFonts w:hint="default" w:ascii="Times New Roman" w:hAnsi="Times New Roman" w:eastAsia="仿宋_GB2312" w:cs="Times New Roman"/>
          <w:color w:val="auto"/>
          <w:sz w:val="32"/>
          <w:szCs w:val="32"/>
          <w:highlight w:val="none"/>
        </w:rPr>
        <w:t>业主委员会</w:t>
      </w:r>
      <w:r>
        <w:rPr>
          <w:rFonts w:hint="default" w:ascii="Times New Roman" w:hAnsi="Times New Roman" w:eastAsia="仿宋_GB2312" w:cs="Times New Roman"/>
          <w:color w:val="auto"/>
          <w:sz w:val="32"/>
          <w:szCs w:val="32"/>
          <w:highlight w:val="none"/>
          <w:lang w:eastAsia="zh-CN"/>
        </w:rPr>
        <w:t>（物业管理委员会）</w:t>
      </w:r>
      <w:r>
        <w:rPr>
          <w:rFonts w:hint="default" w:ascii="Times New Roman" w:hAnsi="Times New Roman" w:eastAsia="仿宋_GB2312" w:cs="Times New Roman"/>
          <w:color w:val="auto"/>
          <w:sz w:val="32"/>
          <w:szCs w:val="32"/>
          <w:highlight w:val="none"/>
          <w:lang w:val="en-US" w:eastAsia="zh-CN"/>
        </w:rPr>
        <w:t>仍未成立的，由社区居委会代行业主委员会职责与</w:t>
      </w:r>
      <w:r>
        <w:rPr>
          <w:rFonts w:hint="default" w:ascii="Times New Roman" w:hAnsi="Times New Roman" w:eastAsia="仿宋_GB2312" w:cs="Times New Roman"/>
          <w:color w:val="auto"/>
          <w:sz w:val="32"/>
          <w:szCs w:val="32"/>
          <w:highlight w:val="none"/>
        </w:rPr>
        <w:t>物业服务人签订物业服务合同</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物业服务人应自签订物业服务合同之日起十日内</w:t>
      </w:r>
      <w:r>
        <w:rPr>
          <w:rFonts w:hint="default" w:ascii="Times New Roman" w:hAnsi="Times New Roman" w:eastAsia="仿宋_GB2312" w:cs="Times New Roman"/>
          <w:color w:val="auto"/>
          <w:sz w:val="32"/>
          <w:szCs w:val="32"/>
          <w:highlight w:val="none"/>
          <w:lang w:val="en-US" w:eastAsia="zh-CN"/>
        </w:rPr>
        <w:t>报送</w:t>
      </w:r>
      <w:r>
        <w:rPr>
          <w:rFonts w:hint="default" w:ascii="Times New Roman" w:hAnsi="Times New Roman" w:eastAsia="仿宋_GB2312" w:cs="Times New Roman"/>
          <w:color w:val="auto"/>
          <w:sz w:val="32"/>
          <w:szCs w:val="32"/>
          <w:highlight w:val="none"/>
        </w:rPr>
        <w:t>物业主管部门备案。</w:t>
      </w:r>
    </w:p>
    <w:p w14:paraId="3A08C828">
      <w:pPr>
        <w:keepNext w:val="0"/>
        <w:keepLines w:val="0"/>
        <w:pageBreakBefore w:val="0"/>
        <w:widowControl w:val="0"/>
        <w:kinsoku/>
        <w:wordWrap/>
        <w:overflowPunct/>
        <w:topLinePunct w:val="0"/>
        <w:bidi w:val="0"/>
        <w:adjustRightInd/>
        <w:snapToGrid/>
        <w:spacing w:line="520" w:lineRule="exact"/>
        <w:ind w:firstLine="640" w:firstLineChars="200"/>
        <w:jc w:val="both"/>
        <w:rPr>
          <w:rFonts w:hint="default" w:ascii="Times New Roman" w:hAnsi="Times New Roman" w:eastAsia="黑体" w:cs="Times New Roman"/>
          <w:color w:val="auto"/>
          <w:sz w:val="32"/>
          <w:szCs w:val="32"/>
          <w:highlight w:val="none"/>
        </w:rPr>
      </w:pPr>
      <w:r>
        <w:rPr>
          <w:rFonts w:hint="default" w:ascii="Times New Roman" w:hAnsi="Times New Roman" w:eastAsia="黑体" w:cs="Times New Roman"/>
          <w:color w:val="auto"/>
          <w:sz w:val="32"/>
          <w:szCs w:val="32"/>
          <w:highlight w:val="none"/>
        </w:rPr>
        <w:t>二、机动车停放费</w:t>
      </w:r>
    </w:p>
    <w:p w14:paraId="4A824540">
      <w:pPr>
        <w:keepNext w:val="0"/>
        <w:keepLines w:val="0"/>
        <w:pageBreakBefore w:val="0"/>
        <w:widowControl w:val="0"/>
        <w:kinsoku/>
        <w:wordWrap/>
        <w:overflowPunct/>
        <w:topLinePunct w:val="0"/>
        <w:bidi w:val="0"/>
        <w:adjustRightInd/>
        <w:snapToGrid/>
        <w:spacing w:line="52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highlight w:val="none"/>
        </w:rPr>
        <w:t>普通住宅小区停车收费包括车位租赁费、停车服务费和车位场地使用费。业主或者物业使用人租赁建设单位车位交纳的车</w:t>
      </w:r>
      <w:r>
        <w:rPr>
          <w:rFonts w:hint="default" w:ascii="Times New Roman" w:hAnsi="Times New Roman" w:eastAsia="仿宋_GB2312" w:cs="Times New Roman"/>
          <w:sz w:val="32"/>
          <w:szCs w:val="32"/>
        </w:rPr>
        <w:t>位租赁费，由建设单位收取，物业服务人接受建设单位书面委托的可以代收车位租赁费。使用物业服务区域内规划用于停放机动车的车库（场）内的车位，物业服务人提供停车服务的，可以收取停车服务费。占用物业服务区域内业主共有的道路或者其他公共区域停放机动车的，物业服务人提供停车服务的，可以代收车位场地使用费，扣除相应的管理费后，收益归全体业主共有。</w:t>
      </w:r>
    </w:p>
    <w:p w14:paraId="4AE3BD2F">
      <w:pPr>
        <w:keepNext w:val="0"/>
        <w:keepLines w:val="0"/>
        <w:pageBreakBefore w:val="0"/>
        <w:widowControl w:val="0"/>
        <w:kinsoku/>
        <w:wordWrap/>
        <w:overflowPunct/>
        <w:topLinePunct w:val="0"/>
        <w:bidi w:val="0"/>
        <w:adjustRightInd/>
        <w:snapToGrid/>
        <w:spacing w:line="52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highlight w:val="none"/>
        </w:rPr>
        <w:t>普通住宅车位租赁费和普通住宅前期物业停车服务费、车位场地使用费实行政府指导价，</w:t>
      </w:r>
      <w:r>
        <w:rPr>
          <w:rFonts w:hint="default" w:ascii="Times New Roman" w:hAnsi="Times New Roman" w:eastAsia="仿宋_GB2312" w:cs="Times New Roman"/>
          <w:sz w:val="32"/>
          <w:szCs w:val="32"/>
        </w:rPr>
        <w:t>具体收费标准见附件2，其他物业的机动车停放费实行市场调节价。</w:t>
      </w:r>
    </w:p>
    <w:p w14:paraId="161D607B">
      <w:pPr>
        <w:keepNext w:val="0"/>
        <w:keepLines w:val="0"/>
        <w:pageBreakBefore w:val="0"/>
        <w:widowControl w:val="0"/>
        <w:kinsoku/>
        <w:wordWrap/>
        <w:overflowPunct/>
        <w:topLinePunct w:val="0"/>
        <w:bidi w:val="0"/>
        <w:adjustRightInd/>
        <w:snapToGrid/>
        <w:spacing w:line="520" w:lineRule="exact"/>
        <w:ind w:firstLine="640" w:firstLineChars="200"/>
        <w:jc w:val="both"/>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sz w:val="32"/>
          <w:szCs w:val="32"/>
          <w:highlight w:val="none"/>
        </w:rPr>
        <w:t>物业服务人</w:t>
      </w:r>
      <w:r>
        <w:rPr>
          <w:rFonts w:hint="default" w:ascii="Times New Roman" w:hAnsi="Times New Roman" w:eastAsia="仿宋_GB2312" w:cs="Times New Roman"/>
          <w:sz w:val="32"/>
          <w:szCs w:val="32"/>
          <w:highlight w:val="none"/>
          <w:lang w:val="en-US" w:eastAsia="zh-CN"/>
        </w:rPr>
        <w:t>收取停车服务费和车位场地使用费时，</w:t>
      </w:r>
      <w:r>
        <w:rPr>
          <w:rFonts w:hint="default" w:ascii="Times New Roman" w:hAnsi="Times New Roman" w:eastAsia="仿宋_GB2312" w:cs="Times New Roman"/>
          <w:sz w:val="32"/>
          <w:szCs w:val="32"/>
          <w:highlight w:val="none"/>
        </w:rPr>
        <w:t>应与车位使用人签订书面的停车位使用协议，明确停车服务内容及双方在车位使用等方面的权利义务</w:t>
      </w:r>
      <w:r>
        <w:rPr>
          <w:rFonts w:hint="default" w:ascii="Times New Roman" w:hAnsi="Times New Roman" w:eastAsia="仿宋_GB2312" w:cs="Times New Roman"/>
          <w:color w:val="auto"/>
          <w:sz w:val="32"/>
          <w:szCs w:val="32"/>
          <w:highlight w:val="none"/>
        </w:rPr>
        <w:t>。经车位使用人同意，物业服务人可以预收</w:t>
      </w:r>
      <w:r>
        <w:rPr>
          <w:rFonts w:hint="default" w:ascii="Times New Roman" w:hAnsi="Times New Roman" w:eastAsia="仿宋_GB2312" w:cs="Times New Roman"/>
          <w:color w:val="auto"/>
          <w:sz w:val="32"/>
          <w:szCs w:val="32"/>
          <w:highlight w:val="none"/>
          <w:lang w:val="en-US" w:eastAsia="zh-CN"/>
        </w:rPr>
        <w:t>停车服务费和车位场地使用费</w:t>
      </w:r>
      <w:r>
        <w:rPr>
          <w:rFonts w:hint="default" w:ascii="Times New Roman" w:hAnsi="Times New Roman" w:eastAsia="仿宋_GB2312" w:cs="Times New Roman"/>
          <w:color w:val="auto"/>
          <w:sz w:val="32"/>
          <w:szCs w:val="32"/>
          <w:highlight w:val="none"/>
        </w:rPr>
        <w:t>，但预收时间不得超过一年。</w:t>
      </w:r>
    </w:p>
    <w:p w14:paraId="2D74AE65">
      <w:pPr>
        <w:keepNext w:val="0"/>
        <w:keepLines w:val="0"/>
        <w:pageBreakBefore w:val="0"/>
        <w:widowControl w:val="0"/>
        <w:kinsoku/>
        <w:wordWrap/>
        <w:overflowPunct/>
        <w:topLinePunct w:val="0"/>
        <w:autoSpaceDE w:val="0"/>
        <w:autoSpaceDN w:val="0"/>
        <w:bidi w:val="0"/>
        <w:adjustRightInd/>
        <w:snapToGrid/>
        <w:spacing w:line="520" w:lineRule="exact"/>
        <w:ind w:firstLine="640" w:firstLineChars="200"/>
        <w:jc w:val="both"/>
        <w:textAlignment w:val="baseline"/>
        <w:rPr>
          <w:rFonts w:hint="default" w:ascii="Times New Roman" w:hAnsi="Times New Roman" w:eastAsia="黑体" w:cs="Times New Roman"/>
          <w:color w:val="auto"/>
          <w:sz w:val="32"/>
        </w:rPr>
      </w:pPr>
      <w:r>
        <w:rPr>
          <w:rFonts w:hint="default" w:ascii="Times New Roman" w:hAnsi="Times New Roman" w:eastAsia="黑体" w:cs="Times New Roman"/>
          <w:color w:val="auto"/>
          <w:sz w:val="32"/>
        </w:rPr>
        <w:t>三、其他服务收费</w:t>
      </w:r>
    </w:p>
    <w:p w14:paraId="0722CFD3">
      <w:pPr>
        <w:keepNext w:val="0"/>
        <w:keepLines w:val="0"/>
        <w:pageBreakBefore w:val="0"/>
        <w:widowControl w:val="0"/>
        <w:kinsoku/>
        <w:wordWrap/>
        <w:overflowPunct/>
        <w:topLinePunct w:val="0"/>
        <w:bidi w:val="0"/>
        <w:adjustRightInd/>
        <w:snapToGrid/>
        <w:spacing w:line="520" w:lineRule="exact"/>
        <w:ind w:firstLine="640" w:firstLineChars="200"/>
        <w:jc w:val="both"/>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（一）住宅小区共有部分收益管理费扣除比例</w:t>
      </w:r>
    </w:p>
    <w:p w14:paraId="4D0842C2">
      <w:pPr>
        <w:keepNext w:val="0"/>
        <w:keepLines w:val="0"/>
        <w:pageBreakBefore w:val="0"/>
        <w:widowControl w:val="0"/>
        <w:kinsoku/>
        <w:wordWrap/>
        <w:overflowPunct/>
        <w:topLinePunct w:val="0"/>
        <w:bidi w:val="0"/>
        <w:adjustRightInd/>
        <w:snapToGrid/>
        <w:spacing w:line="52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普通住宅前期物业服务期间</w:t>
      </w:r>
      <w:r>
        <w:rPr>
          <w:rFonts w:hint="default" w:ascii="Times New Roman" w:hAnsi="Times New Roman" w:eastAsia="仿宋_GB2312" w:cs="Times New Roman"/>
          <w:sz w:val="32"/>
        </w:rPr>
        <w:t>，物业服务人依据前期物业服务合同约定利用物业共用部位、共用设施设备进行经营的收入以及车位场地使用费等收益资金，按不超过40%的比例扣除管理费后属于</w:t>
      </w:r>
      <w:r>
        <w:rPr>
          <w:rFonts w:hint="default" w:ascii="Times New Roman" w:hAnsi="Times New Roman" w:eastAsia="仿宋_GB2312" w:cs="Times New Roman"/>
          <w:sz w:val="32"/>
          <w:szCs w:val="32"/>
        </w:rPr>
        <w:t>全体业主共有。其他物业共有部分收益的管理费扣除比例、使用方式和用途，由业主大会决定。</w:t>
      </w:r>
    </w:p>
    <w:p w14:paraId="58818F42">
      <w:pPr>
        <w:keepNext w:val="0"/>
        <w:keepLines w:val="0"/>
        <w:pageBreakBefore w:val="0"/>
        <w:widowControl w:val="0"/>
        <w:kinsoku/>
        <w:wordWrap/>
        <w:overflowPunct/>
        <w:topLinePunct w:val="0"/>
        <w:bidi w:val="0"/>
        <w:adjustRightInd/>
        <w:snapToGrid/>
        <w:spacing w:line="520" w:lineRule="exact"/>
        <w:ind w:firstLine="640" w:firstLineChars="200"/>
        <w:jc w:val="both"/>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rPr>
        <w:t>（二）出入证（卡）收费</w:t>
      </w:r>
    </w:p>
    <w:p w14:paraId="01C14ACC">
      <w:pPr>
        <w:keepNext w:val="0"/>
        <w:keepLines w:val="0"/>
        <w:pageBreakBefore w:val="0"/>
        <w:widowControl w:val="0"/>
        <w:kinsoku/>
        <w:wordWrap/>
        <w:overflowPunct/>
        <w:topLinePunct w:val="0"/>
        <w:bidi w:val="0"/>
        <w:adjustRightInd/>
        <w:snapToGrid/>
        <w:spacing w:line="520" w:lineRule="exact"/>
        <w:ind w:firstLine="640" w:firstLineChars="200"/>
        <w:jc w:val="both"/>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物业服务人对人员出入实行门禁智能化管理或电梯实行电梯卡管理的，应当为每户业主或物业使用人免费配置三张门禁卡或电梯卡。车辆实行出入证（卡）管理的，应当为每辆车免费配置一张出入证（卡）；车辆实行车牌录入系统管理的，应当免费录入系统。因增加、遗失、损坏需要补办的，可以适当收取工本费，但不得以此形式变相获利。</w:t>
      </w:r>
    </w:p>
    <w:p w14:paraId="13A6846F">
      <w:pPr>
        <w:keepNext w:val="0"/>
        <w:keepLines w:val="0"/>
        <w:pageBreakBefore w:val="0"/>
        <w:widowControl w:val="0"/>
        <w:kinsoku/>
        <w:wordWrap/>
        <w:overflowPunct/>
        <w:topLinePunct w:val="0"/>
        <w:autoSpaceDE w:val="0"/>
        <w:autoSpaceDN w:val="0"/>
        <w:bidi w:val="0"/>
        <w:adjustRightInd/>
        <w:snapToGrid/>
        <w:spacing w:line="520" w:lineRule="exact"/>
        <w:ind w:firstLine="640"/>
        <w:jc w:val="both"/>
        <w:textAlignment w:val="baseline"/>
        <w:rPr>
          <w:rFonts w:hint="default" w:ascii="Times New Roman" w:hAnsi="Times New Roman" w:eastAsia="黑体" w:cs="Times New Roman"/>
          <w:sz w:val="32"/>
        </w:rPr>
      </w:pPr>
      <w:r>
        <w:rPr>
          <w:rFonts w:hint="default" w:ascii="Times New Roman" w:hAnsi="Times New Roman" w:eastAsia="黑体" w:cs="Times New Roman"/>
          <w:sz w:val="32"/>
        </w:rPr>
        <w:t>四、物业服务收费的监督管理</w:t>
      </w:r>
    </w:p>
    <w:p w14:paraId="78926B13">
      <w:pPr>
        <w:keepNext w:val="0"/>
        <w:keepLines w:val="0"/>
        <w:pageBreakBefore w:val="0"/>
        <w:widowControl w:val="0"/>
        <w:kinsoku/>
        <w:wordWrap/>
        <w:overflowPunct/>
        <w:topLinePunct w:val="0"/>
        <w:autoSpaceDE w:val="0"/>
        <w:autoSpaceDN w:val="0"/>
        <w:bidi w:val="0"/>
        <w:adjustRightInd/>
        <w:snapToGrid/>
        <w:spacing w:line="520" w:lineRule="exact"/>
        <w:ind w:firstLine="640"/>
        <w:jc w:val="both"/>
        <w:textAlignment w:val="baseline"/>
        <w:rPr>
          <w:rFonts w:hint="default" w:ascii="Times New Roman" w:hAnsi="Times New Roman" w:eastAsia="楷体_GB2312" w:cs="Times New Roman"/>
          <w:sz w:val="32"/>
        </w:rPr>
      </w:pPr>
      <w:r>
        <w:rPr>
          <w:rFonts w:hint="default" w:ascii="Times New Roman" w:hAnsi="Times New Roman" w:eastAsia="楷体_GB2312" w:cs="Times New Roman"/>
          <w:sz w:val="32"/>
        </w:rPr>
        <w:t>（一）建立物业服务质量评价体系和服务等级动态调整机制</w:t>
      </w:r>
    </w:p>
    <w:p w14:paraId="0B76601E">
      <w:pPr>
        <w:keepNext w:val="0"/>
        <w:keepLines w:val="0"/>
        <w:pageBreakBefore w:val="0"/>
        <w:widowControl w:val="0"/>
        <w:kinsoku/>
        <w:wordWrap/>
        <w:overflowPunct/>
        <w:topLinePunct w:val="0"/>
        <w:autoSpaceDE w:val="0"/>
        <w:autoSpaceDN w:val="0"/>
        <w:bidi w:val="0"/>
        <w:adjustRightInd/>
        <w:snapToGrid/>
        <w:spacing w:line="520" w:lineRule="exact"/>
        <w:ind w:firstLine="640"/>
        <w:jc w:val="both"/>
        <w:textAlignment w:val="baseline"/>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普通住宅前期物业服务期间，各镇街、金山综合服务中心每季度要对辖区内实行前期物业服务的普通住宅小区物业服务质量进行评价，发现问题及时督促物业服务人整改。对投诉率高、问题反映集中、物业服务人拒不整改的，由物业主管部门实施服务等级动态调整，降低物业服务项目等级及收费标准，待整改达标后，恢复原等级及收费标准。实施服务等级动态调整之后，物业服务人不按照规定降低收费标准，拒不限期整改的，由市场监督管理部门予以查处，并纳入年度诚信考核。</w:t>
      </w:r>
    </w:p>
    <w:p w14:paraId="201F8207">
      <w:pPr>
        <w:keepNext w:val="0"/>
        <w:keepLines w:val="0"/>
        <w:pageBreakBefore w:val="0"/>
        <w:widowControl w:val="0"/>
        <w:kinsoku/>
        <w:wordWrap/>
        <w:overflowPunct/>
        <w:topLinePunct w:val="0"/>
        <w:autoSpaceDE w:val="0"/>
        <w:autoSpaceDN w:val="0"/>
        <w:bidi w:val="0"/>
        <w:adjustRightInd/>
        <w:snapToGrid/>
        <w:spacing w:line="520" w:lineRule="exact"/>
        <w:ind w:firstLine="640"/>
        <w:jc w:val="both"/>
        <w:textAlignment w:val="baseline"/>
        <w:rPr>
          <w:rFonts w:hint="default" w:ascii="Times New Roman" w:hAnsi="Times New Roman" w:eastAsia="楷体_GB2312" w:cs="Times New Roman"/>
          <w:sz w:val="32"/>
        </w:rPr>
      </w:pPr>
      <w:r>
        <w:rPr>
          <w:rFonts w:hint="default" w:ascii="Times New Roman" w:hAnsi="Times New Roman" w:eastAsia="楷体_GB2312" w:cs="Times New Roman"/>
          <w:sz w:val="32"/>
        </w:rPr>
        <w:t>（二）严格执行物业服务收费明码标价制度</w:t>
      </w:r>
    </w:p>
    <w:p w14:paraId="630AE08D">
      <w:pPr>
        <w:keepNext w:val="0"/>
        <w:keepLines w:val="0"/>
        <w:pageBreakBefore w:val="0"/>
        <w:widowControl w:val="0"/>
        <w:kinsoku/>
        <w:wordWrap/>
        <w:overflowPunct/>
        <w:topLinePunct w:val="0"/>
        <w:autoSpaceDE w:val="0"/>
        <w:autoSpaceDN w:val="0"/>
        <w:bidi w:val="0"/>
        <w:adjustRightInd/>
        <w:snapToGrid/>
        <w:spacing w:line="520" w:lineRule="exact"/>
        <w:ind w:firstLine="640"/>
        <w:jc w:val="both"/>
        <w:textAlignment w:val="baseline"/>
        <w:rPr>
          <w:rFonts w:hint="default" w:ascii="Times New Roman" w:hAnsi="Times New Roman" w:eastAsia="仿宋_GB2312" w:cs="Times New Roman"/>
          <w:color w:val="auto"/>
          <w:sz w:val="32"/>
        </w:rPr>
      </w:pPr>
      <w:r>
        <w:rPr>
          <w:rFonts w:hint="default" w:ascii="Times New Roman" w:hAnsi="Times New Roman" w:eastAsia="仿宋_GB2312" w:cs="Times New Roman"/>
          <w:sz w:val="32"/>
        </w:rPr>
        <w:t>物业服务人应按规定在物业服务区域内显著位置制作物业服务收费公示牌（样式见附件3），公示物业服务人名称、服务内容、服务等级、收费项目、计费方式与起始时间、收费标准与依据、举报投诉电话等，不得向业主、物业使用人收取任何未予标明的费用。</w:t>
      </w:r>
    </w:p>
    <w:p w14:paraId="5D854789">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kern w:val="0"/>
          <w:sz w:val="32"/>
          <w:szCs w:val="32"/>
          <w:shd w:val="clear" w:color="auto" w:fill="FFFFFF"/>
        </w:rPr>
      </w:pPr>
      <w:r>
        <w:rPr>
          <w:rFonts w:hint="default" w:ascii="Times New Roman" w:hAnsi="Times New Roman" w:eastAsia="仿宋_GB2312" w:cs="Times New Roman"/>
          <w:color w:val="auto"/>
          <w:kern w:val="0"/>
          <w:sz w:val="32"/>
          <w:szCs w:val="32"/>
          <w:shd w:val="clear" w:color="auto" w:fill="FFFFFF"/>
          <w:lang w:val="en-US" w:eastAsia="zh-CN"/>
        </w:rPr>
        <w:t>本通知</w:t>
      </w:r>
      <w:r>
        <w:rPr>
          <w:rFonts w:hint="default" w:ascii="Times New Roman" w:hAnsi="Times New Roman" w:eastAsia="仿宋_GB2312" w:cs="Times New Roman"/>
          <w:color w:val="auto"/>
          <w:kern w:val="0"/>
          <w:sz w:val="32"/>
          <w:szCs w:val="32"/>
          <w:shd w:val="clear" w:color="auto" w:fill="FFFFFF"/>
        </w:rPr>
        <w:t>自2023年1月1日起施行，</w:t>
      </w:r>
      <w:r>
        <w:rPr>
          <w:rFonts w:hint="default" w:ascii="Times New Roman" w:hAnsi="Times New Roman" w:eastAsia="仿宋_GB2312" w:cs="Times New Roman"/>
          <w:color w:val="auto"/>
          <w:sz w:val="32"/>
          <w:highlight w:val="none"/>
        </w:rPr>
        <w:t>其他未尽事项按照《山东省物业服务收费管理办法》执行。</w:t>
      </w:r>
      <w:bookmarkStart w:id="2" w:name="OLE_LINK3"/>
      <w:bookmarkStart w:id="3" w:name="OLE_LINK4"/>
      <w:r>
        <w:rPr>
          <w:rFonts w:hint="default" w:ascii="Times New Roman" w:hAnsi="Times New Roman" w:eastAsia="仿宋_GB2312" w:cs="Times New Roman"/>
          <w:color w:val="auto"/>
          <w:kern w:val="0"/>
          <w:sz w:val="32"/>
          <w:szCs w:val="32"/>
          <w:shd w:val="clear" w:color="auto" w:fill="FFFFFF"/>
        </w:rPr>
        <w:t>原《文登区物价局 文登区住房和城乡建设局关于进一步规范文登区物业服务收费有关问题的通知》（文价费发</w:t>
      </w:r>
      <w:r>
        <w:rPr>
          <w:rFonts w:hint="default" w:ascii="Times New Roman" w:hAnsi="Times New Roman" w:eastAsia="仿宋_GB2312" w:cs="Times New Roman"/>
          <w:color w:val="auto"/>
          <w:spacing w:val="-12"/>
          <w:sz w:val="32"/>
          <w:szCs w:val="32"/>
        </w:rPr>
        <w:t>〔2018〕1</w:t>
      </w:r>
      <w:r>
        <w:rPr>
          <w:rFonts w:hint="default" w:ascii="Times New Roman" w:hAnsi="Times New Roman" w:eastAsia="仿宋_GB2312" w:cs="Times New Roman"/>
          <w:color w:val="auto"/>
          <w:kern w:val="0"/>
          <w:sz w:val="32"/>
          <w:szCs w:val="32"/>
          <w:shd w:val="clear" w:color="auto" w:fill="FFFFFF"/>
        </w:rPr>
        <w:t>2号）</w:t>
      </w:r>
      <w:r>
        <w:rPr>
          <w:rFonts w:hint="default" w:ascii="Times New Roman" w:hAnsi="Times New Roman" w:eastAsia="仿宋_GB2312" w:cs="Times New Roman"/>
          <w:kern w:val="0"/>
          <w:sz w:val="32"/>
          <w:szCs w:val="32"/>
          <w:shd w:val="clear" w:color="auto" w:fill="FFFFFF"/>
        </w:rPr>
        <w:t>和《文登区物价局 文登区住房保障和房产管理局关于文登区老旧小区普通住宅物业服务收费及有关问题的通知》（文价费发</w:t>
      </w:r>
      <w:r>
        <w:rPr>
          <w:rFonts w:hint="default" w:ascii="Times New Roman" w:hAnsi="Times New Roman" w:eastAsia="仿宋_GB2312" w:cs="Times New Roman"/>
          <w:spacing w:val="-12"/>
          <w:sz w:val="32"/>
          <w:szCs w:val="32"/>
        </w:rPr>
        <w:t>〔2016〕1</w:t>
      </w:r>
      <w:r>
        <w:rPr>
          <w:rFonts w:hint="default" w:ascii="Times New Roman" w:hAnsi="Times New Roman" w:eastAsia="仿宋_GB2312" w:cs="Times New Roman"/>
          <w:kern w:val="0"/>
          <w:sz w:val="32"/>
          <w:szCs w:val="32"/>
          <w:shd w:val="clear" w:color="auto" w:fill="FFFFFF"/>
        </w:rPr>
        <w:t>4号）同时废止。</w:t>
      </w:r>
      <w:bookmarkEnd w:id="2"/>
      <w:bookmarkEnd w:id="3"/>
    </w:p>
    <w:p w14:paraId="29F30C4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left"/>
        <w:textAlignment w:val="auto"/>
        <w:rPr>
          <w:rFonts w:hint="default" w:ascii="Times New Roman" w:hAnsi="Times New Roman" w:eastAsia="仿宋_GB2312" w:cs="Times New Roman"/>
          <w:kern w:val="0"/>
          <w:sz w:val="32"/>
          <w:szCs w:val="32"/>
          <w:shd w:val="clear" w:color="auto" w:fill="FFFFFF"/>
        </w:rPr>
      </w:pPr>
    </w:p>
    <w:p w14:paraId="18485A62">
      <w:pPr>
        <w:keepNext w:val="0"/>
        <w:keepLines w:val="0"/>
        <w:pageBreakBefore w:val="0"/>
        <w:widowControl w:val="0"/>
        <w:shd w:val="clear" w:color="auto" w:fill="FFFFFF"/>
        <w:kinsoku/>
        <w:wordWrap/>
        <w:overflowPunct/>
        <w:topLinePunct w:val="0"/>
        <w:bidi w:val="0"/>
        <w:adjustRightInd/>
        <w:snapToGrid/>
        <w:spacing w:line="520" w:lineRule="exact"/>
        <w:ind w:firstLine="645"/>
        <w:jc w:val="both"/>
        <w:rPr>
          <w:rFonts w:hint="default" w:ascii="Times New Roman" w:hAnsi="Times New Roman" w:eastAsia="仿宋_GB2312" w:cs="Times New Roman"/>
          <w:sz w:val="32"/>
        </w:rPr>
      </w:pPr>
      <w:r>
        <w:rPr>
          <w:rFonts w:hint="default" w:ascii="Times New Roman" w:hAnsi="Times New Roman" w:eastAsia="仿宋_GB2312" w:cs="Times New Roman"/>
          <w:kern w:val="0"/>
          <w:sz w:val="32"/>
          <w:szCs w:val="32"/>
          <w:shd w:val="clear" w:color="auto" w:fill="FFFFFF"/>
        </w:rPr>
        <w:t>附件：1</w:t>
      </w:r>
      <w:r>
        <w:rPr>
          <w:rFonts w:hint="eastAsia" w:eastAsia="仿宋_GB2312" w:cs="Times New Roman"/>
          <w:kern w:val="0"/>
          <w:sz w:val="32"/>
          <w:szCs w:val="32"/>
          <w:shd w:val="clear" w:color="auto" w:fill="FFFFFF"/>
          <w:lang w:eastAsia="zh-CN"/>
        </w:rPr>
        <w:t>．</w:t>
      </w:r>
      <w:r>
        <w:rPr>
          <w:rFonts w:hint="default" w:ascii="Times New Roman" w:hAnsi="Times New Roman" w:eastAsia="仿宋_GB2312" w:cs="Times New Roman"/>
          <w:kern w:val="0"/>
          <w:sz w:val="32"/>
          <w:szCs w:val="32"/>
          <w:shd w:val="clear" w:color="auto" w:fill="FFFFFF"/>
        </w:rPr>
        <w:t>文登区</w:t>
      </w:r>
      <w:r>
        <w:rPr>
          <w:rFonts w:hint="default" w:ascii="Times New Roman" w:hAnsi="Times New Roman" w:eastAsia="仿宋_GB2312" w:cs="Times New Roman"/>
          <w:sz w:val="32"/>
        </w:rPr>
        <w:t>普通住宅前期物业公共服务等级标准</w:t>
      </w:r>
    </w:p>
    <w:p w14:paraId="49CF7533">
      <w:pPr>
        <w:keepNext w:val="0"/>
        <w:keepLines w:val="0"/>
        <w:pageBreakBefore w:val="0"/>
        <w:widowControl w:val="0"/>
        <w:numPr>
          <w:ilvl w:val="0"/>
          <w:numId w:val="0"/>
        </w:numPr>
        <w:shd w:val="clear" w:color="auto" w:fill="FFFFFF"/>
        <w:kinsoku/>
        <w:wordWrap/>
        <w:overflowPunct/>
        <w:topLinePunct w:val="0"/>
        <w:bidi w:val="0"/>
        <w:adjustRightInd/>
        <w:snapToGrid/>
        <w:spacing w:line="520" w:lineRule="exact"/>
        <w:ind w:firstLine="1600" w:firstLineChars="500"/>
        <w:jc w:val="both"/>
        <w:rPr>
          <w:rFonts w:hint="default" w:ascii="Times New Roman" w:hAnsi="Times New Roman" w:eastAsia="仿宋_GB2312" w:cs="Times New Roman"/>
          <w:sz w:val="32"/>
        </w:rPr>
      </w:pPr>
      <w:r>
        <w:rPr>
          <w:rFonts w:hint="default" w:ascii="Times New Roman" w:hAnsi="Times New Roman" w:eastAsia="仿宋_GB2312" w:cs="Times New Roman"/>
          <w:kern w:val="2"/>
          <w:sz w:val="32"/>
          <w:szCs w:val="20"/>
          <w:lang w:val="en-US" w:eastAsia="zh-CN" w:bidi="ar-SA"/>
        </w:rPr>
        <w:t>2</w:t>
      </w:r>
      <w:r>
        <w:rPr>
          <w:rFonts w:hint="eastAsia" w:eastAsia="仿宋_GB2312" w:cs="Times New Roman"/>
          <w:kern w:val="2"/>
          <w:sz w:val="32"/>
          <w:szCs w:val="20"/>
          <w:lang w:val="en-US" w:eastAsia="zh-CN" w:bidi="ar-SA"/>
        </w:rPr>
        <w:t>．</w:t>
      </w:r>
      <w:r>
        <w:rPr>
          <w:rFonts w:hint="default" w:ascii="Times New Roman" w:hAnsi="Times New Roman" w:eastAsia="仿宋_GB2312" w:cs="Times New Roman"/>
          <w:sz w:val="32"/>
        </w:rPr>
        <w:t>文登区普通住宅前期物业公共服务费、机动车停</w:t>
      </w:r>
    </w:p>
    <w:p w14:paraId="35EA238A">
      <w:pPr>
        <w:keepNext w:val="0"/>
        <w:keepLines w:val="0"/>
        <w:pageBreakBefore w:val="0"/>
        <w:widowControl w:val="0"/>
        <w:shd w:val="clear" w:color="auto" w:fill="FFFFFF"/>
        <w:kinsoku/>
        <w:wordWrap/>
        <w:overflowPunct/>
        <w:topLinePunct w:val="0"/>
        <w:autoSpaceDE/>
        <w:autoSpaceDN/>
        <w:bidi w:val="0"/>
        <w:adjustRightInd/>
        <w:snapToGrid/>
        <w:spacing w:line="520" w:lineRule="exact"/>
        <w:ind w:left="0" w:leftChars="0" w:right="0" w:rightChars="0" w:firstLine="1948" w:firstLineChars="609"/>
        <w:jc w:val="both"/>
        <w:textAlignment w:val="auto"/>
        <w:outlineLvl w:val="9"/>
        <w:rPr>
          <w:rFonts w:hint="default" w:ascii="Times New Roman" w:hAnsi="Times New Roman" w:eastAsia="仿宋_GB2312" w:cs="Times New Roman"/>
          <w:sz w:val="32"/>
        </w:rPr>
      </w:pPr>
      <w:r>
        <w:rPr>
          <w:rFonts w:hint="default" w:ascii="Times New Roman" w:hAnsi="Times New Roman" w:eastAsia="仿宋_GB2312" w:cs="Times New Roman"/>
          <w:sz w:val="32"/>
          <w:lang w:val="en-US" w:eastAsia="zh-CN"/>
        </w:rPr>
        <w:t xml:space="preserve"> 放</w:t>
      </w:r>
      <w:r>
        <w:rPr>
          <w:rFonts w:hint="default" w:ascii="Times New Roman" w:hAnsi="Times New Roman" w:eastAsia="仿宋_GB2312" w:cs="Times New Roman"/>
          <w:sz w:val="32"/>
        </w:rPr>
        <w:t>费政府指导价格</w:t>
      </w:r>
    </w:p>
    <w:p w14:paraId="4CE48CE8">
      <w:pPr>
        <w:widowControl w:val="0"/>
        <w:snapToGrid w:val="0"/>
        <w:spacing w:line="560" w:lineRule="exact"/>
        <w:ind w:left="0" w:leftChars="0" w:firstLine="1600" w:firstLineChars="500"/>
        <w:jc w:val="both"/>
        <w:rPr>
          <w:rFonts w:hint="default" w:ascii="Times New Roman" w:hAnsi="Times New Roman" w:eastAsia="仿宋_GB2312" w:cs="Times New Roman"/>
          <w:sz w:val="32"/>
        </w:rPr>
      </w:pPr>
      <w:r>
        <w:rPr>
          <w:rFonts w:hint="default" w:ascii="Times New Roman" w:hAnsi="Times New Roman" w:eastAsia="仿宋_GB2312" w:cs="Times New Roman"/>
          <w:sz w:val="32"/>
        </w:rPr>
        <w:t>3</w:t>
      </w:r>
      <w:r>
        <w:rPr>
          <w:rFonts w:hint="eastAsia" w:eastAsia="仿宋_GB2312" w:cs="Times New Roman"/>
          <w:sz w:val="32"/>
          <w:lang w:val="en-US" w:eastAsia="zh-CN"/>
        </w:rPr>
        <w:t>．</w:t>
      </w:r>
      <w:r>
        <w:rPr>
          <w:rFonts w:hint="default" w:ascii="Times New Roman" w:hAnsi="Times New Roman" w:eastAsia="仿宋_GB2312" w:cs="Times New Roman"/>
          <w:sz w:val="32"/>
        </w:rPr>
        <w:t>文登区普通住</w:t>
      </w:r>
      <w:r>
        <w:rPr>
          <w:rFonts w:hint="default" w:ascii="Times New Roman" w:hAnsi="Times New Roman" w:eastAsia="仿宋_GB2312" w:cs="Times New Roman"/>
          <w:spacing w:val="-3"/>
          <w:sz w:val="32"/>
        </w:rPr>
        <w:t>宅前期物业服务收费公示牌（样</w:t>
      </w:r>
      <w:r>
        <w:rPr>
          <w:rFonts w:hint="default" w:ascii="Times New Roman" w:hAnsi="Times New Roman" w:eastAsia="仿宋_GB2312" w:cs="Times New Roman"/>
          <w:sz w:val="32"/>
        </w:rPr>
        <w:t>式）</w:t>
      </w:r>
    </w:p>
    <w:p w14:paraId="54AD041F">
      <w:pPr>
        <w:pStyle w:val="3"/>
        <w:rPr>
          <w:rFonts w:hint="default" w:ascii="Times New Roman" w:hAnsi="Times New Roman" w:eastAsia="仿宋_GB2312" w:cs="Times New Roman"/>
          <w:b w:val="0"/>
          <w:bCs w:val="0"/>
          <w:kern w:val="0"/>
          <w:sz w:val="32"/>
          <w:szCs w:val="32"/>
          <w:shd w:val="clear" w:color="auto" w:fill="FFFFFF"/>
        </w:rPr>
      </w:pPr>
    </w:p>
    <w:p w14:paraId="7C0FCCA8">
      <w:pPr>
        <w:pStyle w:val="3"/>
        <w:rPr>
          <w:rFonts w:hint="default" w:ascii="Times New Roman" w:hAnsi="Times New Roman" w:eastAsia="仿宋_GB2312" w:cs="Times New Roman"/>
          <w:b w:val="0"/>
          <w:bCs w:val="0"/>
          <w:kern w:val="0"/>
          <w:sz w:val="32"/>
          <w:szCs w:val="32"/>
          <w:shd w:val="clear" w:color="auto" w:fill="FFFFFF"/>
        </w:rPr>
      </w:pPr>
      <w:r>
        <w:rPr>
          <w:rFonts w:hint="default" w:ascii="Times New Roman" w:hAnsi="Times New Roman" w:eastAsia="仿宋_GB2312" w:cs="Times New Roman"/>
          <w:b w:val="0"/>
          <w:bCs w:val="0"/>
          <w:kern w:val="0"/>
          <w:sz w:val="32"/>
          <w:szCs w:val="32"/>
          <w:shd w:val="clear" w:color="auto" w:fill="FFFFFF"/>
        </w:rPr>
        <w:t xml:space="preserve">威海市文登区发展和改革局  </w:t>
      </w:r>
      <w:r>
        <w:rPr>
          <w:rFonts w:hint="eastAsia" w:ascii="Times New Roman" w:hAnsi="Times New Roman" w:eastAsia="仿宋_GB2312" w:cs="Times New Roman"/>
          <w:b w:val="0"/>
          <w:bCs w:val="0"/>
          <w:kern w:val="0"/>
          <w:sz w:val="32"/>
          <w:szCs w:val="32"/>
          <w:shd w:val="clear" w:color="auto" w:fill="FFFFFF"/>
          <w:lang w:val="en-US" w:eastAsia="zh-CN"/>
        </w:rPr>
        <w:t xml:space="preserve">    </w:t>
      </w:r>
      <w:r>
        <w:rPr>
          <w:rFonts w:hint="default" w:ascii="Times New Roman" w:hAnsi="Times New Roman" w:eastAsia="仿宋_GB2312" w:cs="Times New Roman"/>
          <w:b w:val="0"/>
          <w:bCs w:val="0"/>
          <w:kern w:val="0"/>
          <w:sz w:val="32"/>
          <w:szCs w:val="32"/>
          <w:shd w:val="clear" w:color="auto" w:fill="FFFFFF"/>
        </w:rPr>
        <w:t>威海市文登区住房和城乡建设局</w:t>
      </w:r>
    </w:p>
    <w:p w14:paraId="55288398">
      <w:pPr>
        <w:rPr>
          <w:rFonts w:hint="default" w:ascii="Times New Roman" w:hAnsi="Times New Roman" w:eastAsia="仿宋_GB2312" w:cs="Times New Roman"/>
          <w:kern w:val="0"/>
          <w:sz w:val="32"/>
          <w:szCs w:val="32"/>
          <w:shd w:val="clear" w:color="auto" w:fill="FFFFFF"/>
        </w:rPr>
      </w:pPr>
    </w:p>
    <w:p w14:paraId="4D4372C8">
      <w:pPr>
        <w:jc w:val="right"/>
        <w:rPr>
          <w:rFonts w:hint="default" w:ascii="Times New Roman" w:hAnsi="Times New Roman" w:eastAsia="仿宋_GB2312" w:cs="Times New Roman"/>
          <w:kern w:val="0"/>
          <w:sz w:val="32"/>
          <w:szCs w:val="32"/>
          <w:shd w:val="clear" w:color="auto" w:fill="FFFFFF"/>
        </w:rPr>
      </w:pPr>
    </w:p>
    <w:p w14:paraId="01DA99E5">
      <w:pPr>
        <w:jc w:val="right"/>
        <w:rPr>
          <w:rFonts w:hint="default" w:ascii="Times New Roman" w:hAnsi="Times New Roman" w:eastAsia="仿宋_GB2312" w:cs="Times New Roman"/>
          <w:kern w:val="0"/>
          <w:sz w:val="32"/>
          <w:szCs w:val="32"/>
          <w:shd w:val="clear" w:color="auto" w:fill="FFFFFF"/>
        </w:rPr>
      </w:pPr>
    </w:p>
    <w:p w14:paraId="36851D29">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right"/>
        <w:textAlignment w:val="auto"/>
        <w:outlineLvl w:val="9"/>
        <w:rPr>
          <w:rFonts w:hint="default" w:ascii="Times New Roman" w:hAnsi="Times New Roman" w:eastAsia="仿宋_GB2312" w:cs="Times New Roman"/>
          <w:kern w:val="0"/>
          <w:sz w:val="32"/>
          <w:szCs w:val="32"/>
          <w:shd w:val="clear" w:color="auto" w:fill="FFFFFF"/>
        </w:rPr>
      </w:pPr>
      <w:r>
        <w:rPr>
          <w:rFonts w:hint="default" w:ascii="Times New Roman" w:hAnsi="Times New Roman" w:eastAsia="仿宋_GB2312" w:cs="Times New Roman"/>
          <w:kern w:val="0"/>
          <w:sz w:val="32"/>
          <w:szCs w:val="32"/>
          <w:shd w:val="clear" w:color="auto" w:fill="FFFFFF"/>
        </w:rPr>
        <w:t>威海市文登区市场监督管理局</w:t>
      </w:r>
    </w:p>
    <w:p w14:paraId="7B9B0A6D">
      <w:pPr>
        <w:widowControl w:val="0"/>
        <w:snapToGrid w:val="0"/>
        <w:spacing w:line="560" w:lineRule="exact"/>
        <w:ind w:left="0" w:leftChars="0" w:firstLine="1600" w:firstLineChars="500"/>
        <w:jc w:val="both"/>
        <w:rPr>
          <w:rFonts w:hint="default" w:ascii="Times New Roman" w:hAnsi="Times New Roman" w:eastAsia="仿宋_GB2312" w:cs="Times New Roman"/>
          <w:sz w:val="32"/>
          <w:lang w:val="en-US" w:eastAsia="zh-CN"/>
        </w:rPr>
      </w:pPr>
      <w:r>
        <w:rPr>
          <w:rFonts w:hint="default" w:ascii="Times New Roman" w:hAnsi="Times New Roman" w:eastAsia="仿宋_GB2312" w:cs="Times New Roman"/>
          <w:kern w:val="0"/>
          <w:sz w:val="32"/>
          <w:szCs w:val="32"/>
          <w:shd w:val="clear" w:color="auto" w:fill="FFFFFF"/>
        </w:rPr>
        <w:t xml:space="preserve"> </w:t>
      </w:r>
      <w:r>
        <w:rPr>
          <w:rFonts w:hint="default" w:ascii="Times New Roman" w:hAnsi="Times New Roman" w:eastAsia="仿宋_GB2312" w:cs="Times New Roman"/>
          <w:kern w:val="0"/>
          <w:sz w:val="32"/>
          <w:szCs w:val="32"/>
          <w:shd w:val="clear" w:color="auto" w:fill="FFFFFF"/>
          <w:lang w:val="en-US" w:eastAsia="zh-CN"/>
        </w:rPr>
        <w:t xml:space="preserve">                           </w:t>
      </w:r>
      <w:r>
        <w:rPr>
          <w:rFonts w:hint="default" w:ascii="Times New Roman" w:hAnsi="Times New Roman" w:eastAsia="仿宋_GB2312" w:cs="Times New Roman"/>
          <w:spacing w:val="6"/>
          <w:kern w:val="0"/>
          <w:sz w:val="32"/>
          <w:szCs w:val="32"/>
          <w:shd w:val="clear" w:color="auto" w:fill="FFFFFF"/>
          <w:lang w:val="en-US" w:eastAsia="zh-CN"/>
        </w:rPr>
        <w:t xml:space="preserve">     </w:t>
      </w:r>
      <w:r>
        <w:rPr>
          <w:rFonts w:hint="eastAsia" w:ascii="Times New Roman" w:hAnsi="Times New Roman" w:eastAsia="仿宋_GB2312" w:cs="Times New Roman"/>
          <w:spacing w:val="6"/>
          <w:kern w:val="0"/>
          <w:sz w:val="32"/>
          <w:szCs w:val="32"/>
          <w:shd w:val="clear" w:color="auto" w:fill="FFFFFF"/>
          <w:lang w:val="en-US" w:eastAsia="zh-CN"/>
        </w:rPr>
        <w:t xml:space="preserve">                 </w:t>
      </w:r>
      <w:r>
        <w:rPr>
          <w:rFonts w:hint="default" w:ascii="Times New Roman" w:hAnsi="Times New Roman" w:eastAsia="仿宋_GB2312" w:cs="Times New Roman"/>
          <w:spacing w:val="6"/>
          <w:kern w:val="0"/>
          <w:sz w:val="32"/>
          <w:szCs w:val="32"/>
          <w:shd w:val="clear" w:color="auto" w:fill="FFFFFF"/>
          <w:lang w:val="en-US" w:eastAsia="zh-CN"/>
        </w:rPr>
        <w:t xml:space="preserve"> </w:t>
      </w:r>
      <w:r>
        <w:rPr>
          <w:rFonts w:hint="default" w:ascii="Times New Roman" w:hAnsi="Times New Roman" w:eastAsia="仿宋_GB2312" w:cs="Times New Roman"/>
          <w:kern w:val="0"/>
          <w:sz w:val="32"/>
          <w:szCs w:val="32"/>
          <w:shd w:val="clear" w:color="auto" w:fill="FFFFFF"/>
        </w:rPr>
        <w:t xml:space="preserve"> 2022年12月1日</w:t>
      </w:r>
    </w:p>
    <w:p w14:paraId="1E6FBD09">
      <w:pPr>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lang w:val="en-US" w:eastAsia="zh-CN"/>
        </w:rPr>
        <w:br w:type="page"/>
      </w:r>
    </w:p>
    <w:p w14:paraId="116D2657">
      <w:pPr>
        <w:pStyle w:val="4"/>
        <w:spacing w:after="0"/>
        <w:sectPr>
          <w:footerReference r:id="rId5" w:type="default"/>
          <w:footerReference r:id="rId6" w:type="even"/>
          <w:pgSz w:w="11910" w:h="16840"/>
          <w:pgMar w:top="2098" w:right="1474" w:bottom="1871" w:left="1587" w:header="0" w:footer="1646" w:gutter="0"/>
          <w:cols w:space="720" w:num="1"/>
        </w:sectPr>
      </w:pPr>
    </w:p>
    <w:p w14:paraId="448EC3B5">
      <w:pPr>
        <w:spacing w:before="42"/>
        <w:ind w:left="414" w:right="0" w:firstLine="0"/>
        <w:jc w:val="left"/>
        <w:rPr>
          <w:rFonts w:hint="eastAsia" w:ascii="黑体" w:hAnsi="黑体" w:eastAsia="黑体" w:cs="黑体"/>
          <w:sz w:val="28"/>
        </w:rPr>
      </w:pPr>
      <w:r>
        <w:rPr>
          <w:rFonts w:hint="eastAsia" w:ascii="黑体" w:hAnsi="黑体" w:eastAsia="黑体" w:cs="黑体"/>
          <w:spacing w:val="-4"/>
          <w:sz w:val="28"/>
        </w:rPr>
        <w:t>附件</w:t>
      </w:r>
      <w:r>
        <w:rPr>
          <w:rFonts w:hint="eastAsia" w:ascii="黑体" w:hAnsi="黑体" w:eastAsia="黑体" w:cs="黑体"/>
          <w:spacing w:val="-10"/>
          <w:sz w:val="28"/>
        </w:rPr>
        <w:t>1</w:t>
      </w:r>
    </w:p>
    <w:p w14:paraId="41C260CA">
      <w:pPr>
        <w:pStyle w:val="4"/>
        <w:spacing w:before="12"/>
        <w:rPr>
          <w:sz w:val="44"/>
        </w:rPr>
      </w:pPr>
      <w:r>
        <w:br w:type="column"/>
      </w:r>
    </w:p>
    <w:p w14:paraId="2A924958">
      <w:pPr>
        <w:pStyle w:val="2"/>
        <w:ind w:left="414"/>
        <w:rPr>
          <w:rFonts w:hint="eastAsia" w:ascii="方正小标宋简体" w:hAnsi="方正小标宋简体" w:eastAsia="方正小标宋简体" w:cs="方正小标宋简体"/>
        </w:rPr>
      </w:pPr>
      <w:r>
        <w:rPr>
          <w:rFonts w:hint="eastAsia" w:ascii="方正小标宋简体" w:hAnsi="方正小标宋简体" w:eastAsia="方正小标宋简体" w:cs="方正小标宋简体"/>
          <w:spacing w:val="-1"/>
        </w:rPr>
        <w:t>文登区普通住宅前期物业公共服务等级标准</w:t>
      </w:r>
    </w:p>
    <w:p w14:paraId="1068C465">
      <w:pPr>
        <w:pStyle w:val="2"/>
        <w:spacing w:after="0"/>
        <w:sectPr>
          <w:footerReference r:id="rId7" w:type="default"/>
          <w:footerReference r:id="rId8" w:type="even"/>
          <w:pgSz w:w="16840" w:h="11910" w:orient="landscape"/>
          <w:pgMar w:top="980" w:right="708" w:bottom="955" w:left="566" w:header="0" w:footer="464" w:gutter="0"/>
          <w:pgNumType w:start="9"/>
          <w:cols w:equalWidth="0" w:num="2">
            <w:col w:w="1154" w:space="2086"/>
            <w:col w:w="12326"/>
          </w:cols>
        </w:sectPr>
      </w:pPr>
    </w:p>
    <w:p w14:paraId="7FB216C8">
      <w:pPr>
        <w:pStyle w:val="4"/>
        <w:rPr>
          <w:sz w:val="6"/>
        </w:rPr>
      </w:pPr>
    </w:p>
    <w:tbl>
      <w:tblPr>
        <w:tblStyle w:val="6"/>
        <w:tblW w:w="0" w:type="auto"/>
        <w:tblInd w:w="3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94"/>
        <w:gridCol w:w="540"/>
        <w:gridCol w:w="3300"/>
        <w:gridCol w:w="3134"/>
        <w:gridCol w:w="2911"/>
        <w:gridCol w:w="2774"/>
        <w:gridCol w:w="1814"/>
      </w:tblGrid>
      <w:tr w14:paraId="595FF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1" w:hRule="atLeast"/>
        </w:trPr>
        <w:tc>
          <w:tcPr>
            <w:tcW w:w="1034" w:type="dxa"/>
            <w:gridSpan w:val="2"/>
          </w:tcPr>
          <w:p w14:paraId="3348C4AA">
            <w:pPr>
              <w:pStyle w:val="10"/>
              <w:spacing w:before="99" w:line="308" w:lineRule="exact"/>
              <w:ind w:left="445"/>
              <w:rPr>
                <w:rFonts w:ascii="Microsoft JhengHei" w:eastAsia="Microsoft JhengHei"/>
                <w:b/>
                <w:sz w:val="20"/>
              </w:rPr>
            </w:pPr>
            <w:r>
              <w:rPr>
                <w:rFonts w:ascii="Microsoft JhengHei" w:eastAsia="Microsoft JhengHei"/>
                <w:b/>
                <w:spacing w:val="-5"/>
                <w:sz w:val="20"/>
              </w:rPr>
              <w:t>级别</w:t>
            </w:r>
          </w:p>
          <w:p w14:paraId="11BBE4F3">
            <w:pPr>
              <w:pStyle w:val="10"/>
              <w:spacing w:line="308" w:lineRule="exact"/>
              <w:ind w:left="37"/>
              <w:rPr>
                <w:rFonts w:ascii="Microsoft JhengHei" w:eastAsia="Microsoft JhengHei"/>
                <w:b/>
                <w:sz w:val="20"/>
              </w:rPr>
            </w:pPr>
            <w:r>
              <w:rPr>
                <w:rFonts w:ascii="Microsoft JhengHei" w:eastAsia="Microsoft JhengHei"/>
                <w:b/>
                <w:sz w:val="20"/>
              </w:rPr>
              <mc:AlternateContent>
                <mc:Choice Requires="wpg">
                  <w:drawing>
                    <wp:anchor distT="0" distB="0" distL="0" distR="0" simplePos="0" relativeHeight="251663360" behindDoc="1" locked="0" layoutInCell="1" allowOverlap="1">
                      <wp:simplePos x="0" y="0"/>
                      <wp:positionH relativeFrom="column">
                        <wp:posOffset>0</wp:posOffset>
                      </wp:positionH>
                      <wp:positionV relativeFrom="paragraph">
                        <wp:posOffset>-264795</wp:posOffset>
                      </wp:positionV>
                      <wp:extent cx="669290" cy="521335"/>
                      <wp:effectExtent l="0" t="0" r="0" b="0"/>
                      <wp:wrapNone/>
                      <wp:docPr id="14" name="Group 14"/>
                      <wp:cNvGraphicFramePr/>
                      <a:graphic xmlns:a="http://schemas.openxmlformats.org/drawingml/2006/main">
                        <a:graphicData uri="http://schemas.microsoft.com/office/word/2010/wordprocessingGroup">
                          <wpg:wgp>
                            <wpg:cNvGrpSpPr/>
                            <wpg:grpSpPr>
                              <a:xfrm>
                                <a:off x="0" y="0"/>
                                <a:ext cx="669290" cy="521334"/>
                                <a:chOff x="0" y="0"/>
                                <a:chExt cx="669290" cy="521334"/>
                              </a:xfrm>
                            </wpg:grpSpPr>
                            <wps:wsp>
                              <wps:cNvPr id="15" name="Graphic 15"/>
                              <wps:cNvSpPr/>
                              <wps:spPr>
                                <a:xfrm>
                                  <a:off x="6095" y="6095"/>
                                  <a:ext cx="657225" cy="509270"/>
                                </a:xfrm>
                                <a:custGeom>
                                  <a:avLst/>
                                  <a:gdLst/>
                                  <a:ahLst/>
                                  <a:cxnLst/>
                                  <a:rect l="l" t="t" r="r" b="b"/>
                                  <a:pathLst>
                                    <a:path w="657225" h="509270">
                                      <a:moveTo>
                                        <a:pt x="0" y="0"/>
                                      </a:moveTo>
                                      <a:lnTo>
                                        <a:pt x="656844" y="509016"/>
                                      </a:lnTo>
                                    </a:path>
                                  </a:pathLst>
                                </a:custGeom>
                                <a:ln w="12192">
                                  <a:solidFill>
                                    <a:srgbClr val="000000"/>
                                  </a:solidFill>
                                  <a:prstDash val="solid"/>
                                </a:ln>
                              </wps:spPr>
                              <wps:bodyPr wrap="square" lIns="0" tIns="0" rIns="0" bIns="0" rtlCol="0">
                                <a:noAutofit/>
                              </wps:bodyPr>
                            </wps:wsp>
                          </wpg:wgp>
                        </a:graphicData>
                      </a:graphic>
                    </wp:anchor>
                  </w:drawing>
                </mc:Choice>
                <mc:Fallback>
                  <w:pict>
                    <v:group id="Group 14" o:spid="_x0000_s1026" o:spt="203" style="position:absolute;left:0pt;margin-left:0pt;margin-top:-20.85pt;height:41.05pt;width:52.7pt;z-index:-251653120;mso-width-relative:page;mso-height-relative:page;" coordsize="669290,521334" o:gfxdata="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Iuab8nXAAAABwEAAA8AAAAAAAAAAQAgAAAA&#10;IgAAAGRycy9kb3ducmV2LnhtbFBLAQIUABQAAAAIAIdO4kDdQWdOfgIAAMAFAAAOAAAAAAAAAAEA&#10;IAAAACYBAABkcnMvZTJvRG9jLnhtbFBLBQYAAAAABgAGAFkBAAAWBgAAAAA=&#10;">
                      <o:lock v:ext="edit" aspectratio="f"/>
                      <v:shape id="Graphic 15" o:spid="_x0000_s1026" o:spt="100" style="position:absolute;left:6095;top:6095;height:509270;width:657225;" filled="f" stroked="t" coordsize="657225,509270" o:gfxdata="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QlRprugAAANsA&#10;AAAPAAAAAAAAAAEAIAAAACIAAABkcnMvZG93bnJldi54bWxQSwECFAAUAAAACACHTuJAMy8FnjsA&#10;AAA5AAAAEAAAAAAAAAABACAAAAAJAQAAZHJzL3NoYXBleG1sLnhtbFBLBQYAAAAABgAGAFsBAACz&#10;AwAAAAA=&#10;" path="m0,0l656844,509016e">
                        <v:fill on="f" focussize="0,0"/>
                        <v:stroke weight="0.96pt" color="#000000" joinstyle="round"/>
                        <v:imagedata o:title=""/>
                        <o:lock v:ext="edit" aspectratio="f"/>
                        <v:textbox inset="0mm,0mm,0mm,0mm"/>
                      </v:shape>
                    </v:group>
                  </w:pict>
                </mc:Fallback>
              </mc:AlternateContent>
            </w:r>
            <w:r>
              <w:rPr>
                <w:rFonts w:ascii="Microsoft JhengHei" w:eastAsia="Microsoft JhengHei"/>
                <w:b/>
                <w:spacing w:val="-5"/>
                <w:sz w:val="20"/>
              </w:rPr>
              <w:t>项目</w:t>
            </w:r>
          </w:p>
        </w:tc>
        <w:tc>
          <w:tcPr>
            <w:tcW w:w="3300" w:type="dxa"/>
          </w:tcPr>
          <w:p w14:paraId="16D72E0C">
            <w:pPr>
              <w:pStyle w:val="10"/>
              <w:spacing w:before="223"/>
              <w:ind w:left="36"/>
              <w:jc w:val="center"/>
              <w:rPr>
                <w:rFonts w:ascii="Microsoft JhengHei" w:eastAsia="Microsoft JhengHei"/>
                <w:b/>
                <w:sz w:val="20"/>
              </w:rPr>
            </w:pPr>
            <w:r>
              <w:rPr>
                <w:rFonts w:ascii="Microsoft JhengHei" w:eastAsia="Microsoft JhengHei"/>
                <w:b/>
                <w:spacing w:val="-5"/>
                <w:sz w:val="20"/>
              </w:rPr>
              <w:t>一级</w:t>
            </w:r>
          </w:p>
        </w:tc>
        <w:tc>
          <w:tcPr>
            <w:tcW w:w="3134" w:type="dxa"/>
          </w:tcPr>
          <w:p w14:paraId="17D881BC">
            <w:pPr>
              <w:pStyle w:val="10"/>
              <w:spacing w:before="223"/>
              <w:ind w:left="34"/>
              <w:jc w:val="center"/>
              <w:rPr>
                <w:rFonts w:ascii="Microsoft JhengHei" w:eastAsia="Microsoft JhengHei"/>
                <w:b/>
                <w:sz w:val="20"/>
              </w:rPr>
            </w:pPr>
            <w:r>
              <w:rPr>
                <w:rFonts w:ascii="Microsoft JhengHei" w:eastAsia="Microsoft JhengHei"/>
                <w:b/>
                <w:spacing w:val="-5"/>
                <w:sz w:val="20"/>
              </w:rPr>
              <w:t>二级</w:t>
            </w:r>
          </w:p>
        </w:tc>
        <w:tc>
          <w:tcPr>
            <w:tcW w:w="2911" w:type="dxa"/>
          </w:tcPr>
          <w:p w14:paraId="20033309">
            <w:pPr>
              <w:pStyle w:val="10"/>
              <w:spacing w:before="223"/>
              <w:ind w:left="37"/>
              <w:jc w:val="center"/>
              <w:rPr>
                <w:rFonts w:ascii="Microsoft JhengHei" w:eastAsia="Microsoft JhengHei"/>
                <w:b/>
                <w:sz w:val="20"/>
              </w:rPr>
            </w:pPr>
            <w:r>
              <w:rPr>
                <w:rFonts w:ascii="Microsoft JhengHei" w:eastAsia="Microsoft JhengHei"/>
                <w:b/>
                <w:spacing w:val="-5"/>
                <w:sz w:val="20"/>
              </w:rPr>
              <w:t>三级</w:t>
            </w:r>
          </w:p>
        </w:tc>
        <w:tc>
          <w:tcPr>
            <w:tcW w:w="2774" w:type="dxa"/>
          </w:tcPr>
          <w:p w14:paraId="7240618A">
            <w:pPr>
              <w:pStyle w:val="10"/>
              <w:spacing w:before="223"/>
              <w:ind w:left="38"/>
              <w:jc w:val="center"/>
              <w:rPr>
                <w:rFonts w:ascii="Microsoft JhengHei" w:eastAsia="Microsoft JhengHei"/>
                <w:b/>
                <w:sz w:val="20"/>
              </w:rPr>
            </w:pPr>
            <w:r>
              <w:rPr>
                <w:rFonts w:ascii="Microsoft JhengHei" w:eastAsia="Microsoft JhengHei"/>
                <w:b/>
                <w:spacing w:val="-5"/>
                <w:sz w:val="20"/>
              </w:rPr>
              <w:t>四级</w:t>
            </w:r>
          </w:p>
        </w:tc>
        <w:tc>
          <w:tcPr>
            <w:tcW w:w="1814" w:type="dxa"/>
          </w:tcPr>
          <w:p w14:paraId="547A9361">
            <w:pPr>
              <w:pStyle w:val="10"/>
              <w:spacing w:before="223"/>
              <w:ind w:left="36"/>
              <w:jc w:val="center"/>
              <w:rPr>
                <w:rFonts w:ascii="Microsoft JhengHei" w:eastAsia="Microsoft JhengHei"/>
                <w:b/>
                <w:sz w:val="20"/>
              </w:rPr>
            </w:pPr>
            <w:r>
              <w:rPr>
                <w:rFonts w:ascii="Microsoft JhengHei" w:eastAsia="Microsoft JhengHei"/>
                <w:b/>
                <w:spacing w:val="-5"/>
                <w:sz w:val="20"/>
              </w:rPr>
              <w:t>五级</w:t>
            </w:r>
          </w:p>
        </w:tc>
      </w:tr>
      <w:tr w14:paraId="0D246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33" w:hRule="atLeast"/>
        </w:trPr>
        <w:tc>
          <w:tcPr>
            <w:tcW w:w="494" w:type="dxa"/>
            <w:vMerge w:val="restart"/>
          </w:tcPr>
          <w:p w14:paraId="3B2B7C22">
            <w:pPr>
              <w:pStyle w:val="10"/>
              <w:rPr>
                <w:sz w:val="20"/>
              </w:rPr>
            </w:pPr>
          </w:p>
          <w:p w14:paraId="60819657">
            <w:pPr>
              <w:pStyle w:val="10"/>
              <w:rPr>
                <w:sz w:val="20"/>
              </w:rPr>
            </w:pPr>
          </w:p>
          <w:p w14:paraId="4B2664D2">
            <w:pPr>
              <w:pStyle w:val="10"/>
              <w:rPr>
                <w:sz w:val="20"/>
              </w:rPr>
            </w:pPr>
          </w:p>
          <w:p w14:paraId="209D8DBD">
            <w:pPr>
              <w:pStyle w:val="10"/>
              <w:rPr>
                <w:sz w:val="20"/>
              </w:rPr>
            </w:pPr>
          </w:p>
          <w:p w14:paraId="657841F6">
            <w:pPr>
              <w:pStyle w:val="10"/>
              <w:rPr>
                <w:sz w:val="20"/>
              </w:rPr>
            </w:pPr>
          </w:p>
          <w:p w14:paraId="6B81083E">
            <w:pPr>
              <w:pStyle w:val="10"/>
              <w:rPr>
                <w:sz w:val="20"/>
              </w:rPr>
            </w:pPr>
          </w:p>
          <w:p w14:paraId="472F486C">
            <w:pPr>
              <w:pStyle w:val="10"/>
              <w:rPr>
                <w:sz w:val="20"/>
              </w:rPr>
            </w:pPr>
          </w:p>
          <w:p w14:paraId="0114D788">
            <w:pPr>
              <w:pStyle w:val="10"/>
              <w:rPr>
                <w:sz w:val="20"/>
              </w:rPr>
            </w:pPr>
          </w:p>
          <w:p w14:paraId="2ED2AD65">
            <w:pPr>
              <w:pStyle w:val="10"/>
              <w:rPr>
                <w:sz w:val="20"/>
              </w:rPr>
            </w:pPr>
          </w:p>
          <w:p w14:paraId="34171587">
            <w:pPr>
              <w:pStyle w:val="10"/>
              <w:rPr>
                <w:sz w:val="20"/>
              </w:rPr>
            </w:pPr>
          </w:p>
          <w:p w14:paraId="7A66F007">
            <w:pPr>
              <w:pStyle w:val="10"/>
              <w:rPr>
                <w:sz w:val="20"/>
              </w:rPr>
            </w:pPr>
          </w:p>
          <w:p w14:paraId="07B3AB53">
            <w:pPr>
              <w:pStyle w:val="10"/>
              <w:rPr>
                <w:sz w:val="20"/>
              </w:rPr>
            </w:pPr>
          </w:p>
          <w:p w14:paraId="1694A535">
            <w:pPr>
              <w:pStyle w:val="10"/>
              <w:spacing w:before="88"/>
              <w:rPr>
                <w:sz w:val="20"/>
              </w:rPr>
            </w:pPr>
          </w:p>
          <w:p w14:paraId="5E70DE3B">
            <w:pPr>
              <w:pStyle w:val="10"/>
              <w:spacing w:line="232" w:lineRule="auto"/>
              <w:ind w:left="53" w:right="15"/>
              <w:jc w:val="both"/>
              <w:rPr>
                <w:sz w:val="20"/>
              </w:rPr>
            </w:pPr>
            <w:r>
              <w:rPr>
                <w:spacing w:val="-6"/>
                <w:sz w:val="20"/>
              </w:rPr>
              <w:t>综合管理</w:t>
            </w:r>
            <w:r>
              <w:rPr>
                <w:spacing w:val="-5"/>
                <w:sz w:val="20"/>
              </w:rPr>
              <w:t>服务</w:t>
            </w:r>
          </w:p>
        </w:tc>
        <w:tc>
          <w:tcPr>
            <w:tcW w:w="540" w:type="dxa"/>
          </w:tcPr>
          <w:p w14:paraId="6D3D32FE">
            <w:pPr>
              <w:pStyle w:val="10"/>
              <w:rPr>
                <w:sz w:val="20"/>
              </w:rPr>
            </w:pPr>
          </w:p>
          <w:p w14:paraId="25F9E00D">
            <w:pPr>
              <w:pStyle w:val="10"/>
              <w:rPr>
                <w:sz w:val="20"/>
              </w:rPr>
            </w:pPr>
          </w:p>
          <w:p w14:paraId="5642540D">
            <w:pPr>
              <w:pStyle w:val="10"/>
              <w:rPr>
                <w:sz w:val="20"/>
              </w:rPr>
            </w:pPr>
          </w:p>
          <w:p w14:paraId="6253054E">
            <w:pPr>
              <w:pStyle w:val="10"/>
              <w:spacing w:before="174"/>
              <w:rPr>
                <w:sz w:val="20"/>
              </w:rPr>
            </w:pPr>
          </w:p>
          <w:p w14:paraId="577E5681">
            <w:pPr>
              <w:pStyle w:val="10"/>
              <w:spacing w:line="230" w:lineRule="auto"/>
              <w:ind w:left="77" w:right="39"/>
              <w:rPr>
                <w:sz w:val="20"/>
              </w:rPr>
            </w:pPr>
            <w:r>
              <w:rPr>
                <w:spacing w:val="-6"/>
                <w:sz w:val="20"/>
              </w:rPr>
              <w:t>基本</w:t>
            </w:r>
            <w:r>
              <w:rPr>
                <w:spacing w:val="-5"/>
                <w:sz w:val="20"/>
              </w:rPr>
              <w:t>要求</w:t>
            </w:r>
          </w:p>
        </w:tc>
        <w:tc>
          <w:tcPr>
            <w:tcW w:w="3300" w:type="dxa"/>
          </w:tcPr>
          <w:p w14:paraId="5075A5B0">
            <w:pPr>
              <w:pStyle w:val="10"/>
              <w:spacing w:before="205" w:line="232" w:lineRule="auto"/>
              <w:ind w:left="39" w:right="38"/>
              <w:rPr>
                <w:sz w:val="20"/>
              </w:rPr>
            </w:pPr>
            <w:r>
              <w:rPr>
                <w:spacing w:val="-2"/>
                <w:sz w:val="20"/>
              </w:rPr>
              <w:t>有签订规范的物业服务合同，完善的物业服务方案和健全的制度；物业共用部位、共用设施设备验收手续齐 全；服务人员统一着装、行为规范，服务主动热情；按规定公示物业服务内容标准、投诉举报受理渠道、共有部分收益，能够规范使用住房专项维修资金；对违反小区临时规约或政府有关规定的行为进行劝阻、制止或报有关部门处理。</w:t>
            </w:r>
          </w:p>
        </w:tc>
        <w:tc>
          <w:tcPr>
            <w:tcW w:w="3134" w:type="dxa"/>
          </w:tcPr>
          <w:p w14:paraId="51C4F880">
            <w:pPr>
              <w:pStyle w:val="10"/>
              <w:spacing w:before="205" w:line="232" w:lineRule="auto"/>
              <w:ind w:left="39" w:right="72"/>
              <w:jc w:val="both"/>
              <w:rPr>
                <w:sz w:val="20"/>
              </w:rPr>
            </w:pPr>
            <w:r>
              <w:rPr>
                <w:spacing w:val="-2"/>
                <w:sz w:val="20"/>
              </w:rPr>
              <w:t>有签订规范的物业服务合同，完善的物业服务方案和健全的制度；物业共用部位、共用设施设备验收手续齐全；服务人员统一着装、行为规范，服务主动热情；按规定公示物业服务内容标准、投诉举报受理渠道、共有部分收益，能够规范使用住房专项维修资金；对违反小区临时规约或政府有关规定的行为进</w:t>
            </w:r>
            <w:r>
              <w:rPr>
                <w:spacing w:val="-3"/>
                <w:sz w:val="20"/>
              </w:rPr>
              <w:t>行劝阻、制止或报有关部门处理。</w:t>
            </w:r>
          </w:p>
        </w:tc>
        <w:tc>
          <w:tcPr>
            <w:tcW w:w="2911" w:type="dxa"/>
          </w:tcPr>
          <w:p w14:paraId="71E93D54">
            <w:pPr>
              <w:pStyle w:val="10"/>
              <w:spacing w:before="205" w:line="232" w:lineRule="auto"/>
              <w:ind w:left="38" w:right="49"/>
              <w:rPr>
                <w:sz w:val="20"/>
              </w:rPr>
            </w:pPr>
            <w:r>
              <w:rPr>
                <w:spacing w:val="-2"/>
                <w:sz w:val="20"/>
              </w:rPr>
              <w:t>有签订规范的物业服务合同，完善的物业服务方案和健全的制 度；物业共用部位、共用设施设备验收手续齐全；按规定公示物业服务内容标准、投诉举报受理渠道、共有部分收益，能够规范使用住房专项维修资金；对违反小区临时规约或政府有关规定的行为进行劝阻、制止或报有关部</w:t>
            </w:r>
            <w:r>
              <w:rPr>
                <w:spacing w:val="-4"/>
                <w:sz w:val="20"/>
              </w:rPr>
              <w:t>门处理。</w:t>
            </w:r>
          </w:p>
        </w:tc>
        <w:tc>
          <w:tcPr>
            <w:tcW w:w="2774" w:type="dxa"/>
          </w:tcPr>
          <w:p w14:paraId="1526D392">
            <w:pPr>
              <w:pStyle w:val="10"/>
              <w:rPr>
                <w:sz w:val="20"/>
              </w:rPr>
            </w:pPr>
          </w:p>
          <w:p w14:paraId="4B512215">
            <w:pPr>
              <w:pStyle w:val="10"/>
              <w:spacing w:before="64"/>
              <w:rPr>
                <w:sz w:val="20"/>
              </w:rPr>
            </w:pPr>
          </w:p>
          <w:p w14:paraId="1109686B">
            <w:pPr>
              <w:pStyle w:val="10"/>
              <w:spacing w:line="232" w:lineRule="auto"/>
              <w:ind w:left="38" w:right="111"/>
              <w:jc w:val="both"/>
              <w:rPr>
                <w:sz w:val="20"/>
              </w:rPr>
            </w:pPr>
            <w:r>
              <w:rPr>
                <w:spacing w:val="-2"/>
                <w:sz w:val="20"/>
              </w:rPr>
              <w:t>有签订规范的物业服务合同，完善的物业服务方案和健全的制度；物业共用部位、共用设施设备验收手续齐全；按规定公示物业服务内容标准、投诉</w:t>
            </w:r>
            <w:r>
              <w:rPr>
                <w:spacing w:val="-3"/>
                <w:sz w:val="20"/>
              </w:rPr>
              <w:t>举报受理渠道、共有部分收益</w:t>
            </w:r>
          </w:p>
          <w:p w14:paraId="1D811290">
            <w:pPr>
              <w:pStyle w:val="10"/>
              <w:spacing w:line="247" w:lineRule="exact"/>
              <w:ind w:left="38"/>
              <w:rPr>
                <w:sz w:val="20"/>
              </w:rPr>
            </w:pPr>
            <w:r>
              <w:rPr>
                <w:spacing w:val="-10"/>
                <w:sz w:val="20"/>
              </w:rPr>
              <w:t>。</w:t>
            </w:r>
          </w:p>
        </w:tc>
        <w:tc>
          <w:tcPr>
            <w:tcW w:w="1814" w:type="dxa"/>
            <w:vMerge w:val="restart"/>
          </w:tcPr>
          <w:p w14:paraId="6402F09C">
            <w:pPr>
              <w:pStyle w:val="10"/>
              <w:rPr>
                <w:sz w:val="20"/>
              </w:rPr>
            </w:pPr>
          </w:p>
          <w:p w14:paraId="45E53E69">
            <w:pPr>
              <w:pStyle w:val="10"/>
              <w:rPr>
                <w:sz w:val="20"/>
              </w:rPr>
            </w:pPr>
          </w:p>
          <w:p w14:paraId="0A0A439C">
            <w:pPr>
              <w:pStyle w:val="10"/>
              <w:rPr>
                <w:sz w:val="20"/>
              </w:rPr>
            </w:pPr>
          </w:p>
          <w:p w14:paraId="4BDCCD79">
            <w:pPr>
              <w:pStyle w:val="10"/>
              <w:rPr>
                <w:sz w:val="20"/>
              </w:rPr>
            </w:pPr>
          </w:p>
          <w:p w14:paraId="76068B56">
            <w:pPr>
              <w:pStyle w:val="10"/>
              <w:rPr>
                <w:sz w:val="20"/>
              </w:rPr>
            </w:pPr>
          </w:p>
          <w:p w14:paraId="6CC8CC30">
            <w:pPr>
              <w:pStyle w:val="10"/>
              <w:rPr>
                <w:sz w:val="20"/>
              </w:rPr>
            </w:pPr>
          </w:p>
          <w:p w14:paraId="38E5330D">
            <w:pPr>
              <w:pStyle w:val="10"/>
              <w:rPr>
                <w:sz w:val="20"/>
              </w:rPr>
            </w:pPr>
          </w:p>
          <w:p w14:paraId="79ED1F00">
            <w:pPr>
              <w:pStyle w:val="10"/>
              <w:rPr>
                <w:sz w:val="20"/>
              </w:rPr>
            </w:pPr>
          </w:p>
          <w:p w14:paraId="768DE456">
            <w:pPr>
              <w:pStyle w:val="10"/>
              <w:spacing w:before="241"/>
              <w:rPr>
                <w:sz w:val="20"/>
              </w:rPr>
            </w:pPr>
          </w:p>
          <w:p w14:paraId="1C9DA963">
            <w:pPr>
              <w:pStyle w:val="10"/>
              <w:spacing w:line="232" w:lineRule="auto"/>
              <w:ind w:left="40" w:right="-72"/>
              <w:jc w:val="both"/>
              <w:rPr>
                <w:sz w:val="20"/>
              </w:rPr>
            </w:pPr>
            <w:r>
              <w:rPr>
                <w:spacing w:val="20"/>
                <w:sz w:val="20"/>
              </w:rPr>
              <w:t>有签订规范的物业</w:t>
            </w:r>
            <w:r>
              <w:rPr>
                <w:spacing w:val="19"/>
                <w:sz w:val="20"/>
              </w:rPr>
              <w:t>服务合同，按规定</w:t>
            </w:r>
            <w:r>
              <w:rPr>
                <w:spacing w:val="20"/>
                <w:sz w:val="20"/>
              </w:rPr>
              <w:t>公示物业服务内容</w:t>
            </w:r>
            <w:r>
              <w:rPr>
                <w:spacing w:val="19"/>
                <w:sz w:val="20"/>
              </w:rPr>
              <w:t>标准、投诉举报受理渠道、共有部分</w:t>
            </w:r>
            <w:r>
              <w:rPr>
                <w:spacing w:val="8"/>
                <w:sz w:val="20"/>
              </w:rPr>
              <w:t>收 益 ； 设置管理</w:t>
            </w:r>
            <w:r>
              <w:rPr>
                <w:sz w:val="20"/>
              </w:rPr>
              <w:t xml:space="preserve"> </w:t>
            </w:r>
            <w:r>
              <w:rPr>
                <w:spacing w:val="-2"/>
                <w:sz w:val="20"/>
              </w:rPr>
              <w:t>处，公示</w:t>
            </w:r>
            <w:r>
              <w:rPr>
                <w:rFonts w:ascii="Times New Roman" w:eastAsia="Times New Roman"/>
                <w:spacing w:val="-2"/>
                <w:sz w:val="20"/>
              </w:rPr>
              <w:t>8</w:t>
            </w:r>
            <w:r>
              <w:rPr>
                <w:spacing w:val="-2"/>
                <w:sz w:val="20"/>
              </w:rPr>
              <w:t>小时服务</w:t>
            </w:r>
            <w:r>
              <w:rPr>
                <w:spacing w:val="19"/>
                <w:sz w:val="20"/>
              </w:rPr>
              <w:t>电话，报修按双方约定时间到达现场</w:t>
            </w:r>
          </w:p>
          <w:p w14:paraId="212F1038">
            <w:pPr>
              <w:pStyle w:val="10"/>
              <w:spacing w:line="256" w:lineRule="exact"/>
              <w:ind w:left="40"/>
              <w:rPr>
                <w:sz w:val="20"/>
              </w:rPr>
            </w:pPr>
            <w:r>
              <w:rPr>
                <w:spacing w:val="-10"/>
                <w:sz w:val="20"/>
              </w:rPr>
              <w:t>。</w:t>
            </w:r>
          </w:p>
        </w:tc>
      </w:tr>
      <w:tr w14:paraId="6DC2E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20" w:hRule="atLeast"/>
        </w:trPr>
        <w:tc>
          <w:tcPr>
            <w:tcW w:w="494" w:type="dxa"/>
            <w:vMerge w:val="continue"/>
          </w:tcPr>
          <w:p w14:paraId="793CD87B">
            <w:pPr>
              <w:rPr>
                <w:sz w:val="2"/>
                <w:szCs w:val="2"/>
              </w:rPr>
            </w:pPr>
          </w:p>
        </w:tc>
        <w:tc>
          <w:tcPr>
            <w:tcW w:w="540" w:type="dxa"/>
          </w:tcPr>
          <w:p w14:paraId="66BB9703">
            <w:pPr>
              <w:pStyle w:val="10"/>
              <w:spacing w:before="216" w:line="232" w:lineRule="auto"/>
              <w:ind w:left="77" w:right="39"/>
              <w:jc w:val="both"/>
              <w:rPr>
                <w:sz w:val="20"/>
              </w:rPr>
            </w:pPr>
            <w:r>
              <w:rPr>
                <w:spacing w:val="-6"/>
                <w:sz w:val="20"/>
              </w:rPr>
              <w:t>管理处设</w:t>
            </w:r>
            <w:r>
              <w:rPr>
                <w:spacing w:val="-10"/>
                <w:sz w:val="20"/>
              </w:rPr>
              <w:t>置</w:t>
            </w:r>
          </w:p>
        </w:tc>
        <w:tc>
          <w:tcPr>
            <w:tcW w:w="3300" w:type="dxa"/>
          </w:tcPr>
          <w:p w14:paraId="2AEE85A0">
            <w:pPr>
              <w:pStyle w:val="10"/>
              <w:spacing w:before="92" w:line="232" w:lineRule="auto"/>
              <w:ind w:left="39" w:right="38"/>
              <w:jc w:val="both"/>
              <w:rPr>
                <w:sz w:val="20"/>
              </w:rPr>
            </w:pPr>
            <w:r>
              <w:rPr>
                <w:spacing w:val="-2"/>
                <w:sz w:val="20"/>
              </w:rPr>
              <w:t>小区内设置管理处，配置办公家具、电话、电脑、打印机、网络等办公设施及办公用品，办公场所整洁有序，有专门的业主接待区域。</w:t>
            </w:r>
          </w:p>
        </w:tc>
        <w:tc>
          <w:tcPr>
            <w:tcW w:w="3134" w:type="dxa"/>
          </w:tcPr>
          <w:p w14:paraId="4906251A">
            <w:pPr>
              <w:pStyle w:val="10"/>
              <w:spacing w:before="86" w:line="252" w:lineRule="exact"/>
              <w:ind w:left="39"/>
              <w:rPr>
                <w:sz w:val="20"/>
              </w:rPr>
            </w:pPr>
            <w:r>
              <w:rPr>
                <w:spacing w:val="-3"/>
                <w:sz w:val="20"/>
              </w:rPr>
              <w:t>小区内设置管理处，配置办公家具</w:t>
            </w:r>
          </w:p>
          <w:p w14:paraId="2DD242BB">
            <w:pPr>
              <w:pStyle w:val="10"/>
              <w:spacing w:before="2" w:line="232" w:lineRule="auto"/>
              <w:ind w:left="39" w:right="72"/>
              <w:jc w:val="both"/>
              <w:rPr>
                <w:sz w:val="20"/>
              </w:rPr>
            </w:pPr>
            <w:r>
              <w:rPr>
                <w:spacing w:val="-2"/>
                <w:sz w:val="20"/>
              </w:rPr>
              <w:t>、电话、电脑、打印机、网络等办公设施及办公用品，办公场所整洁</w:t>
            </w:r>
            <w:r>
              <w:rPr>
                <w:spacing w:val="-4"/>
                <w:sz w:val="20"/>
              </w:rPr>
              <w:t>有序。</w:t>
            </w:r>
          </w:p>
        </w:tc>
        <w:tc>
          <w:tcPr>
            <w:tcW w:w="2911" w:type="dxa"/>
          </w:tcPr>
          <w:p w14:paraId="7AE243FC">
            <w:pPr>
              <w:pStyle w:val="10"/>
              <w:spacing w:before="215" w:line="232" w:lineRule="auto"/>
              <w:ind w:left="38" w:right="49"/>
              <w:jc w:val="both"/>
              <w:rPr>
                <w:sz w:val="20"/>
              </w:rPr>
            </w:pPr>
            <w:r>
              <w:rPr>
                <w:spacing w:val="-2"/>
                <w:sz w:val="20"/>
              </w:rPr>
              <w:t>小区内设置管理处，配备简单办公设备，配有电话，办公场所整</w:t>
            </w:r>
            <w:r>
              <w:rPr>
                <w:spacing w:val="-4"/>
                <w:sz w:val="20"/>
              </w:rPr>
              <w:t>洁有序。</w:t>
            </w:r>
          </w:p>
        </w:tc>
        <w:tc>
          <w:tcPr>
            <w:tcW w:w="2774" w:type="dxa"/>
          </w:tcPr>
          <w:p w14:paraId="283FB68F">
            <w:pPr>
              <w:pStyle w:val="10"/>
              <w:spacing w:before="201"/>
              <w:rPr>
                <w:sz w:val="20"/>
              </w:rPr>
            </w:pPr>
          </w:p>
          <w:p w14:paraId="075218B3">
            <w:pPr>
              <w:pStyle w:val="10"/>
              <w:spacing w:before="1"/>
              <w:ind w:left="38"/>
              <w:rPr>
                <w:sz w:val="20"/>
              </w:rPr>
            </w:pPr>
            <w:r>
              <w:rPr>
                <w:spacing w:val="-3"/>
                <w:sz w:val="20"/>
              </w:rPr>
              <w:t>小区内设置管理处。</w:t>
            </w:r>
          </w:p>
        </w:tc>
        <w:tc>
          <w:tcPr>
            <w:tcW w:w="1814" w:type="dxa"/>
            <w:vMerge w:val="continue"/>
          </w:tcPr>
          <w:p w14:paraId="092D5DD9">
            <w:pPr>
              <w:rPr>
                <w:sz w:val="2"/>
                <w:szCs w:val="2"/>
              </w:rPr>
            </w:pPr>
          </w:p>
        </w:tc>
      </w:tr>
      <w:tr w14:paraId="0A559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54" w:hRule="atLeast"/>
        </w:trPr>
        <w:tc>
          <w:tcPr>
            <w:tcW w:w="494" w:type="dxa"/>
            <w:vMerge w:val="continue"/>
          </w:tcPr>
          <w:p w14:paraId="6E850220">
            <w:pPr>
              <w:rPr>
                <w:sz w:val="2"/>
                <w:szCs w:val="2"/>
              </w:rPr>
            </w:pPr>
          </w:p>
        </w:tc>
        <w:tc>
          <w:tcPr>
            <w:tcW w:w="540" w:type="dxa"/>
          </w:tcPr>
          <w:p w14:paraId="1D076BA8">
            <w:pPr>
              <w:pStyle w:val="10"/>
              <w:rPr>
                <w:sz w:val="20"/>
              </w:rPr>
            </w:pPr>
          </w:p>
          <w:p w14:paraId="721420A5">
            <w:pPr>
              <w:pStyle w:val="10"/>
              <w:rPr>
                <w:sz w:val="20"/>
              </w:rPr>
            </w:pPr>
          </w:p>
          <w:p w14:paraId="0E1C1B1A">
            <w:pPr>
              <w:pStyle w:val="10"/>
              <w:rPr>
                <w:sz w:val="20"/>
              </w:rPr>
            </w:pPr>
          </w:p>
          <w:p w14:paraId="2B5381B1">
            <w:pPr>
              <w:pStyle w:val="10"/>
              <w:rPr>
                <w:sz w:val="20"/>
              </w:rPr>
            </w:pPr>
          </w:p>
          <w:p w14:paraId="01A74F95">
            <w:pPr>
              <w:pStyle w:val="10"/>
              <w:spacing w:before="19"/>
              <w:rPr>
                <w:sz w:val="20"/>
              </w:rPr>
            </w:pPr>
          </w:p>
          <w:p w14:paraId="62A39A73">
            <w:pPr>
              <w:pStyle w:val="10"/>
              <w:spacing w:line="232" w:lineRule="auto"/>
              <w:ind w:left="77" w:right="39"/>
              <w:jc w:val="both"/>
              <w:rPr>
                <w:sz w:val="20"/>
              </w:rPr>
            </w:pPr>
            <w:r>
              <w:rPr>
                <w:spacing w:val="-6"/>
                <w:sz w:val="20"/>
              </w:rPr>
              <w:t>日常管理与服</w:t>
            </w:r>
            <w:r>
              <w:rPr>
                <w:spacing w:val="-10"/>
                <w:sz w:val="20"/>
              </w:rPr>
              <w:t>务</w:t>
            </w:r>
          </w:p>
        </w:tc>
        <w:tc>
          <w:tcPr>
            <w:tcW w:w="3300" w:type="dxa"/>
          </w:tcPr>
          <w:p w14:paraId="62C6F30A">
            <w:pPr>
              <w:pStyle w:val="10"/>
              <w:spacing w:before="133" w:line="237" w:lineRule="auto"/>
              <w:ind w:left="39" w:right="37"/>
              <w:rPr>
                <w:sz w:val="20"/>
              </w:rPr>
            </w:pPr>
            <w:r>
              <w:rPr>
                <w:rFonts w:ascii="Times New Roman" w:eastAsia="Times New Roman"/>
                <w:spacing w:val="-2"/>
                <w:sz w:val="20"/>
              </w:rPr>
              <w:t>24</w:t>
            </w:r>
            <w:r>
              <w:rPr>
                <w:spacing w:val="-2"/>
                <w:sz w:val="20"/>
              </w:rPr>
              <w:t>小时受理报修，属于物业服务范围的，急修</w:t>
            </w:r>
            <w:r>
              <w:rPr>
                <w:rFonts w:ascii="Times New Roman" w:eastAsia="Times New Roman"/>
                <w:spacing w:val="-2"/>
                <w:sz w:val="20"/>
              </w:rPr>
              <w:t>30</w:t>
            </w:r>
            <w:r>
              <w:rPr>
                <w:spacing w:val="-2"/>
                <w:sz w:val="20"/>
              </w:rPr>
              <w:t>分钟内到现场处理，一般修理</w:t>
            </w:r>
            <w:r>
              <w:rPr>
                <w:rFonts w:ascii="Times New Roman" w:eastAsia="Times New Roman"/>
                <w:spacing w:val="-2"/>
                <w:sz w:val="20"/>
              </w:rPr>
              <w:t>1</w:t>
            </w:r>
            <w:r>
              <w:rPr>
                <w:spacing w:val="-2"/>
                <w:sz w:val="20"/>
              </w:rPr>
              <w:t>日内完成（预约除外），不属于物业服务范围内，可提供有偿服 务，不能提供有偿服务的，向业主说明情况。有完整的报修、维修和回访记录，回访率达</w:t>
            </w:r>
            <w:r>
              <w:rPr>
                <w:rFonts w:ascii="Times New Roman" w:eastAsia="Times New Roman"/>
                <w:spacing w:val="-2"/>
                <w:sz w:val="20"/>
              </w:rPr>
              <w:t>100%</w:t>
            </w:r>
            <w:r>
              <w:rPr>
                <w:spacing w:val="-2"/>
                <w:sz w:val="20"/>
              </w:rPr>
              <w:t>。</w:t>
            </w:r>
            <w:r>
              <w:rPr>
                <w:rFonts w:ascii="Times New Roman" w:eastAsia="Times New Roman"/>
                <w:spacing w:val="-2"/>
                <w:sz w:val="20"/>
              </w:rPr>
              <w:t>24</w:t>
            </w:r>
            <w:r>
              <w:rPr>
                <w:spacing w:val="-2"/>
                <w:sz w:val="20"/>
              </w:rPr>
              <w:t>小时受理服务诉求并在</w:t>
            </w:r>
            <w:r>
              <w:rPr>
                <w:rFonts w:ascii="Times New Roman" w:eastAsia="Times New Roman"/>
                <w:spacing w:val="-2"/>
                <w:sz w:val="20"/>
              </w:rPr>
              <w:t>24</w:t>
            </w:r>
            <w:r>
              <w:rPr>
                <w:spacing w:val="-2"/>
                <w:sz w:val="20"/>
              </w:rPr>
              <w:t>小时内答复处理。采取走访、恳谈会、问卷调查、通讯等形式与业主沟通，征询业主对物业服务的意见，每年的沟通面不低于小区住户的</w:t>
            </w:r>
            <w:r>
              <w:rPr>
                <w:rFonts w:ascii="Times New Roman" w:eastAsia="Times New Roman"/>
                <w:spacing w:val="-2"/>
                <w:sz w:val="20"/>
              </w:rPr>
              <w:t>90%</w:t>
            </w:r>
            <w:r>
              <w:rPr>
                <w:spacing w:val="-3"/>
                <w:sz w:val="20"/>
              </w:rPr>
              <w:t>，并对薄弱环节进行改进</w:t>
            </w:r>
          </w:p>
          <w:p w14:paraId="756CD488">
            <w:pPr>
              <w:pStyle w:val="10"/>
              <w:spacing w:before="9"/>
              <w:ind w:left="39"/>
              <w:rPr>
                <w:sz w:val="20"/>
              </w:rPr>
            </w:pPr>
            <w:r>
              <w:rPr>
                <w:spacing w:val="-10"/>
                <w:sz w:val="20"/>
              </w:rPr>
              <w:t>。</w:t>
            </w:r>
          </w:p>
        </w:tc>
        <w:tc>
          <w:tcPr>
            <w:tcW w:w="3134" w:type="dxa"/>
          </w:tcPr>
          <w:p w14:paraId="606EF12E">
            <w:pPr>
              <w:pStyle w:val="10"/>
              <w:spacing w:before="137" w:line="242" w:lineRule="auto"/>
              <w:ind w:left="39" w:right="70"/>
              <w:jc w:val="both"/>
              <w:rPr>
                <w:sz w:val="20"/>
              </w:rPr>
            </w:pPr>
            <w:r>
              <w:rPr>
                <w:rFonts w:ascii="Times New Roman" w:eastAsia="Times New Roman"/>
                <w:spacing w:val="-2"/>
                <w:sz w:val="20"/>
              </w:rPr>
              <w:t>24</w:t>
            </w:r>
            <w:r>
              <w:rPr>
                <w:spacing w:val="-2"/>
                <w:sz w:val="20"/>
              </w:rPr>
              <w:t>小时受理报修，属于物业服务范围的，急修</w:t>
            </w:r>
            <w:r>
              <w:rPr>
                <w:rFonts w:ascii="Times New Roman" w:eastAsia="Times New Roman"/>
                <w:spacing w:val="-2"/>
                <w:sz w:val="20"/>
              </w:rPr>
              <w:t>30</w:t>
            </w:r>
            <w:r>
              <w:rPr>
                <w:spacing w:val="-2"/>
                <w:sz w:val="20"/>
              </w:rPr>
              <w:t>分钟内到现场处理，一般修理</w:t>
            </w:r>
            <w:r>
              <w:rPr>
                <w:rFonts w:ascii="Times New Roman" w:eastAsia="Times New Roman"/>
                <w:spacing w:val="-2"/>
                <w:sz w:val="20"/>
              </w:rPr>
              <w:t>2</w:t>
            </w:r>
            <w:r>
              <w:rPr>
                <w:spacing w:val="-2"/>
                <w:sz w:val="20"/>
              </w:rPr>
              <w:t>日内完成（预约除</w:t>
            </w:r>
          </w:p>
          <w:p w14:paraId="349FE1DA">
            <w:pPr>
              <w:pStyle w:val="10"/>
              <w:spacing w:before="18" w:line="235" w:lineRule="auto"/>
              <w:ind w:left="39" w:right="72"/>
              <w:rPr>
                <w:sz w:val="20"/>
              </w:rPr>
            </w:pPr>
            <w:r>
              <w:rPr>
                <w:spacing w:val="-2"/>
                <w:sz w:val="20"/>
              </w:rPr>
              <w:t xml:space="preserve">外），不属于物业服务范围内，可提供有偿服务，不能提供有偿服务的，向业主说明情况。有完整的报修、维修和回访记录，回访率达 </w:t>
            </w:r>
            <w:r>
              <w:rPr>
                <w:rFonts w:ascii="Times New Roman" w:eastAsia="Times New Roman"/>
                <w:spacing w:val="-2"/>
                <w:sz w:val="20"/>
              </w:rPr>
              <w:t>95%</w:t>
            </w:r>
            <w:r>
              <w:rPr>
                <w:spacing w:val="-2"/>
                <w:sz w:val="20"/>
              </w:rPr>
              <w:t>。</w:t>
            </w:r>
            <w:r>
              <w:rPr>
                <w:rFonts w:ascii="Times New Roman" w:eastAsia="Times New Roman"/>
                <w:spacing w:val="-2"/>
                <w:sz w:val="20"/>
              </w:rPr>
              <w:t>24</w:t>
            </w:r>
            <w:r>
              <w:rPr>
                <w:spacing w:val="-2"/>
                <w:sz w:val="20"/>
              </w:rPr>
              <w:t>小时受理服务诉求，及时安排处理。采取走访、恳谈会、问卷调查、通讯等形式与业主沟通，征询业主对物业服务的意见，每年的沟通面不低于小区住户的</w:t>
            </w:r>
            <w:r>
              <w:rPr>
                <w:rFonts w:ascii="Times New Roman" w:eastAsia="Times New Roman"/>
                <w:spacing w:val="-2"/>
                <w:sz w:val="20"/>
              </w:rPr>
              <w:t>80%</w:t>
            </w:r>
            <w:r>
              <w:rPr>
                <w:spacing w:val="-2"/>
                <w:sz w:val="20"/>
              </w:rPr>
              <w:t>，并对薄弱环节进行改进。</w:t>
            </w:r>
          </w:p>
        </w:tc>
        <w:tc>
          <w:tcPr>
            <w:tcW w:w="2911" w:type="dxa"/>
          </w:tcPr>
          <w:p w14:paraId="18F80A3E">
            <w:pPr>
              <w:pStyle w:val="10"/>
              <w:spacing w:before="17" w:line="235" w:lineRule="auto"/>
              <w:ind w:left="38" w:right="47"/>
              <w:rPr>
                <w:sz w:val="20"/>
              </w:rPr>
            </w:pPr>
            <w:r>
              <w:rPr>
                <w:rFonts w:ascii="Times New Roman" w:eastAsia="Times New Roman"/>
                <w:spacing w:val="-2"/>
                <w:sz w:val="20"/>
              </w:rPr>
              <w:t>24</w:t>
            </w:r>
            <w:r>
              <w:rPr>
                <w:spacing w:val="-2"/>
                <w:sz w:val="20"/>
              </w:rPr>
              <w:t>小时受理报修，属于物业服务范围的，急修</w:t>
            </w:r>
            <w:r>
              <w:rPr>
                <w:rFonts w:ascii="Times New Roman" w:eastAsia="Times New Roman"/>
                <w:spacing w:val="-2"/>
                <w:sz w:val="20"/>
              </w:rPr>
              <w:t>30</w:t>
            </w:r>
            <w:r>
              <w:rPr>
                <w:spacing w:val="-2"/>
                <w:sz w:val="20"/>
              </w:rPr>
              <w:t>分钟内到现场处理，一般修理</w:t>
            </w:r>
            <w:r>
              <w:rPr>
                <w:rFonts w:ascii="Times New Roman" w:eastAsia="Times New Roman"/>
                <w:spacing w:val="-2"/>
                <w:sz w:val="20"/>
              </w:rPr>
              <w:t>3</w:t>
            </w:r>
            <w:r>
              <w:rPr>
                <w:spacing w:val="-2"/>
                <w:sz w:val="20"/>
              </w:rPr>
              <w:t>日内完成（预约除外），不属于物业服务范围 内，可提供有偿服务，不能提供有偿服务的，向业主说明情况。有完整的报修、维修和回访记 录，回访率达</w:t>
            </w:r>
            <w:r>
              <w:rPr>
                <w:rFonts w:ascii="Times New Roman" w:eastAsia="Times New Roman"/>
                <w:spacing w:val="-2"/>
                <w:sz w:val="20"/>
              </w:rPr>
              <w:t>70%</w:t>
            </w:r>
            <w:r>
              <w:rPr>
                <w:spacing w:val="-2"/>
                <w:sz w:val="20"/>
              </w:rPr>
              <w:t>。接受服务诉求及时安排处理。采取走访、恳谈会、问卷调查、通讯等形式与业主沟通，征询业主对物业服务的意见，每年的沟通面不低于小区住户的</w:t>
            </w:r>
            <w:r>
              <w:rPr>
                <w:rFonts w:ascii="Times New Roman" w:eastAsia="Times New Roman"/>
                <w:spacing w:val="-2"/>
                <w:sz w:val="20"/>
              </w:rPr>
              <w:t>70%</w:t>
            </w:r>
            <w:r>
              <w:rPr>
                <w:spacing w:val="-4"/>
                <w:sz w:val="20"/>
              </w:rPr>
              <w:t>，并对薄弱环节进</w:t>
            </w:r>
          </w:p>
          <w:p w14:paraId="0519E5F7">
            <w:pPr>
              <w:pStyle w:val="10"/>
              <w:spacing w:before="24" w:line="228" w:lineRule="exact"/>
              <w:ind w:left="38"/>
              <w:rPr>
                <w:sz w:val="20"/>
              </w:rPr>
            </w:pPr>
            <w:r>
              <w:rPr>
                <w:spacing w:val="-4"/>
                <w:sz w:val="20"/>
              </w:rPr>
              <w:t>行改进。</w:t>
            </w:r>
          </w:p>
        </w:tc>
        <w:tc>
          <w:tcPr>
            <w:tcW w:w="2774" w:type="dxa"/>
          </w:tcPr>
          <w:p w14:paraId="583554B1">
            <w:pPr>
              <w:pStyle w:val="10"/>
              <w:rPr>
                <w:sz w:val="20"/>
              </w:rPr>
            </w:pPr>
          </w:p>
          <w:p w14:paraId="6F8BF79A">
            <w:pPr>
              <w:pStyle w:val="10"/>
              <w:spacing w:before="143"/>
              <w:rPr>
                <w:sz w:val="20"/>
              </w:rPr>
            </w:pPr>
          </w:p>
          <w:p w14:paraId="0084C63B">
            <w:pPr>
              <w:pStyle w:val="10"/>
              <w:spacing w:before="1" w:line="232" w:lineRule="auto"/>
              <w:ind w:left="38" w:right="110"/>
              <w:rPr>
                <w:sz w:val="20"/>
              </w:rPr>
            </w:pPr>
            <w:r>
              <w:rPr>
                <w:spacing w:val="-2"/>
                <w:sz w:val="20"/>
              </w:rPr>
              <w:t>公示</w:t>
            </w:r>
            <w:r>
              <w:rPr>
                <w:rFonts w:ascii="Times New Roman" w:eastAsia="Times New Roman"/>
                <w:spacing w:val="-2"/>
                <w:sz w:val="20"/>
              </w:rPr>
              <w:t>24</w:t>
            </w:r>
            <w:r>
              <w:rPr>
                <w:spacing w:val="-2"/>
                <w:sz w:val="20"/>
              </w:rPr>
              <w:t xml:space="preserve">小时服务电话。报修按双方约定时间到达现场。接受服务诉求及时安排处理，采取走访、恳谈会、问卷调查、通讯等形式与业主沟通，征询业主对物业服务的意见，每年的沟通面不低于小区住户的 </w:t>
            </w:r>
            <w:r>
              <w:rPr>
                <w:rFonts w:ascii="Times New Roman" w:eastAsia="Times New Roman"/>
                <w:spacing w:val="-2"/>
                <w:sz w:val="20"/>
              </w:rPr>
              <w:t>50%</w:t>
            </w:r>
            <w:r>
              <w:rPr>
                <w:spacing w:val="-2"/>
                <w:sz w:val="20"/>
              </w:rPr>
              <w:t>，并对薄弱环节进行改进</w:t>
            </w:r>
          </w:p>
          <w:p w14:paraId="0CFD3788">
            <w:pPr>
              <w:pStyle w:val="10"/>
              <w:spacing w:before="25"/>
              <w:ind w:left="38"/>
              <w:rPr>
                <w:sz w:val="20"/>
              </w:rPr>
            </w:pPr>
            <w:r>
              <w:rPr>
                <w:spacing w:val="-10"/>
                <w:sz w:val="20"/>
              </w:rPr>
              <w:t>。</w:t>
            </w:r>
          </w:p>
        </w:tc>
        <w:tc>
          <w:tcPr>
            <w:tcW w:w="1814" w:type="dxa"/>
            <w:vMerge w:val="continue"/>
          </w:tcPr>
          <w:p w14:paraId="5967B0AE">
            <w:pPr>
              <w:rPr>
                <w:sz w:val="2"/>
                <w:szCs w:val="2"/>
              </w:rPr>
            </w:pPr>
          </w:p>
        </w:tc>
      </w:tr>
    </w:tbl>
    <w:p w14:paraId="684F1082">
      <w:pPr>
        <w:spacing w:after="0"/>
        <w:rPr>
          <w:sz w:val="2"/>
          <w:szCs w:val="2"/>
        </w:rPr>
        <w:sectPr>
          <w:type w:val="continuous"/>
          <w:pgSz w:w="16840" w:h="11910" w:orient="landscape"/>
          <w:pgMar w:top="1940" w:right="708" w:bottom="1840" w:left="566" w:header="0" w:footer="464" w:gutter="0"/>
          <w:cols w:space="720" w:num="1"/>
        </w:sectPr>
      </w:pPr>
    </w:p>
    <w:tbl>
      <w:tblPr>
        <w:tblStyle w:val="6"/>
        <w:tblW w:w="0" w:type="auto"/>
        <w:tblInd w:w="3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94"/>
        <w:gridCol w:w="540"/>
        <w:gridCol w:w="3300"/>
        <w:gridCol w:w="3134"/>
        <w:gridCol w:w="2911"/>
        <w:gridCol w:w="2774"/>
        <w:gridCol w:w="1814"/>
      </w:tblGrid>
      <w:tr w14:paraId="7AA91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81" w:hRule="atLeast"/>
        </w:trPr>
        <w:tc>
          <w:tcPr>
            <w:tcW w:w="1034" w:type="dxa"/>
            <w:gridSpan w:val="2"/>
          </w:tcPr>
          <w:p w14:paraId="404E685F">
            <w:pPr>
              <w:pStyle w:val="10"/>
              <w:spacing w:before="99" w:line="308" w:lineRule="exact"/>
              <w:ind w:left="445"/>
              <w:rPr>
                <w:rFonts w:ascii="Microsoft JhengHei" w:eastAsia="Microsoft JhengHei"/>
                <w:b/>
                <w:sz w:val="20"/>
              </w:rPr>
            </w:pPr>
            <w:r>
              <w:rPr>
                <w:rFonts w:ascii="Microsoft JhengHei" w:eastAsia="Microsoft JhengHei"/>
                <w:b/>
                <w:spacing w:val="-5"/>
                <w:sz w:val="20"/>
              </w:rPr>
              <w:t>级别</w:t>
            </w:r>
          </w:p>
          <w:p w14:paraId="0076DE31">
            <w:pPr>
              <w:pStyle w:val="10"/>
              <w:spacing w:line="308" w:lineRule="exact"/>
              <w:ind w:left="37"/>
              <w:rPr>
                <w:rFonts w:ascii="Microsoft JhengHei" w:eastAsia="Microsoft JhengHei"/>
                <w:b/>
                <w:sz w:val="20"/>
              </w:rPr>
            </w:pPr>
            <w:r>
              <w:rPr>
                <w:rFonts w:ascii="Microsoft JhengHei" w:eastAsia="Microsoft JhengHei"/>
                <w:b/>
                <w:sz w:val="20"/>
              </w:rPr>
              <mc:AlternateContent>
                <mc:Choice Requires="wpg">
                  <w:drawing>
                    <wp:anchor distT="0" distB="0" distL="0" distR="0" simplePos="0" relativeHeight="251664384" behindDoc="1" locked="0" layoutInCell="1" allowOverlap="1">
                      <wp:simplePos x="0" y="0"/>
                      <wp:positionH relativeFrom="column">
                        <wp:posOffset>0</wp:posOffset>
                      </wp:positionH>
                      <wp:positionV relativeFrom="paragraph">
                        <wp:posOffset>-264795</wp:posOffset>
                      </wp:positionV>
                      <wp:extent cx="669290" cy="521335"/>
                      <wp:effectExtent l="0" t="0" r="0" b="0"/>
                      <wp:wrapNone/>
                      <wp:docPr id="16" name="Group 16"/>
                      <wp:cNvGraphicFramePr/>
                      <a:graphic xmlns:a="http://schemas.openxmlformats.org/drawingml/2006/main">
                        <a:graphicData uri="http://schemas.microsoft.com/office/word/2010/wordprocessingGroup">
                          <wpg:wgp>
                            <wpg:cNvGrpSpPr/>
                            <wpg:grpSpPr>
                              <a:xfrm>
                                <a:off x="0" y="0"/>
                                <a:ext cx="669290" cy="521334"/>
                                <a:chOff x="0" y="0"/>
                                <a:chExt cx="669290" cy="521334"/>
                              </a:xfrm>
                            </wpg:grpSpPr>
                            <wps:wsp>
                              <wps:cNvPr id="17" name="Graphic 17"/>
                              <wps:cNvSpPr/>
                              <wps:spPr>
                                <a:xfrm>
                                  <a:off x="6095" y="6095"/>
                                  <a:ext cx="657225" cy="509270"/>
                                </a:xfrm>
                                <a:custGeom>
                                  <a:avLst/>
                                  <a:gdLst/>
                                  <a:ahLst/>
                                  <a:cxnLst/>
                                  <a:rect l="l" t="t" r="r" b="b"/>
                                  <a:pathLst>
                                    <a:path w="657225" h="509270">
                                      <a:moveTo>
                                        <a:pt x="0" y="0"/>
                                      </a:moveTo>
                                      <a:lnTo>
                                        <a:pt x="656844" y="509016"/>
                                      </a:lnTo>
                                    </a:path>
                                  </a:pathLst>
                                </a:custGeom>
                                <a:ln w="12192">
                                  <a:solidFill>
                                    <a:srgbClr val="000000"/>
                                  </a:solidFill>
                                  <a:prstDash val="solid"/>
                                </a:ln>
                              </wps:spPr>
                              <wps:bodyPr wrap="square" lIns="0" tIns="0" rIns="0" bIns="0" rtlCol="0">
                                <a:noAutofit/>
                              </wps:bodyPr>
                            </wps:wsp>
                          </wpg:wgp>
                        </a:graphicData>
                      </a:graphic>
                    </wp:anchor>
                  </w:drawing>
                </mc:Choice>
                <mc:Fallback>
                  <w:pict>
                    <v:group id="Group 16" o:spid="_x0000_s1026" o:spt="203" style="position:absolute;left:0pt;margin-left:0pt;margin-top:-20.85pt;height:41.05pt;width:52.7pt;z-index:-251652096;mso-width-relative:page;mso-height-relative:page;" coordsize="669290,521334" o:gfxdata="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i5pvydcAAAAHAQAADwAAAAAAAAABACAA&#10;AAAiAAAAZHJzL2Rvd25yZXYueG1sUEsBAhQAFAAAAAgAh07iQIcObzyAAgAAwAUAAA4AAAAAAAAA&#10;AQAgAAAAJgEAAGRycy9lMm9Eb2MueG1sUEsFBgAAAAAGAAYAWQEAABgGAAAAAA==&#10;">
                      <o:lock v:ext="edit" aspectratio="f"/>
                      <v:shape id="Graphic 17" o:spid="_x0000_s1026" o:spt="100" style="position:absolute;left:6095;top:6095;height:509270;width:657225;" filled="f" stroked="t" coordsize="657225,509270" o:gfxdata="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PCyGHugAAANsA&#10;AAAPAAAAAAAAAAEAIAAAACIAAABkcnMvZG93bnJldi54bWxQSwECFAAUAAAACACHTuJAMy8FnjsA&#10;AAA5AAAAEAAAAAAAAAABACAAAAAJAQAAZHJzL3NoYXBleG1sLnhtbFBLBQYAAAAABgAGAFsBAACz&#10;AwAAAAA=&#10;" path="m0,0l656844,509016e">
                        <v:fill on="f" focussize="0,0"/>
                        <v:stroke weight="0.96pt" color="#000000" joinstyle="round"/>
                        <v:imagedata o:title=""/>
                        <o:lock v:ext="edit" aspectratio="f"/>
                        <v:textbox inset="0mm,0mm,0mm,0mm"/>
                      </v:shape>
                    </v:group>
                  </w:pict>
                </mc:Fallback>
              </mc:AlternateContent>
            </w:r>
            <w:r>
              <w:rPr>
                <w:rFonts w:ascii="Microsoft JhengHei" w:eastAsia="Microsoft JhengHei"/>
                <w:b/>
                <w:spacing w:val="-5"/>
                <w:sz w:val="20"/>
              </w:rPr>
              <w:t>项目</w:t>
            </w:r>
          </w:p>
        </w:tc>
        <w:tc>
          <w:tcPr>
            <w:tcW w:w="3300" w:type="dxa"/>
          </w:tcPr>
          <w:p w14:paraId="22C00395">
            <w:pPr>
              <w:pStyle w:val="10"/>
              <w:spacing w:before="34"/>
              <w:rPr>
                <w:sz w:val="20"/>
              </w:rPr>
            </w:pPr>
          </w:p>
          <w:p w14:paraId="6E729F92">
            <w:pPr>
              <w:pStyle w:val="10"/>
              <w:ind w:left="36"/>
              <w:jc w:val="center"/>
              <w:rPr>
                <w:sz w:val="20"/>
              </w:rPr>
            </w:pPr>
            <w:r>
              <w:rPr>
                <w:spacing w:val="-5"/>
                <w:sz w:val="20"/>
              </w:rPr>
              <w:t>一级</w:t>
            </w:r>
          </w:p>
        </w:tc>
        <w:tc>
          <w:tcPr>
            <w:tcW w:w="3134" w:type="dxa"/>
          </w:tcPr>
          <w:p w14:paraId="521EECA2">
            <w:pPr>
              <w:pStyle w:val="10"/>
              <w:spacing w:before="34"/>
              <w:rPr>
                <w:sz w:val="20"/>
              </w:rPr>
            </w:pPr>
          </w:p>
          <w:p w14:paraId="2B1F8256">
            <w:pPr>
              <w:pStyle w:val="10"/>
              <w:ind w:left="34"/>
              <w:jc w:val="center"/>
              <w:rPr>
                <w:sz w:val="20"/>
              </w:rPr>
            </w:pPr>
            <w:r>
              <w:rPr>
                <w:spacing w:val="-5"/>
                <w:sz w:val="20"/>
              </w:rPr>
              <w:t>二级</w:t>
            </w:r>
          </w:p>
        </w:tc>
        <w:tc>
          <w:tcPr>
            <w:tcW w:w="2911" w:type="dxa"/>
          </w:tcPr>
          <w:p w14:paraId="35B2CB80">
            <w:pPr>
              <w:pStyle w:val="10"/>
              <w:spacing w:before="34"/>
              <w:rPr>
                <w:sz w:val="20"/>
              </w:rPr>
            </w:pPr>
          </w:p>
          <w:p w14:paraId="35B44D40">
            <w:pPr>
              <w:pStyle w:val="10"/>
              <w:ind w:left="37"/>
              <w:jc w:val="center"/>
              <w:rPr>
                <w:sz w:val="20"/>
              </w:rPr>
            </w:pPr>
            <w:r>
              <w:rPr>
                <w:spacing w:val="-5"/>
                <w:sz w:val="20"/>
              </w:rPr>
              <w:t>三级</w:t>
            </w:r>
          </w:p>
        </w:tc>
        <w:tc>
          <w:tcPr>
            <w:tcW w:w="2774" w:type="dxa"/>
          </w:tcPr>
          <w:p w14:paraId="52507264">
            <w:pPr>
              <w:pStyle w:val="10"/>
              <w:spacing w:before="34"/>
              <w:rPr>
                <w:sz w:val="20"/>
              </w:rPr>
            </w:pPr>
          </w:p>
          <w:p w14:paraId="48A38F4F">
            <w:pPr>
              <w:pStyle w:val="10"/>
              <w:ind w:left="38"/>
              <w:jc w:val="center"/>
              <w:rPr>
                <w:sz w:val="20"/>
              </w:rPr>
            </w:pPr>
            <w:r>
              <w:rPr>
                <w:spacing w:val="-5"/>
                <w:sz w:val="20"/>
              </w:rPr>
              <w:t>四级</w:t>
            </w:r>
          </w:p>
        </w:tc>
        <w:tc>
          <w:tcPr>
            <w:tcW w:w="1814" w:type="dxa"/>
          </w:tcPr>
          <w:p w14:paraId="0D00B631">
            <w:pPr>
              <w:pStyle w:val="10"/>
              <w:spacing w:before="34"/>
              <w:rPr>
                <w:sz w:val="20"/>
              </w:rPr>
            </w:pPr>
          </w:p>
          <w:p w14:paraId="72853217">
            <w:pPr>
              <w:pStyle w:val="10"/>
              <w:ind w:left="36"/>
              <w:jc w:val="center"/>
              <w:rPr>
                <w:sz w:val="20"/>
              </w:rPr>
            </w:pPr>
            <w:r>
              <w:rPr>
                <w:spacing w:val="-5"/>
                <w:sz w:val="20"/>
              </w:rPr>
              <w:t>五级</w:t>
            </w:r>
          </w:p>
        </w:tc>
      </w:tr>
      <w:tr w14:paraId="02A38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65" w:hRule="atLeast"/>
        </w:trPr>
        <w:tc>
          <w:tcPr>
            <w:tcW w:w="494" w:type="dxa"/>
            <w:vMerge w:val="restart"/>
          </w:tcPr>
          <w:p w14:paraId="78494B4D">
            <w:pPr>
              <w:pStyle w:val="10"/>
              <w:rPr>
                <w:sz w:val="20"/>
              </w:rPr>
            </w:pPr>
          </w:p>
          <w:p w14:paraId="53691181">
            <w:pPr>
              <w:pStyle w:val="10"/>
              <w:rPr>
                <w:sz w:val="20"/>
              </w:rPr>
            </w:pPr>
          </w:p>
          <w:p w14:paraId="03F47CB8">
            <w:pPr>
              <w:pStyle w:val="10"/>
              <w:rPr>
                <w:sz w:val="20"/>
              </w:rPr>
            </w:pPr>
          </w:p>
          <w:p w14:paraId="1D328E44">
            <w:pPr>
              <w:pStyle w:val="10"/>
              <w:rPr>
                <w:sz w:val="20"/>
              </w:rPr>
            </w:pPr>
          </w:p>
          <w:p w14:paraId="1AA434E0">
            <w:pPr>
              <w:pStyle w:val="10"/>
              <w:rPr>
                <w:sz w:val="20"/>
              </w:rPr>
            </w:pPr>
          </w:p>
          <w:p w14:paraId="49FD569A">
            <w:pPr>
              <w:pStyle w:val="10"/>
              <w:rPr>
                <w:sz w:val="20"/>
              </w:rPr>
            </w:pPr>
          </w:p>
          <w:p w14:paraId="36F0DE58">
            <w:pPr>
              <w:pStyle w:val="10"/>
              <w:rPr>
                <w:sz w:val="20"/>
              </w:rPr>
            </w:pPr>
          </w:p>
          <w:p w14:paraId="35F2CE30">
            <w:pPr>
              <w:pStyle w:val="10"/>
              <w:rPr>
                <w:sz w:val="20"/>
              </w:rPr>
            </w:pPr>
          </w:p>
          <w:p w14:paraId="367ADAA4">
            <w:pPr>
              <w:pStyle w:val="10"/>
              <w:rPr>
                <w:sz w:val="20"/>
              </w:rPr>
            </w:pPr>
          </w:p>
          <w:p w14:paraId="472B5AA1">
            <w:pPr>
              <w:pStyle w:val="10"/>
              <w:rPr>
                <w:sz w:val="20"/>
              </w:rPr>
            </w:pPr>
          </w:p>
          <w:p w14:paraId="770A2B17">
            <w:pPr>
              <w:pStyle w:val="10"/>
              <w:rPr>
                <w:sz w:val="20"/>
              </w:rPr>
            </w:pPr>
          </w:p>
          <w:p w14:paraId="1380B31A">
            <w:pPr>
              <w:pStyle w:val="10"/>
              <w:rPr>
                <w:sz w:val="20"/>
              </w:rPr>
            </w:pPr>
          </w:p>
          <w:p w14:paraId="4E326459">
            <w:pPr>
              <w:pStyle w:val="10"/>
              <w:rPr>
                <w:sz w:val="20"/>
              </w:rPr>
            </w:pPr>
          </w:p>
          <w:p w14:paraId="05A37838">
            <w:pPr>
              <w:pStyle w:val="10"/>
              <w:rPr>
                <w:sz w:val="20"/>
              </w:rPr>
            </w:pPr>
          </w:p>
          <w:p w14:paraId="2C2913D1">
            <w:pPr>
              <w:pStyle w:val="10"/>
              <w:spacing w:before="175"/>
              <w:rPr>
                <w:sz w:val="20"/>
              </w:rPr>
            </w:pPr>
          </w:p>
          <w:p w14:paraId="162CF691">
            <w:pPr>
              <w:pStyle w:val="10"/>
              <w:spacing w:line="232" w:lineRule="auto"/>
              <w:ind w:left="53" w:right="15"/>
              <w:jc w:val="both"/>
              <w:rPr>
                <w:sz w:val="20"/>
              </w:rPr>
            </w:pPr>
            <w:r>
              <w:rPr>
                <w:spacing w:val="-6"/>
                <w:sz w:val="20"/>
              </w:rPr>
              <w:t>秩序维护</w:t>
            </w:r>
            <w:r>
              <w:rPr>
                <w:spacing w:val="-5"/>
                <w:sz w:val="20"/>
              </w:rPr>
              <w:t>服务</w:t>
            </w:r>
          </w:p>
        </w:tc>
        <w:tc>
          <w:tcPr>
            <w:tcW w:w="540" w:type="dxa"/>
          </w:tcPr>
          <w:p w14:paraId="7C8DBAA7">
            <w:pPr>
              <w:pStyle w:val="10"/>
              <w:rPr>
                <w:sz w:val="20"/>
              </w:rPr>
            </w:pPr>
          </w:p>
          <w:p w14:paraId="39AB7960">
            <w:pPr>
              <w:pStyle w:val="10"/>
              <w:spacing w:before="153"/>
              <w:rPr>
                <w:sz w:val="20"/>
              </w:rPr>
            </w:pPr>
          </w:p>
          <w:p w14:paraId="02F9421D">
            <w:pPr>
              <w:pStyle w:val="10"/>
              <w:spacing w:line="230" w:lineRule="auto"/>
              <w:ind w:left="77" w:right="39"/>
              <w:rPr>
                <w:sz w:val="20"/>
              </w:rPr>
            </w:pPr>
            <w:r>
              <w:rPr>
                <w:spacing w:val="-6"/>
                <w:sz w:val="20"/>
              </w:rPr>
              <w:t>人员</w:t>
            </w:r>
            <w:r>
              <w:rPr>
                <w:spacing w:val="-5"/>
                <w:sz w:val="20"/>
              </w:rPr>
              <w:t>要求</w:t>
            </w:r>
          </w:p>
        </w:tc>
        <w:tc>
          <w:tcPr>
            <w:tcW w:w="3300" w:type="dxa"/>
          </w:tcPr>
          <w:p w14:paraId="4F1CCFAB">
            <w:pPr>
              <w:pStyle w:val="10"/>
              <w:spacing w:before="35"/>
              <w:rPr>
                <w:sz w:val="20"/>
              </w:rPr>
            </w:pPr>
          </w:p>
          <w:p w14:paraId="757FA9C8">
            <w:pPr>
              <w:pStyle w:val="10"/>
              <w:spacing w:line="232" w:lineRule="auto"/>
              <w:ind w:left="39" w:right="38"/>
              <w:jc w:val="both"/>
              <w:rPr>
                <w:sz w:val="20"/>
              </w:rPr>
            </w:pPr>
            <w:r>
              <w:rPr>
                <w:spacing w:val="-2"/>
                <w:sz w:val="20"/>
              </w:rPr>
              <w:t>配备专职秩序维护人员，身体健康，工作认真负责并定期进行培训；统一着装，仪容仪表整齐，配备对讲装置和其他必备的安全护卫器械；能够熟</w:t>
            </w:r>
            <w:r>
              <w:rPr>
                <w:spacing w:val="-3"/>
                <w:sz w:val="20"/>
              </w:rPr>
              <w:t>练使用各类消防、技防器械和设备。</w:t>
            </w:r>
          </w:p>
        </w:tc>
        <w:tc>
          <w:tcPr>
            <w:tcW w:w="3134" w:type="dxa"/>
          </w:tcPr>
          <w:p w14:paraId="557FC8DE">
            <w:pPr>
              <w:pStyle w:val="10"/>
              <w:spacing w:before="35"/>
              <w:rPr>
                <w:sz w:val="20"/>
              </w:rPr>
            </w:pPr>
          </w:p>
          <w:p w14:paraId="44A455AE">
            <w:pPr>
              <w:pStyle w:val="10"/>
              <w:spacing w:line="232" w:lineRule="auto"/>
              <w:ind w:left="39" w:right="72"/>
              <w:rPr>
                <w:sz w:val="20"/>
              </w:rPr>
            </w:pPr>
            <w:r>
              <w:rPr>
                <w:spacing w:val="-2"/>
                <w:sz w:val="20"/>
              </w:rPr>
              <w:t>配备专职秩序维护人员，身体健 康，工作认真负责；统一着装，仪容仪表整齐，配备对讲装置和其他必备的安全护卫器械；能够熟练使用各类消防、技防器械和设备。</w:t>
            </w:r>
          </w:p>
        </w:tc>
        <w:tc>
          <w:tcPr>
            <w:tcW w:w="2911" w:type="dxa"/>
          </w:tcPr>
          <w:p w14:paraId="5D92EEBA">
            <w:pPr>
              <w:pStyle w:val="10"/>
              <w:rPr>
                <w:sz w:val="20"/>
              </w:rPr>
            </w:pPr>
          </w:p>
          <w:p w14:paraId="5C2F85BE">
            <w:pPr>
              <w:pStyle w:val="10"/>
              <w:spacing w:before="26"/>
              <w:rPr>
                <w:sz w:val="20"/>
              </w:rPr>
            </w:pPr>
          </w:p>
          <w:p w14:paraId="03167BCF">
            <w:pPr>
              <w:pStyle w:val="10"/>
              <w:spacing w:line="232" w:lineRule="auto"/>
              <w:ind w:left="38" w:right="49"/>
              <w:jc w:val="both"/>
              <w:rPr>
                <w:sz w:val="20"/>
              </w:rPr>
            </w:pPr>
            <w:r>
              <w:rPr>
                <w:spacing w:val="-2"/>
                <w:sz w:val="20"/>
              </w:rPr>
              <w:t>配备专职秩序维护人员，身体健康，工作认真负责；统一着装，能使用消防器材。</w:t>
            </w:r>
          </w:p>
        </w:tc>
        <w:tc>
          <w:tcPr>
            <w:tcW w:w="2774" w:type="dxa"/>
          </w:tcPr>
          <w:p w14:paraId="46212D83">
            <w:pPr>
              <w:pStyle w:val="10"/>
              <w:rPr>
                <w:sz w:val="20"/>
              </w:rPr>
            </w:pPr>
          </w:p>
          <w:p w14:paraId="6A0FE2F6">
            <w:pPr>
              <w:pStyle w:val="10"/>
              <w:spacing w:before="26"/>
              <w:rPr>
                <w:sz w:val="20"/>
              </w:rPr>
            </w:pPr>
          </w:p>
          <w:p w14:paraId="2C344B55">
            <w:pPr>
              <w:pStyle w:val="10"/>
              <w:spacing w:line="232" w:lineRule="auto"/>
              <w:ind w:left="38" w:right="111"/>
              <w:jc w:val="both"/>
              <w:rPr>
                <w:sz w:val="20"/>
              </w:rPr>
            </w:pPr>
            <w:r>
              <w:rPr>
                <w:spacing w:val="-2"/>
                <w:sz w:val="20"/>
              </w:rPr>
              <w:t>配备专职秩序维护人员，身体健康，工作认真负责；统一着装，能使用消防器材。</w:t>
            </w:r>
          </w:p>
        </w:tc>
        <w:tc>
          <w:tcPr>
            <w:tcW w:w="1814" w:type="dxa"/>
            <w:vMerge w:val="restart"/>
          </w:tcPr>
          <w:p w14:paraId="1B481852">
            <w:pPr>
              <w:pStyle w:val="10"/>
              <w:rPr>
                <w:sz w:val="20"/>
              </w:rPr>
            </w:pPr>
          </w:p>
          <w:p w14:paraId="46EB0EFA">
            <w:pPr>
              <w:pStyle w:val="10"/>
              <w:rPr>
                <w:sz w:val="20"/>
              </w:rPr>
            </w:pPr>
          </w:p>
          <w:p w14:paraId="3C8C97B7">
            <w:pPr>
              <w:pStyle w:val="10"/>
              <w:rPr>
                <w:sz w:val="20"/>
              </w:rPr>
            </w:pPr>
          </w:p>
          <w:p w14:paraId="01FBF449">
            <w:pPr>
              <w:pStyle w:val="10"/>
              <w:rPr>
                <w:sz w:val="20"/>
              </w:rPr>
            </w:pPr>
          </w:p>
          <w:p w14:paraId="78F50866">
            <w:pPr>
              <w:pStyle w:val="10"/>
              <w:rPr>
                <w:sz w:val="20"/>
              </w:rPr>
            </w:pPr>
          </w:p>
          <w:p w14:paraId="3CCEFAB1">
            <w:pPr>
              <w:pStyle w:val="10"/>
              <w:rPr>
                <w:sz w:val="20"/>
              </w:rPr>
            </w:pPr>
          </w:p>
          <w:p w14:paraId="7FBB8033">
            <w:pPr>
              <w:pStyle w:val="10"/>
              <w:rPr>
                <w:sz w:val="20"/>
              </w:rPr>
            </w:pPr>
          </w:p>
          <w:p w14:paraId="46E213F7">
            <w:pPr>
              <w:pStyle w:val="10"/>
              <w:rPr>
                <w:sz w:val="20"/>
              </w:rPr>
            </w:pPr>
          </w:p>
          <w:p w14:paraId="14C5314D">
            <w:pPr>
              <w:pStyle w:val="10"/>
              <w:rPr>
                <w:sz w:val="20"/>
              </w:rPr>
            </w:pPr>
          </w:p>
          <w:p w14:paraId="71240B11">
            <w:pPr>
              <w:pStyle w:val="10"/>
              <w:rPr>
                <w:sz w:val="20"/>
              </w:rPr>
            </w:pPr>
          </w:p>
          <w:p w14:paraId="574EA28B">
            <w:pPr>
              <w:pStyle w:val="10"/>
              <w:rPr>
                <w:sz w:val="20"/>
              </w:rPr>
            </w:pPr>
          </w:p>
          <w:p w14:paraId="40FC1222">
            <w:pPr>
              <w:pStyle w:val="10"/>
              <w:rPr>
                <w:sz w:val="20"/>
              </w:rPr>
            </w:pPr>
          </w:p>
          <w:p w14:paraId="32560760">
            <w:pPr>
              <w:pStyle w:val="10"/>
              <w:rPr>
                <w:sz w:val="20"/>
              </w:rPr>
            </w:pPr>
          </w:p>
          <w:p w14:paraId="3A36FA0B">
            <w:pPr>
              <w:pStyle w:val="10"/>
              <w:rPr>
                <w:sz w:val="20"/>
              </w:rPr>
            </w:pPr>
          </w:p>
          <w:p w14:paraId="122F0D61">
            <w:pPr>
              <w:pStyle w:val="10"/>
              <w:spacing w:before="50"/>
              <w:rPr>
                <w:sz w:val="20"/>
              </w:rPr>
            </w:pPr>
          </w:p>
          <w:p w14:paraId="328BB89E">
            <w:pPr>
              <w:pStyle w:val="10"/>
              <w:spacing w:line="232" w:lineRule="auto"/>
              <w:ind w:left="40" w:right="-29"/>
              <w:jc w:val="both"/>
              <w:rPr>
                <w:sz w:val="20"/>
              </w:rPr>
            </w:pPr>
            <w:r>
              <w:rPr>
                <w:spacing w:val="16"/>
                <w:sz w:val="20"/>
              </w:rPr>
              <w:t>小区内定时巡视，遇到突发事件时，</w:t>
            </w:r>
            <w:r>
              <w:rPr>
                <w:spacing w:val="18"/>
                <w:sz w:val="20"/>
              </w:rPr>
              <w:t>采取必要措施并及</w:t>
            </w:r>
            <w:r>
              <w:rPr>
                <w:spacing w:val="-2"/>
                <w:sz w:val="20"/>
              </w:rPr>
              <w:t>时报告有关部门。</w:t>
            </w:r>
          </w:p>
        </w:tc>
      </w:tr>
      <w:tr w14:paraId="678C5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84" w:hRule="atLeast"/>
        </w:trPr>
        <w:tc>
          <w:tcPr>
            <w:tcW w:w="494" w:type="dxa"/>
            <w:vMerge w:val="continue"/>
          </w:tcPr>
          <w:p w14:paraId="233D10B5">
            <w:pPr>
              <w:rPr>
                <w:sz w:val="2"/>
                <w:szCs w:val="2"/>
              </w:rPr>
            </w:pPr>
          </w:p>
        </w:tc>
        <w:tc>
          <w:tcPr>
            <w:tcW w:w="540" w:type="dxa"/>
          </w:tcPr>
          <w:p w14:paraId="217F3D93">
            <w:pPr>
              <w:pStyle w:val="10"/>
              <w:rPr>
                <w:sz w:val="20"/>
              </w:rPr>
            </w:pPr>
          </w:p>
          <w:p w14:paraId="789D5427">
            <w:pPr>
              <w:pStyle w:val="10"/>
              <w:spacing w:before="37"/>
              <w:rPr>
                <w:sz w:val="20"/>
              </w:rPr>
            </w:pPr>
          </w:p>
          <w:p w14:paraId="799FEBA1">
            <w:pPr>
              <w:pStyle w:val="10"/>
              <w:spacing w:line="232" w:lineRule="auto"/>
              <w:ind w:left="77" w:right="39"/>
              <w:jc w:val="both"/>
              <w:rPr>
                <w:sz w:val="20"/>
              </w:rPr>
            </w:pPr>
            <w:r>
              <w:rPr>
                <w:spacing w:val="-6"/>
                <w:sz w:val="20"/>
              </w:rPr>
              <w:t>门岗和巡</w:t>
            </w:r>
            <w:r>
              <w:rPr>
                <w:spacing w:val="-10"/>
                <w:sz w:val="20"/>
              </w:rPr>
              <w:t>逻</w:t>
            </w:r>
          </w:p>
        </w:tc>
        <w:tc>
          <w:tcPr>
            <w:tcW w:w="3300" w:type="dxa"/>
          </w:tcPr>
          <w:p w14:paraId="09B7063A">
            <w:pPr>
              <w:pStyle w:val="10"/>
              <w:spacing w:before="154" w:line="237" w:lineRule="auto"/>
              <w:ind w:left="39" w:right="37"/>
              <w:jc w:val="both"/>
              <w:rPr>
                <w:sz w:val="20"/>
              </w:rPr>
            </w:pPr>
            <w:r>
              <w:rPr>
                <w:spacing w:val="-2"/>
                <w:sz w:val="20"/>
              </w:rPr>
              <w:t>小区主出入口安排专人</w:t>
            </w:r>
            <w:r>
              <w:rPr>
                <w:rFonts w:ascii="Times New Roman" w:eastAsia="Times New Roman"/>
                <w:spacing w:val="-2"/>
                <w:sz w:val="20"/>
              </w:rPr>
              <w:t>24</w:t>
            </w:r>
            <w:r>
              <w:rPr>
                <w:spacing w:val="-2"/>
                <w:sz w:val="20"/>
              </w:rPr>
              <w:t>小时值勤，对外来人员、车辆进行登记；每两小时对小区巡逻一次，重点部位增加巡查频次，有巡更记录，发现异常现场</w:t>
            </w:r>
            <w:r>
              <w:rPr>
                <w:spacing w:val="-3"/>
                <w:sz w:val="20"/>
              </w:rPr>
              <w:t>采取必要措施，并及时报告相关部门</w:t>
            </w:r>
          </w:p>
          <w:p w14:paraId="73573CF7">
            <w:pPr>
              <w:pStyle w:val="10"/>
              <w:spacing w:line="251" w:lineRule="exact"/>
              <w:ind w:left="39"/>
              <w:rPr>
                <w:sz w:val="20"/>
              </w:rPr>
            </w:pPr>
            <w:r>
              <w:rPr>
                <w:spacing w:val="-10"/>
                <w:sz w:val="20"/>
              </w:rPr>
              <w:t>。</w:t>
            </w:r>
          </w:p>
        </w:tc>
        <w:tc>
          <w:tcPr>
            <w:tcW w:w="3134" w:type="dxa"/>
          </w:tcPr>
          <w:p w14:paraId="667FEFFF">
            <w:pPr>
              <w:pStyle w:val="10"/>
              <w:spacing w:before="154" w:line="237" w:lineRule="auto"/>
              <w:ind w:left="39" w:right="72"/>
              <w:rPr>
                <w:sz w:val="20"/>
              </w:rPr>
            </w:pPr>
            <w:r>
              <w:rPr>
                <w:spacing w:val="-2"/>
                <w:sz w:val="20"/>
              </w:rPr>
              <w:t>小区主出入口安排专人</w:t>
            </w:r>
            <w:r>
              <w:rPr>
                <w:rFonts w:ascii="Times New Roman" w:eastAsia="Times New Roman"/>
                <w:spacing w:val="-2"/>
                <w:sz w:val="20"/>
              </w:rPr>
              <w:t>24</w:t>
            </w:r>
            <w:r>
              <w:rPr>
                <w:spacing w:val="-2"/>
                <w:sz w:val="20"/>
              </w:rPr>
              <w:t>小时值 勤，对外来人员、车辆进行登记；每三小时对小区巡逻一次，重点部位增加巡查频次，有巡更记录，发现异常现场采取必要措施，并及时报告相关部门。</w:t>
            </w:r>
          </w:p>
        </w:tc>
        <w:tc>
          <w:tcPr>
            <w:tcW w:w="2911" w:type="dxa"/>
          </w:tcPr>
          <w:p w14:paraId="52D90D2B">
            <w:pPr>
              <w:pStyle w:val="10"/>
              <w:spacing w:before="22"/>
              <w:rPr>
                <w:sz w:val="20"/>
              </w:rPr>
            </w:pPr>
          </w:p>
          <w:p w14:paraId="0773A026">
            <w:pPr>
              <w:pStyle w:val="10"/>
              <w:spacing w:before="1" w:line="237" w:lineRule="auto"/>
              <w:ind w:left="38" w:right="47"/>
              <w:jc w:val="both"/>
              <w:rPr>
                <w:sz w:val="20"/>
              </w:rPr>
            </w:pPr>
            <w:r>
              <w:rPr>
                <w:spacing w:val="-2"/>
                <w:sz w:val="20"/>
              </w:rPr>
              <w:t>小区主出入口安排专人</w:t>
            </w:r>
            <w:r>
              <w:rPr>
                <w:rFonts w:ascii="Times New Roman" w:eastAsia="Times New Roman"/>
                <w:spacing w:val="-2"/>
                <w:sz w:val="20"/>
              </w:rPr>
              <w:t>24</w:t>
            </w:r>
            <w:r>
              <w:rPr>
                <w:spacing w:val="-2"/>
                <w:sz w:val="20"/>
              </w:rPr>
              <w:t>小时值勤，对外来车辆进行登记；每天对小区巡逻不少于六次，有巡更记录，发现异常现场采取必要措施，并及时报告相关部门。</w:t>
            </w:r>
          </w:p>
        </w:tc>
        <w:tc>
          <w:tcPr>
            <w:tcW w:w="2774" w:type="dxa"/>
          </w:tcPr>
          <w:p w14:paraId="708614D6">
            <w:pPr>
              <w:pStyle w:val="10"/>
              <w:spacing w:before="144"/>
              <w:rPr>
                <w:sz w:val="20"/>
              </w:rPr>
            </w:pPr>
          </w:p>
          <w:p w14:paraId="76CEF3BC">
            <w:pPr>
              <w:pStyle w:val="10"/>
              <w:ind w:left="38" w:right="109"/>
              <w:rPr>
                <w:sz w:val="20"/>
              </w:rPr>
            </w:pPr>
            <w:r>
              <w:rPr>
                <w:spacing w:val="-2"/>
                <w:sz w:val="20"/>
              </w:rPr>
              <w:t>小区主出入口</w:t>
            </w:r>
            <w:r>
              <w:rPr>
                <w:rFonts w:ascii="Times New Roman" w:eastAsia="Times New Roman"/>
                <w:spacing w:val="-2"/>
                <w:sz w:val="20"/>
              </w:rPr>
              <w:t>24</w:t>
            </w:r>
            <w:r>
              <w:rPr>
                <w:spacing w:val="-2"/>
                <w:sz w:val="20"/>
              </w:rPr>
              <w:t>小时值勤，有交接班记录；遇到突发事件 时，采取必要措施并及时报告相关部门。</w:t>
            </w:r>
          </w:p>
        </w:tc>
        <w:tc>
          <w:tcPr>
            <w:tcW w:w="1814" w:type="dxa"/>
            <w:vMerge w:val="continue"/>
          </w:tcPr>
          <w:p w14:paraId="252AEB0B">
            <w:pPr>
              <w:rPr>
                <w:sz w:val="2"/>
                <w:szCs w:val="2"/>
              </w:rPr>
            </w:pPr>
          </w:p>
        </w:tc>
      </w:tr>
      <w:tr w14:paraId="4D1C5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94" w:hRule="atLeast"/>
        </w:trPr>
        <w:tc>
          <w:tcPr>
            <w:tcW w:w="494" w:type="dxa"/>
            <w:vMerge w:val="continue"/>
          </w:tcPr>
          <w:p w14:paraId="54965E86">
            <w:pPr>
              <w:rPr>
                <w:sz w:val="2"/>
                <w:szCs w:val="2"/>
              </w:rPr>
            </w:pPr>
          </w:p>
        </w:tc>
        <w:tc>
          <w:tcPr>
            <w:tcW w:w="540" w:type="dxa"/>
          </w:tcPr>
          <w:p w14:paraId="7B576142">
            <w:pPr>
              <w:pStyle w:val="10"/>
              <w:rPr>
                <w:sz w:val="20"/>
              </w:rPr>
            </w:pPr>
          </w:p>
          <w:p w14:paraId="4A32EB65">
            <w:pPr>
              <w:pStyle w:val="10"/>
              <w:spacing w:before="68"/>
              <w:rPr>
                <w:sz w:val="20"/>
              </w:rPr>
            </w:pPr>
          </w:p>
          <w:p w14:paraId="14EF80B3">
            <w:pPr>
              <w:pStyle w:val="10"/>
              <w:spacing w:line="232" w:lineRule="auto"/>
              <w:ind w:left="77" w:right="39"/>
              <w:jc w:val="both"/>
              <w:rPr>
                <w:sz w:val="20"/>
              </w:rPr>
            </w:pPr>
            <w:r>
              <w:rPr>
                <w:spacing w:val="-6"/>
                <w:sz w:val="20"/>
              </w:rPr>
              <w:t>技防设施和救</w:t>
            </w:r>
            <w:r>
              <w:rPr>
                <w:spacing w:val="-10"/>
                <w:sz w:val="20"/>
              </w:rPr>
              <w:t>助</w:t>
            </w:r>
          </w:p>
        </w:tc>
        <w:tc>
          <w:tcPr>
            <w:tcW w:w="3300" w:type="dxa"/>
          </w:tcPr>
          <w:p w14:paraId="2DC6F570">
            <w:pPr>
              <w:pStyle w:val="10"/>
              <w:spacing w:before="45"/>
              <w:rPr>
                <w:sz w:val="20"/>
              </w:rPr>
            </w:pPr>
          </w:p>
          <w:p w14:paraId="684F491D">
            <w:pPr>
              <w:pStyle w:val="10"/>
              <w:spacing w:before="1"/>
              <w:ind w:left="39" w:right="37"/>
              <w:jc w:val="both"/>
              <w:rPr>
                <w:sz w:val="20"/>
              </w:rPr>
            </w:pPr>
            <w:r>
              <w:rPr>
                <w:spacing w:val="-2"/>
                <w:sz w:val="20"/>
              </w:rPr>
              <w:t>小区监控室安排专人</w:t>
            </w:r>
            <w:r>
              <w:rPr>
                <w:rFonts w:ascii="Times New Roman" w:eastAsia="Times New Roman"/>
                <w:spacing w:val="-2"/>
                <w:sz w:val="20"/>
              </w:rPr>
              <w:t>24</w:t>
            </w:r>
            <w:r>
              <w:rPr>
                <w:spacing w:val="-2"/>
                <w:sz w:val="20"/>
              </w:rPr>
              <w:t>小时值班，交接班记录规范；监控录入资料至少保持</w:t>
            </w:r>
            <w:r>
              <w:rPr>
                <w:rFonts w:ascii="Times New Roman" w:eastAsia="Times New Roman"/>
                <w:spacing w:val="-2"/>
                <w:sz w:val="20"/>
              </w:rPr>
              <w:t>30</w:t>
            </w:r>
            <w:r>
              <w:rPr>
                <w:spacing w:val="-2"/>
                <w:sz w:val="20"/>
              </w:rPr>
              <w:t>日，有特殊要求的参照相关规定或行业标准执行。接报警信号后，秩序维护人员及时赶到现场进行处理；每年组织二次以上应急预案演练。</w:t>
            </w:r>
          </w:p>
        </w:tc>
        <w:tc>
          <w:tcPr>
            <w:tcW w:w="3134" w:type="dxa"/>
          </w:tcPr>
          <w:p w14:paraId="44495945">
            <w:pPr>
              <w:pStyle w:val="10"/>
              <w:spacing w:before="180" w:line="237" w:lineRule="auto"/>
              <w:ind w:left="39" w:right="70"/>
              <w:jc w:val="both"/>
              <w:rPr>
                <w:sz w:val="20"/>
              </w:rPr>
            </w:pPr>
            <w:r>
              <w:rPr>
                <w:spacing w:val="-2"/>
                <w:sz w:val="20"/>
              </w:rPr>
              <w:t>小区监控室安排专人</w:t>
            </w:r>
            <w:r>
              <w:rPr>
                <w:rFonts w:ascii="Times New Roman" w:eastAsia="Times New Roman"/>
                <w:spacing w:val="-2"/>
                <w:sz w:val="20"/>
              </w:rPr>
              <w:t>24</w:t>
            </w:r>
            <w:r>
              <w:rPr>
                <w:spacing w:val="-2"/>
                <w:sz w:val="20"/>
              </w:rPr>
              <w:t>小时值班，交接班记录规范；监控录入资料至少保持</w:t>
            </w:r>
            <w:r>
              <w:rPr>
                <w:rFonts w:ascii="Times New Roman" w:eastAsia="Times New Roman"/>
                <w:spacing w:val="-2"/>
                <w:sz w:val="20"/>
              </w:rPr>
              <w:t>15</w:t>
            </w:r>
            <w:r>
              <w:rPr>
                <w:spacing w:val="-2"/>
                <w:sz w:val="20"/>
              </w:rPr>
              <w:t>日，有特殊要求的参照相关规定或行业标准执行。接报警信号后，秩序维护人员及时赶到现场进行处理；每年组织一次以上应急预案演练。</w:t>
            </w:r>
          </w:p>
        </w:tc>
        <w:tc>
          <w:tcPr>
            <w:tcW w:w="2911" w:type="dxa"/>
          </w:tcPr>
          <w:p w14:paraId="1D476153">
            <w:pPr>
              <w:pStyle w:val="10"/>
              <w:spacing w:before="45"/>
              <w:rPr>
                <w:sz w:val="20"/>
              </w:rPr>
            </w:pPr>
          </w:p>
          <w:p w14:paraId="783E09CB">
            <w:pPr>
              <w:pStyle w:val="10"/>
              <w:spacing w:before="1" w:line="242" w:lineRule="auto"/>
              <w:ind w:left="38" w:right="49"/>
              <w:rPr>
                <w:sz w:val="20"/>
              </w:rPr>
            </w:pPr>
            <w:r>
              <w:rPr>
                <w:spacing w:val="-2"/>
                <w:sz w:val="20"/>
              </w:rPr>
              <w:t>小区监控室安排专人</w:t>
            </w:r>
            <w:r>
              <w:rPr>
                <w:rFonts w:ascii="Times New Roman" w:eastAsia="Times New Roman"/>
                <w:spacing w:val="-2"/>
                <w:sz w:val="20"/>
              </w:rPr>
              <w:t>24</w:t>
            </w:r>
            <w:r>
              <w:rPr>
                <w:spacing w:val="-2"/>
                <w:sz w:val="20"/>
              </w:rPr>
              <w:t>小时值 班，交接班记录规范；监控录入资料至少保持</w:t>
            </w:r>
            <w:r>
              <w:rPr>
                <w:rFonts w:ascii="Times New Roman" w:eastAsia="Times New Roman"/>
                <w:spacing w:val="-2"/>
                <w:sz w:val="20"/>
              </w:rPr>
              <w:t>7</w:t>
            </w:r>
            <w:r>
              <w:rPr>
                <w:spacing w:val="-2"/>
                <w:sz w:val="20"/>
              </w:rPr>
              <w:t>日，有特殊要求</w:t>
            </w:r>
            <w:r>
              <w:rPr>
                <w:spacing w:val="-3"/>
                <w:sz w:val="20"/>
              </w:rPr>
              <w:t>的参照相关规定或行业标准执行</w:t>
            </w:r>
          </w:p>
          <w:p w14:paraId="638CC2E3">
            <w:pPr>
              <w:pStyle w:val="10"/>
              <w:spacing w:line="232" w:lineRule="auto"/>
              <w:ind w:left="38" w:right="49"/>
              <w:rPr>
                <w:sz w:val="20"/>
              </w:rPr>
            </w:pPr>
            <w:r>
              <w:rPr>
                <w:spacing w:val="-2"/>
                <w:sz w:val="20"/>
              </w:rPr>
              <w:t>。接报警信号后，秩序维护人员及时赶到现场进行处理。</w:t>
            </w:r>
          </w:p>
        </w:tc>
        <w:tc>
          <w:tcPr>
            <w:tcW w:w="2774" w:type="dxa"/>
          </w:tcPr>
          <w:p w14:paraId="7E975928">
            <w:pPr>
              <w:pStyle w:val="10"/>
              <w:rPr>
                <w:sz w:val="20"/>
              </w:rPr>
            </w:pPr>
          </w:p>
          <w:p w14:paraId="2EDFCF95">
            <w:pPr>
              <w:pStyle w:val="10"/>
              <w:spacing w:before="42"/>
              <w:rPr>
                <w:sz w:val="20"/>
              </w:rPr>
            </w:pPr>
          </w:p>
          <w:p w14:paraId="0365F0F4">
            <w:pPr>
              <w:pStyle w:val="10"/>
              <w:spacing w:before="1"/>
              <w:ind w:left="38" w:right="110"/>
              <w:jc w:val="both"/>
              <w:rPr>
                <w:sz w:val="20"/>
              </w:rPr>
            </w:pPr>
            <w:r>
              <w:rPr>
                <w:spacing w:val="-2"/>
                <w:sz w:val="20"/>
              </w:rPr>
              <w:t>小区监控室安排专人</w:t>
            </w:r>
            <w:r>
              <w:rPr>
                <w:rFonts w:ascii="Times New Roman" w:eastAsia="Times New Roman"/>
                <w:spacing w:val="-2"/>
                <w:sz w:val="20"/>
              </w:rPr>
              <w:t>24</w:t>
            </w:r>
            <w:r>
              <w:rPr>
                <w:spacing w:val="-2"/>
                <w:sz w:val="20"/>
              </w:rPr>
              <w:t>小时值班，交接班记录规范。接报警信号后，秩序维护人员及时赶到现场进行处理。</w:t>
            </w:r>
          </w:p>
        </w:tc>
        <w:tc>
          <w:tcPr>
            <w:tcW w:w="1814" w:type="dxa"/>
            <w:vMerge w:val="continue"/>
          </w:tcPr>
          <w:p w14:paraId="4DAEF674">
            <w:pPr>
              <w:rPr>
                <w:sz w:val="2"/>
                <w:szCs w:val="2"/>
              </w:rPr>
            </w:pPr>
          </w:p>
        </w:tc>
      </w:tr>
      <w:tr w14:paraId="199EA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38" w:hRule="atLeast"/>
        </w:trPr>
        <w:tc>
          <w:tcPr>
            <w:tcW w:w="494" w:type="dxa"/>
            <w:vMerge w:val="continue"/>
          </w:tcPr>
          <w:p w14:paraId="7780CAA0">
            <w:pPr>
              <w:rPr>
                <w:sz w:val="2"/>
                <w:szCs w:val="2"/>
              </w:rPr>
            </w:pPr>
          </w:p>
        </w:tc>
        <w:tc>
          <w:tcPr>
            <w:tcW w:w="540" w:type="dxa"/>
          </w:tcPr>
          <w:p w14:paraId="0FC3C4B5">
            <w:pPr>
              <w:pStyle w:val="10"/>
              <w:rPr>
                <w:sz w:val="20"/>
              </w:rPr>
            </w:pPr>
          </w:p>
          <w:p w14:paraId="446D1200">
            <w:pPr>
              <w:pStyle w:val="10"/>
              <w:rPr>
                <w:sz w:val="20"/>
              </w:rPr>
            </w:pPr>
          </w:p>
          <w:p w14:paraId="4B9C4A5A">
            <w:pPr>
              <w:pStyle w:val="10"/>
              <w:rPr>
                <w:sz w:val="20"/>
              </w:rPr>
            </w:pPr>
          </w:p>
          <w:p w14:paraId="21E83A5E">
            <w:pPr>
              <w:pStyle w:val="10"/>
              <w:rPr>
                <w:sz w:val="20"/>
              </w:rPr>
            </w:pPr>
          </w:p>
          <w:p w14:paraId="3E44DF47">
            <w:pPr>
              <w:pStyle w:val="10"/>
              <w:spacing w:before="8"/>
              <w:rPr>
                <w:sz w:val="20"/>
              </w:rPr>
            </w:pPr>
          </w:p>
          <w:p w14:paraId="7376C22F">
            <w:pPr>
              <w:pStyle w:val="10"/>
              <w:spacing w:line="232" w:lineRule="auto"/>
              <w:ind w:left="77" w:right="39"/>
              <w:rPr>
                <w:sz w:val="20"/>
              </w:rPr>
            </w:pPr>
            <w:r>
              <w:rPr>
                <w:spacing w:val="-6"/>
                <w:sz w:val="20"/>
              </w:rPr>
              <w:t>车辆</w:t>
            </w:r>
            <w:r>
              <w:rPr>
                <w:spacing w:val="-5"/>
                <w:sz w:val="20"/>
              </w:rPr>
              <w:t>管理</w:t>
            </w:r>
          </w:p>
        </w:tc>
        <w:tc>
          <w:tcPr>
            <w:tcW w:w="3300" w:type="dxa"/>
          </w:tcPr>
          <w:p w14:paraId="181E4C15">
            <w:pPr>
              <w:pStyle w:val="10"/>
              <w:rPr>
                <w:sz w:val="20"/>
              </w:rPr>
            </w:pPr>
          </w:p>
          <w:p w14:paraId="41D66C05">
            <w:pPr>
              <w:pStyle w:val="10"/>
              <w:spacing w:before="33"/>
              <w:rPr>
                <w:sz w:val="20"/>
              </w:rPr>
            </w:pPr>
          </w:p>
          <w:p w14:paraId="5A0ABBD1">
            <w:pPr>
              <w:pStyle w:val="10"/>
              <w:spacing w:line="232" w:lineRule="auto"/>
              <w:ind w:left="39" w:right="38"/>
              <w:jc w:val="both"/>
              <w:rPr>
                <w:sz w:val="20"/>
              </w:rPr>
            </w:pPr>
            <w:r>
              <w:rPr>
                <w:spacing w:val="-2"/>
                <w:sz w:val="20"/>
              </w:rPr>
              <w:t>小区内设置通行标志，施划公共停车位、非机动车停放点及禁停标识；对不按规定停车的行为进行劝阻，保障消防通道畅通。实行机动车停车收费管理的，应加强机动车停放管理，保障车辆有序停放，及时对停车场</w:t>
            </w:r>
          </w:p>
          <w:p w14:paraId="4BA3869A">
            <w:pPr>
              <w:pStyle w:val="10"/>
              <w:spacing w:line="232" w:lineRule="auto"/>
              <w:ind w:left="39" w:right="38"/>
              <w:rPr>
                <w:sz w:val="20"/>
              </w:rPr>
            </w:pPr>
            <w:r>
              <w:rPr>
                <w:spacing w:val="-2"/>
                <w:sz w:val="20"/>
              </w:rPr>
              <w:t>（库）门禁、车牌识别和照明等系统进行维护保养，保障正常使用。</w:t>
            </w:r>
          </w:p>
        </w:tc>
        <w:tc>
          <w:tcPr>
            <w:tcW w:w="3134" w:type="dxa"/>
          </w:tcPr>
          <w:p w14:paraId="26C0B090">
            <w:pPr>
              <w:pStyle w:val="10"/>
              <w:spacing w:before="165"/>
              <w:rPr>
                <w:sz w:val="20"/>
              </w:rPr>
            </w:pPr>
          </w:p>
          <w:p w14:paraId="48EAAD93">
            <w:pPr>
              <w:pStyle w:val="10"/>
              <w:spacing w:before="1" w:line="232" w:lineRule="auto"/>
              <w:ind w:left="39" w:right="72" w:hanging="1"/>
              <w:rPr>
                <w:sz w:val="20"/>
              </w:rPr>
            </w:pPr>
            <w:r>
              <w:rPr>
                <w:spacing w:val="-2"/>
                <w:sz w:val="20"/>
              </w:rPr>
              <w:t>小区内设置通行标志，施划公共停车位、非机动车停放点及禁停标 识；对不按规定停车的行为进行劝阻，保障消防通道畅通。实行机动车停车收费管理的，应加强机动车停放管理，保障车辆有序停放，及时对停车场（库）门禁、车牌识别和照明等系统进行维护保养，保障正常使用。</w:t>
            </w:r>
          </w:p>
        </w:tc>
        <w:tc>
          <w:tcPr>
            <w:tcW w:w="2911" w:type="dxa"/>
          </w:tcPr>
          <w:p w14:paraId="3D3FAE81">
            <w:pPr>
              <w:pStyle w:val="10"/>
              <w:spacing w:before="166"/>
              <w:rPr>
                <w:sz w:val="20"/>
              </w:rPr>
            </w:pPr>
          </w:p>
          <w:p w14:paraId="48649901">
            <w:pPr>
              <w:pStyle w:val="10"/>
              <w:spacing w:line="232" w:lineRule="auto"/>
              <w:ind w:left="38" w:right="49"/>
              <w:jc w:val="both"/>
              <w:rPr>
                <w:sz w:val="20"/>
              </w:rPr>
            </w:pPr>
            <w:r>
              <w:rPr>
                <w:spacing w:val="-2"/>
                <w:sz w:val="20"/>
              </w:rPr>
              <w:t>小区内设置通行标志，施划公共停车位、非机动车停放点及禁停标识；对不按规定停车的行为进行劝阻，保障消防通道畅通。实行机动车停车收费管理的，应加强机动车停放管理，保障车辆有序停放，及时对停车场（库）门禁、车辆识别和照明等系统进行维护保养，保障正常使用。</w:t>
            </w:r>
          </w:p>
        </w:tc>
        <w:tc>
          <w:tcPr>
            <w:tcW w:w="2774" w:type="dxa"/>
          </w:tcPr>
          <w:p w14:paraId="0723BD40">
            <w:pPr>
              <w:pStyle w:val="10"/>
              <w:spacing w:before="42"/>
              <w:rPr>
                <w:sz w:val="20"/>
              </w:rPr>
            </w:pPr>
          </w:p>
          <w:p w14:paraId="35F2CB44">
            <w:pPr>
              <w:pStyle w:val="10"/>
              <w:spacing w:line="232" w:lineRule="auto"/>
              <w:ind w:left="38" w:right="111"/>
              <w:rPr>
                <w:sz w:val="20"/>
              </w:rPr>
            </w:pPr>
            <w:r>
              <w:rPr>
                <w:spacing w:val="-2"/>
                <w:sz w:val="20"/>
              </w:rPr>
              <w:t>小区内设置通行标志，施划公共停车位、非机动车停放点及禁停标识；对不按规定停车的行为进行劝阻，保障消防通道畅通。实行机动车停车收费管理的，应加强机动车停放管 理，保障车辆有序停放，及时对停车场（库）门禁、车辆识别和照明等系统进行维护保 养，保障正常使用。</w:t>
            </w:r>
          </w:p>
        </w:tc>
        <w:tc>
          <w:tcPr>
            <w:tcW w:w="1814" w:type="dxa"/>
            <w:vMerge w:val="continue"/>
          </w:tcPr>
          <w:p w14:paraId="1D401159">
            <w:pPr>
              <w:rPr>
                <w:sz w:val="2"/>
                <w:szCs w:val="2"/>
              </w:rPr>
            </w:pPr>
          </w:p>
        </w:tc>
      </w:tr>
    </w:tbl>
    <w:p w14:paraId="00ED3A73">
      <w:pPr>
        <w:rPr>
          <w:sz w:val="2"/>
          <w:szCs w:val="2"/>
        </w:rPr>
      </w:pPr>
      <w:bookmarkStart w:id="4" w:name="_GoBack"/>
      <w:bookmarkEnd w:id="4"/>
    </w:p>
    <w:p w14:paraId="3ED215B3">
      <w:pPr>
        <w:spacing w:after="0"/>
        <w:rPr>
          <w:sz w:val="2"/>
          <w:szCs w:val="2"/>
        </w:rPr>
        <w:sectPr>
          <w:type w:val="continuous"/>
          <w:pgSz w:w="16840" w:h="11910" w:orient="landscape"/>
          <w:pgMar w:top="880" w:right="708" w:bottom="1040" w:left="566" w:header="0" w:footer="853" w:gutter="0"/>
          <w:cols w:space="720" w:num="1"/>
        </w:sectPr>
      </w:pPr>
    </w:p>
    <w:tbl>
      <w:tblPr>
        <w:tblStyle w:val="6"/>
        <w:tblW w:w="0" w:type="auto"/>
        <w:tblInd w:w="37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494"/>
        <w:gridCol w:w="540"/>
        <w:gridCol w:w="3300"/>
        <w:gridCol w:w="3134"/>
        <w:gridCol w:w="2911"/>
        <w:gridCol w:w="2774"/>
        <w:gridCol w:w="1814"/>
      </w:tblGrid>
      <w:tr w14:paraId="1B129AD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81" w:hRule="atLeast"/>
        </w:trPr>
        <w:tc>
          <w:tcPr>
            <w:tcW w:w="1034" w:type="dxa"/>
            <w:gridSpan w:val="2"/>
          </w:tcPr>
          <w:p w14:paraId="7F737632">
            <w:pPr>
              <w:pStyle w:val="10"/>
              <w:spacing w:before="99" w:line="308" w:lineRule="exact"/>
              <w:ind w:left="445"/>
              <w:rPr>
                <w:rFonts w:ascii="Microsoft JhengHei" w:eastAsia="Microsoft JhengHei"/>
                <w:b/>
                <w:sz w:val="20"/>
              </w:rPr>
            </w:pPr>
            <w:r>
              <w:rPr>
                <w:rFonts w:ascii="Microsoft JhengHei" w:eastAsia="Microsoft JhengHei"/>
                <w:b/>
                <w:spacing w:val="-5"/>
                <w:sz w:val="20"/>
              </w:rPr>
              <w:t>级别</w:t>
            </w:r>
          </w:p>
          <w:p w14:paraId="248451A5">
            <w:pPr>
              <w:pStyle w:val="10"/>
              <w:spacing w:line="308" w:lineRule="exact"/>
              <w:ind w:left="37"/>
              <w:rPr>
                <w:rFonts w:ascii="Microsoft JhengHei" w:eastAsia="Microsoft JhengHei"/>
                <w:b/>
                <w:sz w:val="20"/>
              </w:rPr>
            </w:pPr>
            <w:r>
              <w:rPr>
                <w:rFonts w:ascii="Microsoft JhengHei" w:eastAsia="Microsoft JhengHei"/>
                <w:b/>
                <w:sz w:val="20"/>
              </w:rPr>
              <mc:AlternateContent>
                <mc:Choice Requires="wpg">
                  <w:drawing>
                    <wp:anchor distT="0" distB="0" distL="0" distR="0" simplePos="0" relativeHeight="251665408" behindDoc="1" locked="0" layoutInCell="1" allowOverlap="1">
                      <wp:simplePos x="0" y="0"/>
                      <wp:positionH relativeFrom="column">
                        <wp:posOffset>0</wp:posOffset>
                      </wp:positionH>
                      <wp:positionV relativeFrom="paragraph">
                        <wp:posOffset>-264795</wp:posOffset>
                      </wp:positionV>
                      <wp:extent cx="669290" cy="521335"/>
                      <wp:effectExtent l="0" t="0" r="0" b="0"/>
                      <wp:wrapNone/>
                      <wp:docPr id="22" name="Group 22"/>
                      <wp:cNvGraphicFramePr/>
                      <a:graphic xmlns:a="http://schemas.openxmlformats.org/drawingml/2006/main">
                        <a:graphicData uri="http://schemas.microsoft.com/office/word/2010/wordprocessingGroup">
                          <wpg:wgp>
                            <wpg:cNvGrpSpPr/>
                            <wpg:grpSpPr>
                              <a:xfrm>
                                <a:off x="0" y="0"/>
                                <a:ext cx="669290" cy="521334"/>
                                <a:chOff x="0" y="0"/>
                                <a:chExt cx="669290" cy="521334"/>
                              </a:xfrm>
                            </wpg:grpSpPr>
                            <wps:wsp>
                              <wps:cNvPr id="23" name="Graphic 23"/>
                              <wps:cNvSpPr/>
                              <wps:spPr>
                                <a:xfrm>
                                  <a:off x="6095" y="6095"/>
                                  <a:ext cx="657225" cy="509270"/>
                                </a:xfrm>
                                <a:custGeom>
                                  <a:avLst/>
                                  <a:gdLst/>
                                  <a:ahLst/>
                                  <a:cxnLst/>
                                  <a:rect l="l" t="t" r="r" b="b"/>
                                  <a:pathLst>
                                    <a:path w="657225" h="509270">
                                      <a:moveTo>
                                        <a:pt x="0" y="0"/>
                                      </a:moveTo>
                                      <a:lnTo>
                                        <a:pt x="656844" y="509016"/>
                                      </a:lnTo>
                                    </a:path>
                                  </a:pathLst>
                                </a:custGeom>
                                <a:ln w="12192">
                                  <a:solidFill>
                                    <a:srgbClr val="000000"/>
                                  </a:solidFill>
                                  <a:prstDash val="solid"/>
                                </a:ln>
                              </wps:spPr>
                              <wps:bodyPr wrap="square" lIns="0" tIns="0" rIns="0" bIns="0" rtlCol="0">
                                <a:noAutofit/>
                              </wps:bodyPr>
                            </wps:wsp>
                          </wpg:wgp>
                        </a:graphicData>
                      </a:graphic>
                    </wp:anchor>
                  </w:drawing>
                </mc:Choice>
                <mc:Fallback>
                  <w:pict>
                    <v:group id="Group 22" o:spid="_x0000_s1026" o:spt="203" style="position:absolute;left:0pt;margin-left:0pt;margin-top:-20.85pt;height:41.05pt;width:52.7pt;z-index:-251651072;mso-width-relative:page;mso-height-relative:page;" coordsize="669290,521334" o:gfxdata="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i5pvydcAAAAHAQAADwAAAAAAAAABACAAAAAi&#10;AAAAZHJzL2Rvd25yZXYueG1sUEsBAhQAFAAAAAgAh07iQOT77ft9AgAAwAUAAA4AAAAAAAAAAQAg&#10;AAAAJgEAAGRycy9lMm9Eb2MueG1sUEsFBgAAAAAGAAYAWQEAABUGAAAAAA==&#10;">
                      <o:lock v:ext="edit" aspectratio="f"/>
                      <v:shape id="Graphic 23" o:spid="_x0000_s1026" o:spt="100" style="position:absolute;left:6095;top:6095;height:509270;width:657225;" filled="f" stroked="t" coordsize="657225,509270" o:gfxdata="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ztOb4A&#10;AADbAAAADwAAAAAAAAABACAAAAAiAAAAZHJzL2Rvd25yZXYueG1sUEsBAhQAFAAAAAgAh07iQDMv&#10;BZ47AAAAOQAAABAAAAAAAAAAAQAgAAAADQEAAGRycy9zaGFwZXhtbC54bWxQSwUGAAAAAAYABgBb&#10;AQAAtwMAAAAA&#10;" path="m0,0l656844,509016e">
                        <v:fill on="f" focussize="0,0"/>
                        <v:stroke weight="0.96pt" color="#000000" joinstyle="round"/>
                        <v:imagedata o:title=""/>
                        <o:lock v:ext="edit" aspectratio="f"/>
                        <v:textbox inset="0mm,0mm,0mm,0mm"/>
                      </v:shape>
                    </v:group>
                  </w:pict>
                </mc:Fallback>
              </mc:AlternateContent>
            </w:r>
            <w:r>
              <w:rPr>
                <w:rFonts w:ascii="Microsoft JhengHei" w:eastAsia="Microsoft JhengHei"/>
                <w:b/>
                <w:spacing w:val="-5"/>
                <w:sz w:val="20"/>
              </w:rPr>
              <w:t>项目</w:t>
            </w:r>
          </w:p>
        </w:tc>
        <w:tc>
          <w:tcPr>
            <w:tcW w:w="3300" w:type="dxa"/>
          </w:tcPr>
          <w:p w14:paraId="429A768A">
            <w:pPr>
              <w:pStyle w:val="10"/>
              <w:spacing w:before="34"/>
              <w:rPr>
                <w:sz w:val="20"/>
              </w:rPr>
            </w:pPr>
          </w:p>
          <w:p w14:paraId="01A80DFF">
            <w:pPr>
              <w:pStyle w:val="10"/>
              <w:ind w:left="36"/>
              <w:jc w:val="center"/>
              <w:rPr>
                <w:sz w:val="20"/>
              </w:rPr>
            </w:pPr>
            <w:r>
              <w:rPr>
                <w:spacing w:val="-5"/>
                <w:sz w:val="20"/>
              </w:rPr>
              <w:t>一级</w:t>
            </w:r>
          </w:p>
        </w:tc>
        <w:tc>
          <w:tcPr>
            <w:tcW w:w="3134" w:type="dxa"/>
          </w:tcPr>
          <w:p w14:paraId="1C43B4A5">
            <w:pPr>
              <w:pStyle w:val="10"/>
              <w:spacing w:before="34"/>
              <w:rPr>
                <w:sz w:val="20"/>
              </w:rPr>
            </w:pPr>
          </w:p>
          <w:p w14:paraId="350C40DB">
            <w:pPr>
              <w:pStyle w:val="10"/>
              <w:ind w:left="34"/>
              <w:jc w:val="center"/>
              <w:rPr>
                <w:sz w:val="20"/>
              </w:rPr>
            </w:pPr>
            <w:r>
              <w:rPr>
                <w:spacing w:val="-5"/>
                <w:sz w:val="20"/>
              </w:rPr>
              <w:t>二级</w:t>
            </w:r>
          </w:p>
        </w:tc>
        <w:tc>
          <w:tcPr>
            <w:tcW w:w="2911" w:type="dxa"/>
          </w:tcPr>
          <w:p w14:paraId="7F9D4B96">
            <w:pPr>
              <w:pStyle w:val="10"/>
              <w:spacing w:before="34"/>
              <w:rPr>
                <w:sz w:val="20"/>
              </w:rPr>
            </w:pPr>
          </w:p>
          <w:p w14:paraId="45C45A29">
            <w:pPr>
              <w:pStyle w:val="10"/>
              <w:ind w:left="37"/>
              <w:jc w:val="center"/>
              <w:rPr>
                <w:sz w:val="20"/>
              </w:rPr>
            </w:pPr>
            <w:r>
              <w:rPr>
                <w:spacing w:val="-5"/>
                <w:sz w:val="20"/>
              </w:rPr>
              <w:t>三级</w:t>
            </w:r>
          </w:p>
        </w:tc>
        <w:tc>
          <w:tcPr>
            <w:tcW w:w="2774" w:type="dxa"/>
          </w:tcPr>
          <w:p w14:paraId="1029DFCA">
            <w:pPr>
              <w:pStyle w:val="10"/>
              <w:spacing w:before="34"/>
              <w:rPr>
                <w:sz w:val="20"/>
              </w:rPr>
            </w:pPr>
          </w:p>
          <w:p w14:paraId="47F515D7">
            <w:pPr>
              <w:pStyle w:val="10"/>
              <w:ind w:left="38"/>
              <w:jc w:val="center"/>
              <w:rPr>
                <w:sz w:val="20"/>
              </w:rPr>
            </w:pPr>
            <w:r>
              <w:rPr>
                <w:spacing w:val="-5"/>
                <w:sz w:val="20"/>
              </w:rPr>
              <w:t>四级</w:t>
            </w:r>
          </w:p>
        </w:tc>
        <w:tc>
          <w:tcPr>
            <w:tcW w:w="1814" w:type="dxa"/>
          </w:tcPr>
          <w:p w14:paraId="6A46A324">
            <w:pPr>
              <w:pStyle w:val="10"/>
              <w:spacing w:before="34"/>
              <w:rPr>
                <w:sz w:val="20"/>
              </w:rPr>
            </w:pPr>
          </w:p>
          <w:p w14:paraId="2FA7637B">
            <w:pPr>
              <w:pStyle w:val="10"/>
              <w:ind w:left="36"/>
              <w:jc w:val="center"/>
              <w:rPr>
                <w:sz w:val="20"/>
              </w:rPr>
            </w:pPr>
            <w:r>
              <w:rPr>
                <w:spacing w:val="-5"/>
                <w:sz w:val="20"/>
              </w:rPr>
              <w:t>五级</w:t>
            </w:r>
          </w:p>
        </w:tc>
      </w:tr>
      <w:tr w14:paraId="3A8B561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03" w:hRule="atLeast"/>
        </w:trPr>
        <w:tc>
          <w:tcPr>
            <w:tcW w:w="494" w:type="dxa"/>
            <w:vMerge w:val="restart"/>
          </w:tcPr>
          <w:p w14:paraId="68C33455">
            <w:pPr>
              <w:pStyle w:val="10"/>
              <w:rPr>
                <w:sz w:val="20"/>
              </w:rPr>
            </w:pPr>
          </w:p>
          <w:p w14:paraId="397931A9">
            <w:pPr>
              <w:pStyle w:val="10"/>
              <w:rPr>
                <w:sz w:val="20"/>
              </w:rPr>
            </w:pPr>
          </w:p>
          <w:p w14:paraId="288070E9">
            <w:pPr>
              <w:pStyle w:val="10"/>
              <w:rPr>
                <w:sz w:val="20"/>
              </w:rPr>
            </w:pPr>
          </w:p>
          <w:p w14:paraId="7215B03D">
            <w:pPr>
              <w:pStyle w:val="10"/>
              <w:rPr>
                <w:sz w:val="20"/>
              </w:rPr>
            </w:pPr>
          </w:p>
          <w:p w14:paraId="7CF878DA">
            <w:pPr>
              <w:pStyle w:val="10"/>
              <w:rPr>
                <w:sz w:val="20"/>
              </w:rPr>
            </w:pPr>
          </w:p>
          <w:p w14:paraId="412BE304">
            <w:pPr>
              <w:pStyle w:val="10"/>
              <w:rPr>
                <w:sz w:val="20"/>
              </w:rPr>
            </w:pPr>
          </w:p>
          <w:p w14:paraId="1DF2DDB6">
            <w:pPr>
              <w:pStyle w:val="10"/>
              <w:rPr>
                <w:sz w:val="20"/>
              </w:rPr>
            </w:pPr>
          </w:p>
          <w:p w14:paraId="5ACBE871">
            <w:pPr>
              <w:pStyle w:val="10"/>
              <w:rPr>
                <w:sz w:val="20"/>
              </w:rPr>
            </w:pPr>
          </w:p>
          <w:p w14:paraId="194267B7">
            <w:pPr>
              <w:pStyle w:val="10"/>
              <w:rPr>
                <w:sz w:val="20"/>
              </w:rPr>
            </w:pPr>
          </w:p>
          <w:p w14:paraId="5AE34660">
            <w:pPr>
              <w:pStyle w:val="10"/>
              <w:rPr>
                <w:sz w:val="20"/>
              </w:rPr>
            </w:pPr>
          </w:p>
          <w:p w14:paraId="22B9026B">
            <w:pPr>
              <w:pStyle w:val="10"/>
              <w:spacing w:before="73"/>
              <w:rPr>
                <w:sz w:val="20"/>
              </w:rPr>
            </w:pPr>
          </w:p>
          <w:p w14:paraId="7F230DAF">
            <w:pPr>
              <w:pStyle w:val="10"/>
              <w:spacing w:line="232" w:lineRule="auto"/>
              <w:ind w:left="53" w:right="15"/>
              <w:jc w:val="both"/>
              <w:rPr>
                <w:sz w:val="20"/>
              </w:rPr>
            </w:pPr>
            <w:r>
              <w:rPr>
                <w:spacing w:val="-6"/>
                <w:sz w:val="20"/>
              </w:rPr>
              <w:t>卫生保洁</w:t>
            </w:r>
            <w:r>
              <w:rPr>
                <w:spacing w:val="-5"/>
                <w:sz w:val="20"/>
              </w:rPr>
              <w:t>服务</w:t>
            </w:r>
          </w:p>
        </w:tc>
        <w:tc>
          <w:tcPr>
            <w:tcW w:w="540" w:type="dxa"/>
          </w:tcPr>
          <w:p w14:paraId="36570410">
            <w:pPr>
              <w:pStyle w:val="10"/>
              <w:rPr>
                <w:sz w:val="20"/>
              </w:rPr>
            </w:pPr>
          </w:p>
          <w:p w14:paraId="009FE2E6">
            <w:pPr>
              <w:pStyle w:val="10"/>
              <w:rPr>
                <w:sz w:val="20"/>
              </w:rPr>
            </w:pPr>
          </w:p>
          <w:p w14:paraId="1DD3BF9E">
            <w:pPr>
              <w:pStyle w:val="10"/>
              <w:spacing w:before="163"/>
              <w:rPr>
                <w:sz w:val="20"/>
              </w:rPr>
            </w:pPr>
          </w:p>
          <w:p w14:paraId="652D84B7">
            <w:pPr>
              <w:pStyle w:val="10"/>
              <w:spacing w:line="232" w:lineRule="auto"/>
              <w:ind w:left="77" w:right="39"/>
              <w:rPr>
                <w:sz w:val="20"/>
              </w:rPr>
            </w:pPr>
            <w:r>
              <w:rPr>
                <w:spacing w:val="-6"/>
                <w:sz w:val="20"/>
              </w:rPr>
              <w:t>楼道</w:t>
            </w:r>
            <w:r>
              <w:rPr>
                <w:spacing w:val="-5"/>
                <w:sz w:val="20"/>
              </w:rPr>
              <w:t>保洁</w:t>
            </w:r>
          </w:p>
        </w:tc>
        <w:tc>
          <w:tcPr>
            <w:tcW w:w="3300" w:type="dxa"/>
          </w:tcPr>
          <w:p w14:paraId="6F3F3EA1">
            <w:pPr>
              <w:pStyle w:val="10"/>
              <w:spacing w:before="188" w:line="232" w:lineRule="auto"/>
              <w:ind w:left="39" w:right="38"/>
              <w:rPr>
                <w:sz w:val="20"/>
              </w:rPr>
            </w:pPr>
            <w:r>
              <w:rPr>
                <w:spacing w:val="-2"/>
                <w:sz w:val="20"/>
              </w:rPr>
              <w:t>楼道、门厅地面每日清扫、拖擦一 次；楼梯扶手每天擦抹一次；共用门窗玻璃、楼梯间墙面，每月擦拭或除尘一次；楼内公共设施、设备、楼道门等每周清洁两次；电梯轿厢地面、门壁每日清洁两次，电梯门壁每月打蜡保养一次，灯饰及轿厢顶部每月清</w:t>
            </w:r>
            <w:r>
              <w:rPr>
                <w:spacing w:val="-4"/>
                <w:sz w:val="20"/>
              </w:rPr>
              <w:t>洁一次。</w:t>
            </w:r>
          </w:p>
        </w:tc>
        <w:tc>
          <w:tcPr>
            <w:tcW w:w="3134" w:type="dxa"/>
          </w:tcPr>
          <w:p w14:paraId="284F4869">
            <w:pPr>
              <w:pStyle w:val="10"/>
              <w:spacing w:before="188" w:line="232" w:lineRule="auto"/>
              <w:ind w:left="39" w:right="72"/>
              <w:jc w:val="both"/>
              <w:rPr>
                <w:sz w:val="20"/>
              </w:rPr>
            </w:pPr>
            <w:r>
              <w:rPr>
                <w:spacing w:val="-2"/>
                <w:sz w:val="20"/>
              </w:rPr>
              <w:t>楼道、门厅地面每周清扫三次、拖擦两次；楼梯扶手每周擦抹一次；共用门窗玻璃、楼梯间墙面，每季</w:t>
            </w:r>
            <w:r>
              <w:rPr>
                <w:spacing w:val="-3"/>
                <w:sz w:val="20"/>
              </w:rPr>
              <w:t>度擦拭或除尘一次；楼内公共设施</w:t>
            </w:r>
          </w:p>
          <w:p w14:paraId="60BA7EAB">
            <w:pPr>
              <w:pStyle w:val="10"/>
              <w:spacing w:line="232" w:lineRule="auto"/>
              <w:ind w:left="39" w:right="72"/>
              <w:rPr>
                <w:sz w:val="20"/>
              </w:rPr>
            </w:pPr>
            <w:r>
              <w:rPr>
                <w:spacing w:val="-2"/>
                <w:sz w:val="20"/>
              </w:rPr>
              <w:t>、设备、楼道门等每周清洁一次；电梯轿厢地面、门壁每日清洁一 次，灯饰及轿厢顶部每月清洁一次</w:t>
            </w:r>
          </w:p>
          <w:p w14:paraId="11EBEA01">
            <w:pPr>
              <w:pStyle w:val="10"/>
              <w:spacing w:line="249" w:lineRule="exact"/>
              <w:ind w:left="39"/>
              <w:rPr>
                <w:sz w:val="20"/>
              </w:rPr>
            </w:pPr>
            <w:r>
              <w:rPr>
                <w:spacing w:val="-10"/>
                <w:sz w:val="20"/>
              </w:rPr>
              <w:t>。</w:t>
            </w:r>
          </w:p>
        </w:tc>
        <w:tc>
          <w:tcPr>
            <w:tcW w:w="2911" w:type="dxa"/>
          </w:tcPr>
          <w:p w14:paraId="48C17C33">
            <w:pPr>
              <w:pStyle w:val="10"/>
              <w:spacing w:before="64" w:line="232" w:lineRule="auto"/>
              <w:ind w:left="38" w:right="49"/>
              <w:rPr>
                <w:sz w:val="20"/>
              </w:rPr>
            </w:pPr>
            <w:r>
              <w:rPr>
                <w:spacing w:val="-2"/>
                <w:sz w:val="20"/>
              </w:rPr>
              <w:t>楼道、门厅地面每周清扫两次、拖擦一次；楼梯扶手每周擦抹一次；共用门窗玻璃、楼梯间墙 面，每半年擦拭或除尘一次；楼内公共设施、设备、楼道门等每月清洁一次；电梯轿厢地面每日清洁一次，门壁每周清洁一次，</w:t>
            </w:r>
            <w:r>
              <w:rPr>
                <w:spacing w:val="-3"/>
                <w:sz w:val="20"/>
              </w:rPr>
              <w:t>灯饰及轿厢顶部每季度清洁一次</w:t>
            </w:r>
          </w:p>
          <w:p w14:paraId="22412EA2">
            <w:pPr>
              <w:pStyle w:val="10"/>
              <w:spacing w:line="230" w:lineRule="exact"/>
              <w:ind w:left="38"/>
              <w:rPr>
                <w:sz w:val="20"/>
              </w:rPr>
            </w:pPr>
            <w:r>
              <w:rPr>
                <w:spacing w:val="-10"/>
                <w:sz w:val="20"/>
              </w:rPr>
              <w:t>。</w:t>
            </w:r>
          </w:p>
        </w:tc>
        <w:tc>
          <w:tcPr>
            <w:tcW w:w="2774" w:type="dxa"/>
          </w:tcPr>
          <w:p w14:paraId="5C854B95">
            <w:pPr>
              <w:pStyle w:val="10"/>
              <w:spacing w:before="55"/>
              <w:rPr>
                <w:sz w:val="20"/>
              </w:rPr>
            </w:pPr>
          </w:p>
          <w:p w14:paraId="3E30F6EF">
            <w:pPr>
              <w:pStyle w:val="10"/>
              <w:spacing w:line="232" w:lineRule="auto"/>
              <w:ind w:left="38" w:right="111"/>
              <w:jc w:val="both"/>
              <w:rPr>
                <w:sz w:val="20"/>
              </w:rPr>
            </w:pPr>
            <w:r>
              <w:rPr>
                <w:spacing w:val="-2"/>
                <w:sz w:val="20"/>
              </w:rPr>
              <w:t>楼道、门厅地面每周清扫、拖擦一次；楼梯扶手每两周擦抹一次；楼内公共设施、设备、楼道门等每季度清洁一次；电梯轿厢地面每日清洁一次，灯</w:t>
            </w:r>
            <w:r>
              <w:rPr>
                <w:spacing w:val="-3"/>
                <w:sz w:val="20"/>
              </w:rPr>
              <w:t>饰及轿厢顶部每半年清洁一次</w:t>
            </w:r>
          </w:p>
          <w:p w14:paraId="6FF9795E">
            <w:pPr>
              <w:pStyle w:val="10"/>
              <w:spacing w:line="247" w:lineRule="exact"/>
              <w:ind w:left="38"/>
              <w:rPr>
                <w:sz w:val="20"/>
              </w:rPr>
            </w:pPr>
            <w:r>
              <w:rPr>
                <w:spacing w:val="-10"/>
                <w:sz w:val="20"/>
              </w:rPr>
              <w:t>。</w:t>
            </w:r>
          </w:p>
        </w:tc>
        <w:tc>
          <w:tcPr>
            <w:tcW w:w="1814" w:type="dxa"/>
          </w:tcPr>
          <w:p w14:paraId="41798F70">
            <w:pPr>
              <w:pStyle w:val="10"/>
              <w:rPr>
                <w:sz w:val="20"/>
              </w:rPr>
            </w:pPr>
          </w:p>
          <w:p w14:paraId="0BEDCB46">
            <w:pPr>
              <w:pStyle w:val="10"/>
              <w:spacing w:before="171"/>
              <w:rPr>
                <w:sz w:val="20"/>
              </w:rPr>
            </w:pPr>
          </w:p>
          <w:p w14:paraId="1AF21CDD">
            <w:pPr>
              <w:pStyle w:val="10"/>
              <w:spacing w:line="232" w:lineRule="auto"/>
              <w:ind w:left="40" w:right="-72"/>
              <w:jc w:val="both"/>
              <w:rPr>
                <w:sz w:val="20"/>
              </w:rPr>
            </w:pPr>
            <w:r>
              <w:rPr>
                <w:spacing w:val="19"/>
                <w:sz w:val="20"/>
              </w:rPr>
              <w:t>楼道、门厅地面每周 清 扫、拖擦一</w:t>
            </w:r>
            <w:r>
              <w:rPr>
                <w:sz w:val="20"/>
              </w:rPr>
              <w:t xml:space="preserve"> </w:t>
            </w:r>
            <w:r>
              <w:rPr>
                <w:spacing w:val="20"/>
                <w:sz w:val="20"/>
              </w:rPr>
              <w:t>次；楼梯扶手每两</w:t>
            </w:r>
            <w:r>
              <w:rPr>
                <w:spacing w:val="-2"/>
                <w:sz w:val="20"/>
              </w:rPr>
              <w:t>周擦抹一次。</w:t>
            </w:r>
          </w:p>
        </w:tc>
      </w:tr>
      <w:tr w14:paraId="5B4FD3D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075" w:hRule="atLeast"/>
        </w:trPr>
        <w:tc>
          <w:tcPr>
            <w:tcW w:w="494" w:type="dxa"/>
            <w:vMerge w:val="continue"/>
            <w:tcBorders>
              <w:top w:val="nil"/>
            </w:tcBorders>
          </w:tcPr>
          <w:p w14:paraId="41FE749A">
            <w:pPr>
              <w:rPr>
                <w:sz w:val="2"/>
                <w:szCs w:val="2"/>
              </w:rPr>
            </w:pPr>
          </w:p>
        </w:tc>
        <w:tc>
          <w:tcPr>
            <w:tcW w:w="540" w:type="dxa"/>
          </w:tcPr>
          <w:p w14:paraId="334B1532">
            <w:pPr>
              <w:pStyle w:val="10"/>
              <w:rPr>
                <w:sz w:val="20"/>
              </w:rPr>
            </w:pPr>
          </w:p>
          <w:p w14:paraId="79A7CA70">
            <w:pPr>
              <w:pStyle w:val="10"/>
              <w:rPr>
                <w:sz w:val="20"/>
              </w:rPr>
            </w:pPr>
          </w:p>
          <w:p w14:paraId="5C663B31">
            <w:pPr>
              <w:pStyle w:val="10"/>
              <w:spacing w:before="51"/>
              <w:rPr>
                <w:sz w:val="20"/>
              </w:rPr>
            </w:pPr>
          </w:p>
          <w:p w14:paraId="25BFE3E2">
            <w:pPr>
              <w:pStyle w:val="10"/>
              <w:spacing w:line="230" w:lineRule="auto"/>
              <w:ind w:left="77" w:right="39"/>
              <w:rPr>
                <w:sz w:val="20"/>
              </w:rPr>
            </w:pPr>
            <w:r>
              <w:rPr>
                <w:spacing w:val="-6"/>
                <w:sz w:val="20"/>
              </w:rPr>
              <w:t>外围</w:t>
            </w:r>
            <w:r>
              <w:rPr>
                <w:spacing w:val="-5"/>
                <w:sz w:val="20"/>
              </w:rPr>
              <w:t>保洁</w:t>
            </w:r>
          </w:p>
        </w:tc>
        <w:tc>
          <w:tcPr>
            <w:tcW w:w="3300" w:type="dxa"/>
          </w:tcPr>
          <w:p w14:paraId="7EE0AE06">
            <w:pPr>
              <w:pStyle w:val="10"/>
              <w:spacing w:before="198" w:line="232" w:lineRule="auto"/>
              <w:ind w:left="39" w:right="38"/>
              <w:rPr>
                <w:sz w:val="20"/>
              </w:rPr>
            </w:pPr>
            <w:r>
              <w:rPr>
                <w:spacing w:val="-2"/>
                <w:sz w:val="20"/>
              </w:rPr>
              <w:t>道路、广场、绿地、停车场（库）或车棚每日清扫一次以上，无明显杂 物；路灯杆、标识牌、宣传栏、健身器材等，每周清洁一次；区内水景保持清洁、无杂物；随时清理小区内的乱贴乱画；雨雪天气及时清理主要通行道路，方便出行。</w:t>
            </w:r>
          </w:p>
        </w:tc>
        <w:tc>
          <w:tcPr>
            <w:tcW w:w="3134" w:type="dxa"/>
          </w:tcPr>
          <w:p w14:paraId="17EEBD29">
            <w:pPr>
              <w:pStyle w:val="10"/>
              <w:spacing w:before="198" w:line="232" w:lineRule="auto"/>
              <w:ind w:left="39" w:right="72"/>
              <w:jc w:val="both"/>
              <w:rPr>
                <w:sz w:val="20"/>
              </w:rPr>
            </w:pPr>
            <w:r>
              <w:rPr>
                <w:spacing w:val="-2"/>
                <w:sz w:val="20"/>
              </w:rPr>
              <w:t>道路、广场、绿地、停车场（库）或车棚每日清扫一次；路灯杆、标识牌、宣传栏、健身器材等，每两周清洁一次；区内水景保持清洁、无杂物；及时清理小区内的乱贴乱画；雨雪天气及时清理主要通行道路，方便出行。</w:t>
            </w:r>
          </w:p>
        </w:tc>
        <w:tc>
          <w:tcPr>
            <w:tcW w:w="2911" w:type="dxa"/>
          </w:tcPr>
          <w:p w14:paraId="1528F39C">
            <w:pPr>
              <w:pStyle w:val="10"/>
              <w:spacing w:before="192" w:line="252" w:lineRule="exact"/>
              <w:ind w:left="38"/>
              <w:rPr>
                <w:sz w:val="20"/>
              </w:rPr>
            </w:pPr>
            <w:r>
              <w:rPr>
                <w:spacing w:val="-3"/>
                <w:sz w:val="20"/>
              </w:rPr>
              <w:t>道路、广场、绿地、停车场</w:t>
            </w:r>
          </w:p>
          <w:p w14:paraId="35AC4DC5">
            <w:pPr>
              <w:pStyle w:val="10"/>
              <w:spacing w:before="2" w:line="232" w:lineRule="auto"/>
              <w:ind w:left="38" w:right="49"/>
              <w:jc w:val="both"/>
              <w:rPr>
                <w:sz w:val="20"/>
              </w:rPr>
            </w:pPr>
            <w:r>
              <w:rPr>
                <w:spacing w:val="-2"/>
                <w:sz w:val="20"/>
              </w:rPr>
              <w:t>（库）或车棚每日清扫一次；路灯杆、标识牌、宣传栏、健身器材等，每季度清洁一次；及时清理小区内的乱贴乱画；雨雪天气及时清理主要通行道路，方便出</w:t>
            </w:r>
            <w:r>
              <w:rPr>
                <w:spacing w:val="-6"/>
                <w:sz w:val="20"/>
              </w:rPr>
              <w:t>行。</w:t>
            </w:r>
          </w:p>
        </w:tc>
        <w:tc>
          <w:tcPr>
            <w:tcW w:w="2774" w:type="dxa"/>
          </w:tcPr>
          <w:p w14:paraId="66B85184">
            <w:pPr>
              <w:pStyle w:val="10"/>
              <w:spacing w:before="191" w:line="252" w:lineRule="exact"/>
              <w:ind w:left="38"/>
              <w:rPr>
                <w:sz w:val="20"/>
              </w:rPr>
            </w:pPr>
            <w:r>
              <w:rPr>
                <w:spacing w:val="-3"/>
                <w:sz w:val="20"/>
              </w:rPr>
              <w:t>道路、广场、绿地、停车场</w:t>
            </w:r>
          </w:p>
          <w:p w14:paraId="0439932A">
            <w:pPr>
              <w:pStyle w:val="10"/>
              <w:spacing w:before="3" w:line="232" w:lineRule="auto"/>
              <w:ind w:left="38" w:right="112"/>
              <w:jc w:val="both"/>
              <w:rPr>
                <w:sz w:val="20"/>
              </w:rPr>
            </w:pPr>
            <w:r>
              <w:rPr>
                <w:spacing w:val="-2"/>
                <w:sz w:val="20"/>
              </w:rPr>
              <w:t>（库）或车棚每日清扫一次；路灯杆、标识牌、宣传栏、健身器材等，每半年清洁一次；及时清理小区内的乱贴乱画；雨雪天气及时清理主要通行道路，方便出行。</w:t>
            </w:r>
          </w:p>
        </w:tc>
        <w:tc>
          <w:tcPr>
            <w:tcW w:w="1814" w:type="dxa"/>
          </w:tcPr>
          <w:p w14:paraId="59CA561B">
            <w:pPr>
              <w:pStyle w:val="10"/>
              <w:spacing w:before="68" w:line="252" w:lineRule="exact"/>
              <w:ind w:left="40" w:right="-29"/>
              <w:rPr>
                <w:sz w:val="20"/>
              </w:rPr>
            </w:pPr>
            <w:r>
              <w:rPr>
                <w:spacing w:val="18"/>
                <w:sz w:val="20"/>
              </w:rPr>
              <w:t>道路、广场、绿地</w:t>
            </w:r>
          </w:p>
          <w:p w14:paraId="3E511E2A">
            <w:pPr>
              <w:pStyle w:val="10"/>
              <w:spacing w:before="1" w:line="232" w:lineRule="auto"/>
              <w:ind w:left="40" w:right="-72"/>
              <w:jc w:val="both"/>
              <w:rPr>
                <w:sz w:val="20"/>
              </w:rPr>
            </w:pPr>
            <w:r>
              <w:rPr>
                <w:spacing w:val="20"/>
                <w:sz w:val="20"/>
              </w:rPr>
              <w:t>、停车场（库）或</w:t>
            </w:r>
            <w:r>
              <w:rPr>
                <w:spacing w:val="19"/>
                <w:sz w:val="20"/>
              </w:rPr>
              <w:t>车 棚 每日清扫一</w:t>
            </w:r>
            <w:r>
              <w:rPr>
                <w:sz w:val="20"/>
              </w:rPr>
              <w:t xml:space="preserve"> </w:t>
            </w:r>
            <w:r>
              <w:rPr>
                <w:spacing w:val="20"/>
                <w:sz w:val="20"/>
              </w:rPr>
              <w:t>次；及时清理小区</w:t>
            </w:r>
            <w:r>
              <w:rPr>
                <w:spacing w:val="19"/>
                <w:sz w:val="20"/>
              </w:rPr>
              <w:t>内的乱贴乱画；雨</w:t>
            </w:r>
            <w:r>
              <w:rPr>
                <w:spacing w:val="20"/>
                <w:sz w:val="20"/>
              </w:rPr>
              <w:t>雪天气及时清理主</w:t>
            </w:r>
            <w:r>
              <w:rPr>
                <w:spacing w:val="19"/>
                <w:sz w:val="20"/>
              </w:rPr>
              <w:t>要通行道路，方便</w:t>
            </w:r>
          </w:p>
          <w:p w14:paraId="1AA40589">
            <w:pPr>
              <w:pStyle w:val="10"/>
              <w:spacing w:line="242" w:lineRule="exact"/>
              <w:ind w:left="40"/>
              <w:rPr>
                <w:sz w:val="20"/>
              </w:rPr>
            </w:pPr>
            <w:r>
              <w:rPr>
                <w:spacing w:val="-5"/>
                <w:sz w:val="20"/>
              </w:rPr>
              <w:t>出行。</w:t>
            </w:r>
          </w:p>
        </w:tc>
      </w:tr>
      <w:tr w14:paraId="3014662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92" w:hRule="atLeast"/>
        </w:trPr>
        <w:tc>
          <w:tcPr>
            <w:tcW w:w="494" w:type="dxa"/>
            <w:vMerge w:val="continue"/>
            <w:tcBorders>
              <w:top w:val="nil"/>
            </w:tcBorders>
          </w:tcPr>
          <w:p w14:paraId="232DBBA6">
            <w:pPr>
              <w:rPr>
                <w:sz w:val="2"/>
                <w:szCs w:val="2"/>
              </w:rPr>
            </w:pPr>
          </w:p>
        </w:tc>
        <w:tc>
          <w:tcPr>
            <w:tcW w:w="540" w:type="dxa"/>
          </w:tcPr>
          <w:p w14:paraId="6B619DD4">
            <w:pPr>
              <w:pStyle w:val="10"/>
              <w:spacing w:before="120"/>
              <w:rPr>
                <w:sz w:val="20"/>
              </w:rPr>
            </w:pPr>
          </w:p>
          <w:p w14:paraId="345C072E">
            <w:pPr>
              <w:pStyle w:val="10"/>
              <w:spacing w:line="232" w:lineRule="auto"/>
              <w:ind w:left="77" w:right="39"/>
              <w:rPr>
                <w:sz w:val="20"/>
              </w:rPr>
            </w:pPr>
            <w:r>
              <w:rPr>
                <w:spacing w:val="-6"/>
                <w:sz w:val="20"/>
              </w:rPr>
              <w:t>垃圾</w:t>
            </w:r>
            <w:r>
              <w:rPr>
                <w:spacing w:val="-5"/>
                <w:sz w:val="20"/>
              </w:rPr>
              <w:t>收集</w:t>
            </w:r>
          </w:p>
        </w:tc>
        <w:tc>
          <w:tcPr>
            <w:tcW w:w="3300" w:type="dxa"/>
          </w:tcPr>
          <w:p w14:paraId="6A6BD3AE">
            <w:pPr>
              <w:pStyle w:val="10"/>
              <w:spacing w:before="253" w:line="232" w:lineRule="auto"/>
              <w:ind w:left="39" w:right="238"/>
              <w:jc w:val="both"/>
              <w:rPr>
                <w:sz w:val="20"/>
              </w:rPr>
            </w:pPr>
            <w:r>
              <w:rPr>
                <w:spacing w:val="-2"/>
                <w:sz w:val="20"/>
              </w:rPr>
              <w:t>居民自行投放垃圾至小区垃圾收集点，垃圾桶、果皮箱等每日清洁一次，无满溢、无异味、无污迹。</w:t>
            </w:r>
          </w:p>
        </w:tc>
        <w:tc>
          <w:tcPr>
            <w:tcW w:w="3134" w:type="dxa"/>
          </w:tcPr>
          <w:p w14:paraId="29A004DB">
            <w:pPr>
              <w:pStyle w:val="10"/>
              <w:spacing w:before="253" w:line="232" w:lineRule="auto"/>
              <w:ind w:left="39" w:right="72"/>
              <w:jc w:val="both"/>
              <w:rPr>
                <w:sz w:val="20"/>
              </w:rPr>
            </w:pPr>
            <w:r>
              <w:rPr>
                <w:spacing w:val="-2"/>
                <w:sz w:val="20"/>
              </w:rPr>
              <w:t>居民自行投放垃圾至小区垃圾收集点，垃圾桶、果皮箱等每日清洁一次，无满溢、无异味、无污迹。</w:t>
            </w:r>
          </w:p>
        </w:tc>
        <w:tc>
          <w:tcPr>
            <w:tcW w:w="2911" w:type="dxa"/>
          </w:tcPr>
          <w:p w14:paraId="7DF58E23">
            <w:pPr>
              <w:pStyle w:val="10"/>
              <w:spacing w:before="253" w:line="232" w:lineRule="auto"/>
              <w:ind w:left="38" w:right="49"/>
              <w:jc w:val="both"/>
              <w:rPr>
                <w:sz w:val="20"/>
              </w:rPr>
            </w:pPr>
            <w:r>
              <w:rPr>
                <w:spacing w:val="-2"/>
                <w:sz w:val="20"/>
              </w:rPr>
              <w:t>居民自行投放垃圾至小区垃圾收集点，垃圾桶、果皮箱等每周清</w:t>
            </w:r>
            <w:r>
              <w:rPr>
                <w:spacing w:val="-3"/>
                <w:sz w:val="20"/>
              </w:rPr>
              <w:t>洁两次，周围地面无散落垃圾。</w:t>
            </w:r>
          </w:p>
        </w:tc>
        <w:tc>
          <w:tcPr>
            <w:tcW w:w="2774" w:type="dxa"/>
          </w:tcPr>
          <w:p w14:paraId="03AE7FFE">
            <w:pPr>
              <w:pStyle w:val="10"/>
              <w:spacing w:before="128" w:line="232" w:lineRule="auto"/>
              <w:ind w:left="38" w:right="112"/>
              <w:jc w:val="both"/>
              <w:rPr>
                <w:sz w:val="20"/>
              </w:rPr>
            </w:pPr>
            <w:r>
              <w:rPr>
                <w:spacing w:val="-2"/>
                <w:sz w:val="20"/>
              </w:rPr>
              <w:t>居民自行投放垃圾至小区垃圾收集点，垃圾桶、果皮箱等每周清洁一次，周围地面无散落</w:t>
            </w:r>
            <w:r>
              <w:rPr>
                <w:spacing w:val="-4"/>
                <w:sz w:val="20"/>
              </w:rPr>
              <w:t>垃圾。</w:t>
            </w:r>
          </w:p>
        </w:tc>
        <w:tc>
          <w:tcPr>
            <w:tcW w:w="1814" w:type="dxa"/>
          </w:tcPr>
          <w:p w14:paraId="5324E184">
            <w:pPr>
              <w:pStyle w:val="10"/>
              <w:spacing w:before="128" w:line="232" w:lineRule="auto"/>
              <w:ind w:left="40" w:right="-72"/>
              <w:jc w:val="both"/>
              <w:rPr>
                <w:sz w:val="20"/>
              </w:rPr>
            </w:pPr>
            <w:r>
              <w:rPr>
                <w:spacing w:val="20"/>
                <w:sz w:val="20"/>
              </w:rPr>
              <w:t>居民自行投放垃圾</w:t>
            </w:r>
            <w:r>
              <w:rPr>
                <w:spacing w:val="19"/>
                <w:sz w:val="20"/>
              </w:rPr>
              <w:t>至 小 区集中投放</w:t>
            </w:r>
            <w:r>
              <w:rPr>
                <w:sz w:val="20"/>
              </w:rPr>
              <w:t xml:space="preserve"> </w:t>
            </w:r>
            <w:r>
              <w:rPr>
                <w:spacing w:val="20"/>
                <w:sz w:val="20"/>
              </w:rPr>
              <w:t>点，垃圾桶周围地</w:t>
            </w:r>
            <w:r>
              <w:rPr>
                <w:spacing w:val="-2"/>
                <w:sz w:val="20"/>
              </w:rPr>
              <w:t>面无散落垃圾。</w:t>
            </w:r>
          </w:p>
        </w:tc>
      </w:tr>
      <w:tr w14:paraId="66A8201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41" w:hRule="atLeast"/>
        </w:trPr>
        <w:tc>
          <w:tcPr>
            <w:tcW w:w="494" w:type="dxa"/>
            <w:vMerge w:val="continue"/>
            <w:tcBorders>
              <w:top w:val="nil"/>
            </w:tcBorders>
          </w:tcPr>
          <w:p w14:paraId="1EE44D41">
            <w:pPr>
              <w:rPr>
                <w:sz w:val="2"/>
                <w:szCs w:val="2"/>
              </w:rPr>
            </w:pPr>
          </w:p>
        </w:tc>
        <w:tc>
          <w:tcPr>
            <w:tcW w:w="540" w:type="dxa"/>
          </w:tcPr>
          <w:p w14:paraId="33CF94F4">
            <w:pPr>
              <w:pStyle w:val="10"/>
              <w:spacing w:before="201" w:line="232" w:lineRule="auto"/>
              <w:ind w:left="77" w:right="39"/>
              <w:rPr>
                <w:sz w:val="20"/>
              </w:rPr>
            </w:pPr>
            <w:r>
              <w:rPr>
                <w:spacing w:val="-6"/>
                <w:sz w:val="20"/>
              </w:rPr>
              <w:t>卫生</w:t>
            </w:r>
            <w:r>
              <w:rPr>
                <w:spacing w:val="-5"/>
                <w:sz w:val="20"/>
              </w:rPr>
              <w:t>消杀</w:t>
            </w:r>
          </w:p>
        </w:tc>
        <w:tc>
          <w:tcPr>
            <w:tcW w:w="3300" w:type="dxa"/>
          </w:tcPr>
          <w:p w14:paraId="2DF2A9B0">
            <w:pPr>
              <w:pStyle w:val="10"/>
              <w:spacing w:before="71" w:line="252" w:lineRule="exact"/>
              <w:ind w:left="39"/>
              <w:rPr>
                <w:sz w:val="20"/>
              </w:rPr>
            </w:pPr>
            <w:r>
              <w:rPr>
                <w:spacing w:val="-3"/>
                <w:sz w:val="20"/>
              </w:rPr>
              <w:t>根据实际需要和季节特点制定灭蚊、</w:t>
            </w:r>
          </w:p>
          <w:p w14:paraId="7A5A63AC">
            <w:pPr>
              <w:pStyle w:val="10"/>
              <w:spacing w:before="4" w:line="230" w:lineRule="auto"/>
              <w:ind w:left="39" w:right="38"/>
              <w:rPr>
                <w:sz w:val="20"/>
              </w:rPr>
            </w:pPr>
            <w:r>
              <w:rPr>
                <w:spacing w:val="-2"/>
                <w:sz w:val="20"/>
              </w:rPr>
              <w:t>蝇、蟑螂、灭鼠具体计划，并组织实施，每年不少于三次。</w:t>
            </w:r>
          </w:p>
        </w:tc>
        <w:tc>
          <w:tcPr>
            <w:tcW w:w="3134" w:type="dxa"/>
          </w:tcPr>
          <w:p w14:paraId="4B03817E">
            <w:pPr>
              <w:pStyle w:val="10"/>
              <w:spacing w:before="71" w:line="252" w:lineRule="exact"/>
              <w:ind w:left="39"/>
              <w:rPr>
                <w:sz w:val="20"/>
              </w:rPr>
            </w:pPr>
            <w:r>
              <w:rPr>
                <w:spacing w:val="-3"/>
                <w:sz w:val="20"/>
              </w:rPr>
              <w:t>根据实际需要和季节特点制定灭蚊</w:t>
            </w:r>
          </w:p>
          <w:p w14:paraId="323826CD">
            <w:pPr>
              <w:pStyle w:val="10"/>
              <w:spacing w:before="4" w:line="230" w:lineRule="auto"/>
              <w:ind w:left="39" w:right="72"/>
              <w:rPr>
                <w:sz w:val="20"/>
              </w:rPr>
            </w:pPr>
            <w:r>
              <w:rPr>
                <w:spacing w:val="-2"/>
                <w:sz w:val="20"/>
              </w:rPr>
              <w:t>、蝇、蟑螂、灭鼠具体计划，并组织实施，每年不少于二次。</w:t>
            </w:r>
          </w:p>
        </w:tc>
        <w:tc>
          <w:tcPr>
            <w:tcW w:w="2911" w:type="dxa"/>
          </w:tcPr>
          <w:p w14:paraId="1F07C816">
            <w:pPr>
              <w:pStyle w:val="10"/>
              <w:spacing w:before="71" w:line="252" w:lineRule="exact"/>
              <w:ind w:left="38"/>
              <w:rPr>
                <w:sz w:val="20"/>
              </w:rPr>
            </w:pPr>
            <w:r>
              <w:rPr>
                <w:spacing w:val="-3"/>
                <w:sz w:val="20"/>
              </w:rPr>
              <w:t>根据实际需要和季节特点制定灭</w:t>
            </w:r>
          </w:p>
          <w:p w14:paraId="07866CA5">
            <w:pPr>
              <w:pStyle w:val="10"/>
              <w:spacing w:before="4" w:line="230" w:lineRule="auto"/>
              <w:ind w:left="38" w:right="49"/>
              <w:rPr>
                <w:sz w:val="20"/>
              </w:rPr>
            </w:pPr>
            <w:r>
              <w:rPr>
                <w:spacing w:val="-2"/>
                <w:sz w:val="20"/>
              </w:rPr>
              <w:t>蚊、蝇、蟑螂、灭鼠具体计划，</w:t>
            </w:r>
            <w:r>
              <w:rPr>
                <w:spacing w:val="-3"/>
                <w:sz w:val="20"/>
              </w:rPr>
              <w:t>并组织实施，每年不少于一次。</w:t>
            </w:r>
          </w:p>
        </w:tc>
        <w:tc>
          <w:tcPr>
            <w:tcW w:w="2774" w:type="dxa"/>
          </w:tcPr>
          <w:p w14:paraId="21C8FD5B">
            <w:pPr>
              <w:pStyle w:val="10"/>
              <w:spacing w:before="201" w:line="232" w:lineRule="auto"/>
              <w:ind w:left="38" w:right="113"/>
              <w:rPr>
                <w:sz w:val="20"/>
              </w:rPr>
            </w:pPr>
            <w:r>
              <w:rPr>
                <w:spacing w:val="-2"/>
                <w:sz w:val="20"/>
              </w:rPr>
              <w:t>灭蚊、蝇、蟑螂、灭鼠活动配合社区统一开展。</w:t>
            </w:r>
          </w:p>
        </w:tc>
        <w:tc>
          <w:tcPr>
            <w:tcW w:w="1814" w:type="dxa"/>
          </w:tcPr>
          <w:p w14:paraId="7B3134BA">
            <w:pPr>
              <w:pStyle w:val="10"/>
              <w:spacing w:before="71" w:line="252" w:lineRule="exact"/>
              <w:ind w:left="40" w:right="-29"/>
              <w:rPr>
                <w:sz w:val="20"/>
              </w:rPr>
            </w:pPr>
            <w:r>
              <w:rPr>
                <w:spacing w:val="18"/>
                <w:sz w:val="20"/>
              </w:rPr>
              <w:t>灭蚊、蝇、蟑螂、</w:t>
            </w:r>
          </w:p>
          <w:p w14:paraId="730316C9">
            <w:pPr>
              <w:pStyle w:val="10"/>
              <w:spacing w:before="4" w:line="230" w:lineRule="auto"/>
              <w:ind w:left="40" w:right="-29"/>
              <w:rPr>
                <w:sz w:val="20"/>
              </w:rPr>
            </w:pPr>
            <w:r>
              <w:rPr>
                <w:spacing w:val="18"/>
                <w:sz w:val="20"/>
              </w:rPr>
              <w:t>灭鼠活动配合社区</w:t>
            </w:r>
            <w:r>
              <w:rPr>
                <w:spacing w:val="-2"/>
                <w:sz w:val="20"/>
              </w:rPr>
              <w:t>统一开展。</w:t>
            </w:r>
          </w:p>
        </w:tc>
      </w:tr>
      <w:tr w14:paraId="3FC5DE4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341" w:hRule="atLeast"/>
        </w:trPr>
        <w:tc>
          <w:tcPr>
            <w:tcW w:w="494" w:type="dxa"/>
          </w:tcPr>
          <w:p w14:paraId="19F2643E">
            <w:pPr>
              <w:pStyle w:val="10"/>
              <w:rPr>
                <w:sz w:val="20"/>
              </w:rPr>
            </w:pPr>
          </w:p>
          <w:p w14:paraId="65D4AD2E">
            <w:pPr>
              <w:pStyle w:val="10"/>
              <w:rPr>
                <w:sz w:val="20"/>
              </w:rPr>
            </w:pPr>
          </w:p>
          <w:p w14:paraId="7A41C778">
            <w:pPr>
              <w:pStyle w:val="10"/>
              <w:spacing w:before="57"/>
              <w:rPr>
                <w:sz w:val="20"/>
              </w:rPr>
            </w:pPr>
          </w:p>
          <w:p w14:paraId="636D8950">
            <w:pPr>
              <w:pStyle w:val="10"/>
              <w:spacing w:line="232" w:lineRule="auto"/>
              <w:ind w:left="37" w:right="30"/>
              <w:jc w:val="both"/>
              <w:rPr>
                <w:sz w:val="20"/>
              </w:rPr>
            </w:pPr>
            <w:r>
              <w:rPr>
                <w:spacing w:val="-6"/>
                <w:sz w:val="20"/>
              </w:rPr>
              <w:t>绿化养护</w:t>
            </w:r>
            <w:r>
              <w:rPr>
                <w:spacing w:val="-5"/>
                <w:sz w:val="20"/>
              </w:rPr>
              <w:t>服务</w:t>
            </w:r>
          </w:p>
        </w:tc>
        <w:tc>
          <w:tcPr>
            <w:tcW w:w="540" w:type="dxa"/>
          </w:tcPr>
          <w:p w14:paraId="241087D2">
            <w:pPr>
              <w:pStyle w:val="10"/>
              <w:rPr>
                <w:sz w:val="20"/>
              </w:rPr>
            </w:pPr>
          </w:p>
          <w:p w14:paraId="030001FC">
            <w:pPr>
              <w:pStyle w:val="10"/>
              <w:spacing w:before="190"/>
              <w:rPr>
                <w:sz w:val="20"/>
              </w:rPr>
            </w:pPr>
          </w:p>
          <w:p w14:paraId="006A7FCF">
            <w:pPr>
              <w:pStyle w:val="10"/>
              <w:spacing w:line="232" w:lineRule="auto"/>
              <w:ind w:left="77" w:right="39"/>
              <w:jc w:val="both"/>
              <w:rPr>
                <w:sz w:val="20"/>
              </w:rPr>
            </w:pPr>
            <w:r>
              <w:rPr>
                <w:spacing w:val="-6"/>
                <w:sz w:val="20"/>
              </w:rPr>
              <w:t>总体布局日常</w:t>
            </w:r>
            <w:r>
              <w:rPr>
                <w:spacing w:val="-5"/>
                <w:sz w:val="20"/>
              </w:rPr>
              <w:t>养护</w:t>
            </w:r>
          </w:p>
        </w:tc>
        <w:tc>
          <w:tcPr>
            <w:tcW w:w="3300" w:type="dxa"/>
          </w:tcPr>
          <w:p w14:paraId="09EFF1D7">
            <w:pPr>
              <w:pStyle w:val="10"/>
              <w:spacing w:before="82" w:line="232" w:lineRule="auto"/>
              <w:ind w:left="39" w:right="38"/>
              <w:rPr>
                <w:sz w:val="20"/>
              </w:rPr>
            </w:pPr>
            <w:r>
              <w:rPr>
                <w:spacing w:val="-2"/>
                <w:sz w:val="20"/>
              </w:rPr>
              <w:t>绿地总体布局合理，乔、灌、花草配置得当，视觉效果良好，绿地率符合规划要求；有专业人员实施绿化养护管理，绿地设施及硬质景观保持完 好；定期对草坪、花卉、树篱、树木进行修剪和补栽补种，土地无明显裸露（不包括树冠覆盖土地、树池</w:t>
            </w:r>
          </w:p>
          <w:p w14:paraId="0FF6E05E">
            <w:pPr>
              <w:pStyle w:val="10"/>
              <w:spacing w:line="232" w:lineRule="auto"/>
              <w:ind w:left="39" w:right="38"/>
              <w:rPr>
                <w:sz w:val="20"/>
              </w:rPr>
            </w:pPr>
            <w:r>
              <w:rPr>
                <w:spacing w:val="-2"/>
                <w:sz w:val="20"/>
              </w:rPr>
              <w:t>等）；定期组织清除杂草、浇灌、施肥、喷洒药剂。</w:t>
            </w:r>
          </w:p>
        </w:tc>
        <w:tc>
          <w:tcPr>
            <w:tcW w:w="3134" w:type="dxa"/>
          </w:tcPr>
          <w:p w14:paraId="5A04BD1F">
            <w:pPr>
              <w:pStyle w:val="10"/>
              <w:spacing w:before="207" w:line="232" w:lineRule="auto"/>
              <w:ind w:left="39" w:right="72"/>
              <w:jc w:val="both"/>
              <w:rPr>
                <w:sz w:val="20"/>
              </w:rPr>
            </w:pPr>
            <w:r>
              <w:rPr>
                <w:spacing w:val="-2"/>
                <w:sz w:val="20"/>
              </w:rPr>
              <w:t>绿地总体布局合理，乔、灌、花草配置得当，视觉效果良好，绿地率符合规划要求；有专业人员实施绿化养护管理，绿地设施及硬质景观</w:t>
            </w:r>
            <w:r>
              <w:rPr>
                <w:spacing w:val="-3"/>
                <w:sz w:val="20"/>
              </w:rPr>
              <w:t>保持基本完好；定期对草坪、花卉</w:t>
            </w:r>
          </w:p>
          <w:p w14:paraId="5F7CD76E">
            <w:pPr>
              <w:pStyle w:val="10"/>
              <w:spacing w:line="232" w:lineRule="auto"/>
              <w:ind w:left="39" w:right="72"/>
              <w:rPr>
                <w:sz w:val="20"/>
              </w:rPr>
            </w:pPr>
            <w:r>
              <w:rPr>
                <w:spacing w:val="-2"/>
                <w:sz w:val="20"/>
              </w:rPr>
              <w:t>、树篱、树木进行修剪和补栽补 种；定期组织清除杂草、浇灌、施肥、喷洒药剂。</w:t>
            </w:r>
          </w:p>
        </w:tc>
        <w:tc>
          <w:tcPr>
            <w:tcW w:w="2911" w:type="dxa"/>
          </w:tcPr>
          <w:p w14:paraId="06EF077F">
            <w:pPr>
              <w:pStyle w:val="10"/>
              <w:rPr>
                <w:sz w:val="20"/>
              </w:rPr>
            </w:pPr>
          </w:p>
          <w:p w14:paraId="77D103BD">
            <w:pPr>
              <w:pStyle w:val="10"/>
              <w:spacing w:before="67"/>
              <w:rPr>
                <w:sz w:val="20"/>
              </w:rPr>
            </w:pPr>
          </w:p>
          <w:p w14:paraId="01667AB4">
            <w:pPr>
              <w:pStyle w:val="10"/>
              <w:spacing w:line="232" w:lineRule="auto"/>
              <w:ind w:left="38" w:right="49"/>
              <w:jc w:val="both"/>
              <w:rPr>
                <w:sz w:val="20"/>
              </w:rPr>
            </w:pPr>
            <w:r>
              <w:rPr>
                <w:spacing w:val="-2"/>
                <w:sz w:val="20"/>
              </w:rPr>
              <w:t>植物选配恰当，绿地率符合规划要求；有专业人员实施绿化养护</w:t>
            </w:r>
            <w:r>
              <w:rPr>
                <w:spacing w:val="-3"/>
                <w:sz w:val="20"/>
              </w:rPr>
              <w:t>管理，定期对草坪、花卉、树篱</w:t>
            </w:r>
          </w:p>
          <w:p w14:paraId="48BA25BE">
            <w:pPr>
              <w:pStyle w:val="10"/>
              <w:spacing w:line="230" w:lineRule="auto"/>
              <w:ind w:left="38" w:right="49"/>
              <w:rPr>
                <w:sz w:val="20"/>
              </w:rPr>
            </w:pPr>
            <w:r>
              <w:rPr>
                <w:spacing w:val="-2"/>
                <w:sz w:val="20"/>
              </w:rPr>
              <w:t>、树木进行修剪，定期组织清除</w:t>
            </w:r>
            <w:r>
              <w:rPr>
                <w:spacing w:val="-3"/>
                <w:sz w:val="20"/>
              </w:rPr>
              <w:t>杂草、浇灌、施肥、喷洒药剂。</w:t>
            </w:r>
          </w:p>
        </w:tc>
        <w:tc>
          <w:tcPr>
            <w:tcW w:w="2774" w:type="dxa"/>
          </w:tcPr>
          <w:p w14:paraId="25502D31">
            <w:pPr>
              <w:pStyle w:val="10"/>
              <w:rPr>
                <w:sz w:val="20"/>
              </w:rPr>
            </w:pPr>
          </w:p>
          <w:p w14:paraId="2FD765F9">
            <w:pPr>
              <w:pStyle w:val="10"/>
              <w:spacing w:before="67"/>
              <w:rPr>
                <w:sz w:val="20"/>
              </w:rPr>
            </w:pPr>
          </w:p>
          <w:p w14:paraId="6A7B4AFC">
            <w:pPr>
              <w:pStyle w:val="10"/>
              <w:spacing w:line="232" w:lineRule="auto"/>
              <w:ind w:left="38" w:right="113"/>
              <w:rPr>
                <w:sz w:val="20"/>
              </w:rPr>
            </w:pPr>
            <w:r>
              <w:rPr>
                <w:spacing w:val="-2"/>
                <w:sz w:val="20"/>
              </w:rPr>
              <w:t>有专业人员实施绿化养护管 理，绿地率符合规划要求；定期对草坪、花卉、树篱、树木</w:t>
            </w:r>
            <w:r>
              <w:rPr>
                <w:spacing w:val="-3"/>
                <w:sz w:val="20"/>
              </w:rPr>
              <w:t>进行修剪，定期组织清除杂草</w:t>
            </w:r>
          </w:p>
          <w:p w14:paraId="085BD675">
            <w:pPr>
              <w:pStyle w:val="10"/>
              <w:spacing w:line="247" w:lineRule="exact"/>
              <w:ind w:left="38"/>
              <w:rPr>
                <w:sz w:val="20"/>
              </w:rPr>
            </w:pPr>
            <w:r>
              <w:rPr>
                <w:spacing w:val="-3"/>
                <w:sz w:val="20"/>
              </w:rPr>
              <w:t>、浇灌、施肥、喷洒药剂。</w:t>
            </w:r>
          </w:p>
        </w:tc>
        <w:tc>
          <w:tcPr>
            <w:tcW w:w="1814" w:type="dxa"/>
          </w:tcPr>
          <w:p w14:paraId="3F5EF6B7">
            <w:pPr>
              <w:pStyle w:val="10"/>
              <w:rPr>
                <w:sz w:val="20"/>
              </w:rPr>
            </w:pPr>
          </w:p>
          <w:p w14:paraId="478BAD8E">
            <w:pPr>
              <w:pStyle w:val="10"/>
              <w:rPr>
                <w:sz w:val="20"/>
              </w:rPr>
            </w:pPr>
          </w:p>
          <w:p w14:paraId="656D6AA4">
            <w:pPr>
              <w:pStyle w:val="10"/>
              <w:spacing w:before="57"/>
              <w:rPr>
                <w:sz w:val="20"/>
              </w:rPr>
            </w:pPr>
          </w:p>
          <w:p w14:paraId="124D4EF6">
            <w:pPr>
              <w:pStyle w:val="10"/>
              <w:spacing w:before="1" w:line="232" w:lineRule="auto"/>
              <w:ind w:left="40" w:right="-29"/>
              <w:jc w:val="both"/>
              <w:rPr>
                <w:sz w:val="20"/>
              </w:rPr>
            </w:pPr>
            <w:r>
              <w:rPr>
                <w:spacing w:val="17"/>
                <w:sz w:val="20"/>
              </w:rPr>
              <w:t>定期清除杂草，预防花草、树木病虫</w:t>
            </w:r>
            <w:r>
              <w:rPr>
                <w:spacing w:val="-6"/>
                <w:sz w:val="20"/>
              </w:rPr>
              <w:t>害。</w:t>
            </w:r>
          </w:p>
        </w:tc>
      </w:tr>
    </w:tbl>
    <w:p w14:paraId="6B010620">
      <w:pPr>
        <w:pStyle w:val="10"/>
        <w:spacing w:after="0" w:line="232" w:lineRule="auto"/>
        <w:jc w:val="both"/>
        <w:rPr>
          <w:sz w:val="20"/>
        </w:rPr>
        <w:sectPr>
          <w:footerReference r:id="rId9" w:type="default"/>
          <w:footerReference r:id="rId10" w:type="even"/>
          <w:pgSz w:w="16840" w:h="11910" w:orient="landscape"/>
          <w:pgMar w:top="880" w:right="708" w:bottom="1160" w:left="566" w:header="0" w:footer="962" w:gutter="0"/>
          <w:pgNumType w:start="11"/>
          <w:cols w:space="720" w:num="1"/>
        </w:sectPr>
      </w:pPr>
    </w:p>
    <w:tbl>
      <w:tblPr>
        <w:tblStyle w:val="6"/>
        <w:tblW w:w="0" w:type="auto"/>
        <w:tblInd w:w="37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494"/>
        <w:gridCol w:w="540"/>
        <w:gridCol w:w="3300"/>
        <w:gridCol w:w="3134"/>
        <w:gridCol w:w="2911"/>
        <w:gridCol w:w="2774"/>
        <w:gridCol w:w="1814"/>
      </w:tblGrid>
      <w:tr w14:paraId="65C6E47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03" w:hRule="atLeast"/>
        </w:trPr>
        <w:tc>
          <w:tcPr>
            <w:tcW w:w="1034" w:type="dxa"/>
            <w:gridSpan w:val="2"/>
          </w:tcPr>
          <w:p w14:paraId="11C6070B">
            <w:pPr>
              <w:pStyle w:val="10"/>
              <w:spacing w:line="268" w:lineRule="exact"/>
              <w:ind w:left="445"/>
              <w:rPr>
                <w:rFonts w:ascii="Microsoft JhengHei" w:eastAsia="Microsoft JhengHei"/>
                <w:b/>
                <w:sz w:val="20"/>
              </w:rPr>
            </w:pPr>
            <w:r>
              <w:rPr>
                <w:rFonts w:ascii="Microsoft JhengHei" w:eastAsia="Microsoft JhengHei"/>
                <w:b/>
                <w:spacing w:val="-5"/>
                <w:sz w:val="20"/>
              </w:rPr>
              <w:t>级别</w:t>
            </w:r>
          </w:p>
          <w:p w14:paraId="38CE597C">
            <w:pPr>
              <w:pStyle w:val="10"/>
              <w:spacing w:line="215" w:lineRule="exact"/>
              <w:ind w:left="37"/>
              <w:rPr>
                <w:rFonts w:ascii="Microsoft JhengHei" w:eastAsia="Microsoft JhengHei"/>
                <w:b/>
                <w:sz w:val="20"/>
              </w:rPr>
            </w:pPr>
            <w:r>
              <w:rPr>
                <w:rFonts w:ascii="Microsoft JhengHei" w:eastAsia="Microsoft JhengHei"/>
                <w:b/>
                <w:sz w:val="20"/>
              </w:rPr>
              <mc:AlternateContent>
                <mc:Choice Requires="wpg">
                  <w:drawing>
                    <wp:anchor distT="0" distB="0" distL="0" distR="0" simplePos="0" relativeHeight="251665408" behindDoc="1" locked="0" layoutInCell="1" allowOverlap="1">
                      <wp:simplePos x="0" y="0"/>
                      <wp:positionH relativeFrom="column">
                        <wp:posOffset>0</wp:posOffset>
                      </wp:positionH>
                      <wp:positionV relativeFrom="paragraph">
                        <wp:posOffset>-176530</wp:posOffset>
                      </wp:positionV>
                      <wp:extent cx="669290" cy="344805"/>
                      <wp:effectExtent l="0" t="0" r="0" b="0"/>
                      <wp:wrapNone/>
                      <wp:docPr id="24" name="Group 24"/>
                      <wp:cNvGraphicFramePr/>
                      <a:graphic xmlns:a="http://schemas.openxmlformats.org/drawingml/2006/main">
                        <a:graphicData uri="http://schemas.microsoft.com/office/word/2010/wordprocessingGroup">
                          <wpg:wgp>
                            <wpg:cNvGrpSpPr/>
                            <wpg:grpSpPr>
                              <a:xfrm>
                                <a:off x="0" y="0"/>
                                <a:ext cx="669290" cy="344805"/>
                                <a:chOff x="0" y="0"/>
                                <a:chExt cx="669290" cy="344805"/>
                              </a:xfrm>
                            </wpg:grpSpPr>
                            <wps:wsp>
                              <wps:cNvPr id="25" name="Graphic 25"/>
                              <wps:cNvSpPr/>
                              <wps:spPr>
                                <a:xfrm>
                                  <a:off x="6095" y="6095"/>
                                  <a:ext cx="657225" cy="332740"/>
                                </a:xfrm>
                                <a:custGeom>
                                  <a:avLst/>
                                  <a:gdLst/>
                                  <a:ahLst/>
                                  <a:cxnLst/>
                                  <a:rect l="l" t="t" r="r" b="b"/>
                                  <a:pathLst>
                                    <a:path w="657225" h="332740">
                                      <a:moveTo>
                                        <a:pt x="0" y="0"/>
                                      </a:moveTo>
                                      <a:lnTo>
                                        <a:pt x="656844" y="332231"/>
                                      </a:lnTo>
                                    </a:path>
                                  </a:pathLst>
                                </a:custGeom>
                                <a:ln w="12192">
                                  <a:solidFill>
                                    <a:srgbClr val="000000"/>
                                  </a:solidFill>
                                  <a:prstDash val="solid"/>
                                </a:ln>
                              </wps:spPr>
                              <wps:bodyPr wrap="square" lIns="0" tIns="0" rIns="0" bIns="0" rtlCol="0">
                                <a:noAutofit/>
                              </wps:bodyPr>
                            </wps:wsp>
                          </wpg:wgp>
                        </a:graphicData>
                      </a:graphic>
                    </wp:anchor>
                  </w:drawing>
                </mc:Choice>
                <mc:Fallback>
                  <w:pict>
                    <v:group id="Group 24" o:spid="_x0000_s1026" o:spt="203" style="position:absolute;left:0pt;margin-left:0pt;margin-top:-13.9pt;height:27.15pt;width:52.7pt;z-index:-251651072;mso-width-relative:page;mso-height-relative:page;" coordsize="669290,344805" o:gfxdata="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CJbpFv1wAAAAcBAAAPAAAAAAAAAAEAIAAA&#10;ACIAAABkcnMvZG93bnJldi54bWxQSwECFAAUAAAACACHTuJA6+j4j38CAADABQAADgAAAAAAAAAB&#10;ACAAAAAmAQAAZHJzL2Uyb0RvYy54bWxQSwUGAAAAAAYABgBZAQAAFwYAAAAA&#10;">
                      <o:lock v:ext="edit" aspectratio="f"/>
                      <v:shape id="Graphic 25" o:spid="_x0000_s1026" o:spt="100" style="position:absolute;left:6095;top:6095;height:332740;width:657225;" filled="f" stroked="t" coordsize="657225,332740" o:gfxdata="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IaGbvQAA&#10;ANsAAAAPAAAAAAAAAAEAIAAAACIAAABkcnMvZG93bnJldi54bWxQSwECFAAUAAAACACHTuJAMy8F&#10;njsAAAA5AAAAEAAAAAAAAAABACAAAAAMAQAAZHJzL3NoYXBleG1sLnhtbFBLBQYAAAAABgAGAFsB&#10;AAC2AwAAAAA=&#10;" path="m0,0l656844,332231e">
                        <v:fill on="f" focussize="0,0"/>
                        <v:stroke weight="0.96pt" color="#000000" joinstyle="round"/>
                        <v:imagedata o:title=""/>
                        <o:lock v:ext="edit" aspectratio="f"/>
                        <v:textbox inset="0mm,0mm,0mm,0mm"/>
                      </v:shape>
                    </v:group>
                  </w:pict>
                </mc:Fallback>
              </mc:AlternateContent>
            </w:r>
            <w:r>
              <w:rPr>
                <w:rFonts w:ascii="Microsoft JhengHei" w:eastAsia="Microsoft JhengHei"/>
                <w:b/>
                <w:spacing w:val="-5"/>
                <w:sz w:val="20"/>
              </w:rPr>
              <w:t>项目</w:t>
            </w:r>
          </w:p>
        </w:tc>
        <w:tc>
          <w:tcPr>
            <w:tcW w:w="3300" w:type="dxa"/>
          </w:tcPr>
          <w:p w14:paraId="37DAB761">
            <w:pPr>
              <w:pStyle w:val="10"/>
              <w:spacing w:before="151"/>
              <w:ind w:left="36"/>
              <w:jc w:val="center"/>
              <w:rPr>
                <w:sz w:val="20"/>
              </w:rPr>
            </w:pPr>
            <w:r>
              <w:rPr>
                <w:spacing w:val="-5"/>
                <w:sz w:val="20"/>
              </w:rPr>
              <w:t>一级</w:t>
            </w:r>
          </w:p>
        </w:tc>
        <w:tc>
          <w:tcPr>
            <w:tcW w:w="3134" w:type="dxa"/>
          </w:tcPr>
          <w:p w14:paraId="574F5D2C">
            <w:pPr>
              <w:pStyle w:val="10"/>
              <w:spacing w:before="151"/>
              <w:ind w:left="34"/>
              <w:jc w:val="center"/>
              <w:rPr>
                <w:sz w:val="20"/>
              </w:rPr>
            </w:pPr>
            <w:r>
              <w:rPr>
                <w:spacing w:val="-5"/>
                <w:sz w:val="20"/>
              </w:rPr>
              <w:t>二级</w:t>
            </w:r>
          </w:p>
        </w:tc>
        <w:tc>
          <w:tcPr>
            <w:tcW w:w="2911" w:type="dxa"/>
          </w:tcPr>
          <w:p w14:paraId="4C265BEC">
            <w:pPr>
              <w:pStyle w:val="10"/>
              <w:spacing w:before="151"/>
              <w:ind w:left="37"/>
              <w:jc w:val="center"/>
              <w:rPr>
                <w:sz w:val="20"/>
              </w:rPr>
            </w:pPr>
            <w:r>
              <w:rPr>
                <w:spacing w:val="-5"/>
                <w:sz w:val="20"/>
              </w:rPr>
              <w:t>三级</w:t>
            </w:r>
          </w:p>
        </w:tc>
        <w:tc>
          <w:tcPr>
            <w:tcW w:w="2774" w:type="dxa"/>
          </w:tcPr>
          <w:p w14:paraId="6EE6502A">
            <w:pPr>
              <w:pStyle w:val="10"/>
              <w:spacing w:before="151"/>
              <w:ind w:left="38"/>
              <w:jc w:val="center"/>
              <w:rPr>
                <w:sz w:val="20"/>
              </w:rPr>
            </w:pPr>
            <w:r>
              <w:rPr>
                <w:spacing w:val="-5"/>
                <w:sz w:val="20"/>
              </w:rPr>
              <w:t>四级</w:t>
            </w:r>
          </w:p>
        </w:tc>
        <w:tc>
          <w:tcPr>
            <w:tcW w:w="1814" w:type="dxa"/>
          </w:tcPr>
          <w:p w14:paraId="13820C52">
            <w:pPr>
              <w:pStyle w:val="10"/>
              <w:spacing w:before="151"/>
              <w:ind w:left="40"/>
              <w:rPr>
                <w:sz w:val="20"/>
              </w:rPr>
            </w:pPr>
            <w:r>
              <w:rPr>
                <w:spacing w:val="-5"/>
                <w:sz w:val="20"/>
              </w:rPr>
              <w:t>五级</w:t>
            </w:r>
          </w:p>
        </w:tc>
      </w:tr>
      <w:tr w14:paraId="4E321D7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95" w:hRule="atLeast"/>
        </w:trPr>
        <w:tc>
          <w:tcPr>
            <w:tcW w:w="494" w:type="dxa"/>
            <w:vMerge w:val="restart"/>
          </w:tcPr>
          <w:p w14:paraId="115191A0">
            <w:pPr>
              <w:pStyle w:val="10"/>
              <w:rPr>
                <w:sz w:val="20"/>
              </w:rPr>
            </w:pPr>
          </w:p>
          <w:p w14:paraId="29744943">
            <w:pPr>
              <w:pStyle w:val="10"/>
              <w:rPr>
                <w:sz w:val="20"/>
              </w:rPr>
            </w:pPr>
          </w:p>
          <w:p w14:paraId="43A9A65A">
            <w:pPr>
              <w:pStyle w:val="10"/>
              <w:rPr>
                <w:sz w:val="20"/>
              </w:rPr>
            </w:pPr>
          </w:p>
          <w:p w14:paraId="024DCA1E">
            <w:pPr>
              <w:pStyle w:val="10"/>
              <w:rPr>
                <w:sz w:val="20"/>
              </w:rPr>
            </w:pPr>
          </w:p>
          <w:p w14:paraId="2E7B3408">
            <w:pPr>
              <w:pStyle w:val="10"/>
              <w:rPr>
                <w:sz w:val="20"/>
              </w:rPr>
            </w:pPr>
          </w:p>
          <w:p w14:paraId="2CCA990B">
            <w:pPr>
              <w:pStyle w:val="10"/>
              <w:rPr>
                <w:sz w:val="20"/>
              </w:rPr>
            </w:pPr>
          </w:p>
          <w:p w14:paraId="0707095F">
            <w:pPr>
              <w:pStyle w:val="10"/>
              <w:rPr>
                <w:sz w:val="20"/>
              </w:rPr>
            </w:pPr>
          </w:p>
          <w:p w14:paraId="688AACF7">
            <w:pPr>
              <w:pStyle w:val="10"/>
              <w:rPr>
                <w:sz w:val="20"/>
              </w:rPr>
            </w:pPr>
          </w:p>
          <w:p w14:paraId="3D077EAA">
            <w:pPr>
              <w:pStyle w:val="10"/>
              <w:rPr>
                <w:sz w:val="20"/>
              </w:rPr>
            </w:pPr>
          </w:p>
          <w:p w14:paraId="104D9654">
            <w:pPr>
              <w:pStyle w:val="10"/>
              <w:rPr>
                <w:sz w:val="20"/>
              </w:rPr>
            </w:pPr>
          </w:p>
          <w:p w14:paraId="6EF778DF">
            <w:pPr>
              <w:pStyle w:val="10"/>
              <w:rPr>
                <w:sz w:val="20"/>
              </w:rPr>
            </w:pPr>
          </w:p>
          <w:p w14:paraId="2B2F4652">
            <w:pPr>
              <w:pStyle w:val="10"/>
              <w:rPr>
                <w:sz w:val="20"/>
              </w:rPr>
            </w:pPr>
          </w:p>
          <w:p w14:paraId="47D0F3BA">
            <w:pPr>
              <w:pStyle w:val="10"/>
              <w:rPr>
                <w:sz w:val="20"/>
              </w:rPr>
            </w:pPr>
          </w:p>
          <w:p w14:paraId="3267909E">
            <w:pPr>
              <w:pStyle w:val="10"/>
              <w:rPr>
                <w:sz w:val="20"/>
              </w:rPr>
            </w:pPr>
          </w:p>
          <w:p w14:paraId="0BE44071">
            <w:pPr>
              <w:pStyle w:val="10"/>
              <w:spacing w:before="94"/>
              <w:rPr>
                <w:sz w:val="20"/>
              </w:rPr>
            </w:pPr>
          </w:p>
          <w:p w14:paraId="733B7EF9">
            <w:pPr>
              <w:pStyle w:val="10"/>
              <w:spacing w:line="232" w:lineRule="auto"/>
              <w:ind w:left="53" w:right="15"/>
              <w:jc w:val="both"/>
              <w:rPr>
                <w:sz w:val="20"/>
              </w:rPr>
            </w:pPr>
            <w:r>
              <w:rPr>
                <w:spacing w:val="-6"/>
                <w:sz w:val="20"/>
              </w:rPr>
              <w:t>共用部位设施设备养护</w:t>
            </w:r>
            <w:r>
              <w:rPr>
                <w:spacing w:val="-5"/>
                <w:sz w:val="20"/>
              </w:rPr>
              <w:t>服务</w:t>
            </w:r>
          </w:p>
        </w:tc>
        <w:tc>
          <w:tcPr>
            <w:tcW w:w="540" w:type="dxa"/>
          </w:tcPr>
          <w:p w14:paraId="0ED635E1">
            <w:pPr>
              <w:pStyle w:val="10"/>
              <w:rPr>
                <w:sz w:val="20"/>
              </w:rPr>
            </w:pPr>
          </w:p>
          <w:p w14:paraId="121F7A12">
            <w:pPr>
              <w:pStyle w:val="10"/>
              <w:rPr>
                <w:sz w:val="20"/>
              </w:rPr>
            </w:pPr>
          </w:p>
          <w:p w14:paraId="424F3E53">
            <w:pPr>
              <w:pStyle w:val="10"/>
              <w:rPr>
                <w:sz w:val="20"/>
              </w:rPr>
            </w:pPr>
          </w:p>
          <w:p w14:paraId="30452242">
            <w:pPr>
              <w:pStyle w:val="10"/>
              <w:rPr>
                <w:sz w:val="20"/>
              </w:rPr>
            </w:pPr>
          </w:p>
          <w:p w14:paraId="3131AC8A">
            <w:pPr>
              <w:pStyle w:val="10"/>
              <w:rPr>
                <w:sz w:val="20"/>
              </w:rPr>
            </w:pPr>
          </w:p>
          <w:p w14:paraId="2184BF47">
            <w:pPr>
              <w:pStyle w:val="10"/>
              <w:rPr>
                <w:sz w:val="20"/>
              </w:rPr>
            </w:pPr>
          </w:p>
          <w:p w14:paraId="0353A963">
            <w:pPr>
              <w:pStyle w:val="10"/>
              <w:spacing w:before="11"/>
              <w:rPr>
                <w:sz w:val="20"/>
              </w:rPr>
            </w:pPr>
          </w:p>
          <w:p w14:paraId="3176BB01">
            <w:pPr>
              <w:pStyle w:val="10"/>
              <w:spacing w:line="232" w:lineRule="auto"/>
              <w:ind w:left="77" w:right="39"/>
              <w:jc w:val="both"/>
              <w:rPr>
                <w:sz w:val="20"/>
              </w:rPr>
            </w:pPr>
            <w:r>
              <w:rPr>
                <w:spacing w:val="-6"/>
                <w:sz w:val="20"/>
              </w:rPr>
              <w:t>共用部位</w:t>
            </w:r>
            <w:r>
              <w:rPr>
                <w:spacing w:val="-5"/>
                <w:sz w:val="20"/>
              </w:rPr>
              <w:t>设施</w:t>
            </w:r>
          </w:p>
        </w:tc>
        <w:tc>
          <w:tcPr>
            <w:tcW w:w="3300" w:type="dxa"/>
          </w:tcPr>
          <w:p w14:paraId="6046E279">
            <w:pPr>
              <w:pStyle w:val="10"/>
              <w:spacing w:before="134" w:line="249" w:lineRule="auto"/>
              <w:ind w:left="39" w:right="3"/>
              <w:rPr>
                <w:sz w:val="20"/>
              </w:rPr>
            </w:pPr>
            <w:r>
              <w:rPr>
                <w:rFonts w:ascii="Times New Roman" w:eastAsia="Times New Roman"/>
                <w:spacing w:val="-2"/>
                <w:sz w:val="20"/>
              </w:rPr>
              <w:t>(1)</w:t>
            </w:r>
            <w:r>
              <w:rPr>
                <w:spacing w:val="-2"/>
                <w:sz w:val="20"/>
              </w:rPr>
              <w:t>每季度对墙体、屋顶、健身器材等共用部位设施进行检查并有记录</w:t>
            </w:r>
            <w:r>
              <w:rPr>
                <w:rFonts w:ascii="Times New Roman" w:eastAsia="Times New Roman"/>
                <w:spacing w:val="-2"/>
                <w:sz w:val="20"/>
              </w:rPr>
              <w:t>,</w:t>
            </w:r>
            <w:r>
              <w:rPr>
                <w:spacing w:val="-2"/>
                <w:sz w:val="20"/>
              </w:rPr>
              <w:t xml:space="preserve">发 </w:t>
            </w:r>
            <w:r>
              <w:rPr>
                <w:spacing w:val="-3"/>
                <w:sz w:val="20"/>
              </w:rPr>
              <w:t>现损坏及时编制维修计划，组织维修</w:t>
            </w:r>
          </w:p>
          <w:p w14:paraId="0332C1DD">
            <w:pPr>
              <w:pStyle w:val="10"/>
              <w:spacing w:line="224" w:lineRule="exact"/>
              <w:ind w:left="39"/>
              <w:rPr>
                <w:sz w:val="20"/>
              </w:rPr>
            </w:pPr>
            <w:r>
              <w:rPr>
                <w:spacing w:val="-2"/>
                <w:sz w:val="20"/>
              </w:rPr>
              <w:t>。</w:t>
            </w:r>
            <w:r>
              <w:rPr>
                <w:rFonts w:ascii="Times New Roman" w:eastAsia="Times New Roman"/>
                <w:spacing w:val="-2"/>
                <w:sz w:val="20"/>
              </w:rPr>
              <w:t>(2)</w:t>
            </w:r>
            <w:r>
              <w:rPr>
                <w:spacing w:val="-3"/>
                <w:sz w:val="20"/>
              </w:rPr>
              <w:t>每月对楼道内共用部位门窗进行</w:t>
            </w:r>
          </w:p>
          <w:p w14:paraId="40D84C34">
            <w:pPr>
              <w:pStyle w:val="10"/>
              <w:spacing w:before="19" w:line="235" w:lineRule="auto"/>
              <w:ind w:left="39" w:right="2"/>
              <w:jc w:val="both"/>
              <w:rPr>
                <w:sz w:val="20"/>
              </w:rPr>
            </w:pPr>
            <w:r>
              <w:rPr>
                <w:spacing w:val="-2"/>
                <w:sz w:val="20"/>
              </w:rPr>
              <w:t>检查，玻璃、门窗配件完好，正常使用。</w:t>
            </w:r>
            <w:r>
              <w:rPr>
                <w:rFonts w:ascii="Times New Roman" w:eastAsia="Times New Roman"/>
                <w:spacing w:val="-2"/>
                <w:sz w:val="20"/>
              </w:rPr>
              <w:t>(3)</w:t>
            </w:r>
            <w:r>
              <w:rPr>
                <w:spacing w:val="-2"/>
                <w:sz w:val="20"/>
              </w:rPr>
              <w:t>楼外公共雨污水主管道每年疏通一次；雨污水井、化粪池每月检查一次，发现异常及时清掏。</w:t>
            </w:r>
            <w:r>
              <w:rPr>
                <w:rFonts w:ascii="Times New Roman" w:eastAsia="Times New Roman"/>
                <w:spacing w:val="-2"/>
                <w:sz w:val="20"/>
              </w:rPr>
              <w:t>(4)</w:t>
            </w:r>
            <w:r>
              <w:rPr>
                <w:spacing w:val="-2"/>
                <w:sz w:val="20"/>
              </w:rPr>
              <w:t>每天至少巡查一次装修施工现场，发现影响房屋外观、危及房屋结构安全及拆改共用管线等损害公共利益现象及时劝阻。</w:t>
            </w:r>
            <w:r>
              <w:rPr>
                <w:rFonts w:ascii="Times New Roman" w:eastAsia="Times New Roman"/>
                <w:spacing w:val="-2"/>
                <w:sz w:val="20"/>
              </w:rPr>
              <w:t>(5)</w:t>
            </w:r>
            <w:r>
              <w:rPr>
                <w:spacing w:val="-2"/>
                <w:sz w:val="20"/>
              </w:rPr>
              <w:t>主出入口设有平面示意图，主要路口设有路标。各区、栋及单元</w:t>
            </w:r>
          </w:p>
          <w:p w14:paraId="00E181D9">
            <w:pPr>
              <w:pStyle w:val="10"/>
              <w:spacing w:before="3" w:line="237" w:lineRule="auto"/>
              <w:ind w:left="39" w:right="2"/>
              <w:jc w:val="both"/>
              <w:rPr>
                <w:sz w:val="20"/>
              </w:rPr>
            </w:pPr>
            <w:r>
              <w:rPr>
                <w:spacing w:val="-2"/>
                <w:sz w:val="20"/>
              </w:rPr>
              <w:t>（门）、户和公共配套设施、场地有明显标志。</w:t>
            </w:r>
            <w:r>
              <w:rPr>
                <w:rFonts w:ascii="Times New Roman" w:eastAsia="Times New Roman"/>
                <w:spacing w:val="-2"/>
                <w:sz w:val="20"/>
              </w:rPr>
              <w:t>(6)</w:t>
            </w:r>
            <w:r>
              <w:rPr>
                <w:spacing w:val="-2"/>
                <w:sz w:val="20"/>
              </w:rPr>
              <w:t>容易危及人身安全的设</w:t>
            </w:r>
            <w:r>
              <w:rPr>
                <w:spacing w:val="-3"/>
                <w:sz w:val="20"/>
              </w:rPr>
              <w:t>施设备有明显警示标志和防范措施。</w:t>
            </w:r>
          </w:p>
        </w:tc>
        <w:tc>
          <w:tcPr>
            <w:tcW w:w="3134" w:type="dxa"/>
          </w:tcPr>
          <w:p w14:paraId="750CBD38">
            <w:pPr>
              <w:pStyle w:val="10"/>
              <w:spacing w:before="134"/>
              <w:rPr>
                <w:sz w:val="20"/>
              </w:rPr>
            </w:pPr>
          </w:p>
          <w:p w14:paraId="09A787FC">
            <w:pPr>
              <w:pStyle w:val="10"/>
              <w:spacing w:line="237" w:lineRule="auto"/>
              <w:ind w:left="39" w:right="22"/>
              <w:rPr>
                <w:sz w:val="20"/>
              </w:rPr>
            </w:pPr>
            <w:r>
              <w:rPr>
                <w:rFonts w:ascii="Times New Roman" w:eastAsia="Times New Roman"/>
                <w:spacing w:val="-2"/>
                <w:sz w:val="20"/>
              </w:rPr>
              <w:t>(1)</w:t>
            </w:r>
            <w:r>
              <w:rPr>
                <w:spacing w:val="-2"/>
                <w:sz w:val="20"/>
              </w:rPr>
              <w:t>每季度对墙体、屋顶、健身器材等共用部位设施进行检查并有记录</w:t>
            </w:r>
            <w:r>
              <w:rPr>
                <w:rFonts w:ascii="Times New Roman" w:eastAsia="Times New Roman"/>
                <w:spacing w:val="-2"/>
                <w:sz w:val="20"/>
              </w:rPr>
              <w:t>,</w:t>
            </w:r>
            <w:r>
              <w:rPr>
                <w:spacing w:val="-2"/>
                <w:sz w:val="20"/>
              </w:rPr>
              <w:t>发现损坏及时编制维修计划，组织维修。</w:t>
            </w:r>
            <w:r>
              <w:rPr>
                <w:rFonts w:ascii="Times New Roman" w:eastAsia="Times New Roman"/>
                <w:spacing w:val="-2"/>
                <w:sz w:val="20"/>
              </w:rPr>
              <w:t>(2)</w:t>
            </w:r>
            <w:r>
              <w:rPr>
                <w:spacing w:val="-2"/>
                <w:sz w:val="20"/>
              </w:rPr>
              <w:t>每月对楼道内共用部位门窗进行检查，玻璃、门窗配件完</w:t>
            </w:r>
            <w:r>
              <w:rPr>
                <w:spacing w:val="40"/>
                <w:sz w:val="20"/>
              </w:rPr>
              <w:t xml:space="preserve"> </w:t>
            </w:r>
            <w:r>
              <w:rPr>
                <w:spacing w:val="-2"/>
                <w:sz w:val="20"/>
              </w:rPr>
              <w:t>好，正常使用。</w:t>
            </w:r>
            <w:r>
              <w:rPr>
                <w:rFonts w:ascii="Times New Roman" w:eastAsia="Times New Roman"/>
                <w:spacing w:val="-2"/>
                <w:sz w:val="20"/>
              </w:rPr>
              <w:t>(3)</w:t>
            </w:r>
            <w:r>
              <w:rPr>
                <w:spacing w:val="-2"/>
                <w:sz w:val="20"/>
              </w:rPr>
              <w:t>楼外公共雨污水主管道每年疏通一次；雨污水井、化粪池每月检查一次，发现异常及时清掏。</w:t>
            </w:r>
            <w:r>
              <w:rPr>
                <w:rFonts w:ascii="Times New Roman" w:eastAsia="Times New Roman"/>
                <w:spacing w:val="-2"/>
                <w:sz w:val="20"/>
              </w:rPr>
              <w:t>(4)</w:t>
            </w:r>
            <w:r>
              <w:rPr>
                <w:spacing w:val="-2"/>
                <w:sz w:val="20"/>
              </w:rPr>
              <w:t>每天巡查一次装修施工现场，发现影响房屋外观、危及房屋结构安全及拆改共用管线等损害公共利益现象及时劝阻。</w:t>
            </w:r>
            <w:r>
              <w:rPr>
                <w:rFonts w:ascii="Times New Roman" w:eastAsia="Times New Roman"/>
                <w:spacing w:val="-2"/>
                <w:sz w:val="20"/>
              </w:rPr>
              <w:t>(5)</w:t>
            </w:r>
            <w:r>
              <w:rPr>
                <w:spacing w:val="-2"/>
                <w:sz w:val="20"/>
              </w:rPr>
              <w:t>容易危及人身安全的设施设备有明显警示标志和防范措施。</w:t>
            </w:r>
          </w:p>
        </w:tc>
        <w:tc>
          <w:tcPr>
            <w:tcW w:w="2911" w:type="dxa"/>
          </w:tcPr>
          <w:p w14:paraId="7823D412">
            <w:pPr>
              <w:pStyle w:val="10"/>
              <w:rPr>
                <w:sz w:val="20"/>
              </w:rPr>
            </w:pPr>
          </w:p>
          <w:p w14:paraId="7B6BC0CF">
            <w:pPr>
              <w:pStyle w:val="10"/>
              <w:spacing w:before="12"/>
              <w:rPr>
                <w:sz w:val="20"/>
              </w:rPr>
            </w:pPr>
          </w:p>
          <w:p w14:paraId="42CB8F63">
            <w:pPr>
              <w:pStyle w:val="10"/>
              <w:spacing w:line="237" w:lineRule="auto"/>
              <w:ind w:left="38" w:right="13"/>
              <w:rPr>
                <w:sz w:val="20"/>
              </w:rPr>
            </w:pPr>
            <w:r>
              <w:rPr>
                <w:rFonts w:ascii="Times New Roman" w:eastAsia="Times New Roman"/>
                <w:spacing w:val="-2"/>
                <w:sz w:val="20"/>
              </w:rPr>
              <w:t>(1)</w:t>
            </w:r>
            <w:r>
              <w:rPr>
                <w:spacing w:val="-2"/>
                <w:sz w:val="20"/>
              </w:rPr>
              <w:t>每半年对墙体、屋顶、健身器材等共用部位设施进行检查并有记录</w:t>
            </w:r>
            <w:r>
              <w:rPr>
                <w:rFonts w:ascii="Times New Roman" w:eastAsia="Times New Roman"/>
                <w:spacing w:val="-2"/>
                <w:sz w:val="20"/>
              </w:rPr>
              <w:t>,</w:t>
            </w:r>
            <w:r>
              <w:rPr>
                <w:spacing w:val="-2"/>
                <w:sz w:val="20"/>
              </w:rPr>
              <w:t>发现损坏组织维修。</w:t>
            </w:r>
            <w:r>
              <w:rPr>
                <w:rFonts w:ascii="Times New Roman" w:eastAsia="Times New Roman"/>
                <w:spacing w:val="-2"/>
                <w:sz w:val="20"/>
              </w:rPr>
              <w:t>(2)</w:t>
            </w:r>
            <w:r>
              <w:rPr>
                <w:spacing w:val="-2"/>
                <w:sz w:val="20"/>
              </w:rPr>
              <w:t>每季度对楼道内共用部位门窗进行检查，玻璃、门窗配件完好，正常使用。</w:t>
            </w:r>
            <w:r>
              <w:rPr>
                <w:rFonts w:ascii="Times New Roman" w:eastAsia="Times New Roman"/>
                <w:spacing w:val="-2"/>
                <w:sz w:val="20"/>
              </w:rPr>
              <w:t>(3)</w:t>
            </w:r>
            <w:r>
              <w:rPr>
                <w:spacing w:val="-2"/>
                <w:sz w:val="20"/>
              </w:rPr>
              <w:t>楼外公共雨污水主管道每年疏通一次；雨污水井、化粪池每季度检查一次，发现异常</w:t>
            </w:r>
            <w:r>
              <w:rPr>
                <w:spacing w:val="-3"/>
                <w:sz w:val="20"/>
              </w:rPr>
              <w:t>及时做出清掏计划，组织清掏。</w:t>
            </w:r>
          </w:p>
          <w:p w14:paraId="628175F1">
            <w:pPr>
              <w:pStyle w:val="10"/>
              <w:spacing w:line="237" w:lineRule="exact"/>
              <w:ind w:left="38"/>
              <w:rPr>
                <w:sz w:val="20"/>
              </w:rPr>
            </w:pPr>
            <w:r>
              <w:rPr>
                <w:spacing w:val="-2"/>
                <w:sz w:val="20"/>
              </w:rPr>
              <w:t>（</w:t>
            </w:r>
            <w:r>
              <w:rPr>
                <w:rFonts w:ascii="Times New Roman" w:eastAsia="Times New Roman"/>
                <w:spacing w:val="-2"/>
                <w:sz w:val="20"/>
              </w:rPr>
              <w:t>4</w:t>
            </w:r>
            <w:r>
              <w:rPr>
                <w:spacing w:val="-2"/>
                <w:sz w:val="20"/>
              </w:rPr>
              <w:t>）</w:t>
            </w:r>
            <w:r>
              <w:rPr>
                <w:spacing w:val="-3"/>
                <w:sz w:val="20"/>
              </w:rPr>
              <w:t>装修期间至少两次巡查施</w:t>
            </w:r>
          </w:p>
          <w:p w14:paraId="0530BB67">
            <w:pPr>
              <w:pStyle w:val="10"/>
              <w:spacing w:before="22" w:line="232" w:lineRule="auto"/>
              <w:ind w:left="38" w:right="49"/>
              <w:jc w:val="both"/>
              <w:rPr>
                <w:sz w:val="20"/>
              </w:rPr>
            </w:pPr>
            <w:r>
              <w:rPr>
                <w:spacing w:val="-2"/>
                <w:sz w:val="20"/>
              </w:rPr>
              <w:t>工现场，发现影响房屋外观、危及房屋结构安全及拆改共用管线</w:t>
            </w:r>
            <w:r>
              <w:rPr>
                <w:spacing w:val="-3"/>
                <w:sz w:val="20"/>
              </w:rPr>
              <w:t>等损害公共利益现象及时劝阻。</w:t>
            </w:r>
          </w:p>
        </w:tc>
        <w:tc>
          <w:tcPr>
            <w:tcW w:w="2774" w:type="dxa"/>
          </w:tcPr>
          <w:p w14:paraId="6182491B">
            <w:pPr>
              <w:pStyle w:val="10"/>
              <w:rPr>
                <w:sz w:val="20"/>
              </w:rPr>
            </w:pPr>
          </w:p>
          <w:p w14:paraId="17C8FB23">
            <w:pPr>
              <w:pStyle w:val="10"/>
              <w:spacing w:before="137"/>
              <w:rPr>
                <w:sz w:val="20"/>
              </w:rPr>
            </w:pPr>
          </w:p>
          <w:p w14:paraId="4A4C91A5">
            <w:pPr>
              <w:pStyle w:val="10"/>
              <w:spacing w:line="237" w:lineRule="auto"/>
              <w:ind w:left="38" w:right="61"/>
              <w:jc w:val="both"/>
              <w:rPr>
                <w:sz w:val="20"/>
              </w:rPr>
            </w:pPr>
            <w:r>
              <w:rPr>
                <w:rFonts w:ascii="Times New Roman" w:eastAsia="Times New Roman"/>
                <w:spacing w:val="-2"/>
                <w:sz w:val="20"/>
              </w:rPr>
              <w:t>(1)</w:t>
            </w:r>
            <w:r>
              <w:rPr>
                <w:spacing w:val="-2"/>
                <w:sz w:val="20"/>
              </w:rPr>
              <w:t>每半年对墙体、屋顶、健身器材等共用部位设施进行检查并有记录</w:t>
            </w:r>
            <w:r>
              <w:rPr>
                <w:rFonts w:ascii="Times New Roman" w:eastAsia="Times New Roman"/>
                <w:spacing w:val="-2"/>
                <w:sz w:val="20"/>
              </w:rPr>
              <w:t>,</w:t>
            </w:r>
            <w:r>
              <w:rPr>
                <w:spacing w:val="-3"/>
                <w:sz w:val="20"/>
              </w:rPr>
              <w:t>发现损坏组织维修。</w:t>
            </w:r>
          </w:p>
          <w:p w14:paraId="49A9E53E">
            <w:pPr>
              <w:pStyle w:val="10"/>
              <w:spacing w:before="2"/>
              <w:ind w:left="38" w:right="78"/>
              <w:jc w:val="both"/>
              <w:rPr>
                <w:sz w:val="20"/>
              </w:rPr>
            </w:pPr>
            <w:r>
              <w:rPr>
                <w:rFonts w:ascii="Times New Roman" w:eastAsia="Times New Roman"/>
                <w:spacing w:val="-2"/>
                <w:sz w:val="20"/>
              </w:rPr>
              <w:t>(2)</w:t>
            </w:r>
            <w:r>
              <w:rPr>
                <w:spacing w:val="-2"/>
                <w:sz w:val="20"/>
              </w:rPr>
              <w:t>每半年对楼外公共雨污水主管道、雨污水井、化粪池等进行一次检查，发现异常及时做</w:t>
            </w:r>
            <w:r>
              <w:rPr>
                <w:spacing w:val="-3"/>
                <w:sz w:val="20"/>
              </w:rPr>
              <w:t>出疏通、清掏计划，组织清掏</w:t>
            </w:r>
          </w:p>
          <w:p w14:paraId="12D57E67">
            <w:pPr>
              <w:pStyle w:val="10"/>
              <w:spacing w:line="234" w:lineRule="exact"/>
              <w:ind w:left="38"/>
              <w:rPr>
                <w:sz w:val="20"/>
              </w:rPr>
            </w:pPr>
            <w:r>
              <w:rPr>
                <w:spacing w:val="-2"/>
                <w:sz w:val="20"/>
              </w:rPr>
              <w:t>。（</w:t>
            </w:r>
            <w:r>
              <w:rPr>
                <w:rFonts w:ascii="Times New Roman" w:eastAsia="Times New Roman"/>
                <w:spacing w:val="-2"/>
                <w:sz w:val="20"/>
              </w:rPr>
              <w:t>3</w:t>
            </w:r>
            <w:r>
              <w:rPr>
                <w:spacing w:val="-2"/>
                <w:sz w:val="20"/>
              </w:rPr>
              <w:t>）</w:t>
            </w:r>
            <w:r>
              <w:rPr>
                <w:spacing w:val="-3"/>
                <w:sz w:val="20"/>
              </w:rPr>
              <w:t>装修期间至少一次巡查</w:t>
            </w:r>
          </w:p>
          <w:p w14:paraId="3EF6C73E">
            <w:pPr>
              <w:pStyle w:val="10"/>
              <w:spacing w:before="17" w:line="252" w:lineRule="exact"/>
              <w:ind w:left="38"/>
              <w:rPr>
                <w:sz w:val="20"/>
              </w:rPr>
            </w:pPr>
            <w:r>
              <w:rPr>
                <w:spacing w:val="-3"/>
                <w:sz w:val="20"/>
              </w:rPr>
              <w:t>施工现场，发现影响房屋外观</w:t>
            </w:r>
          </w:p>
          <w:p w14:paraId="1CD7EBD8">
            <w:pPr>
              <w:pStyle w:val="10"/>
              <w:spacing w:before="1" w:line="232" w:lineRule="auto"/>
              <w:ind w:left="38" w:right="111"/>
              <w:jc w:val="both"/>
              <w:rPr>
                <w:sz w:val="20"/>
              </w:rPr>
            </w:pPr>
            <w:r>
              <w:rPr>
                <w:spacing w:val="-2"/>
                <w:sz w:val="20"/>
              </w:rPr>
              <w:t>、危及房屋结构安全及拆改共用管线等损害公共利益现象及</w:t>
            </w:r>
            <w:r>
              <w:rPr>
                <w:spacing w:val="-4"/>
                <w:sz w:val="20"/>
              </w:rPr>
              <w:t>时劝阻。</w:t>
            </w:r>
          </w:p>
        </w:tc>
        <w:tc>
          <w:tcPr>
            <w:tcW w:w="1814" w:type="dxa"/>
          </w:tcPr>
          <w:p w14:paraId="7A0C5F82">
            <w:pPr>
              <w:pStyle w:val="10"/>
              <w:spacing w:before="151"/>
              <w:ind w:left="40" w:right="-29"/>
              <w:jc w:val="both"/>
              <w:rPr>
                <w:sz w:val="20"/>
              </w:rPr>
            </w:pPr>
            <w:r>
              <w:rPr>
                <w:rFonts w:ascii="Times New Roman" w:eastAsia="Times New Roman"/>
                <w:sz w:val="20"/>
              </w:rPr>
              <w:t>(1</w:t>
            </w:r>
            <w:r>
              <w:rPr>
                <w:rFonts w:ascii="Times New Roman" w:eastAsia="Times New Roman"/>
                <w:spacing w:val="-7"/>
                <w:sz w:val="20"/>
              </w:rPr>
              <w:t xml:space="preserve">) </w:t>
            </w:r>
            <w:r>
              <w:rPr>
                <w:spacing w:val="13"/>
                <w:sz w:val="20"/>
              </w:rPr>
              <w:t>每年一次对共用</w:t>
            </w:r>
            <w:r>
              <w:rPr>
                <w:spacing w:val="18"/>
                <w:sz w:val="20"/>
              </w:rPr>
              <w:t>部位进行检查并有</w:t>
            </w:r>
            <w:r>
              <w:rPr>
                <w:spacing w:val="10"/>
                <w:sz w:val="20"/>
              </w:rPr>
              <w:t>记录</w:t>
            </w:r>
            <w:r>
              <w:rPr>
                <w:rFonts w:ascii="Times New Roman" w:eastAsia="Times New Roman"/>
                <w:spacing w:val="10"/>
                <w:sz w:val="20"/>
              </w:rPr>
              <w:t>,</w:t>
            </w:r>
            <w:r>
              <w:rPr>
                <w:spacing w:val="10"/>
                <w:sz w:val="20"/>
              </w:rPr>
              <w:t>发现损坏及时</w:t>
            </w:r>
            <w:r>
              <w:rPr>
                <w:spacing w:val="15"/>
                <w:sz w:val="20"/>
              </w:rPr>
              <w:t>组织维修。</w:t>
            </w:r>
            <w:r>
              <w:rPr>
                <w:rFonts w:ascii="Times New Roman" w:eastAsia="Times New Roman"/>
                <w:sz w:val="20"/>
              </w:rPr>
              <w:t>(2)</w:t>
            </w:r>
            <w:r>
              <w:rPr>
                <w:spacing w:val="15"/>
                <w:sz w:val="20"/>
              </w:rPr>
              <w:t>每年</w:t>
            </w:r>
            <w:r>
              <w:rPr>
                <w:spacing w:val="18"/>
                <w:sz w:val="20"/>
              </w:rPr>
              <w:t>对楼外公共雨污水主管道、雨污水井</w:t>
            </w:r>
          </w:p>
          <w:p w14:paraId="4BE2897D">
            <w:pPr>
              <w:pStyle w:val="10"/>
              <w:spacing w:before="3" w:line="232" w:lineRule="auto"/>
              <w:ind w:left="40" w:right="-29"/>
              <w:jc w:val="both"/>
              <w:rPr>
                <w:sz w:val="20"/>
              </w:rPr>
            </w:pPr>
            <w:r>
              <w:rPr>
                <w:spacing w:val="17"/>
                <w:sz w:val="20"/>
              </w:rPr>
              <w:t>、化粪池等进行一次检查，发现异常及时做出疏通、清</w:t>
            </w:r>
            <w:r>
              <w:rPr>
                <w:spacing w:val="18"/>
                <w:sz w:val="20"/>
              </w:rPr>
              <w:t>掏计划，组织清掏</w:t>
            </w:r>
          </w:p>
          <w:p w14:paraId="3CC69133">
            <w:pPr>
              <w:pStyle w:val="10"/>
              <w:spacing w:line="235" w:lineRule="exact"/>
              <w:ind w:left="40" w:right="-44"/>
              <w:rPr>
                <w:sz w:val="20"/>
              </w:rPr>
            </w:pPr>
            <w:r>
              <w:rPr>
                <w:spacing w:val="35"/>
                <w:sz w:val="20"/>
              </w:rPr>
              <w:t>。</w:t>
            </w:r>
            <w:r>
              <w:rPr>
                <w:sz w:val="20"/>
              </w:rPr>
              <w:t>（</w:t>
            </w:r>
            <w:r>
              <w:rPr>
                <w:spacing w:val="-64"/>
                <w:sz w:val="20"/>
              </w:rPr>
              <w:t xml:space="preserve"> </w:t>
            </w:r>
            <w:r>
              <w:rPr>
                <w:rFonts w:ascii="Times New Roman" w:eastAsia="Times New Roman"/>
                <w:sz w:val="20"/>
              </w:rPr>
              <w:t>3</w:t>
            </w:r>
            <w:r>
              <w:rPr>
                <w:rFonts w:ascii="Times New Roman" w:eastAsia="Times New Roman"/>
                <w:spacing w:val="-14"/>
                <w:sz w:val="20"/>
              </w:rPr>
              <w:t xml:space="preserve"> </w:t>
            </w:r>
            <w:r>
              <w:rPr>
                <w:sz w:val="20"/>
              </w:rPr>
              <w:t>）</w:t>
            </w:r>
            <w:r>
              <w:rPr>
                <w:spacing w:val="6"/>
                <w:sz w:val="20"/>
              </w:rPr>
              <w:t xml:space="preserve"> 对违规装</w:t>
            </w:r>
            <w:r>
              <w:rPr>
                <w:spacing w:val="-10"/>
                <w:sz w:val="20"/>
              </w:rPr>
              <w:t xml:space="preserve"> </w:t>
            </w:r>
          </w:p>
          <w:p w14:paraId="49528E07">
            <w:pPr>
              <w:pStyle w:val="10"/>
              <w:spacing w:before="15" w:line="252" w:lineRule="exact"/>
              <w:ind w:left="40" w:right="-29"/>
              <w:rPr>
                <w:sz w:val="20"/>
              </w:rPr>
            </w:pPr>
            <w:r>
              <w:rPr>
                <w:spacing w:val="18"/>
                <w:sz w:val="20"/>
              </w:rPr>
              <w:t>修，影响房屋外观</w:t>
            </w:r>
          </w:p>
          <w:p w14:paraId="09E01D53">
            <w:pPr>
              <w:pStyle w:val="10"/>
              <w:spacing w:before="2" w:line="232" w:lineRule="auto"/>
              <w:ind w:left="40" w:right="-29"/>
              <w:jc w:val="both"/>
              <w:rPr>
                <w:sz w:val="20"/>
              </w:rPr>
            </w:pPr>
            <w:r>
              <w:rPr>
                <w:spacing w:val="17"/>
                <w:sz w:val="20"/>
              </w:rPr>
              <w:t>、危及房屋结构安</w:t>
            </w:r>
            <w:r>
              <w:rPr>
                <w:spacing w:val="18"/>
                <w:sz w:val="20"/>
              </w:rPr>
              <w:t>全及拆改共用管线等损害公共利益现</w:t>
            </w:r>
            <w:r>
              <w:rPr>
                <w:spacing w:val="-2"/>
                <w:sz w:val="20"/>
              </w:rPr>
              <w:t>象及时劝阻。</w:t>
            </w:r>
          </w:p>
        </w:tc>
      </w:tr>
      <w:tr w14:paraId="36B0462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07" w:hRule="atLeast"/>
        </w:trPr>
        <w:tc>
          <w:tcPr>
            <w:tcW w:w="494" w:type="dxa"/>
            <w:vMerge w:val="continue"/>
            <w:tcBorders>
              <w:top w:val="nil"/>
            </w:tcBorders>
          </w:tcPr>
          <w:p w14:paraId="4F1D260C">
            <w:pPr>
              <w:rPr>
                <w:sz w:val="2"/>
                <w:szCs w:val="2"/>
              </w:rPr>
            </w:pPr>
          </w:p>
        </w:tc>
        <w:tc>
          <w:tcPr>
            <w:tcW w:w="540" w:type="dxa"/>
          </w:tcPr>
          <w:p w14:paraId="6BE5530A">
            <w:pPr>
              <w:pStyle w:val="10"/>
              <w:spacing w:before="80"/>
              <w:rPr>
                <w:sz w:val="20"/>
              </w:rPr>
            </w:pPr>
          </w:p>
          <w:p w14:paraId="254C02A8">
            <w:pPr>
              <w:pStyle w:val="10"/>
              <w:spacing w:line="230" w:lineRule="auto"/>
              <w:ind w:left="78" w:right="39"/>
              <w:rPr>
                <w:sz w:val="20"/>
              </w:rPr>
            </w:pPr>
            <w:r>
              <w:rPr>
                <w:spacing w:val="-6"/>
                <w:sz w:val="20"/>
              </w:rPr>
              <w:t>照明</w:t>
            </w:r>
            <w:r>
              <w:rPr>
                <w:spacing w:val="-5"/>
                <w:sz w:val="20"/>
              </w:rPr>
              <w:t>系统</w:t>
            </w:r>
          </w:p>
        </w:tc>
        <w:tc>
          <w:tcPr>
            <w:tcW w:w="3300" w:type="dxa"/>
          </w:tcPr>
          <w:p w14:paraId="17153FA8">
            <w:pPr>
              <w:pStyle w:val="10"/>
              <w:spacing w:before="85" w:line="228" w:lineRule="auto"/>
              <w:ind w:left="39" w:right="38"/>
              <w:jc w:val="both"/>
              <w:rPr>
                <w:sz w:val="20"/>
              </w:rPr>
            </w:pPr>
            <w:r>
              <w:rPr>
                <w:spacing w:val="-2"/>
                <w:sz w:val="20"/>
              </w:rPr>
              <w:t>每周一次巡检公共照明设备，及时修复损坏的灯座、灯泡、开关等，保持灯具完好，小区内楼道灯、路灯、景观灯等亮灯率在</w:t>
            </w:r>
            <w:r>
              <w:rPr>
                <w:rFonts w:ascii="Times New Roman" w:eastAsia="Times New Roman"/>
                <w:spacing w:val="-2"/>
                <w:sz w:val="20"/>
              </w:rPr>
              <w:t>98%</w:t>
            </w:r>
            <w:r>
              <w:rPr>
                <w:spacing w:val="-2"/>
                <w:sz w:val="20"/>
              </w:rPr>
              <w:t>以上。</w:t>
            </w:r>
          </w:p>
        </w:tc>
        <w:tc>
          <w:tcPr>
            <w:tcW w:w="3134" w:type="dxa"/>
          </w:tcPr>
          <w:p w14:paraId="6A3A6826">
            <w:pPr>
              <w:pStyle w:val="10"/>
              <w:spacing w:before="85" w:line="228" w:lineRule="auto"/>
              <w:ind w:left="39" w:right="72"/>
              <w:jc w:val="both"/>
              <w:rPr>
                <w:sz w:val="20"/>
              </w:rPr>
            </w:pPr>
            <w:r>
              <w:rPr>
                <w:spacing w:val="-2"/>
                <w:sz w:val="20"/>
              </w:rPr>
              <w:t>每周一次巡检公共照明设备，及时修复损坏的灯座、灯泡、开关等，保持灯具完好，小区内楼道灯、路灯、景观灯等亮灯率在</w:t>
            </w:r>
            <w:r>
              <w:rPr>
                <w:rFonts w:ascii="Times New Roman" w:eastAsia="Times New Roman"/>
                <w:spacing w:val="-2"/>
                <w:sz w:val="20"/>
              </w:rPr>
              <w:t>95%</w:t>
            </w:r>
            <w:r>
              <w:rPr>
                <w:spacing w:val="-5"/>
                <w:sz w:val="20"/>
              </w:rPr>
              <w:t>以上。</w:t>
            </w:r>
          </w:p>
        </w:tc>
        <w:tc>
          <w:tcPr>
            <w:tcW w:w="2911" w:type="dxa"/>
          </w:tcPr>
          <w:p w14:paraId="129DE456">
            <w:pPr>
              <w:pStyle w:val="10"/>
              <w:spacing w:before="85" w:line="228" w:lineRule="auto"/>
              <w:ind w:left="38" w:right="49"/>
              <w:jc w:val="both"/>
              <w:rPr>
                <w:sz w:val="20"/>
              </w:rPr>
            </w:pPr>
            <w:r>
              <w:rPr>
                <w:spacing w:val="-2"/>
                <w:sz w:val="20"/>
              </w:rPr>
              <w:t>每月一次巡检公共照明设备，修复损坏的灯座、灯泡、开关等，小区内楼道灯、路灯、景观灯等亮灯率在</w:t>
            </w:r>
            <w:r>
              <w:rPr>
                <w:rFonts w:ascii="Times New Roman" w:eastAsia="Times New Roman"/>
                <w:spacing w:val="-2"/>
                <w:sz w:val="20"/>
              </w:rPr>
              <w:t>85%</w:t>
            </w:r>
            <w:r>
              <w:rPr>
                <w:spacing w:val="-2"/>
                <w:sz w:val="20"/>
              </w:rPr>
              <w:t>以上。</w:t>
            </w:r>
          </w:p>
        </w:tc>
        <w:tc>
          <w:tcPr>
            <w:tcW w:w="2774" w:type="dxa"/>
          </w:tcPr>
          <w:p w14:paraId="5461EEFB">
            <w:pPr>
              <w:pStyle w:val="10"/>
              <w:spacing w:before="67"/>
              <w:rPr>
                <w:sz w:val="20"/>
              </w:rPr>
            </w:pPr>
          </w:p>
          <w:p w14:paraId="5E4A54E0">
            <w:pPr>
              <w:pStyle w:val="10"/>
              <w:spacing w:line="245" w:lineRule="exact"/>
              <w:ind w:left="38"/>
              <w:rPr>
                <w:sz w:val="20"/>
              </w:rPr>
            </w:pPr>
            <w:r>
              <w:rPr>
                <w:spacing w:val="-3"/>
                <w:sz w:val="20"/>
              </w:rPr>
              <w:t>公共楼道灯、路灯等亮灯率在</w:t>
            </w:r>
          </w:p>
          <w:p w14:paraId="7E05657A">
            <w:pPr>
              <w:pStyle w:val="10"/>
              <w:spacing w:line="245" w:lineRule="exact"/>
              <w:ind w:left="38"/>
              <w:rPr>
                <w:sz w:val="20"/>
              </w:rPr>
            </w:pPr>
            <w:r>
              <w:rPr>
                <w:rFonts w:ascii="Times New Roman" w:eastAsia="Times New Roman"/>
                <w:sz w:val="20"/>
              </w:rPr>
              <w:t>80%</w:t>
            </w:r>
            <w:r>
              <w:rPr>
                <w:spacing w:val="-4"/>
                <w:sz w:val="20"/>
              </w:rPr>
              <w:t>以上。</w:t>
            </w:r>
          </w:p>
        </w:tc>
        <w:tc>
          <w:tcPr>
            <w:tcW w:w="1814" w:type="dxa"/>
          </w:tcPr>
          <w:p w14:paraId="17D6371C">
            <w:pPr>
              <w:pStyle w:val="10"/>
              <w:spacing w:before="201" w:line="237" w:lineRule="auto"/>
              <w:ind w:left="40" w:right="-29"/>
              <w:jc w:val="both"/>
              <w:rPr>
                <w:sz w:val="20"/>
              </w:rPr>
            </w:pPr>
            <w:r>
              <w:rPr>
                <w:spacing w:val="17"/>
                <w:sz w:val="20"/>
              </w:rPr>
              <w:t>公共楼道灯、路灯</w:t>
            </w:r>
            <w:r>
              <w:rPr>
                <w:spacing w:val="29"/>
                <w:sz w:val="20"/>
              </w:rPr>
              <w:t>等亮灯率在</w:t>
            </w:r>
            <w:r>
              <w:rPr>
                <w:rFonts w:ascii="Times New Roman" w:eastAsia="Times New Roman"/>
                <w:sz w:val="20"/>
              </w:rPr>
              <w:t>70%</w:t>
            </w:r>
            <w:r>
              <w:rPr>
                <w:rFonts w:ascii="Times New Roman" w:eastAsia="Times New Roman"/>
                <w:spacing w:val="-13"/>
                <w:sz w:val="20"/>
              </w:rPr>
              <w:t xml:space="preserve"> </w:t>
            </w:r>
            <w:r>
              <w:rPr>
                <w:sz w:val="20"/>
              </w:rPr>
              <w:t>以</w:t>
            </w:r>
            <w:r>
              <w:rPr>
                <w:spacing w:val="-6"/>
                <w:sz w:val="20"/>
              </w:rPr>
              <w:t>上。</w:t>
            </w:r>
          </w:p>
        </w:tc>
      </w:tr>
      <w:tr w14:paraId="2E898F2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336" w:hRule="atLeast"/>
        </w:trPr>
        <w:tc>
          <w:tcPr>
            <w:tcW w:w="494" w:type="dxa"/>
            <w:vMerge w:val="continue"/>
            <w:tcBorders>
              <w:top w:val="nil"/>
            </w:tcBorders>
          </w:tcPr>
          <w:p w14:paraId="438E55D3">
            <w:pPr>
              <w:rPr>
                <w:sz w:val="2"/>
                <w:szCs w:val="2"/>
              </w:rPr>
            </w:pPr>
          </w:p>
        </w:tc>
        <w:tc>
          <w:tcPr>
            <w:tcW w:w="540" w:type="dxa"/>
          </w:tcPr>
          <w:p w14:paraId="4E105FA6">
            <w:pPr>
              <w:pStyle w:val="10"/>
              <w:spacing w:before="200" w:line="232" w:lineRule="auto"/>
              <w:ind w:left="77" w:right="39"/>
              <w:jc w:val="both"/>
              <w:rPr>
                <w:sz w:val="20"/>
              </w:rPr>
            </w:pPr>
            <w:r>
              <w:rPr>
                <w:spacing w:val="-6"/>
                <w:sz w:val="20"/>
              </w:rPr>
              <w:t>弱电及避雷系</w:t>
            </w:r>
            <w:r>
              <w:rPr>
                <w:spacing w:val="-10"/>
                <w:sz w:val="20"/>
              </w:rPr>
              <w:t>统</w:t>
            </w:r>
          </w:p>
        </w:tc>
        <w:tc>
          <w:tcPr>
            <w:tcW w:w="3300" w:type="dxa"/>
          </w:tcPr>
          <w:p w14:paraId="6B6A17F0">
            <w:pPr>
              <w:pStyle w:val="10"/>
              <w:spacing w:before="48" w:line="237" w:lineRule="auto"/>
              <w:ind w:left="39" w:right="38"/>
              <w:rPr>
                <w:sz w:val="20"/>
              </w:rPr>
            </w:pPr>
            <w:r>
              <w:rPr>
                <w:spacing w:val="-2"/>
                <w:sz w:val="20"/>
              </w:rPr>
              <w:t>（</w:t>
            </w:r>
            <w:r>
              <w:rPr>
                <w:rFonts w:ascii="Times New Roman" w:eastAsia="Times New Roman"/>
                <w:spacing w:val="-2"/>
                <w:sz w:val="20"/>
              </w:rPr>
              <w:t>1</w:t>
            </w:r>
            <w:r>
              <w:rPr>
                <w:spacing w:val="-2"/>
                <w:sz w:val="20"/>
              </w:rPr>
              <w:t>）对录像监控、楼宇对讲、电子巡更等设施设备不定期进行调试与保养，保证其</w:t>
            </w:r>
            <w:r>
              <w:rPr>
                <w:rFonts w:ascii="Times New Roman" w:eastAsia="Times New Roman"/>
                <w:spacing w:val="-2"/>
                <w:sz w:val="20"/>
              </w:rPr>
              <w:t>24</w:t>
            </w:r>
            <w:r>
              <w:rPr>
                <w:spacing w:val="-2"/>
                <w:sz w:val="20"/>
              </w:rPr>
              <w:t>小时运行正常。（</w:t>
            </w:r>
            <w:r>
              <w:rPr>
                <w:rFonts w:ascii="Times New Roman" w:eastAsia="Times New Roman"/>
                <w:spacing w:val="-2"/>
                <w:sz w:val="20"/>
              </w:rPr>
              <w:t>2</w:t>
            </w:r>
            <w:r>
              <w:rPr>
                <w:spacing w:val="-2"/>
                <w:sz w:val="20"/>
              </w:rPr>
              <w:t>）</w:t>
            </w:r>
          </w:p>
          <w:p w14:paraId="16E4C9C2">
            <w:pPr>
              <w:pStyle w:val="10"/>
              <w:spacing w:before="11" w:line="248" w:lineRule="exact"/>
              <w:ind w:left="39" w:right="38"/>
              <w:rPr>
                <w:sz w:val="20"/>
              </w:rPr>
            </w:pPr>
            <w:r>
              <w:rPr>
                <w:spacing w:val="-2"/>
                <w:sz w:val="20"/>
              </w:rPr>
              <w:t>每年二次维护保养避雷装置，保证其性能符合国家相关标准。</w:t>
            </w:r>
          </w:p>
        </w:tc>
        <w:tc>
          <w:tcPr>
            <w:tcW w:w="3134" w:type="dxa"/>
          </w:tcPr>
          <w:p w14:paraId="09A5FCE4">
            <w:pPr>
              <w:pStyle w:val="10"/>
              <w:spacing w:before="48" w:line="237" w:lineRule="auto"/>
              <w:ind w:left="39" w:right="72"/>
              <w:rPr>
                <w:sz w:val="20"/>
              </w:rPr>
            </w:pPr>
            <w:r>
              <w:rPr>
                <w:spacing w:val="-2"/>
                <w:sz w:val="20"/>
              </w:rPr>
              <w:t>（</w:t>
            </w:r>
            <w:r>
              <w:rPr>
                <w:rFonts w:ascii="Times New Roman" w:eastAsia="Times New Roman"/>
                <w:spacing w:val="-2"/>
                <w:sz w:val="20"/>
              </w:rPr>
              <w:t>1</w:t>
            </w:r>
            <w:r>
              <w:rPr>
                <w:spacing w:val="-2"/>
                <w:sz w:val="20"/>
              </w:rPr>
              <w:t>）对录像监控、楼宇对讲等设施设备不定期进行调试与保养，保证其</w:t>
            </w:r>
            <w:r>
              <w:rPr>
                <w:rFonts w:ascii="Times New Roman" w:eastAsia="Times New Roman"/>
                <w:spacing w:val="-2"/>
                <w:sz w:val="20"/>
              </w:rPr>
              <w:t>24</w:t>
            </w:r>
            <w:r>
              <w:rPr>
                <w:spacing w:val="-2"/>
                <w:sz w:val="20"/>
              </w:rPr>
              <w:t>小时运行正常。（</w:t>
            </w:r>
            <w:r>
              <w:rPr>
                <w:rFonts w:ascii="Times New Roman" w:eastAsia="Times New Roman"/>
                <w:spacing w:val="-2"/>
                <w:sz w:val="20"/>
              </w:rPr>
              <w:t>2</w:t>
            </w:r>
            <w:r>
              <w:rPr>
                <w:spacing w:val="-2"/>
                <w:sz w:val="20"/>
              </w:rPr>
              <w:t>）每年</w:t>
            </w:r>
          </w:p>
          <w:p w14:paraId="1645BEB1">
            <w:pPr>
              <w:pStyle w:val="10"/>
              <w:spacing w:before="11" w:line="248" w:lineRule="exact"/>
              <w:ind w:left="39" w:right="72"/>
              <w:rPr>
                <w:sz w:val="20"/>
              </w:rPr>
            </w:pPr>
            <w:r>
              <w:rPr>
                <w:spacing w:val="-2"/>
                <w:sz w:val="20"/>
              </w:rPr>
              <w:t>二次维护保养避雷装置，保证其性能符合国家相关标准。</w:t>
            </w:r>
          </w:p>
        </w:tc>
        <w:tc>
          <w:tcPr>
            <w:tcW w:w="2911" w:type="dxa"/>
          </w:tcPr>
          <w:p w14:paraId="2D5FDAE0">
            <w:pPr>
              <w:pStyle w:val="10"/>
              <w:spacing w:before="42" w:line="242" w:lineRule="auto"/>
              <w:ind w:left="38" w:right="48"/>
              <w:rPr>
                <w:sz w:val="20"/>
              </w:rPr>
            </w:pPr>
            <w:r>
              <w:rPr>
                <w:spacing w:val="-2"/>
                <w:sz w:val="20"/>
              </w:rPr>
              <w:t>（</w:t>
            </w:r>
            <w:r>
              <w:rPr>
                <w:rFonts w:ascii="Times New Roman" w:eastAsia="Times New Roman"/>
                <w:spacing w:val="-2"/>
                <w:sz w:val="20"/>
              </w:rPr>
              <w:t>1</w:t>
            </w:r>
            <w:r>
              <w:rPr>
                <w:spacing w:val="-2"/>
                <w:sz w:val="20"/>
              </w:rPr>
              <w:t>）对录像监控等设施设备不定期进行调试与保养，保证其</w:t>
            </w:r>
            <w:r>
              <w:rPr>
                <w:rFonts w:ascii="Times New Roman" w:eastAsia="Times New Roman"/>
                <w:spacing w:val="-2"/>
                <w:sz w:val="20"/>
              </w:rPr>
              <w:t>24</w:t>
            </w:r>
            <w:r>
              <w:rPr>
                <w:spacing w:val="-2"/>
                <w:sz w:val="20"/>
              </w:rPr>
              <w:t>小时运行正常。（</w:t>
            </w:r>
            <w:r>
              <w:rPr>
                <w:rFonts w:ascii="Times New Roman" w:eastAsia="Times New Roman"/>
                <w:spacing w:val="-2"/>
                <w:sz w:val="20"/>
              </w:rPr>
              <w:t>2</w:t>
            </w:r>
            <w:r>
              <w:rPr>
                <w:spacing w:val="-2"/>
                <w:sz w:val="20"/>
              </w:rPr>
              <w:t>）每年一次</w:t>
            </w:r>
          </w:p>
          <w:p w14:paraId="2991AEF1">
            <w:pPr>
              <w:pStyle w:val="10"/>
              <w:spacing w:before="1" w:line="248" w:lineRule="exact"/>
              <w:ind w:left="38" w:right="49"/>
              <w:rPr>
                <w:sz w:val="20"/>
              </w:rPr>
            </w:pPr>
            <w:r>
              <w:rPr>
                <w:spacing w:val="-2"/>
                <w:sz w:val="20"/>
              </w:rPr>
              <w:t>维护保养避雷装置，保证其性能符合国家相关标准。</w:t>
            </w:r>
          </w:p>
        </w:tc>
        <w:tc>
          <w:tcPr>
            <w:tcW w:w="2774" w:type="dxa"/>
          </w:tcPr>
          <w:p w14:paraId="388ADD86">
            <w:pPr>
              <w:pStyle w:val="10"/>
              <w:spacing w:before="48" w:line="237" w:lineRule="auto"/>
              <w:ind w:left="38" w:right="9"/>
              <w:rPr>
                <w:sz w:val="20"/>
              </w:rPr>
            </w:pPr>
            <w:r>
              <w:rPr>
                <w:spacing w:val="-2"/>
                <w:sz w:val="20"/>
              </w:rPr>
              <w:t>（</w:t>
            </w:r>
            <w:r>
              <w:rPr>
                <w:rFonts w:ascii="Times New Roman" w:eastAsia="Times New Roman"/>
                <w:spacing w:val="-2"/>
                <w:sz w:val="20"/>
              </w:rPr>
              <w:t>1</w:t>
            </w:r>
            <w:r>
              <w:rPr>
                <w:spacing w:val="-2"/>
                <w:sz w:val="20"/>
              </w:rPr>
              <w:t xml:space="preserve">）对录像监控等设施设备不定期进行调试与保养，保证其 </w:t>
            </w:r>
            <w:r>
              <w:rPr>
                <w:rFonts w:ascii="Times New Roman" w:eastAsia="Times New Roman"/>
                <w:spacing w:val="-2"/>
                <w:sz w:val="20"/>
              </w:rPr>
              <w:t>24</w:t>
            </w:r>
            <w:r>
              <w:rPr>
                <w:spacing w:val="-2"/>
                <w:sz w:val="20"/>
              </w:rPr>
              <w:t>小时运行正常。（</w:t>
            </w:r>
            <w:r>
              <w:rPr>
                <w:rFonts w:ascii="Times New Roman" w:eastAsia="Times New Roman"/>
                <w:spacing w:val="-2"/>
                <w:sz w:val="20"/>
              </w:rPr>
              <w:t>2</w:t>
            </w:r>
            <w:r>
              <w:rPr>
                <w:spacing w:val="-2"/>
                <w:sz w:val="20"/>
              </w:rPr>
              <w:t>）</w:t>
            </w:r>
            <w:r>
              <w:rPr>
                <w:spacing w:val="-5"/>
                <w:sz w:val="20"/>
              </w:rPr>
              <w:t>每年一</w:t>
            </w:r>
          </w:p>
          <w:p w14:paraId="42ED626E">
            <w:pPr>
              <w:pStyle w:val="10"/>
              <w:spacing w:before="11" w:line="248" w:lineRule="exact"/>
              <w:ind w:left="38" w:right="111"/>
              <w:rPr>
                <w:sz w:val="20"/>
              </w:rPr>
            </w:pPr>
            <w:r>
              <w:rPr>
                <w:spacing w:val="-2"/>
                <w:sz w:val="20"/>
              </w:rPr>
              <w:t>次维护保养避雷装置，保证其性能符合国家相关标准。</w:t>
            </w:r>
          </w:p>
        </w:tc>
        <w:tc>
          <w:tcPr>
            <w:tcW w:w="1814" w:type="dxa"/>
          </w:tcPr>
          <w:p w14:paraId="0494AACB">
            <w:pPr>
              <w:pStyle w:val="10"/>
              <w:spacing w:before="200" w:line="232" w:lineRule="auto"/>
              <w:ind w:left="40" w:right="-29"/>
              <w:jc w:val="both"/>
              <w:rPr>
                <w:sz w:val="20"/>
              </w:rPr>
            </w:pPr>
            <w:r>
              <w:rPr>
                <w:spacing w:val="18"/>
                <w:sz w:val="20"/>
              </w:rPr>
              <w:t>每年一次维护保养</w:t>
            </w:r>
            <w:r>
              <w:rPr>
                <w:spacing w:val="17"/>
                <w:sz w:val="20"/>
              </w:rPr>
              <w:t>避雷装置，保证其</w:t>
            </w:r>
            <w:r>
              <w:rPr>
                <w:spacing w:val="18"/>
                <w:sz w:val="20"/>
              </w:rPr>
              <w:t>性能符合国家相关</w:t>
            </w:r>
            <w:r>
              <w:rPr>
                <w:spacing w:val="-4"/>
                <w:sz w:val="20"/>
              </w:rPr>
              <w:t>标准。</w:t>
            </w:r>
          </w:p>
        </w:tc>
      </w:tr>
      <w:tr w14:paraId="6B491D9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336" w:hRule="atLeast"/>
        </w:trPr>
        <w:tc>
          <w:tcPr>
            <w:tcW w:w="494" w:type="dxa"/>
            <w:vMerge w:val="continue"/>
            <w:tcBorders>
              <w:top w:val="nil"/>
            </w:tcBorders>
          </w:tcPr>
          <w:p w14:paraId="7F371E1C">
            <w:pPr>
              <w:rPr>
                <w:sz w:val="2"/>
                <w:szCs w:val="2"/>
              </w:rPr>
            </w:pPr>
          </w:p>
        </w:tc>
        <w:tc>
          <w:tcPr>
            <w:tcW w:w="540" w:type="dxa"/>
          </w:tcPr>
          <w:p w14:paraId="0C8C0E9D">
            <w:pPr>
              <w:pStyle w:val="10"/>
              <w:spacing w:before="194"/>
              <w:rPr>
                <w:sz w:val="20"/>
              </w:rPr>
            </w:pPr>
          </w:p>
          <w:p w14:paraId="1460F90C">
            <w:pPr>
              <w:pStyle w:val="10"/>
              <w:spacing w:line="230" w:lineRule="auto"/>
              <w:ind w:left="77" w:right="39"/>
              <w:rPr>
                <w:sz w:val="20"/>
              </w:rPr>
            </w:pPr>
            <w:r>
              <w:rPr>
                <w:spacing w:val="-6"/>
                <w:sz w:val="20"/>
              </w:rPr>
              <w:t>消防</w:t>
            </w:r>
            <w:r>
              <w:rPr>
                <w:spacing w:val="-5"/>
                <w:sz w:val="20"/>
              </w:rPr>
              <w:t>系统</w:t>
            </w:r>
          </w:p>
        </w:tc>
        <w:tc>
          <w:tcPr>
            <w:tcW w:w="13933" w:type="dxa"/>
            <w:gridSpan w:val="5"/>
          </w:tcPr>
          <w:p w14:paraId="5B35B3E0">
            <w:pPr>
              <w:pStyle w:val="10"/>
              <w:spacing w:before="42"/>
              <w:ind w:left="39"/>
              <w:rPr>
                <w:sz w:val="20"/>
              </w:rPr>
            </w:pPr>
            <w:r>
              <w:rPr>
                <w:rFonts w:ascii="Times New Roman" w:eastAsia="Times New Roman"/>
                <w:spacing w:val="-2"/>
                <w:sz w:val="20"/>
              </w:rPr>
              <w:t>(1)</w:t>
            </w:r>
            <w:r>
              <w:rPr>
                <w:spacing w:val="-2"/>
                <w:sz w:val="20"/>
              </w:rPr>
              <w:t>设有消防控制室的，实行</w:t>
            </w:r>
            <w:r>
              <w:rPr>
                <w:rFonts w:ascii="Times New Roman" w:eastAsia="Times New Roman"/>
                <w:spacing w:val="-2"/>
                <w:sz w:val="20"/>
              </w:rPr>
              <w:t>24</w:t>
            </w:r>
            <w:r>
              <w:rPr>
                <w:spacing w:val="-2"/>
                <w:sz w:val="20"/>
              </w:rPr>
              <w:t>小时值班；（</w:t>
            </w:r>
            <w:r>
              <w:rPr>
                <w:rFonts w:ascii="Times New Roman" w:eastAsia="Times New Roman"/>
                <w:spacing w:val="-2"/>
                <w:sz w:val="20"/>
              </w:rPr>
              <w:t>2</w:t>
            </w:r>
            <w:r>
              <w:rPr>
                <w:spacing w:val="-2"/>
                <w:sz w:val="20"/>
              </w:rPr>
              <w:t>）</w:t>
            </w:r>
            <w:r>
              <w:rPr>
                <w:spacing w:val="-3"/>
                <w:sz w:val="20"/>
              </w:rPr>
              <w:t>按照消防管理部门要求，定期对消防系统进行维护保养并做好记录，鼓励委托专业的维保单位开展维护保养；</w:t>
            </w:r>
          </w:p>
          <w:p w14:paraId="66FA124E">
            <w:pPr>
              <w:pStyle w:val="10"/>
              <w:spacing w:before="3" w:line="237" w:lineRule="auto"/>
              <w:ind w:left="39" w:right="71"/>
              <w:rPr>
                <w:sz w:val="20"/>
              </w:rPr>
            </w:pPr>
            <w:r>
              <w:rPr>
                <w:spacing w:val="-1"/>
                <w:sz w:val="20"/>
              </w:rPr>
              <w:t>（</w:t>
            </w:r>
            <w:r>
              <w:rPr>
                <w:rFonts w:ascii="Times New Roman" w:eastAsia="Times New Roman"/>
                <w:spacing w:val="2"/>
                <w:sz w:val="20"/>
              </w:rPr>
              <w:t>3</w:t>
            </w:r>
            <w:r>
              <w:rPr>
                <w:spacing w:val="-1"/>
                <w:sz w:val="20"/>
              </w:rPr>
              <w:t>）定期对区内配备的消防设施进行巡查，火警报警功能每天检查一次，消防栓、灭火器每月检查一次，确保消防栓箱内各种配件完好，灭火器临近失效及时更新或充压；消防泵每月启动一次，保证其运行正常；每半年检查一次消防水带、阀处加注润滑油并做一次放水检查；火灾探测器及全部控制装置每年进行一次试验</w:t>
            </w:r>
            <w:r>
              <w:rPr>
                <w:sz w:val="20"/>
              </w:rPr>
              <w:t>；（</w:t>
            </w:r>
            <w:r>
              <w:rPr>
                <w:rFonts w:ascii="Times New Roman" w:eastAsia="Times New Roman"/>
                <w:spacing w:val="2"/>
                <w:sz w:val="20"/>
              </w:rPr>
              <w:t>4</w:t>
            </w:r>
            <w:r>
              <w:rPr>
                <w:spacing w:val="-1"/>
                <w:sz w:val="20"/>
              </w:rPr>
              <w:t>）消防系统损坏、无法正常工作需要动用住宅专项维修资金的，应当及时编制维修方案，并采取安全防范措施。</w:t>
            </w:r>
          </w:p>
          <w:p w14:paraId="03B832B9">
            <w:pPr>
              <w:pStyle w:val="10"/>
              <w:spacing w:before="17" w:line="236" w:lineRule="exact"/>
              <w:ind w:left="39"/>
              <w:rPr>
                <w:sz w:val="20"/>
              </w:rPr>
            </w:pPr>
            <w:r>
              <w:rPr>
                <w:spacing w:val="-2"/>
                <w:sz w:val="20"/>
              </w:rPr>
              <w:t>（备注：地下车库或其他非共用部位设置的消防报警装置维护保养由建设单位及物业服务人另行约定。</w:t>
            </w:r>
            <w:r>
              <w:rPr>
                <w:spacing w:val="-10"/>
                <w:sz w:val="20"/>
              </w:rPr>
              <w:t>）</w:t>
            </w:r>
          </w:p>
        </w:tc>
      </w:tr>
      <w:tr w14:paraId="7ABB15D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51" w:hRule="atLeast"/>
        </w:trPr>
        <w:tc>
          <w:tcPr>
            <w:tcW w:w="494" w:type="dxa"/>
            <w:vMerge w:val="continue"/>
            <w:tcBorders>
              <w:top w:val="nil"/>
            </w:tcBorders>
          </w:tcPr>
          <w:p w14:paraId="36C2789A">
            <w:pPr>
              <w:rPr>
                <w:sz w:val="2"/>
                <w:szCs w:val="2"/>
              </w:rPr>
            </w:pPr>
          </w:p>
        </w:tc>
        <w:tc>
          <w:tcPr>
            <w:tcW w:w="540" w:type="dxa"/>
          </w:tcPr>
          <w:p w14:paraId="06D8A206">
            <w:pPr>
              <w:pStyle w:val="10"/>
              <w:spacing w:before="100"/>
              <w:rPr>
                <w:sz w:val="20"/>
              </w:rPr>
            </w:pPr>
          </w:p>
          <w:p w14:paraId="7FE2B8F9">
            <w:pPr>
              <w:pStyle w:val="10"/>
              <w:spacing w:line="232" w:lineRule="auto"/>
              <w:ind w:left="78" w:right="39"/>
              <w:rPr>
                <w:sz w:val="20"/>
              </w:rPr>
            </w:pPr>
            <w:r>
              <w:rPr>
                <w:spacing w:val="-6"/>
                <w:sz w:val="20"/>
              </w:rPr>
              <w:t>升降</w:t>
            </w:r>
            <w:r>
              <w:rPr>
                <w:spacing w:val="-5"/>
                <w:sz w:val="20"/>
              </w:rPr>
              <w:t>系统</w:t>
            </w:r>
          </w:p>
        </w:tc>
        <w:tc>
          <w:tcPr>
            <w:tcW w:w="13933" w:type="dxa"/>
            <w:gridSpan w:val="5"/>
          </w:tcPr>
          <w:p w14:paraId="21120FA9">
            <w:pPr>
              <w:pStyle w:val="10"/>
              <w:spacing w:before="67" w:line="242" w:lineRule="auto"/>
              <w:ind w:left="39" w:right="68"/>
              <w:rPr>
                <w:sz w:val="20"/>
              </w:rPr>
            </w:pPr>
            <w:r>
              <w:rPr>
                <w:rFonts w:ascii="Times New Roman" w:eastAsia="Times New Roman"/>
                <w:spacing w:val="-1"/>
                <w:sz w:val="20"/>
              </w:rPr>
              <w:t>(</w:t>
            </w:r>
            <w:r>
              <w:rPr>
                <w:rFonts w:ascii="Times New Roman" w:eastAsia="Times New Roman"/>
                <w:spacing w:val="2"/>
                <w:sz w:val="20"/>
              </w:rPr>
              <w:t>1</w:t>
            </w:r>
            <w:r>
              <w:rPr>
                <w:rFonts w:ascii="Times New Roman" w:eastAsia="Times New Roman"/>
                <w:sz w:val="20"/>
              </w:rPr>
              <w:t>)</w:t>
            </w:r>
            <w:r>
              <w:rPr>
                <w:spacing w:val="-1"/>
                <w:sz w:val="20"/>
              </w:rPr>
              <w:t>委托专业电梯维保单位对电梯进行维护保养，每年进行安全检测并持有有效的安全使用许可证；（</w:t>
            </w:r>
            <w:r>
              <w:rPr>
                <w:rFonts w:ascii="Times New Roman" w:eastAsia="Times New Roman"/>
                <w:sz w:val="20"/>
              </w:rPr>
              <w:t>2</w:t>
            </w:r>
            <w:r>
              <w:rPr>
                <w:sz w:val="20"/>
              </w:rPr>
              <w:t>）</w:t>
            </w:r>
            <w:r>
              <w:rPr>
                <w:spacing w:val="-1"/>
                <w:sz w:val="20"/>
              </w:rPr>
              <w:t>电梯发生故障时，物业应及时通知电梯维保单位，并监督维保单位对故障进行修复</w:t>
            </w:r>
            <w:r>
              <w:rPr>
                <w:sz w:val="20"/>
              </w:rPr>
              <w:t>；（</w:t>
            </w:r>
            <w:r>
              <w:rPr>
                <w:rFonts w:ascii="Times New Roman" w:eastAsia="Times New Roman"/>
                <w:spacing w:val="2"/>
                <w:sz w:val="20"/>
              </w:rPr>
              <w:t>3</w:t>
            </w:r>
            <w:r>
              <w:rPr>
                <w:spacing w:val="-1"/>
                <w:sz w:val="20"/>
              </w:rPr>
              <w:t>）电梯发生一般故障的，专业维修人员</w:t>
            </w:r>
            <w:r>
              <w:rPr>
                <w:rFonts w:ascii="Times New Roman" w:eastAsia="Times New Roman"/>
                <w:sz w:val="20"/>
              </w:rPr>
              <w:t>2</w:t>
            </w:r>
            <w:r>
              <w:rPr>
                <w:spacing w:val="-1"/>
                <w:sz w:val="20"/>
              </w:rPr>
              <w:t>小时内到达现场修理，发生电梯困人或其他重大事件时，物业须在</w:t>
            </w:r>
            <w:r>
              <w:rPr>
                <w:rFonts w:ascii="Times New Roman" w:eastAsia="Times New Roman"/>
                <w:sz w:val="20"/>
              </w:rPr>
              <w:t>15</w:t>
            </w:r>
            <w:r>
              <w:rPr>
                <w:spacing w:val="-1"/>
                <w:sz w:val="20"/>
              </w:rPr>
              <w:t>分钟内到达现场应急处理，专业技术人员须在半小时内到现场进行救助</w:t>
            </w:r>
            <w:r>
              <w:rPr>
                <w:sz w:val="20"/>
              </w:rPr>
              <w:t>；（</w:t>
            </w:r>
            <w:r>
              <w:rPr>
                <w:rFonts w:ascii="Times New Roman" w:eastAsia="Times New Roman"/>
                <w:spacing w:val="2"/>
                <w:sz w:val="20"/>
              </w:rPr>
              <w:t>4</w:t>
            </w:r>
            <w:r>
              <w:rPr>
                <w:spacing w:val="-1"/>
                <w:sz w:val="20"/>
              </w:rPr>
              <w:t>）需要动用住宅专项维修资金的，应当及时编制维修方案，并采取安全防范措施。</w:t>
            </w:r>
          </w:p>
          <w:p w14:paraId="1EAED544">
            <w:pPr>
              <w:pStyle w:val="10"/>
              <w:spacing w:before="1"/>
              <w:ind w:left="39"/>
              <w:rPr>
                <w:rFonts w:ascii="Times New Roman" w:eastAsia="Times New Roman"/>
                <w:sz w:val="20"/>
              </w:rPr>
            </w:pPr>
            <w:r>
              <w:rPr>
                <w:rFonts w:ascii="Times New Roman" w:eastAsia="Times New Roman"/>
                <w:spacing w:val="-2"/>
                <w:sz w:val="20"/>
              </w:rPr>
              <w:t>(</w:t>
            </w:r>
            <w:r>
              <w:rPr>
                <w:spacing w:val="-2"/>
                <w:sz w:val="20"/>
              </w:rPr>
              <w:t>备注：底层或原始设计不停靠楼层不使用电梯的业主，运行电费的减免情形由建设单位与物业服务人在前期物业服务合同中约定。</w:t>
            </w:r>
            <w:r>
              <w:rPr>
                <w:rFonts w:ascii="Times New Roman" w:eastAsia="Times New Roman"/>
                <w:spacing w:val="-10"/>
                <w:sz w:val="20"/>
              </w:rPr>
              <w:t>)</w:t>
            </w:r>
          </w:p>
        </w:tc>
      </w:tr>
    </w:tbl>
    <w:p w14:paraId="525A1C44">
      <w:pPr>
        <w:pStyle w:val="10"/>
        <w:spacing w:after="0"/>
        <w:rPr>
          <w:rFonts w:ascii="Times New Roman" w:eastAsia="Times New Roman"/>
          <w:sz w:val="20"/>
        </w:rPr>
        <w:sectPr>
          <w:type w:val="continuous"/>
          <w:pgSz w:w="16840" w:h="11910" w:orient="landscape"/>
          <w:pgMar w:top="880" w:right="708" w:bottom="1040" w:left="566" w:header="0" w:footer="853" w:gutter="0"/>
          <w:cols w:space="720" w:num="1"/>
        </w:sectPr>
      </w:pPr>
    </w:p>
    <w:p w14:paraId="11CF05DB">
      <w:pPr>
        <w:spacing w:before="51"/>
        <w:ind w:left="743" w:right="0" w:firstLine="0"/>
        <w:jc w:val="left"/>
        <w:rPr>
          <w:rFonts w:hint="eastAsia" w:ascii="黑体" w:hAnsi="黑体" w:eastAsia="黑体" w:cs="黑体"/>
          <w:sz w:val="28"/>
        </w:rPr>
      </w:pPr>
      <w:r>
        <w:rPr>
          <w:rFonts w:hint="eastAsia" w:ascii="黑体" w:hAnsi="黑体" w:eastAsia="黑体" w:cs="黑体"/>
          <w:spacing w:val="-2"/>
          <w:sz w:val="28"/>
        </w:rPr>
        <w:t>附件</w:t>
      </w:r>
      <w:r>
        <w:rPr>
          <w:rFonts w:hint="eastAsia" w:ascii="黑体" w:hAnsi="黑体" w:eastAsia="黑体" w:cs="黑体"/>
          <w:spacing w:val="-10"/>
          <w:sz w:val="28"/>
        </w:rPr>
        <w:t>2</w:t>
      </w:r>
    </w:p>
    <w:p w14:paraId="4B1BC1A7">
      <w:pPr>
        <w:pStyle w:val="4"/>
        <w:spacing w:before="71"/>
        <w:rPr>
          <w:rFonts w:ascii="Times New Roman"/>
          <w:sz w:val="44"/>
        </w:rPr>
      </w:pPr>
      <w:r>
        <w:br w:type="column"/>
      </w:r>
    </w:p>
    <w:p w14:paraId="39D97E55">
      <w:pPr>
        <w:pStyle w:val="2"/>
        <w:ind w:left="743"/>
      </w:pPr>
      <w:r>
        <w:rPr>
          <w:rFonts w:hint="eastAsia" w:ascii="方正小标宋简体" w:hAnsi="方正小标宋简体" w:eastAsia="方正小标宋简体" w:cs="方正小标宋简体"/>
          <w:spacing w:val="-1"/>
        </w:rPr>
        <w:t>文登区普通住宅前期物业公共服务费政府指导价格</w:t>
      </w:r>
    </w:p>
    <w:p w14:paraId="5BAF6AD6">
      <w:pPr>
        <w:pStyle w:val="2"/>
        <w:spacing w:after="0"/>
        <w:sectPr>
          <w:footerReference r:id="rId11" w:type="default"/>
          <w:footerReference r:id="rId12" w:type="even"/>
          <w:pgSz w:w="16840" w:h="11910" w:orient="landscape"/>
          <w:pgMar w:top="1180" w:right="708" w:bottom="1160" w:left="566" w:header="0" w:footer="973" w:gutter="0"/>
          <w:pgNumType w:start="13"/>
          <w:cols w:equalWidth="0" w:num="2">
            <w:col w:w="1485" w:space="764"/>
            <w:col w:w="13317"/>
          </w:cols>
        </w:sectPr>
      </w:pPr>
    </w:p>
    <w:p w14:paraId="4BB9DE2E">
      <w:pPr>
        <w:pStyle w:val="4"/>
        <w:spacing w:before="11"/>
        <w:rPr>
          <w:sz w:val="3"/>
        </w:rPr>
      </w:pPr>
    </w:p>
    <w:tbl>
      <w:tblPr>
        <w:tblStyle w:val="6"/>
        <w:tblW w:w="0" w:type="auto"/>
        <w:tblInd w:w="69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334"/>
        <w:gridCol w:w="2191"/>
        <w:gridCol w:w="1620"/>
        <w:gridCol w:w="1620"/>
        <w:gridCol w:w="1620"/>
        <w:gridCol w:w="1620"/>
        <w:gridCol w:w="2460"/>
        <w:gridCol w:w="1846"/>
      </w:tblGrid>
      <w:tr w14:paraId="7FCA3D7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9" w:hRule="atLeast"/>
        </w:trPr>
        <w:tc>
          <w:tcPr>
            <w:tcW w:w="3525" w:type="dxa"/>
            <w:gridSpan w:val="2"/>
            <w:vMerge w:val="restart"/>
          </w:tcPr>
          <w:p w14:paraId="0B529C3D">
            <w:pPr>
              <w:pStyle w:val="10"/>
              <w:spacing w:before="43"/>
              <w:ind w:left="235"/>
              <w:jc w:val="center"/>
              <w:rPr>
                <w:sz w:val="20"/>
              </w:rPr>
            </w:pPr>
            <w:r>
              <w:rPr>
                <w:sz w:val="20"/>
              </w:rPr>
              <mc:AlternateContent>
                <mc:Choice Requires="wpg">
                  <w:drawing>
                    <wp:anchor distT="0" distB="0" distL="0" distR="0" simplePos="0" relativeHeight="251666432" behindDoc="1" locked="0" layoutInCell="1" allowOverlap="1">
                      <wp:simplePos x="0" y="0"/>
                      <wp:positionH relativeFrom="column">
                        <wp:posOffset>0</wp:posOffset>
                      </wp:positionH>
                      <wp:positionV relativeFrom="paragraph">
                        <wp:posOffset>-6350</wp:posOffset>
                      </wp:positionV>
                      <wp:extent cx="2251075" cy="558165"/>
                      <wp:effectExtent l="0" t="0" r="0" b="0"/>
                      <wp:wrapNone/>
                      <wp:docPr id="28" name="Group 28"/>
                      <wp:cNvGraphicFramePr/>
                      <a:graphic xmlns:a="http://schemas.openxmlformats.org/drawingml/2006/main">
                        <a:graphicData uri="http://schemas.microsoft.com/office/word/2010/wordprocessingGroup">
                          <wpg:wgp>
                            <wpg:cNvGrpSpPr/>
                            <wpg:grpSpPr>
                              <a:xfrm>
                                <a:off x="0" y="0"/>
                                <a:ext cx="2251075" cy="558165"/>
                                <a:chOff x="0" y="0"/>
                                <a:chExt cx="2251075" cy="558165"/>
                              </a:xfrm>
                            </wpg:grpSpPr>
                            <wps:wsp>
                              <wps:cNvPr id="29" name="Graphic 29"/>
                              <wps:cNvSpPr/>
                              <wps:spPr>
                                <a:xfrm>
                                  <a:off x="6095" y="6095"/>
                                  <a:ext cx="2239010" cy="546100"/>
                                </a:xfrm>
                                <a:custGeom>
                                  <a:avLst/>
                                  <a:gdLst/>
                                  <a:ahLst/>
                                  <a:cxnLst/>
                                  <a:rect l="l" t="t" r="r" b="b"/>
                                  <a:pathLst>
                                    <a:path w="2239010" h="546100">
                                      <a:moveTo>
                                        <a:pt x="0" y="0"/>
                                      </a:moveTo>
                                      <a:lnTo>
                                        <a:pt x="2238756" y="545591"/>
                                      </a:lnTo>
                                    </a:path>
                                  </a:pathLst>
                                </a:custGeom>
                                <a:ln w="12192">
                                  <a:solidFill>
                                    <a:srgbClr val="000000"/>
                                  </a:solidFill>
                                  <a:prstDash val="solid"/>
                                </a:ln>
                              </wps:spPr>
                              <wps:bodyPr wrap="square" lIns="0" tIns="0" rIns="0" bIns="0" rtlCol="0">
                                <a:noAutofit/>
                              </wps:bodyPr>
                            </wps:wsp>
                          </wpg:wgp>
                        </a:graphicData>
                      </a:graphic>
                    </wp:anchor>
                  </w:drawing>
                </mc:Choice>
                <mc:Fallback>
                  <w:pict>
                    <v:group id="Group 28" o:spid="_x0000_s1026" o:spt="203" style="position:absolute;left:0pt;margin-left:0pt;margin-top:-0.5pt;height:43.95pt;width:177.25pt;z-index:-251650048;mso-width-relative:page;mso-height-relative:page;" coordsize="2251075,558165" o:gfxdata="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DMzM4+2AAAAAYBAAAPAAAAAAAAAAEAIAAA&#10;ACIAAABkcnMvZG93bnJldi54bWxQSwECFAAUAAAACACHTuJA44XEKn4CAADFBQAADgAAAAAAAAAB&#10;ACAAAAAnAQAAZHJzL2Uyb0RvYy54bWxQSwUGAAAAAAYABgBZAQAAFwYAAAAA&#10;">
                      <o:lock v:ext="edit" aspectratio="f"/>
                      <v:shape id="Graphic 29" o:spid="_x0000_s1026" o:spt="100" style="position:absolute;left:6095;top:6095;height:546100;width:2239010;" filled="f" stroked="t" coordsize="2239010,546100" o:gfxdata="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cal5O8AAAA&#10;2wAAAA8AAAAAAAAAAQAgAAAAIgAAAGRycy9kb3ducmV2LnhtbFBLAQIUABQAAAAIAIdO4kAzLwWe&#10;OwAAADkAAAAQAAAAAAAAAAEAIAAAAAsBAABkcnMvc2hhcGV4bWwueG1sUEsFBgAAAAAGAAYAWwEA&#10;ALUDAAAAAA==&#10;" path="m0,0l2238756,545591e">
                        <v:fill on="f" focussize="0,0"/>
                        <v:stroke weight="0.96pt" color="#000000" joinstyle="round"/>
                        <v:imagedata o:title=""/>
                        <o:lock v:ext="edit" aspectratio="f"/>
                        <v:textbox inset="0mm,0mm,0mm,0mm"/>
                      </v:shape>
                    </v:group>
                  </w:pict>
                </mc:Fallback>
              </mc:AlternateContent>
            </w:r>
            <w:r>
              <w:rPr>
                <w:spacing w:val="-5"/>
                <w:sz w:val="20"/>
              </w:rPr>
              <w:t>等级</w:t>
            </w:r>
          </w:p>
          <w:p w14:paraId="496B45C0">
            <w:pPr>
              <w:pStyle w:val="10"/>
              <w:spacing w:before="3"/>
              <w:rPr>
                <w:sz w:val="20"/>
              </w:rPr>
            </w:pPr>
          </w:p>
          <w:p w14:paraId="3F3F28B8">
            <w:pPr>
              <w:pStyle w:val="10"/>
              <w:ind w:left="235" w:right="98"/>
              <w:jc w:val="center"/>
              <w:rPr>
                <w:sz w:val="20"/>
              </w:rPr>
            </w:pPr>
            <w:r>
              <w:rPr>
                <w:spacing w:val="-5"/>
                <w:sz w:val="20"/>
              </w:rPr>
              <w:t>项目</w:t>
            </w:r>
          </w:p>
        </w:tc>
        <w:tc>
          <w:tcPr>
            <w:tcW w:w="8940" w:type="dxa"/>
            <w:gridSpan w:val="5"/>
          </w:tcPr>
          <w:p w14:paraId="7568E61B">
            <w:pPr>
              <w:pStyle w:val="10"/>
              <w:spacing w:before="86"/>
              <w:ind w:left="35"/>
              <w:jc w:val="center"/>
              <w:rPr>
                <w:sz w:val="20"/>
              </w:rPr>
            </w:pPr>
            <w:r>
              <w:rPr>
                <w:sz w:val="20"/>
              </w:rPr>
              <w:t>基准价格（元</w:t>
            </w:r>
            <w:r>
              <w:rPr>
                <w:rFonts w:ascii="Times New Roman" w:eastAsia="Times New Roman"/>
                <w:b/>
                <w:sz w:val="20"/>
              </w:rPr>
              <w:t>/</w:t>
            </w:r>
            <w:r>
              <w:rPr>
                <w:sz w:val="20"/>
              </w:rPr>
              <w:t>月</w:t>
            </w:r>
            <w:r>
              <w:rPr>
                <w:rFonts w:ascii="Times New Roman" w:eastAsia="Times New Roman"/>
                <w:b/>
                <w:sz w:val="20"/>
              </w:rPr>
              <w:t>.</w:t>
            </w:r>
            <w:r>
              <w:rPr>
                <w:sz w:val="20"/>
              </w:rPr>
              <w:t>平方米</w:t>
            </w:r>
            <w:r>
              <w:rPr>
                <w:spacing w:val="-10"/>
                <w:sz w:val="20"/>
              </w:rPr>
              <w:t>）</w:t>
            </w:r>
          </w:p>
        </w:tc>
        <w:tc>
          <w:tcPr>
            <w:tcW w:w="1846" w:type="dxa"/>
            <w:vMerge w:val="restart"/>
          </w:tcPr>
          <w:p w14:paraId="0D51A839">
            <w:pPr>
              <w:pStyle w:val="10"/>
              <w:spacing w:before="62"/>
              <w:rPr>
                <w:sz w:val="20"/>
              </w:rPr>
            </w:pPr>
          </w:p>
          <w:p w14:paraId="011D0DF0">
            <w:pPr>
              <w:pStyle w:val="10"/>
              <w:spacing w:before="1"/>
              <w:ind w:left="528"/>
              <w:rPr>
                <w:sz w:val="20"/>
              </w:rPr>
            </w:pPr>
            <w:r>
              <w:rPr>
                <w:spacing w:val="-3"/>
                <w:sz w:val="20"/>
              </w:rPr>
              <w:t>浮动幅度</w:t>
            </w:r>
          </w:p>
        </w:tc>
      </w:tr>
      <w:tr w14:paraId="03FEEAF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9" w:hRule="atLeast"/>
        </w:trPr>
        <w:tc>
          <w:tcPr>
            <w:tcW w:w="3525" w:type="dxa"/>
            <w:gridSpan w:val="2"/>
            <w:vMerge w:val="continue"/>
            <w:tcBorders>
              <w:top w:val="nil"/>
            </w:tcBorders>
          </w:tcPr>
          <w:p w14:paraId="3E030A1F">
            <w:pPr>
              <w:rPr>
                <w:sz w:val="2"/>
                <w:szCs w:val="2"/>
              </w:rPr>
            </w:pPr>
          </w:p>
        </w:tc>
        <w:tc>
          <w:tcPr>
            <w:tcW w:w="1620" w:type="dxa"/>
          </w:tcPr>
          <w:p w14:paraId="48D7BB02">
            <w:pPr>
              <w:pStyle w:val="10"/>
              <w:spacing w:before="103"/>
              <w:ind w:left="38" w:right="4"/>
              <w:jc w:val="center"/>
              <w:rPr>
                <w:sz w:val="20"/>
              </w:rPr>
            </w:pPr>
            <w:r>
              <w:rPr>
                <w:spacing w:val="-5"/>
                <w:sz w:val="20"/>
              </w:rPr>
              <w:t>一级</w:t>
            </w:r>
          </w:p>
        </w:tc>
        <w:tc>
          <w:tcPr>
            <w:tcW w:w="1620" w:type="dxa"/>
          </w:tcPr>
          <w:p w14:paraId="7FA6A5A0">
            <w:pPr>
              <w:pStyle w:val="10"/>
              <w:spacing w:before="103"/>
              <w:ind w:left="38" w:right="4"/>
              <w:jc w:val="center"/>
              <w:rPr>
                <w:sz w:val="20"/>
              </w:rPr>
            </w:pPr>
            <w:r>
              <w:rPr>
                <w:spacing w:val="-5"/>
                <w:sz w:val="20"/>
              </w:rPr>
              <w:t>二级</w:t>
            </w:r>
          </w:p>
        </w:tc>
        <w:tc>
          <w:tcPr>
            <w:tcW w:w="1620" w:type="dxa"/>
          </w:tcPr>
          <w:p w14:paraId="110CEB18">
            <w:pPr>
              <w:pStyle w:val="10"/>
              <w:spacing w:before="103"/>
              <w:ind w:left="38" w:right="4"/>
              <w:jc w:val="center"/>
              <w:rPr>
                <w:sz w:val="20"/>
              </w:rPr>
            </w:pPr>
            <w:r>
              <w:rPr>
                <w:spacing w:val="-5"/>
                <w:sz w:val="20"/>
              </w:rPr>
              <w:t>三级</w:t>
            </w:r>
          </w:p>
        </w:tc>
        <w:tc>
          <w:tcPr>
            <w:tcW w:w="1620" w:type="dxa"/>
          </w:tcPr>
          <w:p w14:paraId="08E53742">
            <w:pPr>
              <w:pStyle w:val="10"/>
              <w:spacing w:before="103"/>
              <w:ind w:left="38" w:right="4"/>
              <w:jc w:val="center"/>
              <w:rPr>
                <w:sz w:val="20"/>
              </w:rPr>
            </w:pPr>
            <w:r>
              <w:rPr>
                <w:spacing w:val="-5"/>
                <w:sz w:val="20"/>
              </w:rPr>
              <w:t>四级</w:t>
            </w:r>
          </w:p>
        </w:tc>
        <w:tc>
          <w:tcPr>
            <w:tcW w:w="2460" w:type="dxa"/>
          </w:tcPr>
          <w:p w14:paraId="35387F75">
            <w:pPr>
              <w:pStyle w:val="10"/>
              <w:spacing w:before="103"/>
              <w:ind w:left="38" w:right="4"/>
              <w:jc w:val="center"/>
              <w:rPr>
                <w:sz w:val="20"/>
              </w:rPr>
            </w:pPr>
            <w:r>
              <w:rPr>
                <w:spacing w:val="-5"/>
                <w:sz w:val="20"/>
              </w:rPr>
              <w:t>五级</w:t>
            </w:r>
          </w:p>
        </w:tc>
        <w:tc>
          <w:tcPr>
            <w:tcW w:w="1846" w:type="dxa"/>
            <w:vMerge w:val="continue"/>
            <w:tcBorders>
              <w:top w:val="nil"/>
            </w:tcBorders>
          </w:tcPr>
          <w:p w14:paraId="7183B96C">
            <w:pPr>
              <w:rPr>
                <w:sz w:val="2"/>
                <w:szCs w:val="2"/>
              </w:rPr>
            </w:pPr>
          </w:p>
        </w:tc>
      </w:tr>
      <w:tr w14:paraId="07C4A61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9" w:hRule="atLeast"/>
        </w:trPr>
        <w:tc>
          <w:tcPr>
            <w:tcW w:w="3525" w:type="dxa"/>
            <w:gridSpan w:val="2"/>
          </w:tcPr>
          <w:p w14:paraId="07A1921C">
            <w:pPr>
              <w:pStyle w:val="10"/>
              <w:spacing w:before="103"/>
              <w:ind w:left="235" w:right="199"/>
              <w:jc w:val="center"/>
              <w:rPr>
                <w:sz w:val="20"/>
              </w:rPr>
            </w:pPr>
            <w:r>
              <w:rPr>
                <w:spacing w:val="-5"/>
                <w:sz w:val="20"/>
              </w:rPr>
              <w:t>小计</w:t>
            </w:r>
          </w:p>
        </w:tc>
        <w:tc>
          <w:tcPr>
            <w:tcW w:w="1620" w:type="dxa"/>
          </w:tcPr>
          <w:p w14:paraId="0174A85C">
            <w:pPr>
              <w:pStyle w:val="10"/>
              <w:spacing w:before="98"/>
              <w:ind w:left="38"/>
              <w:jc w:val="center"/>
              <w:rPr>
                <w:rFonts w:ascii="Times New Roman"/>
                <w:b/>
                <w:sz w:val="20"/>
              </w:rPr>
            </w:pPr>
            <w:r>
              <w:rPr>
                <w:rFonts w:ascii="Times New Roman"/>
                <w:b/>
                <w:spacing w:val="-4"/>
                <w:sz w:val="20"/>
              </w:rPr>
              <w:t>1.02</w:t>
            </w:r>
          </w:p>
        </w:tc>
        <w:tc>
          <w:tcPr>
            <w:tcW w:w="1620" w:type="dxa"/>
          </w:tcPr>
          <w:p w14:paraId="31A055EE">
            <w:pPr>
              <w:pStyle w:val="10"/>
              <w:spacing w:before="98"/>
              <w:ind w:left="38"/>
              <w:jc w:val="center"/>
              <w:rPr>
                <w:rFonts w:ascii="Times New Roman"/>
                <w:b/>
                <w:sz w:val="20"/>
              </w:rPr>
            </w:pPr>
            <w:r>
              <w:rPr>
                <w:rFonts w:ascii="Times New Roman"/>
                <w:b/>
                <w:spacing w:val="-4"/>
                <w:sz w:val="20"/>
              </w:rPr>
              <w:t>0.80</w:t>
            </w:r>
          </w:p>
        </w:tc>
        <w:tc>
          <w:tcPr>
            <w:tcW w:w="1620" w:type="dxa"/>
          </w:tcPr>
          <w:p w14:paraId="74893D65">
            <w:pPr>
              <w:pStyle w:val="10"/>
              <w:spacing w:before="98"/>
              <w:ind w:left="38"/>
              <w:jc w:val="center"/>
              <w:rPr>
                <w:rFonts w:ascii="Times New Roman"/>
                <w:b/>
                <w:sz w:val="20"/>
              </w:rPr>
            </w:pPr>
            <w:r>
              <w:rPr>
                <w:rFonts w:ascii="Times New Roman"/>
                <w:b/>
                <w:spacing w:val="-4"/>
                <w:sz w:val="20"/>
              </w:rPr>
              <w:t>0.57</w:t>
            </w:r>
          </w:p>
        </w:tc>
        <w:tc>
          <w:tcPr>
            <w:tcW w:w="1620" w:type="dxa"/>
          </w:tcPr>
          <w:p w14:paraId="11F9EFD8">
            <w:pPr>
              <w:pStyle w:val="10"/>
              <w:spacing w:before="98"/>
              <w:ind w:left="38"/>
              <w:jc w:val="center"/>
              <w:rPr>
                <w:rFonts w:ascii="Times New Roman"/>
                <w:b/>
                <w:sz w:val="20"/>
              </w:rPr>
            </w:pPr>
            <w:r>
              <w:rPr>
                <w:rFonts w:ascii="Times New Roman"/>
                <w:b/>
                <w:spacing w:val="-4"/>
                <w:sz w:val="20"/>
              </w:rPr>
              <w:t>0.41</w:t>
            </w:r>
          </w:p>
        </w:tc>
        <w:tc>
          <w:tcPr>
            <w:tcW w:w="2460" w:type="dxa"/>
          </w:tcPr>
          <w:p w14:paraId="631EFBE8">
            <w:pPr>
              <w:pStyle w:val="10"/>
              <w:spacing w:before="98"/>
              <w:ind w:left="38"/>
              <w:jc w:val="center"/>
              <w:rPr>
                <w:rFonts w:ascii="Times New Roman"/>
                <w:b/>
                <w:sz w:val="20"/>
              </w:rPr>
            </w:pPr>
            <w:r>
              <w:rPr>
                <w:rFonts w:ascii="Times New Roman"/>
                <w:b/>
                <w:spacing w:val="-4"/>
                <w:sz w:val="20"/>
              </w:rPr>
              <w:t>0.26</w:t>
            </w:r>
          </w:p>
        </w:tc>
        <w:tc>
          <w:tcPr>
            <w:tcW w:w="1846" w:type="dxa"/>
            <w:vMerge w:val="restart"/>
          </w:tcPr>
          <w:p w14:paraId="5A0FADC6">
            <w:pPr>
              <w:pStyle w:val="10"/>
              <w:rPr>
                <w:sz w:val="20"/>
              </w:rPr>
            </w:pPr>
          </w:p>
          <w:p w14:paraId="50226C2D">
            <w:pPr>
              <w:pStyle w:val="10"/>
              <w:rPr>
                <w:sz w:val="20"/>
              </w:rPr>
            </w:pPr>
          </w:p>
          <w:p w14:paraId="4BD10F71">
            <w:pPr>
              <w:pStyle w:val="10"/>
              <w:rPr>
                <w:sz w:val="20"/>
              </w:rPr>
            </w:pPr>
          </w:p>
          <w:p w14:paraId="474B5DC7">
            <w:pPr>
              <w:pStyle w:val="10"/>
              <w:rPr>
                <w:sz w:val="20"/>
              </w:rPr>
            </w:pPr>
          </w:p>
          <w:p w14:paraId="2D3B82D6">
            <w:pPr>
              <w:pStyle w:val="10"/>
              <w:spacing w:before="1"/>
              <w:rPr>
                <w:sz w:val="20"/>
              </w:rPr>
            </w:pPr>
          </w:p>
          <w:p w14:paraId="0EB7DF7C">
            <w:pPr>
              <w:pStyle w:val="10"/>
              <w:spacing w:line="254" w:lineRule="auto"/>
              <w:ind w:left="530" w:right="493" w:firstLine="16"/>
              <w:rPr>
                <w:sz w:val="20"/>
              </w:rPr>
            </w:pPr>
            <w:r>
              <w:rPr>
                <w:spacing w:val="-4"/>
                <w:sz w:val="20"/>
              </w:rPr>
              <w:t>上浮</w:t>
            </w:r>
            <w:r>
              <w:rPr>
                <w:rFonts w:ascii="Times New Roman" w:eastAsia="Times New Roman"/>
                <w:spacing w:val="-4"/>
                <w:sz w:val="20"/>
              </w:rPr>
              <w:t>10%</w:t>
            </w:r>
            <w:r>
              <w:rPr>
                <w:spacing w:val="-4"/>
                <w:sz w:val="20"/>
              </w:rPr>
              <w:t>下浮不限</w:t>
            </w:r>
          </w:p>
        </w:tc>
      </w:tr>
      <w:tr w14:paraId="0CEA49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9" w:hRule="atLeast"/>
        </w:trPr>
        <w:tc>
          <w:tcPr>
            <w:tcW w:w="3525" w:type="dxa"/>
            <w:gridSpan w:val="2"/>
          </w:tcPr>
          <w:p w14:paraId="69D54189">
            <w:pPr>
              <w:pStyle w:val="10"/>
              <w:spacing w:before="104"/>
              <w:ind w:left="1164"/>
              <w:rPr>
                <w:sz w:val="20"/>
              </w:rPr>
            </w:pPr>
            <w:r>
              <w:rPr>
                <w:spacing w:val="-2"/>
                <w:sz w:val="20"/>
              </w:rPr>
              <w:t>综合管理服务</w:t>
            </w:r>
          </w:p>
        </w:tc>
        <w:tc>
          <w:tcPr>
            <w:tcW w:w="1620" w:type="dxa"/>
          </w:tcPr>
          <w:p w14:paraId="4B7EAE6E">
            <w:pPr>
              <w:pStyle w:val="10"/>
              <w:spacing w:before="98"/>
              <w:ind w:left="38"/>
              <w:jc w:val="center"/>
              <w:rPr>
                <w:rFonts w:ascii="Times New Roman"/>
                <w:sz w:val="20"/>
              </w:rPr>
            </w:pPr>
            <w:r>
              <w:rPr>
                <w:rFonts w:ascii="Times New Roman"/>
                <w:spacing w:val="-4"/>
                <w:sz w:val="20"/>
              </w:rPr>
              <w:t>0.19</w:t>
            </w:r>
          </w:p>
        </w:tc>
        <w:tc>
          <w:tcPr>
            <w:tcW w:w="1620" w:type="dxa"/>
          </w:tcPr>
          <w:p w14:paraId="251AD47E">
            <w:pPr>
              <w:pStyle w:val="10"/>
              <w:spacing w:before="98"/>
              <w:ind w:left="38"/>
              <w:jc w:val="center"/>
              <w:rPr>
                <w:rFonts w:ascii="Times New Roman"/>
                <w:sz w:val="20"/>
              </w:rPr>
            </w:pPr>
            <w:r>
              <w:rPr>
                <w:rFonts w:ascii="Times New Roman"/>
                <w:spacing w:val="-4"/>
                <w:sz w:val="20"/>
              </w:rPr>
              <w:t>0.14</w:t>
            </w:r>
          </w:p>
        </w:tc>
        <w:tc>
          <w:tcPr>
            <w:tcW w:w="1620" w:type="dxa"/>
          </w:tcPr>
          <w:p w14:paraId="482872D6">
            <w:pPr>
              <w:pStyle w:val="10"/>
              <w:spacing w:before="98"/>
              <w:ind w:left="38"/>
              <w:jc w:val="center"/>
              <w:rPr>
                <w:rFonts w:ascii="Times New Roman"/>
                <w:sz w:val="20"/>
              </w:rPr>
            </w:pPr>
            <w:r>
              <w:rPr>
                <w:rFonts w:ascii="Times New Roman"/>
                <w:spacing w:val="-4"/>
                <w:sz w:val="20"/>
              </w:rPr>
              <w:t>0.09</w:t>
            </w:r>
          </w:p>
        </w:tc>
        <w:tc>
          <w:tcPr>
            <w:tcW w:w="1620" w:type="dxa"/>
          </w:tcPr>
          <w:p w14:paraId="08209787">
            <w:pPr>
              <w:pStyle w:val="10"/>
              <w:spacing w:before="98"/>
              <w:ind w:left="38"/>
              <w:jc w:val="center"/>
              <w:rPr>
                <w:rFonts w:ascii="Times New Roman"/>
                <w:sz w:val="20"/>
              </w:rPr>
            </w:pPr>
            <w:r>
              <w:rPr>
                <w:rFonts w:ascii="Times New Roman"/>
                <w:spacing w:val="-4"/>
                <w:sz w:val="20"/>
              </w:rPr>
              <w:t>0.06</w:t>
            </w:r>
          </w:p>
        </w:tc>
        <w:tc>
          <w:tcPr>
            <w:tcW w:w="2460" w:type="dxa"/>
          </w:tcPr>
          <w:p w14:paraId="19A10426">
            <w:pPr>
              <w:pStyle w:val="10"/>
              <w:spacing w:before="98"/>
              <w:ind w:left="38"/>
              <w:jc w:val="center"/>
              <w:rPr>
                <w:rFonts w:ascii="Times New Roman"/>
                <w:sz w:val="20"/>
              </w:rPr>
            </w:pPr>
            <w:r>
              <w:rPr>
                <w:rFonts w:ascii="Times New Roman"/>
                <w:spacing w:val="-4"/>
                <w:sz w:val="20"/>
              </w:rPr>
              <w:t>0.05</w:t>
            </w:r>
          </w:p>
        </w:tc>
        <w:tc>
          <w:tcPr>
            <w:tcW w:w="1846" w:type="dxa"/>
            <w:vMerge w:val="continue"/>
            <w:tcBorders>
              <w:top w:val="nil"/>
            </w:tcBorders>
          </w:tcPr>
          <w:p w14:paraId="718084BB">
            <w:pPr>
              <w:rPr>
                <w:sz w:val="2"/>
                <w:szCs w:val="2"/>
              </w:rPr>
            </w:pPr>
          </w:p>
        </w:tc>
      </w:tr>
      <w:tr w14:paraId="17F17B4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9" w:hRule="atLeast"/>
        </w:trPr>
        <w:tc>
          <w:tcPr>
            <w:tcW w:w="3525" w:type="dxa"/>
            <w:gridSpan w:val="2"/>
          </w:tcPr>
          <w:p w14:paraId="2D63F948">
            <w:pPr>
              <w:pStyle w:val="10"/>
              <w:spacing w:before="103"/>
              <w:ind w:left="1164"/>
              <w:rPr>
                <w:sz w:val="20"/>
              </w:rPr>
            </w:pPr>
            <w:r>
              <w:rPr>
                <w:spacing w:val="-2"/>
                <w:sz w:val="20"/>
              </w:rPr>
              <w:t>秩序维护服务</w:t>
            </w:r>
          </w:p>
        </w:tc>
        <w:tc>
          <w:tcPr>
            <w:tcW w:w="1620" w:type="dxa"/>
          </w:tcPr>
          <w:p w14:paraId="04082F8B">
            <w:pPr>
              <w:pStyle w:val="10"/>
              <w:spacing w:before="97"/>
              <w:ind w:left="38"/>
              <w:jc w:val="center"/>
              <w:rPr>
                <w:rFonts w:ascii="Times New Roman"/>
                <w:sz w:val="20"/>
              </w:rPr>
            </w:pPr>
            <w:r>
              <w:rPr>
                <w:rFonts w:ascii="Times New Roman"/>
                <w:spacing w:val="-4"/>
                <w:sz w:val="20"/>
              </w:rPr>
              <w:t>0.27</w:t>
            </w:r>
          </w:p>
        </w:tc>
        <w:tc>
          <w:tcPr>
            <w:tcW w:w="1620" w:type="dxa"/>
          </w:tcPr>
          <w:p w14:paraId="3D838D16">
            <w:pPr>
              <w:pStyle w:val="10"/>
              <w:spacing w:before="97"/>
              <w:ind w:left="38"/>
              <w:jc w:val="center"/>
              <w:rPr>
                <w:rFonts w:ascii="Times New Roman"/>
                <w:sz w:val="20"/>
              </w:rPr>
            </w:pPr>
            <w:r>
              <w:rPr>
                <w:rFonts w:ascii="Times New Roman"/>
                <w:spacing w:val="-4"/>
                <w:sz w:val="20"/>
              </w:rPr>
              <w:t>0.21</w:t>
            </w:r>
          </w:p>
        </w:tc>
        <w:tc>
          <w:tcPr>
            <w:tcW w:w="1620" w:type="dxa"/>
          </w:tcPr>
          <w:p w14:paraId="6C75E7FB">
            <w:pPr>
              <w:pStyle w:val="10"/>
              <w:spacing w:before="97"/>
              <w:ind w:left="38"/>
              <w:jc w:val="center"/>
              <w:rPr>
                <w:rFonts w:ascii="Times New Roman"/>
                <w:sz w:val="20"/>
              </w:rPr>
            </w:pPr>
            <w:r>
              <w:rPr>
                <w:rFonts w:ascii="Times New Roman"/>
                <w:spacing w:val="-4"/>
                <w:sz w:val="20"/>
              </w:rPr>
              <w:t>0.14</w:t>
            </w:r>
          </w:p>
        </w:tc>
        <w:tc>
          <w:tcPr>
            <w:tcW w:w="1620" w:type="dxa"/>
          </w:tcPr>
          <w:p w14:paraId="60033395">
            <w:pPr>
              <w:pStyle w:val="10"/>
              <w:spacing w:before="97"/>
              <w:ind w:left="38"/>
              <w:jc w:val="center"/>
              <w:rPr>
                <w:rFonts w:ascii="Times New Roman"/>
                <w:sz w:val="20"/>
              </w:rPr>
            </w:pPr>
            <w:r>
              <w:rPr>
                <w:rFonts w:ascii="Times New Roman"/>
                <w:spacing w:val="-4"/>
                <w:sz w:val="20"/>
              </w:rPr>
              <w:t>0.10</w:t>
            </w:r>
          </w:p>
        </w:tc>
        <w:tc>
          <w:tcPr>
            <w:tcW w:w="2460" w:type="dxa"/>
          </w:tcPr>
          <w:p w14:paraId="5B5B85E1">
            <w:pPr>
              <w:pStyle w:val="10"/>
              <w:spacing w:before="97"/>
              <w:ind w:left="38"/>
              <w:jc w:val="center"/>
              <w:rPr>
                <w:rFonts w:ascii="Times New Roman"/>
                <w:sz w:val="20"/>
              </w:rPr>
            </w:pPr>
            <w:r>
              <w:rPr>
                <w:rFonts w:ascii="Times New Roman"/>
                <w:spacing w:val="-4"/>
                <w:sz w:val="20"/>
              </w:rPr>
              <w:t>0.05</w:t>
            </w:r>
          </w:p>
        </w:tc>
        <w:tc>
          <w:tcPr>
            <w:tcW w:w="1846" w:type="dxa"/>
            <w:vMerge w:val="continue"/>
            <w:tcBorders>
              <w:top w:val="nil"/>
            </w:tcBorders>
          </w:tcPr>
          <w:p w14:paraId="60222759">
            <w:pPr>
              <w:rPr>
                <w:sz w:val="2"/>
                <w:szCs w:val="2"/>
              </w:rPr>
            </w:pPr>
          </w:p>
        </w:tc>
      </w:tr>
      <w:tr w14:paraId="5C52D74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9" w:hRule="atLeast"/>
        </w:trPr>
        <w:tc>
          <w:tcPr>
            <w:tcW w:w="3525" w:type="dxa"/>
            <w:gridSpan w:val="2"/>
          </w:tcPr>
          <w:p w14:paraId="04DA031D">
            <w:pPr>
              <w:pStyle w:val="10"/>
              <w:spacing w:before="103"/>
              <w:ind w:left="1164"/>
              <w:rPr>
                <w:sz w:val="20"/>
              </w:rPr>
            </w:pPr>
            <w:r>
              <w:rPr>
                <w:spacing w:val="-2"/>
                <w:sz w:val="20"/>
              </w:rPr>
              <w:t>卫生保洁服务</w:t>
            </w:r>
          </w:p>
        </w:tc>
        <w:tc>
          <w:tcPr>
            <w:tcW w:w="1620" w:type="dxa"/>
          </w:tcPr>
          <w:p w14:paraId="673FA960">
            <w:pPr>
              <w:pStyle w:val="10"/>
              <w:spacing w:before="98"/>
              <w:ind w:left="38"/>
              <w:jc w:val="center"/>
              <w:rPr>
                <w:rFonts w:ascii="Times New Roman"/>
                <w:sz w:val="20"/>
              </w:rPr>
            </w:pPr>
            <w:r>
              <w:rPr>
                <w:rFonts w:ascii="Times New Roman"/>
                <w:spacing w:val="-4"/>
                <w:sz w:val="20"/>
              </w:rPr>
              <w:t>0.25</w:t>
            </w:r>
          </w:p>
        </w:tc>
        <w:tc>
          <w:tcPr>
            <w:tcW w:w="1620" w:type="dxa"/>
          </w:tcPr>
          <w:p w14:paraId="73E7B2F7">
            <w:pPr>
              <w:pStyle w:val="10"/>
              <w:spacing w:before="98"/>
              <w:ind w:left="38"/>
              <w:jc w:val="center"/>
              <w:rPr>
                <w:rFonts w:ascii="Times New Roman"/>
                <w:sz w:val="20"/>
              </w:rPr>
            </w:pPr>
            <w:r>
              <w:rPr>
                <w:rFonts w:ascii="Times New Roman"/>
                <w:spacing w:val="-4"/>
                <w:sz w:val="20"/>
              </w:rPr>
              <w:t>0.18</w:t>
            </w:r>
          </w:p>
        </w:tc>
        <w:tc>
          <w:tcPr>
            <w:tcW w:w="1620" w:type="dxa"/>
          </w:tcPr>
          <w:p w14:paraId="2FF535E3">
            <w:pPr>
              <w:pStyle w:val="10"/>
              <w:spacing w:before="98"/>
              <w:ind w:left="38"/>
              <w:jc w:val="center"/>
              <w:rPr>
                <w:rFonts w:ascii="Times New Roman"/>
                <w:sz w:val="20"/>
              </w:rPr>
            </w:pPr>
            <w:r>
              <w:rPr>
                <w:rFonts w:ascii="Times New Roman"/>
                <w:spacing w:val="-4"/>
                <w:sz w:val="20"/>
              </w:rPr>
              <w:t>0.13</w:t>
            </w:r>
          </w:p>
        </w:tc>
        <w:tc>
          <w:tcPr>
            <w:tcW w:w="1620" w:type="dxa"/>
          </w:tcPr>
          <w:p w14:paraId="16EC9C61">
            <w:pPr>
              <w:pStyle w:val="10"/>
              <w:spacing w:before="98"/>
              <w:ind w:left="38"/>
              <w:jc w:val="center"/>
              <w:rPr>
                <w:rFonts w:ascii="Times New Roman"/>
                <w:sz w:val="20"/>
              </w:rPr>
            </w:pPr>
            <w:r>
              <w:rPr>
                <w:rFonts w:ascii="Times New Roman"/>
                <w:spacing w:val="-4"/>
                <w:sz w:val="20"/>
              </w:rPr>
              <w:t>0.07</w:t>
            </w:r>
          </w:p>
        </w:tc>
        <w:tc>
          <w:tcPr>
            <w:tcW w:w="2460" w:type="dxa"/>
          </w:tcPr>
          <w:p w14:paraId="505BD5F3">
            <w:pPr>
              <w:pStyle w:val="10"/>
              <w:spacing w:before="98"/>
              <w:ind w:left="38"/>
              <w:jc w:val="center"/>
              <w:rPr>
                <w:rFonts w:ascii="Times New Roman"/>
                <w:sz w:val="20"/>
              </w:rPr>
            </w:pPr>
            <w:r>
              <w:rPr>
                <w:rFonts w:ascii="Times New Roman"/>
                <w:spacing w:val="-4"/>
                <w:sz w:val="20"/>
              </w:rPr>
              <w:t>0.06</w:t>
            </w:r>
          </w:p>
        </w:tc>
        <w:tc>
          <w:tcPr>
            <w:tcW w:w="1846" w:type="dxa"/>
            <w:vMerge w:val="continue"/>
            <w:tcBorders>
              <w:top w:val="nil"/>
            </w:tcBorders>
          </w:tcPr>
          <w:p w14:paraId="15067C86">
            <w:pPr>
              <w:rPr>
                <w:sz w:val="2"/>
                <w:szCs w:val="2"/>
              </w:rPr>
            </w:pPr>
          </w:p>
        </w:tc>
      </w:tr>
      <w:tr w14:paraId="3E38510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09" w:hRule="atLeast"/>
        </w:trPr>
        <w:tc>
          <w:tcPr>
            <w:tcW w:w="3525" w:type="dxa"/>
            <w:gridSpan w:val="2"/>
          </w:tcPr>
          <w:p w14:paraId="7990F70E">
            <w:pPr>
              <w:pStyle w:val="10"/>
              <w:spacing w:before="103"/>
              <w:ind w:left="1164"/>
              <w:rPr>
                <w:sz w:val="20"/>
              </w:rPr>
            </w:pPr>
            <w:r>
              <w:rPr>
                <w:spacing w:val="-2"/>
                <w:sz w:val="20"/>
              </w:rPr>
              <w:t>绿化养护服务</w:t>
            </w:r>
          </w:p>
        </w:tc>
        <w:tc>
          <w:tcPr>
            <w:tcW w:w="1620" w:type="dxa"/>
          </w:tcPr>
          <w:p w14:paraId="48CF85B2">
            <w:pPr>
              <w:pStyle w:val="10"/>
              <w:spacing w:before="97"/>
              <w:ind w:left="38"/>
              <w:jc w:val="center"/>
              <w:rPr>
                <w:rFonts w:ascii="Times New Roman"/>
                <w:sz w:val="20"/>
              </w:rPr>
            </w:pPr>
            <w:r>
              <w:rPr>
                <w:rFonts w:ascii="Times New Roman"/>
                <w:spacing w:val="-4"/>
                <w:sz w:val="20"/>
              </w:rPr>
              <w:t>0.12</w:t>
            </w:r>
          </w:p>
        </w:tc>
        <w:tc>
          <w:tcPr>
            <w:tcW w:w="1620" w:type="dxa"/>
          </w:tcPr>
          <w:p w14:paraId="02C896EC">
            <w:pPr>
              <w:pStyle w:val="10"/>
              <w:spacing w:before="97"/>
              <w:ind w:left="38"/>
              <w:jc w:val="center"/>
              <w:rPr>
                <w:rFonts w:ascii="Times New Roman"/>
                <w:sz w:val="20"/>
              </w:rPr>
            </w:pPr>
            <w:r>
              <w:rPr>
                <w:rFonts w:ascii="Times New Roman"/>
                <w:spacing w:val="-4"/>
                <w:sz w:val="20"/>
              </w:rPr>
              <w:t>0.08</w:t>
            </w:r>
          </w:p>
        </w:tc>
        <w:tc>
          <w:tcPr>
            <w:tcW w:w="1620" w:type="dxa"/>
          </w:tcPr>
          <w:p w14:paraId="328155E6">
            <w:pPr>
              <w:pStyle w:val="10"/>
              <w:spacing w:before="97"/>
              <w:ind w:left="38"/>
              <w:jc w:val="center"/>
              <w:rPr>
                <w:rFonts w:ascii="Times New Roman"/>
                <w:sz w:val="20"/>
              </w:rPr>
            </w:pPr>
            <w:r>
              <w:rPr>
                <w:rFonts w:ascii="Times New Roman"/>
                <w:spacing w:val="-4"/>
                <w:sz w:val="20"/>
              </w:rPr>
              <w:t>0.06</w:t>
            </w:r>
          </w:p>
        </w:tc>
        <w:tc>
          <w:tcPr>
            <w:tcW w:w="1620" w:type="dxa"/>
          </w:tcPr>
          <w:p w14:paraId="48E9F853">
            <w:pPr>
              <w:pStyle w:val="10"/>
              <w:spacing w:before="97"/>
              <w:ind w:left="38"/>
              <w:jc w:val="center"/>
              <w:rPr>
                <w:rFonts w:ascii="Times New Roman"/>
                <w:sz w:val="20"/>
              </w:rPr>
            </w:pPr>
            <w:r>
              <w:rPr>
                <w:rFonts w:ascii="Times New Roman"/>
                <w:spacing w:val="-4"/>
                <w:sz w:val="20"/>
              </w:rPr>
              <w:t>0.05</w:t>
            </w:r>
          </w:p>
        </w:tc>
        <w:tc>
          <w:tcPr>
            <w:tcW w:w="2460" w:type="dxa"/>
          </w:tcPr>
          <w:p w14:paraId="44570679">
            <w:pPr>
              <w:pStyle w:val="10"/>
              <w:spacing w:before="97"/>
              <w:ind w:left="38"/>
              <w:jc w:val="center"/>
              <w:rPr>
                <w:rFonts w:ascii="Times New Roman"/>
                <w:sz w:val="20"/>
              </w:rPr>
            </w:pPr>
            <w:r>
              <w:rPr>
                <w:rFonts w:ascii="Times New Roman"/>
                <w:spacing w:val="-4"/>
                <w:sz w:val="20"/>
              </w:rPr>
              <w:t>0.02</w:t>
            </w:r>
          </w:p>
        </w:tc>
        <w:tc>
          <w:tcPr>
            <w:tcW w:w="1846" w:type="dxa"/>
            <w:vMerge w:val="continue"/>
            <w:tcBorders>
              <w:top w:val="nil"/>
            </w:tcBorders>
          </w:tcPr>
          <w:p w14:paraId="1AE7DD0B">
            <w:pPr>
              <w:rPr>
                <w:sz w:val="2"/>
                <w:szCs w:val="2"/>
              </w:rPr>
            </w:pPr>
          </w:p>
        </w:tc>
      </w:tr>
      <w:tr w14:paraId="69355E8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88" w:hRule="atLeast"/>
        </w:trPr>
        <w:tc>
          <w:tcPr>
            <w:tcW w:w="1334" w:type="dxa"/>
            <w:vMerge w:val="restart"/>
          </w:tcPr>
          <w:p w14:paraId="2CEBE5E1">
            <w:pPr>
              <w:pStyle w:val="10"/>
              <w:spacing w:before="184"/>
              <w:rPr>
                <w:sz w:val="20"/>
              </w:rPr>
            </w:pPr>
          </w:p>
          <w:p w14:paraId="7D9FCC2C">
            <w:pPr>
              <w:pStyle w:val="10"/>
              <w:spacing w:line="232" w:lineRule="auto"/>
              <w:ind w:left="69" w:right="32"/>
              <w:rPr>
                <w:sz w:val="20"/>
              </w:rPr>
            </w:pPr>
            <w:r>
              <w:rPr>
                <w:spacing w:val="-2"/>
                <w:sz w:val="20"/>
              </w:rPr>
              <w:t>共用部位设施设备养护服务</w:t>
            </w:r>
          </w:p>
        </w:tc>
        <w:tc>
          <w:tcPr>
            <w:tcW w:w="2191" w:type="dxa"/>
          </w:tcPr>
          <w:p w14:paraId="21EA21A3">
            <w:pPr>
              <w:pStyle w:val="10"/>
              <w:spacing w:line="248" w:lineRule="exact"/>
              <w:ind w:left="397" w:right="55" w:hanging="304"/>
              <w:rPr>
                <w:sz w:val="20"/>
              </w:rPr>
            </w:pPr>
            <w:r>
              <w:rPr>
                <w:spacing w:val="-2"/>
                <w:sz w:val="20"/>
              </w:rPr>
              <w:t>共用部位设施、照明、弱电与避雷系统</w:t>
            </w:r>
          </w:p>
        </w:tc>
        <w:tc>
          <w:tcPr>
            <w:tcW w:w="1620" w:type="dxa"/>
          </w:tcPr>
          <w:p w14:paraId="70BAA47F">
            <w:pPr>
              <w:pStyle w:val="10"/>
              <w:spacing w:before="137"/>
              <w:ind w:left="38"/>
              <w:jc w:val="center"/>
              <w:rPr>
                <w:rFonts w:ascii="Times New Roman"/>
                <w:sz w:val="20"/>
              </w:rPr>
            </w:pPr>
            <w:r>
              <w:rPr>
                <w:rFonts w:ascii="Times New Roman"/>
                <w:spacing w:val="-4"/>
                <w:sz w:val="20"/>
              </w:rPr>
              <w:t>0.19</w:t>
            </w:r>
          </w:p>
        </w:tc>
        <w:tc>
          <w:tcPr>
            <w:tcW w:w="1620" w:type="dxa"/>
          </w:tcPr>
          <w:p w14:paraId="08D5CA52">
            <w:pPr>
              <w:pStyle w:val="10"/>
              <w:spacing w:before="137"/>
              <w:ind w:left="38"/>
              <w:jc w:val="center"/>
              <w:rPr>
                <w:rFonts w:ascii="Times New Roman"/>
                <w:sz w:val="20"/>
              </w:rPr>
            </w:pPr>
            <w:r>
              <w:rPr>
                <w:rFonts w:ascii="Times New Roman"/>
                <w:spacing w:val="-4"/>
                <w:sz w:val="20"/>
              </w:rPr>
              <w:t>0.19</w:t>
            </w:r>
          </w:p>
        </w:tc>
        <w:tc>
          <w:tcPr>
            <w:tcW w:w="1620" w:type="dxa"/>
          </w:tcPr>
          <w:p w14:paraId="243AA210">
            <w:pPr>
              <w:pStyle w:val="10"/>
              <w:spacing w:before="137"/>
              <w:ind w:left="38"/>
              <w:jc w:val="center"/>
              <w:rPr>
                <w:rFonts w:ascii="Times New Roman"/>
                <w:sz w:val="20"/>
              </w:rPr>
            </w:pPr>
            <w:r>
              <w:rPr>
                <w:rFonts w:ascii="Times New Roman"/>
                <w:spacing w:val="-4"/>
                <w:sz w:val="20"/>
              </w:rPr>
              <w:t>0.15</w:t>
            </w:r>
          </w:p>
        </w:tc>
        <w:tc>
          <w:tcPr>
            <w:tcW w:w="1620" w:type="dxa"/>
          </w:tcPr>
          <w:p w14:paraId="03D0D410">
            <w:pPr>
              <w:pStyle w:val="10"/>
              <w:spacing w:before="137"/>
              <w:ind w:left="38"/>
              <w:jc w:val="center"/>
              <w:rPr>
                <w:rFonts w:ascii="Times New Roman"/>
                <w:sz w:val="20"/>
              </w:rPr>
            </w:pPr>
            <w:r>
              <w:rPr>
                <w:rFonts w:ascii="Times New Roman"/>
                <w:spacing w:val="-4"/>
                <w:sz w:val="20"/>
              </w:rPr>
              <w:t>0.13</w:t>
            </w:r>
          </w:p>
        </w:tc>
        <w:tc>
          <w:tcPr>
            <w:tcW w:w="2460" w:type="dxa"/>
          </w:tcPr>
          <w:p w14:paraId="2E4E9868">
            <w:pPr>
              <w:pStyle w:val="10"/>
              <w:spacing w:before="137"/>
              <w:ind w:left="38"/>
              <w:jc w:val="center"/>
              <w:rPr>
                <w:rFonts w:ascii="Times New Roman"/>
                <w:sz w:val="20"/>
              </w:rPr>
            </w:pPr>
            <w:r>
              <w:rPr>
                <w:rFonts w:ascii="Times New Roman"/>
                <w:spacing w:val="-4"/>
                <w:sz w:val="20"/>
              </w:rPr>
              <w:t>0.08</w:t>
            </w:r>
          </w:p>
        </w:tc>
        <w:tc>
          <w:tcPr>
            <w:tcW w:w="1846" w:type="dxa"/>
            <w:vMerge w:val="continue"/>
            <w:tcBorders>
              <w:top w:val="nil"/>
            </w:tcBorders>
          </w:tcPr>
          <w:p w14:paraId="4EC2B229">
            <w:pPr>
              <w:rPr>
                <w:sz w:val="2"/>
                <w:szCs w:val="2"/>
              </w:rPr>
            </w:pPr>
          </w:p>
        </w:tc>
      </w:tr>
      <w:tr w14:paraId="3458892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8" w:hRule="atLeast"/>
        </w:trPr>
        <w:tc>
          <w:tcPr>
            <w:tcW w:w="1334" w:type="dxa"/>
            <w:vMerge w:val="continue"/>
            <w:tcBorders>
              <w:top w:val="nil"/>
            </w:tcBorders>
          </w:tcPr>
          <w:p w14:paraId="75081B07">
            <w:pPr>
              <w:rPr>
                <w:sz w:val="2"/>
                <w:szCs w:val="2"/>
              </w:rPr>
            </w:pPr>
          </w:p>
        </w:tc>
        <w:tc>
          <w:tcPr>
            <w:tcW w:w="2191" w:type="dxa"/>
          </w:tcPr>
          <w:p w14:paraId="318AB3C9">
            <w:pPr>
              <w:pStyle w:val="10"/>
              <w:spacing w:before="90"/>
              <w:ind w:left="36" w:right="1"/>
              <w:jc w:val="center"/>
              <w:rPr>
                <w:sz w:val="20"/>
              </w:rPr>
            </w:pPr>
            <w:r>
              <w:rPr>
                <w:spacing w:val="-3"/>
                <w:sz w:val="20"/>
              </w:rPr>
              <w:t>消防系统</w:t>
            </w:r>
          </w:p>
        </w:tc>
        <w:tc>
          <w:tcPr>
            <w:tcW w:w="8940" w:type="dxa"/>
            <w:gridSpan w:val="5"/>
          </w:tcPr>
          <w:p w14:paraId="55A5E4E2">
            <w:pPr>
              <w:pStyle w:val="10"/>
              <w:tabs>
                <w:tab w:val="left" w:pos="988"/>
              </w:tabs>
              <w:spacing w:before="70"/>
              <w:ind w:left="35"/>
              <w:jc w:val="center"/>
              <w:rPr>
                <w:rFonts w:ascii="Times New Roman" w:eastAsia="Times New Roman"/>
                <w:sz w:val="20"/>
              </w:rPr>
            </w:pPr>
            <w:r>
              <w:rPr>
                <w:sz w:val="20"/>
              </w:rPr>
              <w:t>高层</w:t>
            </w:r>
            <w:r>
              <w:rPr>
                <w:rFonts w:ascii="Times New Roman" w:eastAsia="Times New Roman"/>
                <w:spacing w:val="-4"/>
                <w:sz w:val="20"/>
              </w:rPr>
              <w:t>0.08</w:t>
            </w:r>
            <w:r>
              <w:rPr>
                <w:rFonts w:ascii="Times New Roman" w:eastAsia="Times New Roman"/>
                <w:sz w:val="20"/>
              </w:rPr>
              <w:tab/>
            </w:r>
            <w:r>
              <w:rPr>
                <w:spacing w:val="-2"/>
                <w:sz w:val="20"/>
              </w:rPr>
              <w:t>多层</w:t>
            </w:r>
            <w:r>
              <w:rPr>
                <w:rFonts w:ascii="Times New Roman" w:eastAsia="Times New Roman"/>
                <w:spacing w:val="-4"/>
                <w:sz w:val="20"/>
              </w:rPr>
              <w:t>0.02</w:t>
            </w:r>
          </w:p>
        </w:tc>
        <w:tc>
          <w:tcPr>
            <w:tcW w:w="1846" w:type="dxa"/>
            <w:vMerge w:val="continue"/>
            <w:tcBorders>
              <w:top w:val="nil"/>
            </w:tcBorders>
          </w:tcPr>
          <w:p w14:paraId="0C5657B1">
            <w:pPr>
              <w:rPr>
                <w:sz w:val="2"/>
                <w:szCs w:val="2"/>
              </w:rPr>
            </w:pPr>
          </w:p>
        </w:tc>
      </w:tr>
      <w:tr w14:paraId="4A1DA81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95" w:hRule="atLeast"/>
        </w:trPr>
        <w:tc>
          <w:tcPr>
            <w:tcW w:w="1334" w:type="dxa"/>
            <w:vMerge w:val="continue"/>
            <w:tcBorders>
              <w:top w:val="nil"/>
            </w:tcBorders>
          </w:tcPr>
          <w:p w14:paraId="678F2B26">
            <w:pPr>
              <w:rPr>
                <w:sz w:val="2"/>
                <w:szCs w:val="2"/>
              </w:rPr>
            </w:pPr>
          </w:p>
        </w:tc>
        <w:tc>
          <w:tcPr>
            <w:tcW w:w="2191" w:type="dxa"/>
          </w:tcPr>
          <w:p w14:paraId="5F744579">
            <w:pPr>
              <w:pStyle w:val="10"/>
              <w:spacing w:before="96"/>
              <w:ind w:left="36" w:right="1"/>
              <w:jc w:val="center"/>
              <w:rPr>
                <w:sz w:val="20"/>
              </w:rPr>
            </w:pPr>
            <w:r>
              <w:rPr>
                <w:spacing w:val="-3"/>
                <w:sz w:val="20"/>
              </w:rPr>
              <w:t>升降系统</w:t>
            </w:r>
          </w:p>
        </w:tc>
        <w:tc>
          <w:tcPr>
            <w:tcW w:w="10786" w:type="dxa"/>
            <w:gridSpan w:val="6"/>
          </w:tcPr>
          <w:p w14:paraId="4458E32E">
            <w:pPr>
              <w:pStyle w:val="10"/>
              <w:tabs>
                <w:tab w:val="left" w:pos="952"/>
              </w:tabs>
              <w:spacing w:before="78"/>
              <w:ind w:right="1808"/>
              <w:jc w:val="center"/>
              <w:rPr>
                <w:rFonts w:ascii="Times New Roman" w:eastAsia="Times New Roman"/>
                <w:sz w:val="20"/>
              </w:rPr>
            </w:pPr>
            <w:r>
              <w:rPr>
                <w:sz w:val="20"/>
              </w:rPr>
              <w:t>高层</w:t>
            </w:r>
            <w:r>
              <w:rPr>
                <w:rFonts w:ascii="Times New Roman" w:eastAsia="Times New Roman"/>
                <w:spacing w:val="-4"/>
                <w:sz w:val="20"/>
              </w:rPr>
              <w:t>0.35</w:t>
            </w:r>
            <w:r>
              <w:rPr>
                <w:rFonts w:ascii="Times New Roman" w:eastAsia="Times New Roman"/>
                <w:sz w:val="20"/>
              </w:rPr>
              <w:tab/>
            </w:r>
            <w:r>
              <w:rPr>
                <w:spacing w:val="-2"/>
                <w:sz w:val="20"/>
              </w:rPr>
              <w:t>多层</w:t>
            </w:r>
            <w:r>
              <w:rPr>
                <w:rFonts w:ascii="Times New Roman" w:eastAsia="Times New Roman"/>
                <w:spacing w:val="-4"/>
                <w:sz w:val="20"/>
              </w:rPr>
              <w:t>0.40</w:t>
            </w:r>
          </w:p>
        </w:tc>
      </w:tr>
    </w:tbl>
    <w:p w14:paraId="46138D61">
      <w:pPr>
        <w:pStyle w:val="2"/>
        <w:keepNext w:val="0"/>
        <w:keepLines w:val="0"/>
        <w:pageBreakBefore w:val="0"/>
        <w:widowControl w:val="0"/>
        <w:kinsoku/>
        <w:wordWrap/>
        <w:overflowPunct/>
        <w:topLinePunct w:val="0"/>
        <w:autoSpaceDE w:val="0"/>
        <w:autoSpaceDN w:val="0"/>
        <w:bidi w:val="0"/>
        <w:adjustRightInd/>
        <w:snapToGrid/>
        <w:spacing w:before="120"/>
        <w:ind w:left="136"/>
        <w:jc w:val="center"/>
        <w:textAlignment w:val="auto"/>
      </w:pPr>
      <w:r>
        <w:rPr>
          <w:rFonts w:hint="eastAsia" w:ascii="方正小标宋简体" w:hAnsi="方正小标宋简体" w:eastAsia="方正小标宋简体" w:cs="方正小标宋简体"/>
          <w:spacing w:val="-1"/>
        </w:rPr>
        <w:t>文登区普通住宅机动车停放费政府指导价格</w:t>
      </w:r>
    </w:p>
    <w:p w14:paraId="3DC88DC2">
      <w:pPr>
        <w:pStyle w:val="4"/>
        <w:spacing w:before="2"/>
        <w:rPr>
          <w:sz w:val="6"/>
        </w:rPr>
      </w:pPr>
    </w:p>
    <w:tbl>
      <w:tblPr>
        <w:tblStyle w:val="6"/>
        <w:tblW w:w="0" w:type="auto"/>
        <w:tblInd w:w="69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334"/>
        <w:gridCol w:w="2191"/>
        <w:gridCol w:w="1620"/>
        <w:gridCol w:w="1620"/>
        <w:gridCol w:w="1620"/>
        <w:gridCol w:w="1620"/>
        <w:gridCol w:w="2460"/>
        <w:gridCol w:w="1846"/>
      </w:tblGrid>
      <w:tr w14:paraId="5298607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6" w:hRule="atLeast"/>
        </w:trPr>
        <w:tc>
          <w:tcPr>
            <w:tcW w:w="12465" w:type="dxa"/>
            <w:gridSpan w:val="7"/>
          </w:tcPr>
          <w:p w14:paraId="3CE65717">
            <w:pPr>
              <w:pStyle w:val="10"/>
              <w:spacing w:before="111"/>
              <w:ind w:left="35"/>
              <w:jc w:val="center"/>
              <w:rPr>
                <w:sz w:val="20"/>
              </w:rPr>
            </w:pPr>
            <w:r>
              <w:rPr>
                <w:sz w:val="20"/>
              </w:rPr>
              <w:t>基准价格（元/月.车位</w:t>
            </w:r>
            <w:r>
              <w:rPr>
                <w:spacing w:val="-10"/>
                <w:sz w:val="20"/>
              </w:rPr>
              <w:t>）</w:t>
            </w:r>
          </w:p>
        </w:tc>
        <w:tc>
          <w:tcPr>
            <w:tcW w:w="1846" w:type="dxa"/>
            <w:vMerge w:val="restart"/>
          </w:tcPr>
          <w:p w14:paraId="7DCCD1FE">
            <w:pPr>
              <w:pStyle w:val="10"/>
              <w:rPr>
                <w:sz w:val="20"/>
              </w:rPr>
            </w:pPr>
          </w:p>
          <w:p w14:paraId="2A45889F">
            <w:pPr>
              <w:pStyle w:val="10"/>
              <w:spacing w:before="160"/>
              <w:rPr>
                <w:sz w:val="20"/>
              </w:rPr>
            </w:pPr>
          </w:p>
          <w:p w14:paraId="479F48B6">
            <w:pPr>
              <w:pStyle w:val="10"/>
              <w:ind w:left="528"/>
              <w:rPr>
                <w:sz w:val="20"/>
              </w:rPr>
            </w:pPr>
            <w:r>
              <w:rPr>
                <w:spacing w:val="-3"/>
                <w:sz w:val="20"/>
              </w:rPr>
              <w:t>浮动幅度</w:t>
            </w:r>
          </w:p>
        </w:tc>
      </w:tr>
      <w:tr w14:paraId="353918C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5" w:hRule="atLeast"/>
        </w:trPr>
        <w:tc>
          <w:tcPr>
            <w:tcW w:w="3525" w:type="dxa"/>
            <w:gridSpan w:val="2"/>
          </w:tcPr>
          <w:p w14:paraId="1C0AD856">
            <w:pPr>
              <w:pStyle w:val="10"/>
              <w:spacing w:before="181"/>
              <w:ind w:left="862"/>
              <w:rPr>
                <w:sz w:val="20"/>
              </w:rPr>
            </w:pPr>
            <w:r>
              <w:rPr>
                <w:spacing w:val="-2"/>
                <w:sz w:val="20"/>
              </w:rPr>
              <w:t>普通住宅车位租赁费</w:t>
            </w:r>
          </w:p>
        </w:tc>
        <w:tc>
          <w:tcPr>
            <w:tcW w:w="4860" w:type="dxa"/>
            <w:gridSpan w:val="3"/>
          </w:tcPr>
          <w:p w14:paraId="55741657">
            <w:pPr>
              <w:pStyle w:val="10"/>
              <w:spacing w:before="181"/>
              <w:ind w:left="1124"/>
              <w:rPr>
                <w:sz w:val="20"/>
              </w:rPr>
            </w:pPr>
            <w:r>
              <w:rPr>
                <w:spacing w:val="-1"/>
                <w:sz w:val="20"/>
              </w:rPr>
              <w:t>普通住宅前期物业停车服务费</w:t>
            </w:r>
          </w:p>
        </w:tc>
        <w:tc>
          <w:tcPr>
            <w:tcW w:w="4080" w:type="dxa"/>
            <w:gridSpan w:val="2"/>
          </w:tcPr>
          <w:p w14:paraId="058468C9">
            <w:pPr>
              <w:pStyle w:val="10"/>
              <w:spacing w:before="49" w:line="248" w:lineRule="exact"/>
              <w:ind w:left="1340" w:right="1203" w:hanging="101"/>
              <w:rPr>
                <w:sz w:val="20"/>
              </w:rPr>
            </w:pPr>
            <w:r>
              <w:rPr>
                <w:spacing w:val="-2"/>
                <w:sz w:val="20"/>
              </w:rPr>
              <w:t>普通住宅前期物业车位场地使用费</w:t>
            </w:r>
          </w:p>
        </w:tc>
        <w:tc>
          <w:tcPr>
            <w:tcW w:w="1846" w:type="dxa"/>
            <w:vMerge w:val="continue"/>
            <w:tcBorders>
              <w:top w:val="nil"/>
            </w:tcBorders>
          </w:tcPr>
          <w:p w14:paraId="199ABCA9">
            <w:pPr>
              <w:rPr>
                <w:sz w:val="2"/>
                <w:szCs w:val="2"/>
              </w:rPr>
            </w:pPr>
          </w:p>
        </w:tc>
      </w:tr>
      <w:tr w14:paraId="2CAAE38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17" w:hRule="atLeast"/>
        </w:trPr>
        <w:tc>
          <w:tcPr>
            <w:tcW w:w="1334" w:type="dxa"/>
          </w:tcPr>
          <w:p w14:paraId="418C04A7">
            <w:pPr>
              <w:pStyle w:val="10"/>
              <w:spacing w:before="157"/>
              <w:ind w:left="38" w:right="1"/>
              <w:jc w:val="center"/>
              <w:rPr>
                <w:sz w:val="20"/>
              </w:rPr>
            </w:pPr>
            <w:r>
              <w:rPr>
                <w:spacing w:val="-2"/>
                <w:sz w:val="20"/>
              </w:rPr>
              <w:t>室内停车位</w:t>
            </w:r>
          </w:p>
        </w:tc>
        <w:tc>
          <w:tcPr>
            <w:tcW w:w="2191" w:type="dxa"/>
          </w:tcPr>
          <w:p w14:paraId="01347D32">
            <w:pPr>
              <w:pStyle w:val="10"/>
              <w:spacing w:before="157"/>
              <w:ind w:left="36" w:right="1"/>
              <w:jc w:val="center"/>
              <w:rPr>
                <w:sz w:val="20"/>
              </w:rPr>
            </w:pPr>
            <w:r>
              <w:rPr>
                <w:spacing w:val="-2"/>
                <w:sz w:val="20"/>
              </w:rPr>
              <w:t>室外停车位</w:t>
            </w:r>
          </w:p>
        </w:tc>
        <w:tc>
          <w:tcPr>
            <w:tcW w:w="1620" w:type="dxa"/>
          </w:tcPr>
          <w:p w14:paraId="65A8543F">
            <w:pPr>
              <w:pStyle w:val="10"/>
              <w:spacing w:before="157"/>
              <w:ind w:left="38" w:right="3"/>
              <w:jc w:val="center"/>
              <w:rPr>
                <w:sz w:val="20"/>
              </w:rPr>
            </w:pPr>
            <w:r>
              <w:rPr>
                <w:spacing w:val="-2"/>
                <w:sz w:val="20"/>
              </w:rPr>
              <w:t>室内停车位</w:t>
            </w:r>
          </w:p>
        </w:tc>
        <w:tc>
          <w:tcPr>
            <w:tcW w:w="1620" w:type="dxa"/>
          </w:tcPr>
          <w:p w14:paraId="65CD2B2A">
            <w:pPr>
              <w:pStyle w:val="10"/>
              <w:spacing w:before="157"/>
              <w:ind w:left="38" w:right="3"/>
              <w:jc w:val="center"/>
              <w:rPr>
                <w:sz w:val="20"/>
              </w:rPr>
            </w:pPr>
            <w:r>
              <w:rPr>
                <w:spacing w:val="-2"/>
                <w:sz w:val="20"/>
              </w:rPr>
              <w:t>室外停车位</w:t>
            </w:r>
          </w:p>
        </w:tc>
        <w:tc>
          <w:tcPr>
            <w:tcW w:w="1620" w:type="dxa"/>
          </w:tcPr>
          <w:p w14:paraId="09EB382E">
            <w:pPr>
              <w:pStyle w:val="10"/>
              <w:spacing w:before="157"/>
              <w:ind w:left="38" w:right="3"/>
              <w:jc w:val="center"/>
              <w:rPr>
                <w:sz w:val="20"/>
              </w:rPr>
            </w:pPr>
            <w:r>
              <w:rPr>
                <w:spacing w:val="-2"/>
                <w:sz w:val="20"/>
              </w:rPr>
              <w:t>立体停车位</w:t>
            </w:r>
          </w:p>
        </w:tc>
        <w:tc>
          <w:tcPr>
            <w:tcW w:w="1620" w:type="dxa"/>
          </w:tcPr>
          <w:p w14:paraId="27C05916">
            <w:pPr>
              <w:pStyle w:val="10"/>
              <w:spacing w:before="157"/>
              <w:ind w:left="38" w:right="5"/>
              <w:jc w:val="center"/>
              <w:rPr>
                <w:sz w:val="20"/>
              </w:rPr>
            </w:pPr>
            <w:r>
              <w:rPr>
                <w:spacing w:val="-3"/>
                <w:sz w:val="20"/>
              </w:rPr>
              <w:t>长期占用</w:t>
            </w:r>
          </w:p>
        </w:tc>
        <w:tc>
          <w:tcPr>
            <w:tcW w:w="2460" w:type="dxa"/>
          </w:tcPr>
          <w:p w14:paraId="5B8F8BB9">
            <w:pPr>
              <w:pStyle w:val="10"/>
              <w:spacing w:before="157"/>
              <w:ind w:left="377"/>
              <w:rPr>
                <w:sz w:val="20"/>
              </w:rPr>
            </w:pPr>
            <w:r>
              <w:rPr>
                <w:spacing w:val="-1"/>
                <w:sz w:val="20"/>
              </w:rPr>
              <w:t>临时停放(元/小时)</w:t>
            </w:r>
          </w:p>
        </w:tc>
        <w:tc>
          <w:tcPr>
            <w:tcW w:w="1846" w:type="dxa"/>
            <w:vMerge w:val="continue"/>
            <w:tcBorders>
              <w:top w:val="nil"/>
            </w:tcBorders>
          </w:tcPr>
          <w:p w14:paraId="62A0B38F">
            <w:pPr>
              <w:rPr>
                <w:sz w:val="2"/>
                <w:szCs w:val="2"/>
              </w:rPr>
            </w:pPr>
          </w:p>
        </w:tc>
      </w:tr>
      <w:tr w14:paraId="00E5374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336" w:hRule="atLeast"/>
        </w:trPr>
        <w:tc>
          <w:tcPr>
            <w:tcW w:w="1334" w:type="dxa"/>
          </w:tcPr>
          <w:p w14:paraId="2CEA3657">
            <w:pPr>
              <w:pStyle w:val="10"/>
              <w:rPr>
                <w:sz w:val="20"/>
              </w:rPr>
            </w:pPr>
          </w:p>
          <w:p w14:paraId="7B3DB4AB">
            <w:pPr>
              <w:pStyle w:val="10"/>
              <w:spacing w:before="47"/>
              <w:rPr>
                <w:sz w:val="20"/>
              </w:rPr>
            </w:pPr>
          </w:p>
          <w:p w14:paraId="6F4FCC9D">
            <w:pPr>
              <w:pStyle w:val="10"/>
              <w:spacing w:before="1"/>
              <w:ind w:left="38"/>
              <w:jc w:val="center"/>
              <w:rPr>
                <w:rFonts w:ascii="Times New Roman"/>
                <w:sz w:val="20"/>
              </w:rPr>
            </w:pPr>
            <w:r>
              <w:rPr>
                <w:rFonts w:ascii="Times New Roman"/>
                <w:spacing w:val="-5"/>
                <w:sz w:val="20"/>
              </w:rPr>
              <w:t>170</w:t>
            </w:r>
          </w:p>
        </w:tc>
        <w:tc>
          <w:tcPr>
            <w:tcW w:w="2191" w:type="dxa"/>
          </w:tcPr>
          <w:p w14:paraId="21AFD27C">
            <w:pPr>
              <w:pStyle w:val="10"/>
              <w:rPr>
                <w:sz w:val="20"/>
              </w:rPr>
            </w:pPr>
          </w:p>
          <w:p w14:paraId="18560644">
            <w:pPr>
              <w:pStyle w:val="10"/>
              <w:spacing w:before="47"/>
              <w:rPr>
                <w:sz w:val="20"/>
              </w:rPr>
            </w:pPr>
          </w:p>
          <w:p w14:paraId="20899767">
            <w:pPr>
              <w:pStyle w:val="10"/>
              <w:spacing w:before="1"/>
              <w:ind w:left="36"/>
              <w:jc w:val="center"/>
              <w:rPr>
                <w:rFonts w:ascii="Times New Roman"/>
                <w:sz w:val="20"/>
              </w:rPr>
            </w:pPr>
            <w:r>
              <w:rPr>
                <w:rFonts w:ascii="Times New Roman"/>
                <w:spacing w:val="-5"/>
                <w:sz w:val="20"/>
              </w:rPr>
              <w:t>30</w:t>
            </w:r>
          </w:p>
        </w:tc>
        <w:tc>
          <w:tcPr>
            <w:tcW w:w="1620" w:type="dxa"/>
          </w:tcPr>
          <w:p w14:paraId="0EBD938C">
            <w:pPr>
              <w:pStyle w:val="10"/>
              <w:rPr>
                <w:sz w:val="20"/>
              </w:rPr>
            </w:pPr>
          </w:p>
          <w:p w14:paraId="631F7394">
            <w:pPr>
              <w:pStyle w:val="10"/>
              <w:spacing w:before="47"/>
              <w:rPr>
                <w:sz w:val="20"/>
              </w:rPr>
            </w:pPr>
          </w:p>
          <w:p w14:paraId="29F681F8">
            <w:pPr>
              <w:pStyle w:val="10"/>
              <w:spacing w:before="1"/>
              <w:ind w:left="38" w:right="1"/>
              <w:jc w:val="center"/>
              <w:rPr>
                <w:rFonts w:ascii="Times New Roman"/>
                <w:sz w:val="20"/>
              </w:rPr>
            </w:pPr>
            <w:r>
              <w:rPr>
                <w:rFonts w:ascii="Times New Roman"/>
                <w:spacing w:val="-5"/>
                <w:sz w:val="20"/>
              </w:rPr>
              <w:t>30</w:t>
            </w:r>
          </w:p>
        </w:tc>
        <w:tc>
          <w:tcPr>
            <w:tcW w:w="1620" w:type="dxa"/>
          </w:tcPr>
          <w:p w14:paraId="18E36C0A">
            <w:pPr>
              <w:pStyle w:val="10"/>
              <w:rPr>
                <w:sz w:val="20"/>
              </w:rPr>
            </w:pPr>
          </w:p>
          <w:p w14:paraId="0B6D534F">
            <w:pPr>
              <w:pStyle w:val="10"/>
              <w:spacing w:before="47"/>
              <w:rPr>
                <w:sz w:val="20"/>
              </w:rPr>
            </w:pPr>
          </w:p>
          <w:p w14:paraId="054C807B">
            <w:pPr>
              <w:pStyle w:val="10"/>
              <w:spacing w:before="1"/>
              <w:ind w:left="38" w:right="1"/>
              <w:jc w:val="center"/>
              <w:rPr>
                <w:rFonts w:ascii="Times New Roman"/>
                <w:sz w:val="20"/>
              </w:rPr>
            </w:pPr>
            <w:r>
              <w:rPr>
                <w:rFonts w:ascii="Times New Roman"/>
                <w:spacing w:val="-5"/>
                <w:sz w:val="20"/>
              </w:rPr>
              <w:t>20</w:t>
            </w:r>
          </w:p>
        </w:tc>
        <w:tc>
          <w:tcPr>
            <w:tcW w:w="1620" w:type="dxa"/>
          </w:tcPr>
          <w:p w14:paraId="2ECBDB6A">
            <w:pPr>
              <w:pStyle w:val="10"/>
              <w:rPr>
                <w:sz w:val="20"/>
              </w:rPr>
            </w:pPr>
          </w:p>
          <w:p w14:paraId="050ACCE9">
            <w:pPr>
              <w:pStyle w:val="10"/>
              <w:spacing w:before="47"/>
              <w:rPr>
                <w:sz w:val="20"/>
              </w:rPr>
            </w:pPr>
          </w:p>
          <w:p w14:paraId="19447C81">
            <w:pPr>
              <w:pStyle w:val="10"/>
              <w:spacing w:before="1"/>
              <w:ind w:left="38" w:right="1"/>
              <w:jc w:val="center"/>
              <w:rPr>
                <w:rFonts w:ascii="Times New Roman"/>
                <w:sz w:val="20"/>
              </w:rPr>
            </w:pPr>
            <w:r>
              <w:rPr>
                <w:rFonts w:ascii="Times New Roman"/>
                <w:spacing w:val="-5"/>
                <w:sz w:val="20"/>
              </w:rPr>
              <w:t>50</w:t>
            </w:r>
          </w:p>
        </w:tc>
        <w:tc>
          <w:tcPr>
            <w:tcW w:w="1620" w:type="dxa"/>
          </w:tcPr>
          <w:p w14:paraId="1B2381B4">
            <w:pPr>
              <w:pStyle w:val="10"/>
              <w:rPr>
                <w:sz w:val="20"/>
              </w:rPr>
            </w:pPr>
          </w:p>
          <w:p w14:paraId="32FA9E3B">
            <w:pPr>
              <w:pStyle w:val="10"/>
              <w:spacing w:before="47"/>
              <w:rPr>
                <w:sz w:val="20"/>
              </w:rPr>
            </w:pPr>
          </w:p>
          <w:p w14:paraId="36F51575">
            <w:pPr>
              <w:pStyle w:val="10"/>
              <w:spacing w:before="1"/>
              <w:ind w:left="38" w:right="1"/>
              <w:jc w:val="center"/>
              <w:rPr>
                <w:rFonts w:ascii="Times New Roman"/>
                <w:sz w:val="20"/>
              </w:rPr>
            </w:pPr>
            <w:r>
              <w:rPr>
                <w:rFonts w:ascii="Times New Roman"/>
                <w:spacing w:val="-5"/>
                <w:sz w:val="20"/>
              </w:rPr>
              <w:t>50</w:t>
            </w:r>
          </w:p>
        </w:tc>
        <w:tc>
          <w:tcPr>
            <w:tcW w:w="2460" w:type="dxa"/>
          </w:tcPr>
          <w:p w14:paraId="05723970">
            <w:pPr>
              <w:pStyle w:val="10"/>
              <w:spacing w:before="96"/>
              <w:ind w:left="38" w:right="149"/>
              <w:rPr>
                <w:sz w:val="18"/>
              </w:rPr>
            </w:pPr>
            <w:r>
              <w:rPr>
                <w:spacing w:val="-2"/>
                <w:sz w:val="18"/>
              </w:rPr>
              <w:t>停放未超过</w:t>
            </w:r>
            <w:r>
              <w:rPr>
                <w:rFonts w:ascii="Times New Roman" w:eastAsia="Times New Roman"/>
                <w:spacing w:val="-2"/>
                <w:sz w:val="18"/>
              </w:rPr>
              <w:t>2</w:t>
            </w:r>
            <w:r>
              <w:rPr>
                <w:spacing w:val="-2"/>
                <w:sz w:val="18"/>
              </w:rPr>
              <w:t>小时的免费，超出</w:t>
            </w:r>
            <w:r>
              <w:rPr>
                <w:rFonts w:ascii="Times New Roman" w:eastAsia="Times New Roman"/>
                <w:spacing w:val="-2"/>
                <w:sz w:val="18"/>
              </w:rPr>
              <w:t>2</w:t>
            </w:r>
            <w:r>
              <w:rPr>
                <w:spacing w:val="-2"/>
                <w:sz w:val="18"/>
              </w:rPr>
              <w:t>小时部分每小时收费</w:t>
            </w:r>
            <w:r>
              <w:rPr>
                <w:rFonts w:ascii="Times New Roman" w:eastAsia="Times New Roman"/>
                <w:spacing w:val="-2"/>
                <w:sz w:val="18"/>
              </w:rPr>
              <w:t>1</w:t>
            </w:r>
            <w:r>
              <w:rPr>
                <w:spacing w:val="-2"/>
                <w:sz w:val="18"/>
              </w:rPr>
              <w:t>元</w:t>
            </w:r>
          </w:p>
          <w:p w14:paraId="72BC0185">
            <w:pPr>
              <w:pStyle w:val="10"/>
              <w:spacing w:before="2"/>
              <w:ind w:left="38"/>
              <w:rPr>
                <w:sz w:val="18"/>
              </w:rPr>
            </w:pPr>
            <w:r>
              <w:rPr>
                <w:sz w:val="18"/>
              </w:rPr>
              <w:t>（不足</w:t>
            </w:r>
            <w:r>
              <w:rPr>
                <w:rFonts w:ascii="Times New Roman" w:eastAsia="Times New Roman"/>
                <w:sz w:val="18"/>
              </w:rPr>
              <w:t>1</w:t>
            </w:r>
            <w:r>
              <w:rPr>
                <w:sz w:val="18"/>
              </w:rPr>
              <w:t>小时的按</w:t>
            </w:r>
            <w:r>
              <w:rPr>
                <w:rFonts w:ascii="Times New Roman" w:eastAsia="Times New Roman"/>
                <w:sz w:val="18"/>
              </w:rPr>
              <w:t>1</w:t>
            </w:r>
            <w:r>
              <w:rPr>
                <w:spacing w:val="-4"/>
                <w:sz w:val="18"/>
              </w:rPr>
              <w:t>小时计</w:t>
            </w:r>
          </w:p>
          <w:p w14:paraId="752A50C7">
            <w:pPr>
              <w:pStyle w:val="10"/>
              <w:spacing w:before="3"/>
              <w:ind w:left="38" w:right="59"/>
              <w:rPr>
                <w:sz w:val="18"/>
              </w:rPr>
            </w:pPr>
            <w:r>
              <w:rPr>
                <w:spacing w:val="-2"/>
                <w:sz w:val="18"/>
              </w:rPr>
              <w:t>算），连续停放的，每</w:t>
            </w:r>
            <w:r>
              <w:rPr>
                <w:rFonts w:ascii="Times New Roman" w:eastAsia="Times New Roman"/>
                <w:spacing w:val="-2"/>
                <w:sz w:val="18"/>
              </w:rPr>
              <w:t>24</w:t>
            </w:r>
            <w:r>
              <w:rPr>
                <w:spacing w:val="-2"/>
                <w:sz w:val="18"/>
              </w:rPr>
              <w:t>小时收费额最高不超过</w:t>
            </w:r>
            <w:r>
              <w:rPr>
                <w:rFonts w:ascii="Times New Roman" w:eastAsia="Times New Roman"/>
                <w:spacing w:val="-2"/>
                <w:sz w:val="18"/>
              </w:rPr>
              <w:t>6</w:t>
            </w:r>
            <w:r>
              <w:rPr>
                <w:spacing w:val="-2"/>
                <w:sz w:val="18"/>
              </w:rPr>
              <w:t>元。</w:t>
            </w:r>
          </w:p>
        </w:tc>
        <w:tc>
          <w:tcPr>
            <w:tcW w:w="1846" w:type="dxa"/>
          </w:tcPr>
          <w:p w14:paraId="25F0AA3E">
            <w:pPr>
              <w:pStyle w:val="10"/>
              <w:spacing w:before="194"/>
              <w:rPr>
                <w:sz w:val="20"/>
              </w:rPr>
            </w:pPr>
          </w:p>
          <w:p w14:paraId="4921F8F2">
            <w:pPr>
              <w:pStyle w:val="10"/>
              <w:spacing w:line="230" w:lineRule="auto"/>
              <w:ind w:left="230" w:right="193"/>
              <w:rPr>
                <w:sz w:val="20"/>
              </w:rPr>
            </w:pPr>
            <w:r>
              <w:rPr>
                <w:spacing w:val="-2"/>
                <w:sz w:val="20"/>
              </w:rPr>
              <w:t>此标准为最高标</w:t>
            </w:r>
            <w:r>
              <w:rPr>
                <w:spacing w:val="-4"/>
                <w:sz w:val="20"/>
              </w:rPr>
              <w:t>准，下浮不限。</w:t>
            </w:r>
          </w:p>
        </w:tc>
      </w:tr>
    </w:tbl>
    <w:p w14:paraId="37177015">
      <w:pPr>
        <w:pStyle w:val="10"/>
        <w:spacing w:after="0" w:line="230" w:lineRule="auto"/>
        <w:rPr>
          <w:sz w:val="20"/>
        </w:rPr>
        <w:sectPr>
          <w:type w:val="continuous"/>
          <w:pgSz w:w="16840" w:h="11910" w:orient="landscape"/>
          <w:pgMar w:top="1940" w:right="708" w:bottom="1840" w:left="566" w:header="0" w:footer="973" w:gutter="0"/>
          <w:cols w:space="720" w:num="1"/>
        </w:sectPr>
      </w:pPr>
    </w:p>
    <w:p w14:paraId="09D0D29C">
      <w:pPr>
        <w:spacing w:before="57"/>
        <w:ind w:left="193" w:right="0" w:firstLine="0"/>
        <w:jc w:val="left"/>
        <w:rPr>
          <w:rFonts w:hint="eastAsia" w:ascii="黑体" w:hAnsi="黑体" w:eastAsia="黑体" w:cs="黑体"/>
          <w:sz w:val="28"/>
        </w:rPr>
      </w:pPr>
      <w:r>
        <w:rPr>
          <w:rFonts w:hint="eastAsia" w:ascii="黑体" w:hAnsi="黑体" w:eastAsia="黑体" w:cs="黑体"/>
          <w:spacing w:val="-4"/>
          <w:sz w:val="28"/>
        </w:rPr>
        <w:t>附件</w:t>
      </w:r>
      <w:r>
        <w:rPr>
          <w:rFonts w:hint="eastAsia" w:ascii="黑体" w:hAnsi="黑体" w:eastAsia="黑体" w:cs="黑体"/>
          <w:spacing w:val="-10"/>
          <w:sz w:val="28"/>
        </w:rPr>
        <w:t>3</w:t>
      </w:r>
    </w:p>
    <w:p w14:paraId="75D34C08">
      <w:pPr>
        <w:pStyle w:val="2"/>
        <w:spacing w:before="431"/>
        <w:ind w:left="193"/>
      </w:pPr>
      <w:r>
        <w:br w:type="column"/>
      </w:r>
      <w:r>
        <w:rPr>
          <w:rFonts w:hint="eastAsia" w:ascii="方正小标宋简体" w:hAnsi="方正小标宋简体" w:eastAsia="方正小标宋简体" w:cs="方正小标宋简体"/>
          <w:spacing w:val="-1"/>
        </w:rPr>
        <w:t>威海市文登区普通住宅前期物业服务收费公示牌（样式）</w:t>
      </w:r>
    </w:p>
    <w:p w14:paraId="46B13563">
      <w:pPr>
        <w:pStyle w:val="2"/>
        <w:spacing w:after="0"/>
        <w:sectPr>
          <w:pgSz w:w="16840" w:h="11910" w:orient="landscape"/>
          <w:pgMar w:top="1060" w:right="708" w:bottom="960" w:left="566" w:header="0" w:footer="777" w:gutter="0"/>
          <w:cols w:equalWidth="0" w:num="2">
            <w:col w:w="934" w:space="1201"/>
            <w:col w:w="13431"/>
          </w:cols>
        </w:sectPr>
      </w:pPr>
    </w:p>
    <w:tbl>
      <w:tblPr>
        <w:tblStyle w:val="6"/>
        <w:tblW w:w="0" w:type="auto"/>
        <w:tblInd w:w="14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766"/>
        <w:gridCol w:w="1066"/>
        <w:gridCol w:w="676"/>
        <w:gridCol w:w="6120"/>
        <w:gridCol w:w="886"/>
        <w:gridCol w:w="736"/>
        <w:gridCol w:w="630"/>
        <w:gridCol w:w="3421"/>
        <w:gridCol w:w="1110"/>
      </w:tblGrid>
      <w:tr w14:paraId="208D89B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4" w:hRule="exact"/>
        </w:trPr>
        <w:tc>
          <w:tcPr>
            <w:tcW w:w="2508" w:type="dxa"/>
            <w:gridSpan w:val="3"/>
          </w:tcPr>
          <w:p w14:paraId="0FE15AD1">
            <w:pPr>
              <w:pStyle w:val="10"/>
              <w:spacing w:before="100"/>
              <w:ind w:left="29"/>
              <w:rPr>
                <w:sz w:val="18"/>
              </w:rPr>
            </w:pPr>
            <w:r>
              <w:rPr>
                <w:spacing w:val="-2"/>
                <w:sz w:val="18"/>
              </w:rPr>
              <w:t>小区名称：</w:t>
            </w:r>
          </w:p>
        </w:tc>
        <w:tc>
          <w:tcPr>
            <w:tcW w:w="7742" w:type="dxa"/>
            <w:gridSpan w:val="3"/>
          </w:tcPr>
          <w:p w14:paraId="2BA863BF">
            <w:pPr>
              <w:pStyle w:val="10"/>
              <w:spacing w:before="100"/>
              <w:ind w:left="29"/>
              <w:rPr>
                <w:sz w:val="18"/>
              </w:rPr>
            </w:pPr>
            <w:r>
              <w:rPr>
                <w:spacing w:val="-2"/>
                <w:sz w:val="18"/>
              </w:rPr>
              <w:t>物业服务人名称：</w:t>
            </w:r>
          </w:p>
        </w:tc>
        <w:tc>
          <w:tcPr>
            <w:tcW w:w="5161" w:type="dxa"/>
            <w:gridSpan w:val="3"/>
          </w:tcPr>
          <w:p w14:paraId="73FD69FA">
            <w:pPr>
              <w:pStyle w:val="10"/>
              <w:spacing w:before="100"/>
              <w:ind w:left="29"/>
              <w:rPr>
                <w:sz w:val="18"/>
              </w:rPr>
            </w:pPr>
            <w:r>
              <w:rPr>
                <w:sz w:val="18"/>
              </w:rPr>
              <w:t>物业服务（报修）</w:t>
            </w:r>
            <w:r>
              <w:rPr>
                <w:spacing w:val="-4"/>
                <w:sz w:val="18"/>
              </w:rPr>
              <w:t>电话：</w:t>
            </w:r>
          </w:p>
        </w:tc>
      </w:tr>
      <w:tr w14:paraId="11F95E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3" w:hRule="exact"/>
        </w:trPr>
        <w:tc>
          <w:tcPr>
            <w:tcW w:w="10250" w:type="dxa"/>
            <w:gridSpan w:val="6"/>
          </w:tcPr>
          <w:p w14:paraId="4BE11AF9">
            <w:pPr>
              <w:pStyle w:val="10"/>
              <w:spacing w:before="110"/>
              <w:ind w:left="16"/>
              <w:jc w:val="center"/>
              <w:rPr>
                <w:sz w:val="18"/>
              </w:rPr>
            </w:pPr>
            <w:r>
              <w:rPr>
                <w:sz w:val="18"/>
              </w:rPr>
              <w:t>物业公共服务内容及收费标准（元/月.平方米</w:t>
            </w:r>
            <w:r>
              <w:rPr>
                <w:spacing w:val="-10"/>
                <w:sz w:val="18"/>
              </w:rPr>
              <w:t>）</w:t>
            </w:r>
          </w:p>
        </w:tc>
        <w:tc>
          <w:tcPr>
            <w:tcW w:w="5161" w:type="dxa"/>
            <w:gridSpan w:val="3"/>
          </w:tcPr>
          <w:p w14:paraId="44D7D166">
            <w:pPr>
              <w:pStyle w:val="10"/>
              <w:spacing w:before="110"/>
              <w:ind w:left="1583"/>
              <w:rPr>
                <w:sz w:val="18"/>
              </w:rPr>
            </w:pPr>
            <w:r>
              <w:rPr>
                <w:spacing w:val="-1"/>
                <w:sz w:val="18"/>
              </w:rPr>
              <w:t>其他收费项目及收费标准</w:t>
            </w:r>
          </w:p>
        </w:tc>
      </w:tr>
      <w:tr w14:paraId="7BE0BE2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34" w:hRule="exact"/>
        </w:trPr>
        <w:tc>
          <w:tcPr>
            <w:tcW w:w="1832" w:type="dxa"/>
            <w:gridSpan w:val="2"/>
          </w:tcPr>
          <w:p w14:paraId="47A4BFB5">
            <w:pPr>
              <w:pStyle w:val="10"/>
              <w:spacing w:before="182"/>
              <w:ind w:left="19"/>
              <w:jc w:val="center"/>
              <w:rPr>
                <w:sz w:val="18"/>
              </w:rPr>
            </w:pPr>
            <w:r>
              <w:rPr>
                <w:spacing w:val="-5"/>
                <w:sz w:val="18"/>
              </w:rPr>
              <w:t>项目</w:t>
            </w:r>
          </w:p>
        </w:tc>
        <w:tc>
          <w:tcPr>
            <w:tcW w:w="676" w:type="dxa"/>
          </w:tcPr>
          <w:p w14:paraId="7F7E3302">
            <w:pPr>
              <w:pStyle w:val="10"/>
              <w:spacing w:before="76" w:line="232" w:lineRule="auto"/>
              <w:ind w:left="65" w:right="46"/>
              <w:rPr>
                <w:sz w:val="18"/>
              </w:rPr>
            </w:pPr>
            <w:r>
              <w:rPr>
                <w:spacing w:val="-4"/>
                <w:sz w:val="18"/>
              </w:rPr>
              <w:t>合同约定级别</w:t>
            </w:r>
          </w:p>
        </w:tc>
        <w:tc>
          <w:tcPr>
            <w:tcW w:w="6120" w:type="dxa"/>
          </w:tcPr>
          <w:p w14:paraId="1C06FB81">
            <w:pPr>
              <w:pStyle w:val="10"/>
              <w:spacing w:before="182"/>
              <w:ind w:left="1882"/>
              <w:rPr>
                <w:sz w:val="18"/>
              </w:rPr>
            </w:pPr>
            <w:r>
              <w:rPr>
                <w:spacing w:val="-1"/>
                <w:sz w:val="18"/>
              </w:rPr>
              <w:t>合同约定的物业公共服务内容</w:t>
            </w:r>
          </w:p>
        </w:tc>
        <w:tc>
          <w:tcPr>
            <w:tcW w:w="886" w:type="dxa"/>
          </w:tcPr>
          <w:p w14:paraId="729D31A3">
            <w:pPr>
              <w:pStyle w:val="10"/>
              <w:spacing w:before="76" w:line="232" w:lineRule="auto"/>
              <w:ind w:left="79" w:right="59"/>
              <w:rPr>
                <w:sz w:val="18"/>
              </w:rPr>
            </w:pPr>
            <w:r>
              <w:rPr>
                <w:spacing w:val="-4"/>
                <w:sz w:val="18"/>
              </w:rPr>
              <w:t>合同约定</w:t>
            </w:r>
            <w:r>
              <w:rPr>
                <w:spacing w:val="-3"/>
                <w:sz w:val="18"/>
              </w:rPr>
              <w:t>收费标准</w:t>
            </w:r>
          </w:p>
        </w:tc>
        <w:tc>
          <w:tcPr>
            <w:tcW w:w="736" w:type="dxa"/>
          </w:tcPr>
          <w:p w14:paraId="45AF2FF8">
            <w:pPr>
              <w:pStyle w:val="10"/>
              <w:spacing w:before="76" w:line="232" w:lineRule="auto"/>
              <w:ind w:left="95" w:right="74"/>
              <w:rPr>
                <w:sz w:val="18"/>
              </w:rPr>
            </w:pPr>
            <w:r>
              <w:rPr>
                <w:color w:val="FF0000"/>
                <w:spacing w:val="-4"/>
                <w:sz w:val="18"/>
              </w:rPr>
              <w:t>现行收费标准</w:t>
            </w:r>
          </w:p>
        </w:tc>
        <w:tc>
          <w:tcPr>
            <w:tcW w:w="630" w:type="dxa"/>
          </w:tcPr>
          <w:p w14:paraId="66FB060D">
            <w:pPr>
              <w:pStyle w:val="10"/>
              <w:spacing w:before="182"/>
              <w:ind w:left="132"/>
              <w:rPr>
                <w:sz w:val="18"/>
              </w:rPr>
            </w:pPr>
            <w:r>
              <w:rPr>
                <w:spacing w:val="-5"/>
                <w:sz w:val="18"/>
              </w:rPr>
              <w:t>项目</w:t>
            </w:r>
          </w:p>
        </w:tc>
        <w:tc>
          <w:tcPr>
            <w:tcW w:w="3421" w:type="dxa"/>
          </w:tcPr>
          <w:p w14:paraId="31BD28D2">
            <w:pPr>
              <w:pStyle w:val="10"/>
              <w:spacing w:before="182"/>
              <w:ind w:left="18"/>
              <w:jc w:val="center"/>
              <w:rPr>
                <w:sz w:val="18"/>
              </w:rPr>
            </w:pPr>
            <w:r>
              <w:rPr>
                <w:spacing w:val="-3"/>
                <w:sz w:val="18"/>
              </w:rPr>
              <w:t>收费标准</w:t>
            </w:r>
          </w:p>
        </w:tc>
        <w:tc>
          <w:tcPr>
            <w:tcW w:w="1110" w:type="dxa"/>
          </w:tcPr>
          <w:p w14:paraId="4ED40CE9">
            <w:pPr>
              <w:pStyle w:val="10"/>
              <w:spacing w:before="182"/>
              <w:ind w:left="372"/>
              <w:rPr>
                <w:sz w:val="18"/>
              </w:rPr>
            </w:pPr>
            <w:r>
              <w:rPr>
                <w:spacing w:val="-5"/>
                <w:sz w:val="18"/>
              </w:rPr>
              <w:t>备注</w:t>
            </w:r>
          </w:p>
        </w:tc>
      </w:tr>
      <w:tr w14:paraId="1F0C200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051" w:hRule="exact"/>
        </w:trPr>
        <w:tc>
          <w:tcPr>
            <w:tcW w:w="1832" w:type="dxa"/>
            <w:gridSpan w:val="2"/>
          </w:tcPr>
          <w:p w14:paraId="4449A945">
            <w:pPr>
              <w:pStyle w:val="10"/>
              <w:spacing w:before="141"/>
              <w:rPr>
                <w:sz w:val="18"/>
              </w:rPr>
            </w:pPr>
          </w:p>
          <w:p w14:paraId="398CAEC3">
            <w:pPr>
              <w:pStyle w:val="10"/>
              <w:ind w:left="29"/>
              <w:rPr>
                <w:sz w:val="18"/>
              </w:rPr>
            </w:pPr>
            <w:r>
              <w:rPr>
                <w:rFonts w:ascii="Times New Roman" w:eastAsia="Times New Roman"/>
                <w:b/>
                <w:sz w:val="18"/>
              </w:rPr>
              <w:t>1.</w:t>
            </w:r>
            <w:r>
              <w:rPr>
                <w:spacing w:val="-2"/>
                <w:sz w:val="18"/>
              </w:rPr>
              <w:t>综合管理服务</w:t>
            </w:r>
          </w:p>
        </w:tc>
        <w:tc>
          <w:tcPr>
            <w:tcW w:w="676" w:type="dxa"/>
          </w:tcPr>
          <w:p w14:paraId="583A4D01">
            <w:pPr>
              <w:pStyle w:val="10"/>
              <w:rPr>
                <w:rFonts w:ascii="Times New Roman"/>
                <w:sz w:val="18"/>
              </w:rPr>
            </w:pPr>
          </w:p>
        </w:tc>
        <w:tc>
          <w:tcPr>
            <w:tcW w:w="6120" w:type="dxa"/>
          </w:tcPr>
          <w:p w14:paraId="1B195657">
            <w:pPr>
              <w:pStyle w:val="10"/>
              <w:rPr>
                <w:rFonts w:ascii="Times New Roman"/>
                <w:sz w:val="18"/>
              </w:rPr>
            </w:pPr>
          </w:p>
        </w:tc>
        <w:tc>
          <w:tcPr>
            <w:tcW w:w="886" w:type="dxa"/>
            <w:vMerge w:val="restart"/>
          </w:tcPr>
          <w:p w14:paraId="0C3A1724">
            <w:pPr>
              <w:pStyle w:val="10"/>
              <w:rPr>
                <w:rFonts w:ascii="Times New Roman"/>
                <w:sz w:val="18"/>
              </w:rPr>
            </w:pPr>
          </w:p>
        </w:tc>
        <w:tc>
          <w:tcPr>
            <w:tcW w:w="736" w:type="dxa"/>
            <w:vMerge w:val="restart"/>
          </w:tcPr>
          <w:p w14:paraId="0A430B62">
            <w:pPr>
              <w:pStyle w:val="10"/>
              <w:rPr>
                <w:rFonts w:ascii="Times New Roman"/>
                <w:sz w:val="18"/>
              </w:rPr>
            </w:pPr>
          </w:p>
        </w:tc>
        <w:tc>
          <w:tcPr>
            <w:tcW w:w="630" w:type="dxa"/>
          </w:tcPr>
          <w:p w14:paraId="29107720">
            <w:pPr>
              <w:pStyle w:val="10"/>
              <w:spacing w:before="51"/>
              <w:rPr>
                <w:sz w:val="18"/>
              </w:rPr>
            </w:pPr>
          </w:p>
          <w:p w14:paraId="3346BEEC">
            <w:pPr>
              <w:pStyle w:val="10"/>
              <w:spacing w:line="232" w:lineRule="auto"/>
              <w:ind w:left="42" w:right="25"/>
              <w:rPr>
                <w:sz w:val="18"/>
              </w:rPr>
            </w:pPr>
            <w:r>
              <w:rPr>
                <w:spacing w:val="-4"/>
                <w:sz w:val="18"/>
              </w:rPr>
              <w:t>空置房物业费</w:t>
            </w:r>
          </w:p>
        </w:tc>
        <w:tc>
          <w:tcPr>
            <w:tcW w:w="3421" w:type="dxa"/>
          </w:tcPr>
          <w:p w14:paraId="5D0B881E">
            <w:pPr>
              <w:pStyle w:val="10"/>
              <w:spacing w:before="37" w:line="235" w:lineRule="auto"/>
              <w:ind w:left="29" w:right="39"/>
              <w:rPr>
                <w:sz w:val="18"/>
              </w:rPr>
            </w:pPr>
            <w:r>
              <w:rPr>
                <w:spacing w:val="-2"/>
                <w:sz w:val="18"/>
              </w:rPr>
              <w:t>房屋空置</w:t>
            </w:r>
            <w:r>
              <w:rPr>
                <w:rFonts w:ascii="Times New Roman" w:eastAsia="Times New Roman"/>
                <w:spacing w:val="-2"/>
                <w:sz w:val="18"/>
              </w:rPr>
              <w:t>6</w:t>
            </w:r>
            <w:r>
              <w:rPr>
                <w:spacing w:val="-2"/>
                <w:sz w:val="18"/>
              </w:rPr>
              <w:t>个月及以上的，由业主向物业服务人提前提出书面申请，签订《空置房服务协议》，物业公共服务费可按合同约定标准的</w:t>
            </w:r>
            <w:r>
              <w:rPr>
                <w:rFonts w:ascii="Times New Roman" w:eastAsia="Times New Roman"/>
                <w:spacing w:val="-2"/>
                <w:sz w:val="18"/>
              </w:rPr>
              <w:t>60%</w:t>
            </w:r>
            <w:r>
              <w:rPr>
                <w:spacing w:val="-2"/>
                <w:sz w:val="18"/>
              </w:rPr>
              <w:t>交纳。</w:t>
            </w:r>
          </w:p>
        </w:tc>
        <w:tc>
          <w:tcPr>
            <w:tcW w:w="1110" w:type="dxa"/>
          </w:tcPr>
          <w:p w14:paraId="6B9FFCB4">
            <w:pPr>
              <w:pStyle w:val="10"/>
              <w:spacing w:before="170" w:line="232" w:lineRule="auto"/>
              <w:ind w:left="102" w:right="85"/>
              <w:jc w:val="center"/>
              <w:rPr>
                <w:sz w:val="18"/>
              </w:rPr>
            </w:pPr>
            <w:r>
              <w:rPr>
                <w:spacing w:val="-2"/>
                <w:sz w:val="18"/>
              </w:rPr>
              <w:t>空置房服务内容协议约</w:t>
            </w:r>
            <w:r>
              <w:rPr>
                <w:spacing w:val="-10"/>
                <w:sz w:val="18"/>
              </w:rPr>
              <w:t>定</w:t>
            </w:r>
          </w:p>
        </w:tc>
      </w:tr>
      <w:tr w14:paraId="3583F48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46" w:hRule="exact"/>
        </w:trPr>
        <w:tc>
          <w:tcPr>
            <w:tcW w:w="1832" w:type="dxa"/>
            <w:gridSpan w:val="2"/>
            <w:vMerge w:val="restart"/>
          </w:tcPr>
          <w:p w14:paraId="0450DC5C">
            <w:pPr>
              <w:pStyle w:val="10"/>
              <w:rPr>
                <w:sz w:val="18"/>
              </w:rPr>
            </w:pPr>
          </w:p>
          <w:p w14:paraId="3B069A6A">
            <w:pPr>
              <w:pStyle w:val="10"/>
              <w:spacing w:before="34"/>
              <w:rPr>
                <w:sz w:val="18"/>
              </w:rPr>
            </w:pPr>
          </w:p>
          <w:p w14:paraId="56BC0006">
            <w:pPr>
              <w:pStyle w:val="10"/>
              <w:ind w:left="29"/>
              <w:rPr>
                <w:sz w:val="18"/>
              </w:rPr>
            </w:pPr>
            <w:r>
              <w:rPr>
                <w:rFonts w:ascii="Times New Roman" w:eastAsia="Times New Roman"/>
                <w:b/>
                <w:sz w:val="18"/>
              </w:rPr>
              <w:t>2.</w:t>
            </w:r>
            <w:r>
              <w:rPr>
                <w:spacing w:val="-2"/>
                <w:sz w:val="18"/>
              </w:rPr>
              <w:t>秩序维护服务</w:t>
            </w:r>
          </w:p>
        </w:tc>
        <w:tc>
          <w:tcPr>
            <w:tcW w:w="676" w:type="dxa"/>
            <w:vMerge w:val="restart"/>
          </w:tcPr>
          <w:p w14:paraId="1EC6CC5F">
            <w:pPr>
              <w:pStyle w:val="10"/>
              <w:rPr>
                <w:rFonts w:ascii="Times New Roman"/>
                <w:sz w:val="18"/>
              </w:rPr>
            </w:pPr>
          </w:p>
        </w:tc>
        <w:tc>
          <w:tcPr>
            <w:tcW w:w="6120" w:type="dxa"/>
            <w:vMerge w:val="restart"/>
          </w:tcPr>
          <w:p w14:paraId="31711705">
            <w:pPr>
              <w:pStyle w:val="10"/>
              <w:rPr>
                <w:rFonts w:ascii="Times New Roman"/>
                <w:sz w:val="18"/>
              </w:rPr>
            </w:pPr>
          </w:p>
        </w:tc>
        <w:tc>
          <w:tcPr>
            <w:tcW w:w="886" w:type="dxa"/>
            <w:vMerge w:val="continue"/>
            <w:tcBorders>
              <w:top w:val="nil"/>
            </w:tcBorders>
          </w:tcPr>
          <w:p w14:paraId="2397C88D">
            <w:pPr>
              <w:rPr>
                <w:sz w:val="2"/>
                <w:szCs w:val="2"/>
              </w:rPr>
            </w:pPr>
          </w:p>
        </w:tc>
        <w:tc>
          <w:tcPr>
            <w:tcW w:w="736" w:type="dxa"/>
            <w:vMerge w:val="continue"/>
            <w:tcBorders>
              <w:top w:val="nil"/>
            </w:tcBorders>
          </w:tcPr>
          <w:p w14:paraId="3AF33FBF">
            <w:pPr>
              <w:rPr>
                <w:sz w:val="2"/>
                <w:szCs w:val="2"/>
              </w:rPr>
            </w:pPr>
          </w:p>
        </w:tc>
        <w:tc>
          <w:tcPr>
            <w:tcW w:w="630" w:type="dxa"/>
          </w:tcPr>
          <w:p w14:paraId="2CC4BAF6">
            <w:pPr>
              <w:pStyle w:val="10"/>
              <w:spacing w:before="210" w:line="232" w:lineRule="auto"/>
              <w:ind w:left="111" w:right="93"/>
              <w:rPr>
                <w:sz w:val="20"/>
              </w:rPr>
            </w:pPr>
            <w:r>
              <w:rPr>
                <w:spacing w:val="-6"/>
                <w:sz w:val="20"/>
              </w:rPr>
              <w:t>停车</w:t>
            </w:r>
            <w:r>
              <w:rPr>
                <w:spacing w:val="-5"/>
                <w:sz w:val="20"/>
              </w:rPr>
              <w:t>收费</w:t>
            </w:r>
          </w:p>
        </w:tc>
        <w:tc>
          <w:tcPr>
            <w:tcW w:w="3421" w:type="dxa"/>
          </w:tcPr>
          <w:p w14:paraId="7EEB895D">
            <w:pPr>
              <w:pStyle w:val="10"/>
              <w:spacing w:before="94"/>
              <w:ind w:left="29" w:right="2289"/>
              <w:rPr>
                <w:sz w:val="18"/>
              </w:rPr>
            </w:pPr>
            <w:r>
              <w:rPr>
                <w:spacing w:val="-2"/>
                <w:sz w:val="18"/>
              </w:rPr>
              <w:t>车位租赁费：停车服务费：</w:t>
            </w:r>
          </w:p>
          <w:p w14:paraId="4D3228B1">
            <w:pPr>
              <w:pStyle w:val="10"/>
              <w:spacing w:before="14"/>
              <w:ind w:left="29"/>
              <w:rPr>
                <w:sz w:val="18"/>
              </w:rPr>
            </w:pPr>
            <w:r>
              <w:rPr>
                <w:spacing w:val="-2"/>
                <w:sz w:val="18"/>
              </w:rPr>
              <w:t>车位场地使用费：</w:t>
            </w:r>
          </w:p>
        </w:tc>
        <w:tc>
          <w:tcPr>
            <w:tcW w:w="1110" w:type="dxa"/>
          </w:tcPr>
          <w:p w14:paraId="4220CE90">
            <w:pPr>
              <w:pStyle w:val="10"/>
              <w:spacing w:before="1"/>
              <w:rPr>
                <w:sz w:val="18"/>
              </w:rPr>
            </w:pPr>
          </w:p>
          <w:p w14:paraId="4F2E56F8">
            <w:pPr>
              <w:pStyle w:val="10"/>
              <w:spacing w:line="232" w:lineRule="auto"/>
              <w:ind w:left="102" w:right="85"/>
              <w:rPr>
                <w:sz w:val="18"/>
              </w:rPr>
            </w:pPr>
            <w:r>
              <w:rPr>
                <w:spacing w:val="-2"/>
                <w:sz w:val="18"/>
              </w:rPr>
              <w:t>停车服务内容协议约定</w:t>
            </w:r>
          </w:p>
        </w:tc>
      </w:tr>
      <w:tr w14:paraId="1428ACB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50" w:hRule="exact"/>
        </w:trPr>
        <w:tc>
          <w:tcPr>
            <w:tcW w:w="1832" w:type="dxa"/>
            <w:gridSpan w:val="2"/>
            <w:vMerge w:val="continue"/>
            <w:tcBorders>
              <w:top w:val="nil"/>
            </w:tcBorders>
          </w:tcPr>
          <w:p w14:paraId="7C127F8F">
            <w:pPr>
              <w:rPr>
                <w:sz w:val="2"/>
                <w:szCs w:val="2"/>
              </w:rPr>
            </w:pPr>
          </w:p>
        </w:tc>
        <w:tc>
          <w:tcPr>
            <w:tcW w:w="676" w:type="dxa"/>
            <w:vMerge w:val="continue"/>
            <w:tcBorders>
              <w:top w:val="nil"/>
            </w:tcBorders>
          </w:tcPr>
          <w:p w14:paraId="0727592F">
            <w:pPr>
              <w:rPr>
                <w:sz w:val="2"/>
                <w:szCs w:val="2"/>
              </w:rPr>
            </w:pPr>
          </w:p>
        </w:tc>
        <w:tc>
          <w:tcPr>
            <w:tcW w:w="6120" w:type="dxa"/>
            <w:vMerge w:val="continue"/>
            <w:tcBorders>
              <w:top w:val="nil"/>
            </w:tcBorders>
          </w:tcPr>
          <w:p w14:paraId="31BA42A2">
            <w:pPr>
              <w:rPr>
                <w:sz w:val="2"/>
                <w:szCs w:val="2"/>
              </w:rPr>
            </w:pPr>
          </w:p>
        </w:tc>
        <w:tc>
          <w:tcPr>
            <w:tcW w:w="886" w:type="dxa"/>
            <w:vMerge w:val="continue"/>
            <w:tcBorders>
              <w:top w:val="nil"/>
            </w:tcBorders>
          </w:tcPr>
          <w:p w14:paraId="529A87AE">
            <w:pPr>
              <w:rPr>
                <w:sz w:val="2"/>
                <w:szCs w:val="2"/>
              </w:rPr>
            </w:pPr>
          </w:p>
        </w:tc>
        <w:tc>
          <w:tcPr>
            <w:tcW w:w="736" w:type="dxa"/>
            <w:vMerge w:val="continue"/>
            <w:tcBorders>
              <w:top w:val="nil"/>
            </w:tcBorders>
          </w:tcPr>
          <w:p w14:paraId="02BC39FF">
            <w:pPr>
              <w:rPr>
                <w:sz w:val="2"/>
                <w:szCs w:val="2"/>
              </w:rPr>
            </w:pPr>
          </w:p>
        </w:tc>
        <w:tc>
          <w:tcPr>
            <w:tcW w:w="630" w:type="dxa"/>
            <w:vMerge w:val="restart"/>
          </w:tcPr>
          <w:p w14:paraId="5F02FB7D">
            <w:pPr>
              <w:pStyle w:val="10"/>
              <w:spacing w:before="169" w:line="232" w:lineRule="auto"/>
              <w:ind w:left="42" w:right="25"/>
              <w:rPr>
                <w:sz w:val="18"/>
              </w:rPr>
            </w:pPr>
            <w:r>
              <w:rPr>
                <w:spacing w:val="-4"/>
                <w:sz w:val="18"/>
              </w:rPr>
              <w:t>装修期间收费</w:t>
            </w:r>
          </w:p>
        </w:tc>
        <w:tc>
          <w:tcPr>
            <w:tcW w:w="3421" w:type="dxa"/>
            <w:vMerge w:val="restart"/>
          </w:tcPr>
          <w:p w14:paraId="27E4C6DA">
            <w:pPr>
              <w:pStyle w:val="10"/>
              <w:spacing w:before="145"/>
              <w:ind w:left="29"/>
              <w:rPr>
                <w:sz w:val="18"/>
              </w:rPr>
            </w:pPr>
            <w:r>
              <w:rPr>
                <w:sz w:val="18"/>
              </w:rPr>
              <w:t>装修保证金：</w:t>
            </w:r>
            <w:r>
              <w:rPr>
                <w:rFonts w:ascii="Times New Roman" w:eastAsia="Times New Roman"/>
                <w:sz w:val="18"/>
              </w:rPr>
              <w:t>*</w:t>
            </w:r>
            <w:r>
              <w:rPr>
                <w:sz w:val="18"/>
              </w:rPr>
              <w:t>元</w:t>
            </w:r>
            <w:r>
              <w:rPr>
                <w:rFonts w:ascii="Times New Roman" w:eastAsia="Times New Roman"/>
                <w:sz w:val="18"/>
              </w:rPr>
              <w:t>/</w:t>
            </w:r>
            <w:r>
              <w:rPr>
                <w:spacing w:val="-10"/>
                <w:sz w:val="18"/>
              </w:rPr>
              <w:t>户</w:t>
            </w:r>
          </w:p>
          <w:p w14:paraId="7010471E">
            <w:pPr>
              <w:pStyle w:val="10"/>
              <w:spacing w:before="1"/>
              <w:ind w:left="29"/>
              <w:rPr>
                <w:sz w:val="18"/>
              </w:rPr>
            </w:pPr>
            <w:r>
              <w:rPr>
                <w:sz w:val="18"/>
              </w:rPr>
              <w:t>装修建筑垃圾清运：</w:t>
            </w:r>
            <w:r>
              <w:rPr>
                <w:rFonts w:ascii="Times New Roman" w:eastAsia="Times New Roman"/>
                <w:sz w:val="18"/>
              </w:rPr>
              <w:t>*</w:t>
            </w:r>
            <w:r>
              <w:rPr>
                <w:spacing w:val="-10"/>
                <w:sz w:val="18"/>
              </w:rPr>
              <w:t>元</w:t>
            </w:r>
          </w:p>
        </w:tc>
        <w:tc>
          <w:tcPr>
            <w:tcW w:w="1110" w:type="dxa"/>
            <w:vMerge w:val="restart"/>
          </w:tcPr>
          <w:p w14:paraId="27F1E413">
            <w:pPr>
              <w:pStyle w:val="10"/>
              <w:spacing w:before="169" w:line="232" w:lineRule="auto"/>
              <w:ind w:left="102" w:right="85"/>
              <w:rPr>
                <w:sz w:val="18"/>
              </w:rPr>
            </w:pPr>
            <w:r>
              <w:rPr>
                <w:spacing w:val="-2"/>
                <w:sz w:val="18"/>
              </w:rPr>
              <w:t>装修协议约定相关事项</w:t>
            </w:r>
          </w:p>
        </w:tc>
      </w:tr>
      <w:tr w14:paraId="16C131B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3" w:hRule="exact"/>
        </w:trPr>
        <w:tc>
          <w:tcPr>
            <w:tcW w:w="1832" w:type="dxa"/>
            <w:gridSpan w:val="2"/>
            <w:vMerge w:val="restart"/>
          </w:tcPr>
          <w:p w14:paraId="04F2BBB2">
            <w:pPr>
              <w:pStyle w:val="10"/>
              <w:spacing w:before="47"/>
              <w:rPr>
                <w:sz w:val="18"/>
              </w:rPr>
            </w:pPr>
          </w:p>
          <w:p w14:paraId="7F5B46D3">
            <w:pPr>
              <w:pStyle w:val="10"/>
              <w:ind w:left="29"/>
              <w:rPr>
                <w:sz w:val="18"/>
              </w:rPr>
            </w:pPr>
            <w:r>
              <w:rPr>
                <w:rFonts w:ascii="Times New Roman" w:eastAsia="Times New Roman"/>
                <w:b/>
                <w:sz w:val="18"/>
              </w:rPr>
              <w:t>3.</w:t>
            </w:r>
            <w:r>
              <w:rPr>
                <w:spacing w:val="-2"/>
                <w:sz w:val="18"/>
              </w:rPr>
              <w:t>卫生保洁服务</w:t>
            </w:r>
          </w:p>
        </w:tc>
        <w:tc>
          <w:tcPr>
            <w:tcW w:w="676" w:type="dxa"/>
            <w:vMerge w:val="restart"/>
          </w:tcPr>
          <w:p w14:paraId="098967CF">
            <w:pPr>
              <w:pStyle w:val="10"/>
              <w:rPr>
                <w:rFonts w:ascii="Times New Roman"/>
                <w:sz w:val="18"/>
              </w:rPr>
            </w:pPr>
          </w:p>
        </w:tc>
        <w:tc>
          <w:tcPr>
            <w:tcW w:w="6120" w:type="dxa"/>
            <w:vMerge w:val="restart"/>
          </w:tcPr>
          <w:p w14:paraId="5ACFE9C9">
            <w:pPr>
              <w:pStyle w:val="10"/>
              <w:rPr>
                <w:rFonts w:ascii="Times New Roman"/>
                <w:sz w:val="18"/>
              </w:rPr>
            </w:pPr>
          </w:p>
        </w:tc>
        <w:tc>
          <w:tcPr>
            <w:tcW w:w="886" w:type="dxa"/>
            <w:vMerge w:val="continue"/>
            <w:tcBorders>
              <w:top w:val="nil"/>
            </w:tcBorders>
          </w:tcPr>
          <w:p w14:paraId="5243081E">
            <w:pPr>
              <w:rPr>
                <w:sz w:val="2"/>
                <w:szCs w:val="2"/>
              </w:rPr>
            </w:pPr>
          </w:p>
        </w:tc>
        <w:tc>
          <w:tcPr>
            <w:tcW w:w="736" w:type="dxa"/>
            <w:vMerge w:val="continue"/>
            <w:tcBorders>
              <w:top w:val="nil"/>
            </w:tcBorders>
          </w:tcPr>
          <w:p w14:paraId="4DEEE4BE">
            <w:pPr>
              <w:rPr>
                <w:sz w:val="2"/>
                <w:szCs w:val="2"/>
              </w:rPr>
            </w:pPr>
          </w:p>
        </w:tc>
        <w:tc>
          <w:tcPr>
            <w:tcW w:w="630" w:type="dxa"/>
            <w:vMerge w:val="continue"/>
            <w:tcBorders>
              <w:top w:val="nil"/>
            </w:tcBorders>
          </w:tcPr>
          <w:p w14:paraId="2D2B5D43">
            <w:pPr>
              <w:rPr>
                <w:sz w:val="2"/>
                <w:szCs w:val="2"/>
              </w:rPr>
            </w:pPr>
          </w:p>
        </w:tc>
        <w:tc>
          <w:tcPr>
            <w:tcW w:w="3421" w:type="dxa"/>
            <w:vMerge w:val="continue"/>
            <w:tcBorders>
              <w:top w:val="nil"/>
            </w:tcBorders>
          </w:tcPr>
          <w:p w14:paraId="25FC0A96">
            <w:pPr>
              <w:rPr>
                <w:sz w:val="2"/>
                <w:szCs w:val="2"/>
              </w:rPr>
            </w:pPr>
          </w:p>
        </w:tc>
        <w:tc>
          <w:tcPr>
            <w:tcW w:w="1110" w:type="dxa"/>
            <w:vMerge w:val="continue"/>
            <w:tcBorders>
              <w:top w:val="nil"/>
            </w:tcBorders>
          </w:tcPr>
          <w:p w14:paraId="23F7547A">
            <w:pPr>
              <w:rPr>
                <w:sz w:val="2"/>
                <w:szCs w:val="2"/>
              </w:rPr>
            </w:pPr>
          </w:p>
        </w:tc>
      </w:tr>
      <w:tr w14:paraId="2F746B2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87" w:hRule="exact"/>
        </w:trPr>
        <w:tc>
          <w:tcPr>
            <w:tcW w:w="1832" w:type="dxa"/>
            <w:gridSpan w:val="2"/>
            <w:vMerge w:val="continue"/>
            <w:tcBorders>
              <w:top w:val="nil"/>
            </w:tcBorders>
          </w:tcPr>
          <w:p w14:paraId="36A4EB09">
            <w:pPr>
              <w:rPr>
                <w:sz w:val="2"/>
                <w:szCs w:val="2"/>
              </w:rPr>
            </w:pPr>
          </w:p>
        </w:tc>
        <w:tc>
          <w:tcPr>
            <w:tcW w:w="676" w:type="dxa"/>
            <w:vMerge w:val="continue"/>
            <w:tcBorders>
              <w:top w:val="nil"/>
            </w:tcBorders>
          </w:tcPr>
          <w:p w14:paraId="73D2F5B2">
            <w:pPr>
              <w:rPr>
                <w:sz w:val="2"/>
                <w:szCs w:val="2"/>
              </w:rPr>
            </w:pPr>
          </w:p>
        </w:tc>
        <w:tc>
          <w:tcPr>
            <w:tcW w:w="6120" w:type="dxa"/>
            <w:vMerge w:val="continue"/>
            <w:tcBorders>
              <w:top w:val="nil"/>
            </w:tcBorders>
          </w:tcPr>
          <w:p w14:paraId="0DA73B2F">
            <w:pPr>
              <w:rPr>
                <w:sz w:val="2"/>
                <w:szCs w:val="2"/>
              </w:rPr>
            </w:pPr>
          </w:p>
        </w:tc>
        <w:tc>
          <w:tcPr>
            <w:tcW w:w="886" w:type="dxa"/>
            <w:vMerge w:val="continue"/>
            <w:tcBorders>
              <w:top w:val="nil"/>
            </w:tcBorders>
          </w:tcPr>
          <w:p w14:paraId="7262DA4B">
            <w:pPr>
              <w:rPr>
                <w:sz w:val="2"/>
                <w:szCs w:val="2"/>
              </w:rPr>
            </w:pPr>
          </w:p>
        </w:tc>
        <w:tc>
          <w:tcPr>
            <w:tcW w:w="736" w:type="dxa"/>
            <w:vMerge w:val="continue"/>
            <w:tcBorders>
              <w:top w:val="nil"/>
            </w:tcBorders>
          </w:tcPr>
          <w:p w14:paraId="7164AD39">
            <w:pPr>
              <w:rPr>
                <w:sz w:val="2"/>
                <w:szCs w:val="2"/>
              </w:rPr>
            </w:pPr>
          </w:p>
        </w:tc>
        <w:tc>
          <w:tcPr>
            <w:tcW w:w="630" w:type="dxa"/>
            <w:vMerge w:val="restart"/>
          </w:tcPr>
          <w:p w14:paraId="63C5686F">
            <w:pPr>
              <w:pStyle w:val="10"/>
              <w:rPr>
                <w:sz w:val="18"/>
              </w:rPr>
            </w:pPr>
          </w:p>
          <w:p w14:paraId="0E45183D">
            <w:pPr>
              <w:pStyle w:val="10"/>
              <w:spacing w:before="118"/>
              <w:rPr>
                <w:sz w:val="18"/>
              </w:rPr>
            </w:pPr>
          </w:p>
          <w:p w14:paraId="21A98460">
            <w:pPr>
              <w:pStyle w:val="10"/>
              <w:spacing w:line="232" w:lineRule="auto"/>
              <w:ind w:left="42" w:right="24"/>
              <w:jc w:val="both"/>
              <w:rPr>
                <w:sz w:val="18"/>
              </w:rPr>
            </w:pPr>
            <w:r>
              <w:rPr>
                <w:spacing w:val="-4"/>
                <w:sz w:val="18"/>
              </w:rPr>
              <w:t>特约有偿服务</w:t>
            </w:r>
            <w:r>
              <w:rPr>
                <w:spacing w:val="-6"/>
                <w:sz w:val="18"/>
              </w:rPr>
              <w:t>收费</w:t>
            </w:r>
          </w:p>
        </w:tc>
        <w:tc>
          <w:tcPr>
            <w:tcW w:w="3421" w:type="dxa"/>
            <w:vMerge w:val="restart"/>
          </w:tcPr>
          <w:p w14:paraId="4BCEDD77">
            <w:pPr>
              <w:pStyle w:val="10"/>
              <w:rPr>
                <w:sz w:val="18"/>
              </w:rPr>
            </w:pPr>
          </w:p>
          <w:p w14:paraId="5752BE32">
            <w:pPr>
              <w:pStyle w:val="10"/>
              <w:rPr>
                <w:sz w:val="18"/>
              </w:rPr>
            </w:pPr>
          </w:p>
          <w:p w14:paraId="394053F7">
            <w:pPr>
              <w:pStyle w:val="10"/>
              <w:rPr>
                <w:sz w:val="18"/>
              </w:rPr>
            </w:pPr>
          </w:p>
          <w:p w14:paraId="3B5E07B3">
            <w:pPr>
              <w:pStyle w:val="10"/>
              <w:spacing w:line="232" w:lineRule="auto"/>
              <w:ind w:left="1529" w:right="69" w:hanging="1440"/>
              <w:rPr>
                <w:sz w:val="18"/>
              </w:rPr>
            </w:pPr>
            <w:r>
              <w:rPr>
                <w:spacing w:val="-2"/>
                <w:sz w:val="18"/>
              </w:rPr>
              <w:t>（业主自用部位设施设备维修、家政等服</w:t>
            </w:r>
            <w:r>
              <w:rPr>
                <w:spacing w:val="-6"/>
                <w:sz w:val="18"/>
              </w:rPr>
              <w:t>务）</w:t>
            </w:r>
          </w:p>
        </w:tc>
        <w:tc>
          <w:tcPr>
            <w:tcW w:w="1110" w:type="dxa"/>
            <w:vMerge w:val="restart"/>
          </w:tcPr>
          <w:p w14:paraId="5890AC9A">
            <w:pPr>
              <w:pStyle w:val="10"/>
              <w:rPr>
                <w:sz w:val="18"/>
              </w:rPr>
            </w:pPr>
          </w:p>
          <w:p w14:paraId="68FED799">
            <w:pPr>
              <w:pStyle w:val="10"/>
              <w:spacing w:before="118"/>
              <w:rPr>
                <w:sz w:val="18"/>
              </w:rPr>
            </w:pPr>
          </w:p>
          <w:p w14:paraId="1CD72169">
            <w:pPr>
              <w:pStyle w:val="10"/>
              <w:spacing w:line="232" w:lineRule="auto"/>
              <w:ind w:left="102" w:right="85"/>
              <w:jc w:val="center"/>
              <w:rPr>
                <w:sz w:val="18"/>
              </w:rPr>
            </w:pPr>
            <w:r>
              <w:rPr>
                <w:spacing w:val="-2"/>
                <w:sz w:val="18"/>
              </w:rPr>
              <w:t>企业自主定价，业主自</w:t>
            </w:r>
            <w:r>
              <w:rPr>
                <w:spacing w:val="-4"/>
                <w:sz w:val="18"/>
              </w:rPr>
              <w:t>愿选择</w:t>
            </w:r>
          </w:p>
        </w:tc>
      </w:tr>
      <w:tr w14:paraId="674EC94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30" w:hRule="exact"/>
        </w:trPr>
        <w:tc>
          <w:tcPr>
            <w:tcW w:w="1832" w:type="dxa"/>
            <w:gridSpan w:val="2"/>
          </w:tcPr>
          <w:p w14:paraId="68D0AD09">
            <w:pPr>
              <w:pStyle w:val="10"/>
              <w:spacing w:before="61"/>
              <w:ind w:left="29"/>
              <w:rPr>
                <w:sz w:val="18"/>
              </w:rPr>
            </w:pPr>
            <w:r>
              <w:rPr>
                <w:rFonts w:ascii="Times New Roman" w:eastAsia="Times New Roman"/>
                <w:b/>
                <w:sz w:val="18"/>
              </w:rPr>
              <w:t>4.</w:t>
            </w:r>
            <w:r>
              <w:rPr>
                <w:spacing w:val="-2"/>
                <w:sz w:val="18"/>
              </w:rPr>
              <w:t>绿化养护服务</w:t>
            </w:r>
          </w:p>
        </w:tc>
        <w:tc>
          <w:tcPr>
            <w:tcW w:w="676" w:type="dxa"/>
          </w:tcPr>
          <w:p w14:paraId="3C287EA8">
            <w:pPr>
              <w:pStyle w:val="10"/>
              <w:rPr>
                <w:rFonts w:ascii="Times New Roman"/>
                <w:sz w:val="18"/>
              </w:rPr>
            </w:pPr>
          </w:p>
        </w:tc>
        <w:tc>
          <w:tcPr>
            <w:tcW w:w="6120" w:type="dxa"/>
          </w:tcPr>
          <w:p w14:paraId="6D0749F4">
            <w:pPr>
              <w:pStyle w:val="10"/>
              <w:rPr>
                <w:rFonts w:ascii="Times New Roman"/>
                <w:sz w:val="18"/>
              </w:rPr>
            </w:pPr>
          </w:p>
        </w:tc>
        <w:tc>
          <w:tcPr>
            <w:tcW w:w="886" w:type="dxa"/>
            <w:vMerge w:val="continue"/>
            <w:tcBorders>
              <w:top w:val="nil"/>
            </w:tcBorders>
          </w:tcPr>
          <w:p w14:paraId="628B7AA5">
            <w:pPr>
              <w:rPr>
                <w:sz w:val="2"/>
                <w:szCs w:val="2"/>
              </w:rPr>
            </w:pPr>
          </w:p>
        </w:tc>
        <w:tc>
          <w:tcPr>
            <w:tcW w:w="736" w:type="dxa"/>
            <w:vMerge w:val="continue"/>
            <w:tcBorders>
              <w:top w:val="nil"/>
            </w:tcBorders>
          </w:tcPr>
          <w:p w14:paraId="7E916A15">
            <w:pPr>
              <w:rPr>
                <w:sz w:val="2"/>
                <w:szCs w:val="2"/>
              </w:rPr>
            </w:pPr>
          </w:p>
        </w:tc>
        <w:tc>
          <w:tcPr>
            <w:tcW w:w="630" w:type="dxa"/>
            <w:vMerge w:val="continue"/>
            <w:tcBorders>
              <w:top w:val="nil"/>
            </w:tcBorders>
          </w:tcPr>
          <w:p w14:paraId="0644EBB2">
            <w:pPr>
              <w:rPr>
                <w:sz w:val="2"/>
                <w:szCs w:val="2"/>
              </w:rPr>
            </w:pPr>
          </w:p>
        </w:tc>
        <w:tc>
          <w:tcPr>
            <w:tcW w:w="3421" w:type="dxa"/>
            <w:vMerge w:val="continue"/>
            <w:tcBorders>
              <w:top w:val="nil"/>
            </w:tcBorders>
          </w:tcPr>
          <w:p w14:paraId="469FFE62">
            <w:pPr>
              <w:rPr>
                <w:sz w:val="2"/>
                <w:szCs w:val="2"/>
              </w:rPr>
            </w:pPr>
          </w:p>
        </w:tc>
        <w:tc>
          <w:tcPr>
            <w:tcW w:w="1110" w:type="dxa"/>
            <w:vMerge w:val="continue"/>
            <w:tcBorders>
              <w:top w:val="nil"/>
            </w:tcBorders>
          </w:tcPr>
          <w:p w14:paraId="00855C01">
            <w:pPr>
              <w:rPr>
                <w:sz w:val="2"/>
                <w:szCs w:val="2"/>
              </w:rPr>
            </w:pPr>
          </w:p>
        </w:tc>
      </w:tr>
      <w:tr w14:paraId="57FEBA6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051" w:hRule="exact"/>
        </w:trPr>
        <w:tc>
          <w:tcPr>
            <w:tcW w:w="766" w:type="dxa"/>
            <w:vMerge w:val="restart"/>
          </w:tcPr>
          <w:p w14:paraId="4264A29B">
            <w:pPr>
              <w:pStyle w:val="10"/>
              <w:rPr>
                <w:sz w:val="18"/>
              </w:rPr>
            </w:pPr>
          </w:p>
          <w:p w14:paraId="484CAD60">
            <w:pPr>
              <w:pStyle w:val="10"/>
              <w:spacing w:before="36"/>
              <w:rPr>
                <w:sz w:val="18"/>
              </w:rPr>
            </w:pPr>
          </w:p>
          <w:p w14:paraId="7440C3AD">
            <w:pPr>
              <w:pStyle w:val="10"/>
              <w:ind w:left="109" w:right="21" w:hanging="68"/>
              <w:rPr>
                <w:sz w:val="18"/>
              </w:rPr>
            </w:pPr>
            <w:r>
              <w:rPr>
                <w:rFonts w:ascii="Times New Roman" w:eastAsia="Times New Roman"/>
                <w:b/>
                <w:spacing w:val="-2"/>
                <w:sz w:val="18"/>
              </w:rPr>
              <w:t>5.</w:t>
            </w:r>
            <w:r>
              <w:rPr>
                <w:spacing w:val="-2"/>
                <w:sz w:val="18"/>
              </w:rPr>
              <w:t>共用部</w:t>
            </w:r>
            <w:r>
              <w:rPr>
                <w:spacing w:val="-4"/>
                <w:sz w:val="18"/>
              </w:rPr>
              <w:t>位设施设备养护服务</w:t>
            </w:r>
          </w:p>
        </w:tc>
        <w:tc>
          <w:tcPr>
            <w:tcW w:w="1066" w:type="dxa"/>
          </w:tcPr>
          <w:p w14:paraId="3D9FD6B7">
            <w:pPr>
              <w:pStyle w:val="10"/>
              <w:spacing w:before="59" w:line="232" w:lineRule="auto"/>
              <w:ind w:left="79" w:right="58"/>
              <w:jc w:val="center"/>
              <w:rPr>
                <w:sz w:val="18"/>
              </w:rPr>
            </w:pPr>
            <w:r>
              <w:rPr>
                <w:spacing w:val="-2"/>
                <w:sz w:val="18"/>
              </w:rPr>
              <w:t>共用部位设施、照明、弱电与避雷</w:t>
            </w:r>
            <w:r>
              <w:rPr>
                <w:spacing w:val="-6"/>
                <w:sz w:val="18"/>
              </w:rPr>
              <w:t>系统</w:t>
            </w:r>
          </w:p>
        </w:tc>
        <w:tc>
          <w:tcPr>
            <w:tcW w:w="676" w:type="dxa"/>
          </w:tcPr>
          <w:p w14:paraId="39AB5886">
            <w:pPr>
              <w:pStyle w:val="10"/>
              <w:rPr>
                <w:rFonts w:ascii="Times New Roman"/>
                <w:sz w:val="18"/>
              </w:rPr>
            </w:pPr>
          </w:p>
        </w:tc>
        <w:tc>
          <w:tcPr>
            <w:tcW w:w="6120" w:type="dxa"/>
          </w:tcPr>
          <w:p w14:paraId="11C069EC">
            <w:pPr>
              <w:pStyle w:val="10"/>
              <w:rPr>
                <w:rFonts w:ascii="Times New Roman"/>
                <w:sz w:val="18"/>
              </w:rPr>
            </w:pPr>
          </w:p>
        </w:tc>
        <w:tc>
          <w:tcPr>
            <w:tcW w:w="886" w:type="dxa"/>
            <w:vMerge w:val="continue"/>
            <w:tcBorders>
              <w:top w:val="nil"/>
            </w:tcBorders>
          </w:tcPr>
          <w:p w14:paraId="45414FE4">
            <w:pPr>
              <w:rPr>
                <w:sz w:val="2"/>
                <w:szCs w:val="2"/>
              </w:rPr>
            </w:pPr>
          </w:p>
        </w:tc>
        <w:tc>
          <w:tcPr>
            <w:tcW w:w="736" w:type="dxa"/>
            <w:vMerge w:val="continue"/>
            <w:tcBorders>
              <w:top w:val="nil"/>
            </w:tcBorders>
          </w:tcPr>
          <w:p w14:paraId="243A096C">
            <w:pPr>
              <w:rPr>
                <w:sz w:val="2"/>
                <w:szCs w:val="2"/>
              </w:rPr>
            </w:pPr>
          </w:p>
        </w:tc>
        <w:tc>
          <w:tcPr>
            <w:tcW w:w="630" w:type="dxa"/>
            <w:vMerge w:val="continue"/>
            <w:tcBorders>
              <w:top w:val="nil"/>
            </w:tcBorders>
          </w:tcPr>
          <w:p w14:paraId="28936918">
            <w:pPr>
              <w:rPr>
                <w:sz w:val="2"/>
                <w:szCs w:val="2"/>
              </w:rPr>
            </w:pPr>
          </w:p>
        </w:tc>
        <w:tc>
          <w:tcPr>
            <w:tcW w:w="3421" w:type="dxa"/>
            <w:vMerge w:val="continue"/>
            <w:tcBorders>
              <w:top w:val="nil"/>
            </w:tcBorders>
          </w:tcPr>
          <w:p w14:paraId="037517D8">
            <w:pPr>
              <w:rPr>
                <w:sz w:val="2"/>
                <w:szCs w:val="2"/>
              </w:rPr>
            </w:pPr>
          </w:p>
        </w:tc>
        <w:tc>
          <w:tcPr>
            <w:tcW w:w="1110" w:type="dxa"/>
            <w:vMerge w:val="continue"/>
            <w:tcBorders>
              <w:top w:val="nil"/>
            </w:tcBorders>
          </w:tcPr>
          <w:p w14:paraId="60504286">
            <w:pPr>
              <w:rPr>
                <w:sz w:val="2"/>
                <w:szCs w:val="2"/>
              </w:rPr>
            </w:pPr>
          </w:p>
        </w:tc>
      </w:tr>
      <w:tr w14:paraId="69DA9DF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93" w:hRule="exact"/>
        </w:trPr>
        <w:tc>
          <w:tcPr>
            <w:tcW w:w="766" w:type="dxa"/>
            <w:vMerge w:val="continue"/>
            <w:tcBorders>
              <w:top w:val="nil"/>
            </w:tcBorders>
          </w:tcPr>
          <w:p w14:paraId="790825FA">
            <w:pPr>
              <w:rPr>
                <w:sz w:val="2"/>
                <w:szCs w:val="2"/>
              </w:rPr>
            </w:pPr>
          </w:p>
        </w:tc>
        <w:tc>
          <w:tcPr>
            <w:tcW w:w="1066" w:type="dxa"/>
          </w:tcPr>
          <w:p w14:paraId="03E0CC54">
            <w:pPr>
              <w:pStyle w:val="10"/>
              <w:spacing w:before="110"/>
              <w:ind w:left="17"/>
              <w:jc w:val="center"/>
              <w:rPr>
                <w:sz w:val="18"/>
              </w:rPr>
            </w:pPr>
            <w:r>
              <w:rPr>
                <w:spacing w:val="-3"/>
                <w:sz w:val="18"/>
              </w:rPr>
              <w:t>消防系统</w:t>
            </w:r>
          </w:p>
        </w:tc>
        <w:tc>
          <w:tcPr>
            <w:tcW w:w="676" w:type="dxa"/>
          </w:tcPr>
          <w:p w14:paraId="2A62FD35">
            <w:pPr>
              <w:pStyle w:val="10"/>
              <w:rPr>
                <w:rFonts w:ascii="Times New Roman"/>
                <w:sz w:val="18"/>
              </w:rPr>
            </w:pPr>
          </w:p>
        </w:tc>
        <w:tc>
          <w:tcPr>
            <w:tcW w:w="6120" w:type="dxa"/>
          </w:tcPr>
          <w:p w14:paraId="609D8FF4">
            <w:pPr>
              <w:pStyle w:val="10"/>
              <w:rPr>
                <w:rFonts w:ascii="Times New Roman"/>
                <w:sz w:val="18"/>
              </w:rPr>
            </w:pPr>
          </w:p>
        </w:tc>
        <w:tc>
          <w:tcPr>
            <w:tcW w:w="886" w:type="dxa"/>
            <w:vMerge w:val="continue"/>
            <w:tcBorders>
              <w:top w:val="nil"/>
            </w:tcBorders>
          </w:tcPr>
          <w:p w14:paraId="7E0172F4">
            <w:pPr>
              <w:rPr>
                <w:sz w:val="2"/>
                <w:szCs w:val="2"/>
              </w:rPr>
            </w:pPr>
          </w:p>
        </w:tc>
        <w:tc>
          <w:tcPr>
            <w:tcW w:w="736" w:type="dxa"/>
            <w:vMerge w:val="continue"/>
            <w:tcBorders>
              <w:top w:val="nil"/>
            </w:tcBorders>
          </w:tcPr>
          <w:p w14:paraId="59CCEA21">
            <w:pPr>
              <w:rPr>
                <w:sz w:val="2"/>
                <w:szCs w:val="2"/>
              </w:rPr>
            </w:pPr>
          </w:p>
        </w:tc>
        <w:tc>
          <w:tcPr>
            <w:tcW w:w="630" w:type="dxa"/>
            <w:vMerge w:val="restart"/>
          </w:tcPr>
          <w:p w14:paraId="62CB8B48">
            <w:pPr>
              <w:pStyle w:val="10"/>
              <w:spacing w:before="196" w:line="256" w:lineRule="auto"/>
              <w:ind w:left="42" w:right="24" w:firstLine="90"/>
              <w:rPr>
                <w:sz w:val="18"/>
              </w:rPr>
            </w:pPr>
            <w:r>
              <w:rPr>
                <w:spacing w:val="-6"/>
                <w:sz w:val="18"/>
              </w:rPr>
              <w:t>证卡</w:t>
            </w:r>
            <w:r>
              <w:rPr>
                <w:spacing w:val="-4"/>
                <w:sz w:val="18"/>
              </w:rPr>
              <w:t>工本费</w:t>
            </w:r>
          </w:p>
        </w:tc>
        <w:tc>
          <w:tcPr>
            <w:tcW w:w="3421" w:type="dxa"/>
            <w:vMerge w:val="restart"/>
          </w:tcPr>
          <w:p w14:paraId="0F548D43">
            <w:pPr>
              <w:pStyle w:val="10"/>
              <w:rPr>
                <w:rFonts w:ascii="Times New Roman"/>
                <w:sz w:val="18"/>
              </w:rPr>
            </w:pPr>
          </w:p>
        </w:tc>
        <w:tc>
          <w:tcPr>
            <w:tcW w:w="1110" w:type="dxa"/>
            <w:vMerge w:val="restart"/>
          </w:tcPr>
          <w:p w14:paraId="4DE61BFD">
            <w:pPr>
              <w:pStyle w:val="10"/>
              <w:spacing w:before="101" w:line="227" w:lineRule="exact"/>
              <w:ind w:left="102"/>
              <w:rPr>
                <w:sz w:val="18"/>
              </w:rPr>
            </w:pPr>
            <w:r>
              <w:rPr>
                <w:spacing w:val="-2"/>
                <w:sz w:val="18"/>
              </w:rPr>
              <w:t>增加、遗失</w:t>
            </w:r>
          </w:p>
          <w:p w14:paraId="6DA449D8">
            <w:pPr>
              <w:pStyle w:val="10"/>
              <w:spacing w:before="2" w:line="232" w:lineRule="auto"/>
              <w:ind w:left="282" w:right="85" w:hanging="180"/>
              <w:rPr>
                <w:sz w:val="18"/>
              </w:rPr>
            </w:pPr>
            <w:r>
              <w:rPr>
                <w:spacing w:val="-2"/>
                <w:sz w:val="18"/>
              </w:rPr>
              <w:t>、损坏需要</w:t>
            </w:r>
            <w:r>
              <w:rPr>
                <w:spacing w:val="-4"/>
                <w:sz w:val="18"/>
              </w:rPr>
              <w:t>补办的</w:t>
            </w:r>
          </w:p>
        </w:tc>
      </w:tr>
      <w:tr w14:paraId="347C723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30" w:hRule="exact"/>
        </w:trPr>
        <w:tc>
          <w:tcPr>
            <w:tcW w:w="766" w:type="dxa"/>
            <w:vMerge w:val="continue"/>
            <w:tcBorders>
              <w:top w:val="nil"/>
            </w:tcBorders>
          </w:tcPr>
          <w:p w14:paraId="48D72826">
            <w:pPr>
              <w:rPr>
                <w:sz w:val="2"/>
                <w:szCs w:val="2"/>
              </w:rPr>
            </w:pPr>
          </w:p>
        </w:tc>
        <w:tc>
          <w:tcPr>
            <w:tcW w:w="1066" w:type="dxa"/>
          </w:tcPr>
          <w:p w14:paraId="10CC9453">
            <w:pPr>
              <w:pStyle w:val="10"/>
              <w:spacing w:before="80"/>
              <w:ind w:left="17"/>
              <w:jc w:val="center"/>
              <w:rPr>
                <w:sz w:val="18"/>
              </w:rPr>
            </w:pPr>
            <w:r>
              <w:rPr>
                <w:spacing w:val="-3"/>
                <w:sz w:val="18"/>
              </w:rPr>
              <w:t>升降系统</w:t>
            </w:r>
          </w:p>
        </w:tc>
        <w:tc>
          <w:tcPr>
            <w:tcW w:w="676" w:type="dxa"/>
          </w:tcPr>
          <w:p w14:paraId="4C0CCFFB">
            <w:pPr>
              <w:pStyle w:val="10"/>
              <w:rPr>
                <w:rFonts w:ascii="Times New Roman"/>
                <w:sz w:val="18"/>
              </w:rPr>
            </w:pPr>
          </w:p>
        </w:tc>
        <w:tc>
          <w:tcPr>
            <w:tcW w:w="6120" w:type="dxa"/>
          </w:tcPr>
          <w:p w14:paraId="5C9EDE20">
            <w:pPr>
              <w:pStyle w:val="10"/>
              <w:rPr>
                <w:rFonts w:ascii="Times New Roman"/>
                <w:sz w:val="18"/>
              </w:rPr>
            </w:pPr>
          </w:p>
        </w:tc>
        <w:tc>
          <w:tcPr>
            <w:tcW w:w="886" w:type="dxa"/>
            <w:vMerge w:val="continue"/>
            <w:tcBorders>
              <w:top w:val="nil"/>
            </w:tcBorders>
          </w:tcPr>
          <w:p w14:paraId="07123176">
            <w:pPr>
              <w:rPr>
                <w:sz w:val="2"/>
                <w:szCs w:val="2"/>
              </w:rPr>
            </w:pPr>
          </w:p>
        </w:tc>
        <w:tc>
          <w:tcPr>
            <w:tcW w:w="736" w:type="dxa"/>
            <w:vMerge w:val="continue"/>
            <w:tcBorders>
              <w:top w:val="nil"/>
            </w:tcBorders>
          </w:tcPr>
          <w:p w14:paraId="22984AE0">
            <w:pPr>
              <w:rPr>
                <w:sz w:val="2"/>
                <w:szCs w:val="2"/>
              </w:rPr>
            </w:pPr>
          </w:p>
        </w:tc>
        <w:tc>
          <w:tcPr>
            <w:tcW w:w="630" w:type="dxa"/>
            <w:vMerge w:val="continue"/>
            <w:tcBorders>
              <w:top w:val="nil"/>
            </w:tcBorders>
          </w:tcPr>
          <w:p w14:paraId="45E6A8A4">
            <w:pPr>
              <w:rPr>
                <w:sz w:val="2"/>
                <w:szCs w:val="2"/>
              </w:rPr>
            </w:pPr>
          </w:p>
        </w:tc>
        <w:tc>
          <w:tcPr>
            <w:tcW w:w="3421" w:type="dxa"/>
            <w:vMerge w:val="continue"/>
            <w:tcBorders>
              <w:top w:val="nil"/>
            </w:tcBorders>
          </w:tcPr>
          <w:p w14:paraId="476C3E44">
            <w:pPr>
              <w:rPr>
                <w:sz w:val="2"/>
                <w:szCs w:val="2"/>
              </w:rPr>
            </w:pPr>
          </w:p>
        </w:tc>
        <w:tc>
          <w:tcPr>
            <w:tcW w:w="1110" w:type="dxa"/>
            <w:vMerge w:val="continue"/>
            <w:tcBorders>
              <w:top w:val="nil"/>
            </w:tcBorders>
          </w:tcPr>
          <w:p w14:paraId="776BE67C">
            <w:pPr>
              <w:rPr>
                <w:sz w:val="2"/>
                <w:szCs w:val="2"/>
              </w:rPr>
            </w:pPr>
          </w:p>
        </w:tc>
      </w:tr>
      <w:tr w14:paraId="0C0BDF8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232" w:hRule="exact"/>
        </w:trPr>
        <w:tc>
          <w:tcPr>
            <w:tcW w:w="15411" w:type="dxa"/>
            <w:gridSpan w:val="9"/>
          </w:tcPr>
          <w:p w14:paraId="157D92BF">
            <w:pPr>
              <w:pStyle w:val="10"/>
              <w:tabs>
                <w:tab w:val="left" w:pos="2694"/>
              </w:tabs>
              <w:spacing w:line="229" w:lineRule="exact"/>
              <w:ind w:left="2237"/>
              <w:rPr>
                <w:sz w:val="18"/>
              </w:rPr>
            </w:pPr>
            <w:r>
              <w:rPr>
                <w:spacing w:val="-10"/>
                <w:sz w:val="18"/>
              </w:rPr>
              <w:t>说</w:t>
            </w:r>
            <w:r>
              <w:rPr>
                <w:sz w:val="18"/>
              </w:rPr>
              <w:tab/>
            </w:r>
            <w:r>
              <w:rPr>
                <w:spacing w:val="-10"/>
                <w:sz w:val="18"/>
              </w:rPr>
              <w:t>明</w:t>
            </w:r>
          </w:p>
          <w:p w14:paraId="32C85A09">
            <w:pPr>
              <w:pStyle w:val="10"/>
              <w:numPr>
                <w:ilvl w:val="0"/>
                <w:numId w:val="1"/>
              </w:numPr>
              <w:tabs>
                <w:tab w:val="left" w:pos="300"/>
              </w:tabs>
              <w:spacing w:before="4" w:after="0" w:line="240" w:lineRule="auto"/>
              <w:ind w:left="300" w:right="0" w:hanging="271"/>
              <w:jc w:val="left"/>
              <w:rPr>
                <w:rFonts w:ascii="Times New Roman" w:eastAsia="Times New Roman"/>
                <w:b/>
                <w:sz w:val="16"/>
              </w:rPr>
            </w:pPr>
            <w:r>
              <w:rPr>
                <w:sz w:val="18"/>
              </w:rPr>
              <w:t>物业公共服务费按（月、季度、半年）预收，收费起始时间为：每（月、季度、半年）</w:t>
            </w:r>
            <w:r>
              <w:rPr>
                <w:rFonts w:ascii="Times New Roman" w:eastAsia="Times New Roman"/>
                <w:b/>
                <w:sz w:val="18"/>
              </w:rPr>
              <w:t>*</w:t>
            </w:r>
            <w:r>
              <w:rPr>
                <w:spacing w:val="-2"/>
                <w:sz w:val="18"/>
              </w:rPr>
              <w:t>日前交纳。</w:t>
            </w:r>
          </w:p>
          <w:p w14:paraId="6E97C083">
            <w:pPr>
              <w:pStyle w:val="10"/>
              <w:numPr>
                <w:ilvl w:val="0"/>
                <w:numId w:val="1"/>
              </w:numPr>
              <w:tabs>
                <w:tab w:val="left" w:pos="300"/>
              </w:tabs>
              <w:spacing w:before="5" w:after="0" w:line="240" w:lineRule="auto"/>
              <w:ind w:left="300" w:right="0" w:hanging="271"/>
              <w:jc w:val="left"/>
              <w:rPr>
                <w:rFonts w:ascii="Times New Roman" w:eastAsia="Times New Roman"/>
                <w:b/>
                <w:sz w:val="16"/>
              </w:rPr>
            </w:pPr>
            <w:r>
              <w:rPr>
                <w:sz w:val="18"/>
              </w:rPr>
              <w:t>前期物业服务合同期限：</w:t>
            </w:r>
            <w:r>
              <w:rPr>
                <w:rFonts w:ascii="Times New Roman" w:eastAsia="Times New Roman"/>
                <w:b/>
                <w:sz w:val="18"/>
              </w:rPr>
              <w:t>*</w:t>
            </w:r>
            <w:r>
              <w:rPr>
                <w:sz w:val="18"/>
              </w:rPr>
              <w:t>年</w:t>
            </w:r>
            <w:r>
              <w:rPr>
                <w:rFonts w:ascii="Times New Roman" w:eastAsia="Times New Roman"/>
                <w:b/>
                <w:sz w:val="18"/>
              </w:rPr>
              <w:t>*</w:t>
            </w:r>
            <w:r>
              <w:rPr>
                <w:sz w:val="18"/>
              </w:rPr>
              <w:t>月</w:t>
            </w:r>
            <w:r>
              <w:rPr>
                <w:rFonts w:ascii="Times New Roman" w:eastAsia="Times New Roman"/>
                <w:b/>
                <w:sz w:val="18"/>
              </w:rPr>
              <w:t>*</w:t>
            </w:r>
            <w:r>
              <w:rPr>
                <w:sz w:val="18"/>
              </w:rPr>
              <w:t>日</w:t>
            </w:r>
            <w:r>
              <w:rPr>
                <w:rFonts w:ascii="Times New Roman" w:eastAsia="Times New Roman"/>
                <w:b/>
                <w:sz w:val="18"/>
              </w:rPr>
              <w:t>-</w:t>
            </w:r>
            <w:r>
              <w:rPr>
                <w:sz w:val="18"/>
              </w:rPr>
              <w:t>年</w:t>
            </w:r>
            <w:r>
              <w:rPr>
                <w:rFonts w:ascii="Times New Roman" w:eastAsia="Times New Roman"/>
                <w:b/>
                <w:sz w:val="18"/>
              </w:rPr>
              <w:t>*</w:t>
            </w:r>
            <w:r>
              <w:rPr>
                <w:sz w:val="18"/>
              </w:rPr>
              <w:t>月</w:t>
            </w:r>
            <w:r>
              <w:rPr>
                <w:rFonts w:ascii="Times New Roman" w:eastAsia="Times New Roman"/>
                <w:b/>
                <w:sz w:val="18"/>
              </w:rPr>
              <w:t>*</w:t>
            </w:r>
            <w:r>
              <w:rPr>
                <w:spacing w:val="-5"/>
                <w:sz w:val="18"/>
              </w:rPr>
              <w:t>日。</w:t>
            </w:r>
          </w:p>
          <w:p w14:paraId="10B4DE23">
            <w:pPr>
              <w:pStyle w:val="10"/>
              <w:numPr>
                <w:ilvl w:val="0"/>
                <w:numId w:val="1"/>
              </w:numPr>
              <w:tabs>
                <w:tab w:val="left" w:pos="300"/>
              </w:tabs>
              <w:spacing w:before="0" w:after="0" w:line="256" w:lineRule="auto"/>
              <w:ind w:left="29" w:right="67" w:firstLine="0"/>
              <w:jc w:val="left"/>
              <w:rPr>
                <w:rFonts w:ascii="Times New Roman" w:eastAsia="Times New Roman"/>
                <w:b/>
                <w:color w:val="FF0000"/>
                <w:sz w:val="16"/>
              </w:rPr>
            </w:pPr>
            <w:r>
              <w:rPr>
                <w:color w:val="FF0000"/>
                <w:sz w:val="18"/>
              </w:rPr>
              <w:t>因建设单位分期开发、分批交付使用等原因，目前小区配套设施设备、道路通行、绿化环境等未能达到房屋买卖合同约定标准，物业公共服务费暂按合同约定标准的</w:t>
            </w:r>
            <w:r>
              <w:rPr>
                <w:rFonts w:ascii="Times New Roman" w:eastAsia="Times New Roman"/>
                <w:b/>
                <w:color w:val="FF0000"/>
                <w:sz w:val="18"/>
              </w:rPr>
              <w:t>80</w:t>
            </w:r>
            <w:r>
              <w:rPr>
                <w:rFonts w:ascii="Times New Roman" w:eastAsia="Times New Roman"/>
                <w:b/>
                <w:color w:val="FF0000"/>
                <w:spacing w:val="-2"/>
                <w:sz w:val="18"/>
              </w:rPr>
              <w:t>%</w:t>
            </w:r>
            <w:r>
              <w:rPr>
                <w:color w:val="FF0000"/>
                <w:sz w:val="18"/>
              </w:rPr>
              <w:t>的比例收取，待小区内相关设施设备配套完善后，将按照合同约定标准进行收费。</w:t>
            </w:r>
          </w:p>
        </w:tc>
      </w:tr>
    </w:tbl>
    <w:p w14:paraId="308C3948">
      <w:pPr>
        <w:spacing w:before="30"/>
        <w:ind w:left="179" w:right="0" w:firstLine="0"/>
        <w:jc w:val="left"/>
        <w:rPr>
          <w:rFonts w:hint="eastAsia" w:eastAsia="宋体"/>
          <w:sz w:val="20"/>
          <w:lang w:eastAsia="zh-CN"/>
        </w:rPr>
        <w:sectPr>
          <w:type w:val="continuous"/>
          <w:pgSz w:w="16840" w:h="11910" w:orient="landscape"/>
          <w:pgMar w:top="1940" w:right="708" w:bottom="1840" w:left="566" w:header="0" w:footer="777" w:gutter="0"/>
          <w:cols w:space="720" w:num="1"/>
        </w:sectPr>
      </w:pPr>
      <w:r>
        <w:rPr>
          <w:spacing w:val="-3"/>
          <w:sz w:val="20"/>
        </w:rPr>
        <w:t>备注：住宅小区整体交付后按照合同约定收费的，制作公示牌时需将表格中红色字体部分删除后，制定公示牌在小区显著位置予以公示</w:t>
      </w:r>
      <w:r>
        <w:rPr>
          <w:rFonts w:hint="eastAsia"/>
          <w:spacing w:val="-3"/>
          <w:sz w:val="20"/>
          <w:lang w:eastAsia="zh-CN"/>
        </w:rPr>
        <w:t>。</w:t>
      </w:r>
    </w:p>
    <w:p w14:paraId="1DF9309B">
      <w:pPr>
        <w:tabs>
          <w:tab w:val="left" w:pos="5761"/>
        </w:tabs>
        <w:spacing w:before="1"/>
        <w:ind w:right="0"/>
        <w:jc w:val="left"/>
        <w:rPr>
          <w:sz w:val="28"/>
        </w:rPr>
      </w:pPr>
    </w:p>
    <w:sectPr>
      <w:footerReference r:id="rId13" w:type="default"/>
      <w:footerReference r:id="rId14" w:type="even"/>
      <w:pgSz w:w="11910" w:h="16840"/>
      <w:pgMar w:top="1940" w:right="1700" w:bottom="280" w:left="1700"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Microsoft JhengHei">
    <w:panose1 w:val="020B0604030504040204"/>
    <w:charset w:val="88"/>
    <w:family w:val="swiss"/>
    <w:pitch w:val="default"/>
    <w:sig w:usb0="00000087" w:usb1="28AF4000" w:usb2="00000016" w:usb3="00000000" w:csb0="00100009"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B15225">
    <w:pPr>
      <w:pStyle w:val="4"/>
      <w:spacing w:line="14" w:lineRule="auto"/>
      <w:rPr>
        <w:sz w:val="20"/>
      </w:rPr>
    </w:pPr>
    <w:r>
      <w:rPr>
        <w:sz w:val="20"/>
      </w:rPr>
      <mc:AlternateContent>
        <mc:Choice Requires="wps">
          <w:drawing>
            <wp:anchor distT="0" distB="0" distL="0" distR="0" simplePos="0" relativeHeight="251659264" behindDoc="1" locked="0" layoutInCell="1" allowOverlap="1">
              <wp:simplePos x="0" y="0"/>
              <wp:positionH relativeFrom="page">
                <wp:posOffset>5951855</wp:posOffset>
              </wp:positionH>
              <wp:positionV relativeFrom="page">
                <wp:posOffset>9508490</wp:posOffset>
              </wp:positionV>
              <wp:extent cx="469900" cy="223520"/>
              <wp:effectExtent l="0" t="0" r="0" b="0"/>
              <wp:wrapNone/>
              <wp:docPr id="1" name="Textbox 1"/>
              <wp:cNvGraphicFramePr/>
              <a:graphic xmlns:a="http://schemas.openxmlformats.org/drawingml/2006/main">
                <a:graphicData uri="http://schemas.microsoft.com/office/word/2010/wordprocessingShape">
                  <wps:wsp>
                    <wps:cNvSpPr txBox="1"/>
                    <wps:spPr>
                      <a:xfrm>
                        <a:off x="0" y="0"/>
                        <a:ext cx="469900" cy="223520"/>
                      </a:xfrm>
                      <a:prstGeom prst="rect">
                        <a:avLst/>
                      </a:prstGeom>
                    </wps:spPr>
                    <wps:txbx>
                      <w:txbxContent>
                        <w:p w14:paraId="600786B0">
                          <w:pPr>
                            <w:spacing w:before="9"/>
                            <w:ind w:left="20" w:right="0" w:firstLine="0"/>
                            <w:jc w:val="left"/>
                            <w:rPr>
                              <w:rFonts w:ascii="Times New Roman" w:hAnsi="Times New Roman"/>
                              <w:sz w:val="28"/>
                            </w:rPr>
                          </w:pPr>
                          <w:r>
                            <w:rPr>
                              <w:rFonts w:ascii="Times New Roman" w:hAnsi="Times New Roman"/>
                              <w:sz w:val="28"/>
                            </w:rPr>
                            <w:t>—</w:t>
                          </w:r>
                          <w:r>
                            <w:rPr>
                              <w:rFonts w:ascii="Times New Roman" w:hAnsi="Times New Roman"/>
                              <w:sz w:val="28"/>
                            </w:rPr>
                            <w:fldChar w:fldCharType="begin"/>
                          </w:r>
                          <w:r>
                            <w:rPr>
                              <w:rFonts w:ascii="Times New Roman" w:hAnsi="Times New Roman"/>
                              <w:sz w:val="28"/>
                            </w:rPr>
                            <w:instrText xml:space="preserve"> PAGE </w:instrText>
                          </w:r>
                          <w:r>
                            <w:rPr>
                              <w:rFonts w:ascii="Times New Roman" w:hAnsi="Times New Roman"/>
                              <w:sz w:val="28"/>
                            </w:rPr>
                            <w:fldChar w:fldCharType="separate"/>
                          </w:r>
                          <w:r>
                            <w:rPr>
                              <w:rFonts w:ascii="Times New Roman" w:hAnsi="Times New Roman"/>
                              <w:sz w:val="28"/>
                            </w:rPr>
                            <w:t>1</w:t>
                          </w:r>
                          <w:r>
                            <w:rPr>
                              <w:rFonts w:ascii="Times New Roman" w:hAnsi="Times New Roman"/>
                              <w:sz w:val="28"/>
                            </w:rPr>
                            <w:fldChar w:fldCharType="end"/>
                          </w:r>
                          <w:r>
                            <w:rPr>
                              <w:rFonts w:ascii="Times New Roman" w:hAnsi="Times New Roman"/>
                              <w:sz w:val="28"/>
                            </w:rPr>
                            <w:t>—</w:t>
                          </w:r>
                        </w:p>
                      </w:txbxContent>
                    </wps:txbx>
                    <wps:bodyPr wrap="square" lIns="0" tIns="0" rIns="0" bIns="0" rtlCol="0">
                      <a:noAutofit/>
                    </wps:bodyPr>
                  </wps:wsp>
                </a:graphicData>
              </a:graphic>
            </wp:anchor>
          </w:drawing>
        </mc:Choice>
        <mc:Fallback>
          <w:pict>
            <v:shape id="Textbox 1" o:spid="_x0000_s1026" o:spt="202" type="#_x0000_t202" style="position:absolute;left:0pt;margin-left:468.65pt;margin-top:748.7pt;height:17.6pt;width:37pt;mso-position-horizontal-relative:page;mso-position-vertical-relative:page;z-index:-251657216;mso-width-relative:page;mso-height-relative:page;" filled="f" stroked="f" coordsize="21600,21600" o:gfxdata="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ALbrhR3AAAAA4BAAAPAAAAAAAAAAEAIAAAACIAAABkcnMvZG93bnJldi54bWxQSwECFAAUAAAA&#10;CACHTuJAn49P57EBAABzAwAADgAAAAAAAAABACAAAAArAQAAZHJzL2Uyb0RvYy54bWxQSwUGAAAA&#10;AAYABgBZAQAATgUAAAAA&#10;">
              <v:fill on="f" focussize="0,0"/>
              <v:stroke on="f"/>
              <v:imagedata o:title=""/>
              <o:lock v:ext="edit" aspectratio="f"/>
              <v:textbox inset="0mm,0mm,0mm,0mm">
                <w:txbxContent>
                  <w:p w14:paraId="600786B0">
                    <w:pPr>
                      <w:spacing w:before="9"/>
                      <w:ind w:left="20" w:right="0" w:firstLine="0"/>
                      <w:jc w:val="left"/>
                      <w:rPr>
                        <w:rFonts w:ascii="Times New Roman" w:hAnsi="Times New Roman"/>
                        <w:sz w:val="28"/>
                      </w:rPr>
                    </w:pPr>
                    <w:r>
                      <w:rPr>
                        <w:rFonts w:ascii="Times New Roman" w:hAnsi="Times New Roman"/>
                        <w:sz w:val="28"/>
                      </w:rPr>
                      <w:t>—</w:t>
                    </w:r>
                    <w:r>
                      <w:rPr>
                        <w:rFonts w:ascii="Times New Roman" w:hAnsi="Times New Roman"/>
                        <w:sz w:val="28"/>
                      </w:rPr>
                      <w:fldChar w:fldCharType="begin"/>
                    </w:r>
                    <w:r>
                      <w:rPr>
                        <w:rFonts w:ascii="Times New Roman" w:hAnsi="Times New Roman"/>
                        <w:sz w:val="28"/>
                      </w:rPr>
                      <w:instrText xml:space="preserve"> PAGE </w:instrText>
                    </w:r>
                    <w:r>
                      <w:rPr>
                        <w:rFonts w:ascii="Times New Roman" w:hAnsi="Times New Roman"/>
                        <w:sz w:val="28"/>
                      </w:rPr>
                      <w:fldChar w:fldCharType="separate"/>
                    </w:r>
                    <w:r>
                      <w:rPr>
                        <w:rFonts w:ascii="Times New Roman" w:hAnsi="Times New Roman"/>
                        <w:sz w:val="28"/>
                      </w:rPr>
                      <w:t>1</w:t>
                    </w:r>
                    <w:r>
                      <w:rPr>
                        <w:rFonts w:ascii="Times New Roman" w:hAnsi="Times New Roman"/>
                        <w:sz w:val="28"/>
                      </w:rPr>
                      <w:fldChar w:fldCharType="end"/>
                    </w:r>
                    <w:r>
                      <w:rPr>
                        <w:rFonts w:ascii="Times New Roman" w:hAnsi="Times New Roman"/>
                        <w:sz w:val="28"/>
                      </w:rPr>
                      <w:t>—</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7475A">
    <w:pPr>
      <w:pStyle w:val="4"/>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210253">
    <w:pPr>
      <w:pStyle w:val="4"/>
      <w:spacing w:line="14" w:lineRule="auto"/>
      <w:rPr>
        <w:sz w:val="20"/>
      </w:rPr>
    </w:pPr>
    <w:r>
      <w:rPr>
        <w:sz w:val="20"/>
      </w:rPr>
      <mc:AlternateContent>
        <mc:Choice Requires="wps">
          <w:drawing>
            <wp:anchor distT="0" distB="0" distL="0" distR="0" simplePos="0" relativeHeight="251659264" behindDoc="1" locked="0" layoutInCell="1" allowOverlap="1">
              <wp:simplePos x="0" y="0"/>
              <wp:positionH relativeFrom="page">
                <wp:posOffset>1136015</wp:posOffset>
              </wp:positionH>
              <wp:positionV relativeFrom="page">
                <wp:posOffset>9508490</wp:posOffset>
              </wp:positionV>
              <wp:extent cx="469900" cy="223520"/>
              <wp:effectExtent l="0" t="0" r="0" b="0"/>
              <wp:wrapNone/>
              <wp:docPr id="2" name="Textbox 2"/>
              <wp:cNvGraphicFramePr/>
              <a:graphic xmlns:a="http://schemas.openxmlformats.org/drawingml/2006/main">
                <a:graphicData uri="http://schemas.microsoft.com/office/word/2010/wordprocessingShape">
                  <wps:wsp>
                    <wps:cNvSpPr txBox="1"/>
                    <wps:spPr>
                      <a:xfrm>
                        <a:off x="0" y="0"/>
                        <a:ext cx="469900" cy="223520"/>
                      </a:xfrm>
                      <a:prstGeom prst="rect">
                        <a:avLst/>
                      </a:prstGeom>
                    </wps:spPr>
                    <wps:txbx>
                      <w:txbxContent>
                        <w:p w14:paraId="4BDBFFA3">
                          <w:pPr>
                            <w:spacing w:before="9"/>
                            <w:ind w:left="20" w:right="0" w:firstLine="0"/>
                            <w:jc w:val="left"/>
                            <w:rPr>
                              <w:rFonts w:ascii="Times New Roman" w:hAnsi="Times New Roman"/>
                              <w:sz w:val="28"/>
                            </w:rPr>
                          </w:pPr>
                          <w:r>
                            <w:rPr>
                              <w:rFonts w:ascii="Times New Roman" w:hAnsi="Times New Roman"/>
                              <w:sz w:val="28"/>
                            </w:rPr>
                            <w:t>—</w:t>
                          </w:r>
                          <w:r>
                            <w:rPr>
                              <w:rFonts w:ascii="Times New Roman" w:hAnsi="Times New Roman"/>
                              <w:sz w:val="28"/>
                            </w:rPr>
                            <w:fldChar w:fldCharType="begin"/>
                          </w:r>
                          <w:r>
                            <w:rPr>
                              <w:rFonts w:ascii="Times New Roman" w:hAnsi="Times New Roman"/>
                              <w:sz w:val="28"/>
                            </w:rPr>
                            <w:instrText xml:space="preserve"> PAGE </w:instrText>
                          </w:r>
                          <w:r>
                            <w:rPr>
                              <w:rFonts w:ascii="Times New Roman" w:hAnsi="Times New Roman"/>
                              <w:sz w:val="28"/>
                            </w:rPr>
                            <w:fldChar w:fldCharType="separate"/>
                          </w:r>
                          <w:r>
                            <w:rPr>
                              <w:rFonts w:ascii="Times New Roman" w:hAnsi="Times New Roman"/>
                              <w:sz w:val="28"/>
                            </w:rPr>
                            <w:t>2</w:t>
                          </w:r>
                          <w:r>
                            <w:rPr>
                              <w:rFonts w:ascii="Times New Roman" w:hAnsi="Times New Roman"/>
                              <w:sz w:val="28"/>
                            </w:rPr>
                            <w:fldChar w:fldCharType="end"/>
                          </w:r>
                          <w:r>
                            <w:rPr>
                              <w:rFonts w:ascii="Times New Roman" w:hAnsi="Times New Roman"/>
                              <w:sz w:val="28"/>
                            </w:rPr>
                            <w:t>—</w:t>
                          </w:r>
                        </w:p>
                      </w:txbxContent>
                    </wps:txbx>
                    <wps:bodyPr wrap="square" lIns="0" tIns="0" rIns="0" bIns="0" rtlCol="0">
                      <a:noAutofit/>
                    </wps:bodyPr>
                  </wps:wsp>
                </a:graphicData>
              </a:graphic>
            </wp:anchor>
          </w:drawing>
        </mc:Choice>
        <mc:Fallback>
          <w:pict>
            <v:shape id="Textbox 2" o:spid="_x0000_s1026" o:spt="202" type="#_x0000_t202" style="position:absolute;left:0pt;margin-left:89.45pt;margin-top:748.7pt;height:17.6pt;width:37pt;mso-position-horizontal-relative:page;mso-position-vertical-relative:page;z-index:-251657216;mso-width-relative:page;mso-height-relative:page;" filled="f" stroked="f" coordsize="21600,21600" o:gfxdata="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LmuwSDbAAAADQEAAA8AAAAAAAAAAQAgAAAAIgAAAGRycy9kb3ducmV2LnhtbFBLAQIUABQAAAAI&#10;AIdO4kA3ZElbsQEAAHMDAAAOAAAAAAAAAAEAIAAAACoBAABkcnMvZTJvRG9jLnhtbFBLBQYAAAAA&#10;BgAGAFkBAABNBQAAAAA=&#10;">
              <v:fill on="f" focussize="0,0"/>
              <v:stroke on="f"/>
              <v:imagedata o:title=""/>
              <o:lock v:ext="edit" aspectratio="f"/>
              <v:textbox inset="0mm,0mm,0mm,0mm">
                <w:txbxContent>
                  <w:p w14:paraId="4BDBFFA3">
                    <w:pPr>
                      <w:spacing w:before="9"/>
                      <w:ind w:left="20" w:right="0" w:firstLine="0"/>
                      <w:jc w:val="left"/>
                      <w:rPr>
                        <w:rFonts w:ascii="Times New Roman" w:hAnsi="Times New Roman"/>
                        <w:sz w:val="28"/>
                      </w:rPr>
                    </w:pPr>
                    <w:r>
                      <w:rPr>
                        <w:rFonts w:ascii="Times New Roman" w:hAnsi="Times New Roman"/>
                        <w:sz w:val="28"/>
                      </w:rPr>
                      <w:t>—</w:t>
                    </w:r>
                    <w:r>
                      <w:rPr>
                        <w:rFonts w:ascii="Times New Roman" w:hAnsi="Times New Roman"/>
                        <w:sz w:val="28"/>
                      </w:rPr>
                      <w:fldChar w:fldCharType="begin"/>
                    </w:r>
                    <w:r>
                      <w:rPr>
                        <w:rFonts w:ascii="Times New Roman" w:hAnsi="Times New Roman"/>
                        <w:sz w:val="28"/>
                      </w:rPr>
                      <w:instrText xml:space="preserve"> PAGE </w:instrText>
                    </w:r>
                    <w:r>
                      <w:rPr>
                        <w:rFonts w:ascii="Times New Roman" w:hAnsi="Times New Roman"/>
                        <w:sz w:val="28"/>
                      </w:rPr>
                      <w:fldChar w:fldCharType="separate"/>
                    </w:r>
                    <w:r>
                      <w:rPr>
                        <w:rFonts w:ascii="Times New Roman" w:hAnsi="Times New Roman"/>
                        <w:sz w:val="28"/>
                      </w:rPr>
                      <w:t>2</w:t>
                    </w:r>
                    <w:r>
                      <w:rPr>
                        <w:rFonts w:ascii="Times New Roman" w:hAnsi="Times New Roman"/>
                        <w:sz w:val="28"/>
                      </w:rPr>
                      <w:fldChar w:fldCharType="end"/>
                    </w:r>
                    <w:r>
                      <w:rPr>
                        <w:rFonts w:ascii="Times New Roman" w:hAnsi="Times New Roman"/>
                        <w:sz w:val="28"/>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F569D6">
    <w:pPr>
      <w:pStyle w:val="4"/>
      <w:spacing w:line="14" w:lineRule="auto"/>
      <w:rPr>
        <w:sz w:val="20"/>
      </w:rPr>
    </w:pPr>
    <w:r>
      <w:rPr>
        <w:sz w:val="20"/>
      </w:rPr>
      <mc:AlternateContent>
        <mc:Choice Requires="wps">
          <w:drawing>
            <wp:anchor distT="0" distB="0" distL="0" distR="0" simplePos="0" relativeHeight="251660288" behindDoc="1" locked="0" layoutInCell="1" allowOverlap="1">
              <wp:simplePos x="0" y="0"/>
              <wp:positionH relativeFrom="page">
                <wp:posOffset>9340215</wp:posOffset>
              </wp:positionH>
              <wp:positionV relativeFrom="page">
                <wp:posOffset>6877685</wp:posOffset>
              </wp:positionV>
              <wp:extent cx="469265" cy="221615"/>
              <wp:effectExtent l="0" t="0" r="0" b="0"/>
              <wp:wrapNone/>
              <wp:docPr id="11" name="Textbox 11"/>
              <wp:cNvGraphicFramePr/>
              <a:graphic xmlns:a="http://schemas.openxmlformats.org/drawingml/2006/main">
                <a:graphicData uri="http://schemas.microsoft.com/office/word/2010/wordprocessingShape">
                  <wps:wsp>
                    <wps:cNvSpPr txBox="1"/>
                    <wps:spPr>
                      <a:xfrm>
                        <a:off x="0" y="0"/>
                        <a:ext cx="469265" cy="221615"/>
                      </a:xfrm>
                      <a:prstGeom prst="rect">
                        <a:avLst/>
                      </a:prstGeom>
                    </wps:spPr>
                    <wps:txbx>
                      <w:txbxContent>
                        <w:p w14:paraId="227EE906">
                          <w:pPr>
                            <w:spacing w:before="7"/>
                            <w:ind w:left="20" w:right="0" w:firstLine="0"/>
                            <w:jc w:val="left"/>
                            <w:rPr>
                              <w:rFonts w:ascii="Times New Roman" w:hAnsi="Times New Roman"/>
                              <w:sz w:val="28"/>
                            </w:rPr>
                          </w:pPr>
                          <w:r>
                            <w:rPr>
                              <w:rFonts w:ascii="Times New Roman" w:hAnsi="Times New Roman"/>
                              <w:spacing w:val="-13"/>
                              <w:sz w:val="28"/>
                            </w:rPr>
                            <w:t>—</w:t>
                          </w:r>
                          <w:r>
                            <w:rPr>
                              <w:rFonts w:ascii="Times New Roman" w:hAnsi="Times New Roman"/>
                              <w:spacing w:val="-2"/>
                              <w:sz w:val="28"/>
                            </w:rPr>
                            <w:t>9—</w:t>
                          </w:r>
                        </w:p>
                      </w:txbxContent>
                    </wps:txbx>
                    <wps:bodyPr wrap="square" lIns="0" tIns="0" rIns="0" bIns="0" rtlCol="0">
                      <a:noAutofit/>
                    </wps:bodyPr>
                  </wps:wsp>
                </a:graphicData>
              </a:graphic>
            </wp:anchor>
          </w:drawing>
        </mc:Choice>
        <mc:Fallback>
          <w:pict>
            <v:shape id="Textbox 11" o:spid="_x0000_s1026" o:spt="202" type="#_x0000_t202" style="position:absolute;left:0pt;margin-left:735.45pt;margin-top:541.55pt;height:17.45pt;width:36.95pt;mso-position-horizontal-relative:page;mso-position-vertical-relative:page;z-index:-251656192;mso-width-relative:page;mso-height-relative:page;" filled="f" stroked="f" coordsize="21600,21600" o:gfxdata="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OdOvK3bAAAADwEAAA8AAAAAAAAAAQAgAAAAIgAAAGRycy9kb3ducmV2LnhtbFBLAQIUABQAAAAI&#10;AIdO4kC/54RNsQEAAHUDAAAOAAAAAAAAAAEAIAAAACoBAABkcnMvZTJvRG9jLnhtbFBLBQYAAAAA&#10;BgAGAFkBAABNBQAAAAA=&#10;">
              <v:fill on="f" focussize="0,0"/>
              <v:stroke on="f"/>
              <v:imagedata o:title=""/>
              <o:lock v:ext="edit" aspectratio="f"/>
              <v:textbox inset="0mm,0mm,0mm,0mm">
                <w:txbxContent>
                  <w:p w14:paraId="227EE906">
                    <w:pPr>
                      <w:spacing w:before="7"/>
                      <w:ind w:left="20" w:right="0" w:firstLine="0"/>
                      <w:jc w:val="left"/>
                      <w:rPr>
                        <w:rFonts w:ascii="Times New Roman" w:hAnsi="Times New Roman"/>
                        <w:sz w:val="28"/>
                      </w:rPr>
                    </w:pPr>
                    <w:r>
                      <w:rPr>
                        <w:rFonts w:ascii="Times New Roman" w:hAnsi="Times New Roman"/>
                        <w:spacing w:val="-13"/>
                        <w:sz w:val="28"/>
                      </w:rPr>
                      <w:t>—</w:t>
                    </w:r>
                    <w:r>
                      <w:rPr>
                        <w:rFonts w:ascii="Times New Roman" w:hAnsi="Times New Roman"/>
                        <w:spacing w:val="-2"/>
                        <w:sz w:val="28"/>
                      </w:rPr>
                      <w:t>9—</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54CAD">
    <w:pPr>
      <w:pStyle w:val="4"/>
      <w:spacing w:line="14" w:lineRule="auto"/>
      <w:rPr>
        <w:sz w:val="20"/>
      </w:rPr>
    </w:pPr>
    <w:r>
      <w:rPr>
        <w:sz w:val="20"/>
      </w:rPr>
      <mc:AlternateContent>
        <mc:Choice Requires="wps">
          <w:drawing>
            <wp:anchor distT="0" distB="0" distL="0" distR="0" simplePos="0" relativeHeight="251660288" behindDoc="1" locked="0" layoutInCell="1" allowOverlap="1">
              <wp:simplePos x="0" y="0"/>
              <wp:positionH relativeFrom="page">
                <wp:posOffset>873125</wp:posOffset>
              </wp:positionH>
              <wp:positionV relativeFrom="page">
                <wp:posOffset>6877685</wp:posOffset>
              </wp:positionV>
              <wp:extent cx="554990" cy="221615"/>
              <wp:effectExtent l="0" t="0" r="0" b="0"/>
              <wp:wrapNone/>
              <wp:docPr id="12" name="Textbox 12"/>
              <wp:cNvGraphicFramePr/>
              <a:graphic xmlns:a="http://schemas.openxmlformats.org/drawingml/2006/main">
                <a:graphicData uri="http://schemas.microsoft.com/office/word/2010/wordprocessingShape">
                  <wps:wsp>
                    <wps:cNvSpPr txBox="1"/>
                    <wps:spPr>
                      <a:xfrm>
                        <a:off x="0" y="0"/>
                        <a:ext cx="554990" cy="221615"/>
                      </a:xfrm>
                      <a:prstGeom prst="rect">
                        <a:avLst/>
                      </a:prstGeom>
                    </wps:spPr>
                    <wps:txbx>
                      <w:txbxContent>
                        <w:p w14:paraId="120FEC69">
                          <w:pPr>
                            <w:spacing w:before="7"/>
                            <w:ind w:left="20" w:right="0" w:firstLine="0"/>
                            <w:jc w:val="left"/>
                            <w:rPr>
                              <w:rFonts w:ascii="Times New Roman" w:hAnsi="Times New Roman"/>
                              <w:sz w:val="28"/>
                            </w:rPr>
                          </w:pPr>
                          <w:r>
                            <w:rPr>
                              <w:rFonts w:ascii="Times New Roman" w:hAnsi="Times New Roman"/>
                              <w:sz w:val="28"/>
                            </w:rPr>
                            <w:t>—</w:t>
                          </w:r>
                          <w:r>
                            <w:rPr>
                              <w:rFonts w:ascii="Times New Roman" w:hAnsi="Times New Roman"/>
                              <w:sz w:val="28"/>
                            </w:rPr>
                            <w:fldChar w:fldCharType="begin"/>
                          </w:r>
                          <w:r>
                            <w:rPr>
                              <w:rFonts w:ascii="Times New Roman" w:hAnsi="Times New Roman"/>
                              <w:sz w:val="28"/>
                            </w:rPr>
                            <w:instrText xml:space="preserve"> PAGE </w:instrText>
                          </w:r>
                          <w:r>
                            <w:rPr>
                              <w:rFonts w:ascii="Times New Roman" w:hAnsi="Times New Roman"/>
                              <w:sz w:val="28"/>
                            </w:rPr>
                            <w:fldChar w:fldCharType="separate"/>
                          </w:r>
                          <w:r>
                            <w:rPr>
                              <w:rFonts w:ascii="Times New Roman" w:hAnsi="Times New Roman"/>
                              <w:sz w:val="28"/>
                            </w:rPr>
                            <w:t>10</w:t>
                          </w:r>
                          <w:r>
                            <w:rPr>
                              <w:rFonts w:ascii="Times New Roman" w:hAnsi="Times New Roman"/>
                              <w:sz w:val="28"/>
                            </w:rPr>
                            <w:fldChar w:fldCharType="end"/>
                          </w:r>
                          <w:r>
                            <w:rPr>
                              <w:rFonts w:ascii="Times New Roman" w:hAnsi="Times New Roman"/>
                              <w:sz w:val="28"/>
                            </w:rPr>
                            <w:t>—</w:t>
                          </w:r>
                        </w:p>
                      </w:txbxContent>
                    </wps:txbx>
                    <wps:bodyPr wrap="square" lIns="0" tIns="0" rIns="0" bIns="0" rtlCol="0">
                      <a:noAutofit/>
                    </wps:bodyPr>
                  </wps:wsp>
                </a:graphicData>
              </a:graphic>
            </wp:anchor>
          </w:drawing>
        </mc:Choice>
        <mc:Fallback>
          <w:pict>
            <v:shape id="Textbox 12" o:spid="_x0000_s1026" o:spt="202" type="#_x0000_t202" style="position:absolute;left:0pt;margin-left:68.75pt;margin-top:541.55pt;height:17.45pt;width:43.7pt;mso-position-horizontal-relative:page;mso-position-vertical-relative:page;z-index:-251656192;mso-width-relative:page;mso-height-relative:page;" filled="f" stroked="f" coordsize="21600,21600" o:gfxdata="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NCh7nvbAAAADQEAAA8AAAAAAAAAAQAgAAAAIgAAAGRycy9kb3ducmV2LnhtbFBLAQIUABQAAAAI&#10;AIdO4kDG8IuRsQEAAHUDAAAOAAAAAAAAAAEAIAAAACoBAABkcnMvZTJvRG9jLnhtbFBLBQYAAAAA&#10;BgAGAFkBAABNBQAAAAA=&#10;">
              <v:fill on="f" focussize="0,0"/>
              <v:stroke on="f"/>
              <v:imagedata o:title=""/>
              <o:lock v:ext="edit" aspectratio="f"/>
              <v:textbox inset="0mm,0mm,0mm,0mm">
                <w:txbxContent>
                  <w:p w14:paraId="120FEC69">
                    <w:pPr>
                      <w:spacing w:before="7"/>
                      <w:ind w:left="20" w:right="0" w:firstLine="0"/>
                      <w:jc w:val="left"/>
                      <w:rPr>
                        <w:rFonts w:ascii="Times New Roman" w:hAnsi="Times New Roman"/>
                        <w:sz w:val="28"/>
                      </w:rPr>
                    </w:pPr>
                    <w:r>
                      <w:rPr>
                        <w:rFonts w:ascii="Times New Roman" w:hAnsi="Times New Roman"/>
                        <w:sz w:val="28"/>
                      </w:rPr>
                      <w:t>—</w:t>
                    </w:r>
                    <w:r>
                      <w:rPr>
                        <w:rFonts w:ascii="Times New Roman" w:hAnsi="Times New Roman"/>
                        <w:sz w:val="28"/>
                      </w:rPr>
                      <w:fldChar w:fldCharType="begin"/>
                    </w:r>
                    <w:r>
                      <w:rPr>
                        <w:rFonts w:ascii="Times New Roman" w:hAnsi="Times New Roman"/>
                        <w:sz w:val="28"/>
                      </w:rPr>
                      <w:instrText xml:space="preserve"> PAGE </w:instrText>
                    </w:r>
                    <w:r>
                      <w:rPr>
                        <w:rFonts w:ascii="Times New Roman" w:hAnsi="Times New Roman"/>
                        <w:sz w:val="28"/>
                      </w:rPr>
                      <w:fldChar w:fldCharType="separate"/>
                    </w:r>
                    <w:r>
                      <w:rPr>
                        <w:rFonts w:ascii="Times New Roman" w:hAnsi="Times New Roman"/>
                        <w:sz w:val="28"/>
                      </w:rPr>
                      <w:t>10</w:t>
                    </w:r>
                    <w:r>
                      <w:rPr>
                        <w:rFonts w:ascii="Times New Roman" w:hAnsi="Times New Roman"/>
                        <w:sz w:val="28"/>
                      </w:rPr>
                      <w:fldChar w:fldCharType="end"/>
                    </w:r>
                    <w:r>
                      <w:rPr>
                        <w:rFonts w:ascii="Times New Roman" w:hAnsi="Times New Roman"/>
                        <w:sz w:val="28"/>
                      </w:rPr>
                      <w:t>—</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758A3E">
    <w:pPr>
      <w:pStyle w:val="4"/>
      <w:spacing w:line="14" w:lineRule="auto"/>
      <w:rPr>
        <w:sz w:val="20"/>
      </w:rPr>
    </w:pPr>
    <w:r>
      <w:rPr>
        <w:sz w:val="20"/>
      </w:rPr>
      <mc:AlternateContent>
        <mc:Choice Requires="wps">
          <w:drawing>
            <wp:anchor distT="0" distB="0" distL="0" distR="0" simplePos="0" relativeHeight="251661312" behindDoc="1" locked="0" layoutInCell="1" allowOverlap="1">
              <wp:simplePos x="0" y="0"/>
              <wp:positionH relativeFrom="page">
                <wp:posOffset>593725</wp:posOffset>
              </wp:positionH>
              <wp:positionV relativeFrom="page">
                <wp:posOffset>6712585</wp:posOffset>
              </wp:positionV>
              <wp:extent cx="75565" cy="38100"/>
              <wp:effectExtent l="0" t="0" r="0" b="0"/>
              <wp:wrapNone/>
              <wp:docPr id="19" name="Graphic 19"/>
              <wp:cNvGraphicFramePr/>
              <a:graphic xmlns:a="http://schemas.openxmlformats.org/drawingml/2006/main">
                <a:graphicData uri="http://schemas.microsoft.com/office/word/2010/wordprocessingShape">
                  <wps:wsp>
                    <wps:cNvSpPr/>
                    <wps:spPr>
                      <a:xfrm>
                        <a:off x="0" y="0"/>
                        <a:ext cx="75565" cy="38100"/>
                      </a:xfrm>
                      <a:custGeom>
                        <a:avLst/>
                        <a:gdLst/>
                        <a:ahLst/>
                        <a:cxnLst/>
                        <a:rect l="l" t="t" r="r" b="b"/>
                        <a:pathLst>
                          <a:path w="75565" h="38100">
                            <a:moveTo>
                              <a:pt x="0" y="0"/>
                            </a:moveTo>
                            <a:lnTo>
                              <a:pt x="75326" y="38099"/>
                            </a:lnTo>
                          </a:path>
                        </a:pathLst>
                      </a:custGeom>
                      <a:ln w="12191">
                        <a:solidFill>
                          <a:srgbClr val="000000"/>
                        </a:solidFill>
                        <a:prstDash val="solid"/>
                      </a:ln>
                    </wps:spPr>
                    <wps:bodyPr wrap="square" lIns="0" tIns="0" rIns="0" bIns="0" rtlCol="0">
                      <a:noAutofit/>
                    </wps:bodyPr>
                  </wps:wsp>
                </a:graphicData>
              </a:graphic>
            </wp:anchor>
          </w:drawing>
        </mc:Choice>
        <mc:Fallback>
          <w:pict>
            <v:shape id="Graphic 19" o:spid="_x0000_s1026" o:spt="100" style="position:absolute;left:0pt;margin-left:46.75pt;margin-top:528.55pt;height:3pt;width:5.95pt;mso-position-horizontal-relative:page;mso-position-vertical-relative:page;z-index:-251655168;mso-width-relative:page;mso-height-relative:page;" filled="f" stroked="t" coordsize="75565,38100" o:gfxdata="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OgU1ZfZAAAA&#10;DAEAAA8AAAAAAAAAAQAgAAAAIgAAAGRycy9kb3ducmV2LnhtbFBLAQIUABQAAAAIAIdO4kDGsQs+&#10;HAIAAIYEAAAOAAAAAAAAAAEAIAAAACgBAABkcnMvZTJvRG9jLnhtbFBLBQYAAAAABgAGAFkBAAC2&#10;BQAAAAA=&#10;" path="m0,0l75326,38099e">
              <v:fill on="f" focussize="0,0"/>
              <v:stroke weight="0.95992125984252pt" color="#000000" joinstyle="round"/>
              <v:imagedata o:title=""/>
              <o:lock v:ext="edit" aspectratio="f"/>
              <v:textbox inset="0mm,0mm,0mm,0mm"/>
            </v:shape>
          </w:pict>
        </mc:Fallback>
      </mc:AlternateContent>
    </w:r>
    <w:r>
      <w:rPr>
        <w:sz w:val="20"/>
      </w:rPr>
      <mc:AlternateContent>
        <mc:Choice Requires="wps">
          <w:drawing>
            <wp:anchor distT="0" distB="0" distL="0" distR="0" simplePos="0" relativeHeight="251661312" behindDoc="1" locked="0" layoutInCell="1" allowOverlap="1">
              <wp:simplePos x="0" y="0"/>
              <wp:positionH relativeFrom="page">
                <wp:posOffset>9244965</wp:posOffset>
              </wp:positionH>
              <wp:positionV relativeFrom="page">
                <wp:posOffset>6877685</wp:posOffset>
              </wp:positionV>
              <wp:extent cx="564515" cy="221615"/>
              <wp:effectExtent l="0" t="0" r="0" b="0"/>
              <wp:wrapNone/>
              <wp:docPr id="20" name="Textbox 20"/>
              <wp:cNvGraphicFramePr/>
              <a:graphic xmlns:a="http://schemas.openxmlformats.org/drawingml/2006/main">
                <a:graphicData uri="http://schemas.microsoft.com/office/word/2010/wordprocessingShape">
                  <wps:wsp>
                    <wps:cNvSpPr txBox="1"/>
                    <wps:spPr>
                      <a:xfrm>
                        <a:off x="0" y="0"/>
                        <a:ext cx="564515" cy="221615"/>
                      </a:xfrm>
                      <a:prstGeom prst="rect">
                        <a:avLst/>
                      </a:prstGeom>
                    </wps:spPr>
                    <wps:txbx>
                      <w:txbxContent>
                        <w:p w14:paraId="074207C7">
                          <w:pPr>
                            <w:spacing w:before="7"/>
                            <w:ind w:left="20" w:right="0" w:firstLine="0"/>
                            <w:jc w:val="left"/>
                            <w:rPr>
                              <w:rFonts w:ascii="Times New Roman" w:hAnsi="Times New Roman"/>
                              <w:sz w:val="28"/>
                            </w:rPr>
                          </w:pPr>
                          <w:r>
                            <w:rPr>
                              <w:rFonts w:ascii="Times New Roman" w:hAnsi="Times New Roman"/>
                              <w:sz w:val="28"/>
                            </w:rPr>
                            <w:t>—11—</w:t>
                          </w:r>
                        </w:p>
                      </w:txbxContent>
                    </wps:txbx>
                    <wps:bodyPr wrap="square" lIns="0" tIns="0" rIns="0" bIns="0" rtlCol="0">
                      <a:noAutofit/>
                    </wps:bodyPr>
                  </wps:wsp>
                </a:graphicData>
              </a:graphic>
            </wp:anchor>
          </w:drawing>
        </mc:Choice>
        <mc:Fallback>
          <w:pict>
            <v:shape id="Textbox 20" o:spid="_x0000_s1026" o:spt="202" type="#_x0000_t202" style="position:absolute;left:0pt;margin-left:727.95pt;margin-top:541.55pt;height:17.45pt;width:44.45pt;mso-position-horizontal-relative:page;mso-position-vertical-relative:page;z-index:-251655168;mso-width-relative:page;mso-height-relative:page;" filled="f" stroked="f" coordsize="21600,21600" o:gfxdata="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Hbb1hvbAAAADwEAAA8AAAAAAAAAAQAgAAAAIgAAAGRycy9kb3ducmV2LnhtbFBLAQIUABQAAAAI&#10;AIdO4kA+jQUwsQEAAHUDAAAOAAAAAAAAAAEAIAAAACoBAABkcnMvZTJvRG9jLnhtbFBLBQYAAAAA&#10;BgAGAFkBAABNBQAAAAA=&#10;">
              <v:fill on="f" focussize="0,0"/>
              <v:stroke on="f"/>
              <v:imagedata o:title=""/>
              <o:lock v:ext="edit" aspectratio="f"/>
              <v:textbox inset="0mm,0mm,0mm,0mm">
                <w:txbxContent>
                  <w:p w14:paraId="074207C7">
                    <w:pPr>
                      <w:spacing w:before="7"/>
                      <w:ind w:left="20" w:right="0" w:firstLine="0"/>
                      <w:jc w:val="left"/>
                      <w:rPr>
                        <w:rFonts w:ascii="Times New Roman" w:hAnsi="Times New Roman"/>
                        <w:sz w:val="28"/>
                      </w:rPr>
                    </w:pPr>
                    <w:r>
                      <w:rPr>
                        <w:rFonts w:ascii="Times New Roman" w:hAnsi="Times New Roman"/>
                        <w:sz w:val="28"/>
                      </w:rPr>
                      <w:t>—11—</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E91AC">
    <w:pPr>
      <w:pStyle w:val="4"/>
      <w:spacing w:line="14" w:lineRule="auto"/>
      <w:rPr>
        <w:sz w:val="20"/>
      </w:rPr>
    </w:pPr>
    <w:r>
      <w:rPr>
        <w:sz w:val="20"/>
      </w:rPr>
      <mc:AlternateContent>
        <mc:Choice Requires="wps">
          <w:drawing>
            <wp:anchor distT="0" distB="0" distL="0" distR="0" simplePos="0" relativeHeight="251662336" behindDoc="1" locked="0" layoutInCell="1" allowOverlap="1">
              <wp:simplePos x="0" y="0"/>
              <wp:positionH relativeFrom="page">
                <wp:posOffset>873125</wp:posOffset>
              </wp:positionH>
              <wp:positionV relativeFrom="page">
                <wp:posOffset>6877685</wp:posOffset>
              </wp:positionV>
              <wp:extent cx="554990" cy="221615"/>
              <wp:effectExtent l="0" t="0" r="0" b="0"/>
              <wp:wrapNone/>
              <wp:docPr id="21" name="Textbox 21"/>
              <wp:cNvGraphicFramePr/>
              <a:graphic xmlns:a="http://schemas.openxmlformats.org/drawingml/2006/main">
                <a:graphicData uri="http://schemas.microsoft.com/office/word/2010/wordprocessingShape">
                  <wps:wsp>
                    <wps:cNvSpPr txBox="1"/>
                    <wps:spPr>
                      <a:xfrm>
                        <a:off x="0" y="0"/>
                        <a:ext cx="554990" cy="221615"/>
                      </a:xfrm>
                      <a:prstGeom prst="rect">
                        <a:avLst/>
                      </a:prstGeom>
                    </wps:spPr>
                    <wps:txbx>
                      <w:txbxContent>
                        <w:p w14:paraId="232B70EA">
                          <w:pPr>
                            <w:spacing w:before="7"/>
                            <w:ind w:left="20" w:right="0" w:firstLine="0"/>
                            <w:jc w:val="left"/>
                            <w:rPr>
                              <w:rFonts w:ascii="Times New Roman" w:hAnsi="Times New Roman"/>
                              <w:sz w:val="28"/>
                            </w:rPr>
                          </w:pPr>
                          <w:r>
                            <w:rPr>
                              <w:rFonts w:ascii="Times New Roman" w:hAnsi="Times New Roman"/>
                              <w:sz w:val="28"/>
                            </w:rPr>
                            <w:t>—</w:t>
                          </w:r>
                          <w:r>
                            <w:rPr>
                              <w:rFonts w:ascii="Times New Roman" w:hAnsi="Times New Roman"/>
                              <w:sz w:val="28"/>
                            </w:rPr>
                            <w:fldChar w:fldCharType="begin"/>
                          </w:r>
                          <w:r>
                            <w:rPr>
                              <w:rFonts w:ascii="Times New Roman" w:hAnsi="Times New Roman"/>
                              <w:sz w:val="28"/>
                            </w:rPr>
                            <w:instrText xml:space="preserve"> PAGE </w:instrText>
                          </w:r>
                          <w:r>
                            <w:rPr>
                              <w:rFonts w:ascii="Times New Roman" w:hAnsi="Times New Roman"/>
                              <w:sz w:val="28"/>
                            </w:rPr>
                            <w:fldChar w:fldCharType="separate"/>
                          </w:r>
                          <w:r>
                            <w:rPr>
                              <w:rFonts w:ascii="Times New Roman" w:hAnsi="Times New Roman"/>
                              <w:sz w:val="28"/>
                            </w:rPr>
                            <w:t>12</w:t>
                          </w:r>
                          <w:r>
                            <w:rPr>
                              <w:rFonts w:ascii="Times New Roman" w:hAnsi="Times New Roman"/>
                              <w:sz w:val="28"/>
                            </w:rPr>
                            <w:fldChar w:fldCharType="end"/>
                          </w:r>
                          <w:r>
                            <w:rPr>
                              <w:rFonts w:ascii="Times New Roman" w:hAnsi="Times New Roman"/>
                              <w:sz w:val="28"/>
                            </w:rPr>
                            <w:t>—</w:t>
                          </w:r>
                        </w:p>
                      </w:txbxContent>
                    </wps:txbx>
                    <wps:bodyPr wrap="square" lIns="0" tIns="0" rIns="0" bIns="0" rtlCol="0">
                      <a:noAutofit/>
                    </wps:bodyPr>
                  </wps:wsp>
                </a:graphicData>
              </a:graphic>
            </wp:anchor>
          </w:drawing>
        </mc:Choice>
        <mc:Fallback>
          <w:pict>
            <v:shape id="Textbox 21" o:spid="_x0000_s1026" o:spt="202" type="#_x0000_t202" style="position:absolute;left:0pt;margin-left:68.75pt;margin-top:541.55pt;height:17.45pt;width:43.7pt;mso-position-horizontal-relative:page;mso-position-vertical-relative:page;z-index:-251654144;mso-width-relative:page;mso-height-relative:page;" filled="f" stroked="f" coordsize="21600,21600" o:gfxdata="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Qoe572wAAAA0BAAAPAAAAAAAAAAEAIAAAACIAAABkcnMvZG93bnJldi54bWxQSwECFAAUAAAA&#10;CACHTuJAqmpSW7IBAAB1AwAADgAAAAAAAAABACAAAAAqAQAAZHJzL2Uyb0RvYy54bWxQSwUGAAAA&#10;AAYABgBZAQAATgUAAAAA&#10;">
              <v:fill on="f" focussize="0,0"/>
              <v:stroke on="f"/>
              <v:imagedata o:title=""/>
              <o:lock v:ext="edit" aspectratio="f"/>
              <v:textbox inset="0mm,0mm,0mm,0mm">
                <w:txbxContent>
                  <w:p w14:paraId="232B70EA">
                    <w:pPr>
                      <w:spacing w:before="7"/>
                      <w:ind w:left="20" w:right="0" w:firstLine="0"/>
                      <w:jc w:val="left"/>
                      <w:rPr>
                        <w:rFonts w:ascii="Times New Roman" w:hAnsi="Times New Roman"/>
                        <w:sz w:val="28"/>
                      </w:rPr>
                    </w:pPr>
                    <w:r>
                      <w:rPr>
                        <w:rFonts w:ascii="Times New Roman" w:hAnsi="Times New Roman"/>
                        <w:sz w:val="28"/>
                      </w:rPr>
                      <w:t>—</w:t>
                    </w:r>
                    <w:r>
                      <w:rPr>
                        <w:rFonts w:ascii="Times New Roman" w:hAnsi="Times New Roman"/>
                        <w:sz w:val="28"/>
                      </w:rPr>
                      <w:fldChar w:fldCharType="begin"/>
                    </w:r>
                    <w:r>
                      <w:rPr>
                        <w:rFonts w:ascii="Times New Roman" w:hAnsi="Times New Roman"/>
                        <w:sz w:val="28"/>
                      </w:rPr>
                      <w:instrText xml:space="preserve"> PAGE </w:instrText>
                    </w:r>
                    <w:r>
                      <w:rPr>
                        <w:rFonts w:ascii="Times New Roman" w:hAnsi="Times New Roman"/>
                        <w:sz w:val="28"/>
                      </w:rPr>
                      <w:fldChar w:fldCharType="separate"/>
                    </w:r>
                    <w:r>
                      <w:rPr>
                        <w:rFonts w:ascii="Times New Roman" w:hAnsi="Times New Roman"/>
                        <w:sz w:val="28"/>
                      </w:rPr>
                      <w:t>12</w:t>
                    </w:r>
                    <w:r>
                      <w:rPr>
                        <w:rFonts w:ascii="Times New Roman" w:hAnsi="Times New Roman"/>
                        <w:sz w:val="28"/>
                      </w:rPr>
                      <w:fldChar w:fldCharType="end"/>
                    </w:r>
                    <w:r>
                      <w:rPr>
                        <w:rFonts w:ascii="Times New Roman" w:hAnsi="Times New Roman"/>
                        <w:sz w:val="28"/>
                      </w:rPr>
                      <w:t>—</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38B8DF">
    <w:pPr>
      <w:pStyle w:val="4"/>
      <w:spacing w:line="14" w:lineRule="auto"/>
      <w:rPr>
        <w:sz w:val="20"/>
      </w:rPr>
    </w:pPr>
    <w:r>
      <w:rPr>
        <w:sz w:val="20"/>
      </w:rPr>
      <mc:AlternateContent>
        <mc:Choice Requires="wps">
          <w:drawing>
            <wp:anchor distT="0" distB="0" distL="0" distR="0" simplePos="0" relativeHeight="251662336" behindDoc="1" locked="0" layoutInCell="1" allowOverlap="1">
              <wp:simplePos x="0" y="0"/>
              <wp:positionH relativeFrom="page">
                <wp:posOffset>9244965</wp:posOffset>
              </wp:positionH>
              <wp:positionV relativeFrom="page">
                <wp:posOffset>6801485</wp:posOffset>
              </wp:positionV>
              <wp:extent cx="564515" cy="221615"/>
              <wp:effectExtent l="0" t="0" r="0" b="0"/>
              <wp:wrapNone/>
              <wp:docPr id="26" name="Textbox 26"/>
              <wp:cNvGraphicFramePr/>
              <a:graphic xmlns:a="http://schemas.openxmlformats.org/drawingml/2006/main">
                <a:graphicData uri="http://schemas.microsoft.com/office/word/2010/wordprocessingShape">
                  <wps:wsp>
                    <wps:cNvSpPr txBox="1"/>
                    <wps:spPr>
                      <a:xfrm>
                        <a:off x="0" y="0"/>
                        <a:ext cx="564515" cy="221615"/>
                      </a:xfrm>
                      <a:prstGeom prst="rect">
                        <a:avLst/>
                      </a:prstGeom>
                    </wps:spPr>
                    <wps:txbx>
                      <w:txbxContent>
                        <w:p w14:paraId="3E2C888B">
                          <w:pPr>
                            <w:spacing w:before="7"/>
                            <w:ind w:left="20" w:right="0" w:firstLine="0"/>
                            <w:jc w:val="left"/>
                            <w:rPr>
                              <w:rFonts w:ascii="Times New Roman" w:hAnsi="Times New Roman"/>
                              <w:sz w:val="28"/>
                            </w:rPr>
                          </w:pPr>
                          <w:r>
                            <w:rPr>
                              <w:rFonts w:ascii="Times New Roman" w:hAnsi="Times New Roman"/>
                              <w:sz w:val="28"/>
                            </w:rPr>
                            <w:t>—13—</w:t>
                          </w:r>
                        </w:p>
                      </w:txbxContent>
                    </wps:txbx>
                    <wps:bodyPr wrap="square" lIns="0" tIns="0" rIns="0" bIns="0" rtlCol="0">
                      <a:noAutofit/>
                    </wps:bodyPr>
                  </wps:wsp>
                </a:graphicData>
              </a:graphic>
            </wp:anchor>
          </w:drawing>
        </mc:Choice>
        <mc:Fallback>
          <w:pict>
            <v:shape id="Textbox 26" o:spid="_x0000_s1026" o:spt="202" type="#_x0000_t202" style="position:absolute;left:0pt;margin-left:727.95pt;margin-top:535.55pt;height:17.45pt;width:44.45pt;mso-position-horizontal-relative:page;mso-position-vertical-relative:page;z-index:-251654144;mso-width-relative:page;mso-height-relative:page;" filled="f" stroked="f" coordsize="21600,21600" o:gfxdata="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oVIHA2wAAAA8BAAAPAAAAAAAAAAEAIAAAACIAAABkcnMvZG93bnJldi54bWxQSwECFAAUAAAA&#10;CACHTuJAePep4bIBAAB1AwAADgAAAAAAAAABACAAAAAqAQAAZHJzL2Uyb0RvYy54bWxQSwUGAAAA&#10;AAYABgBZAQAATgUAAAAA&#10;">
              <v:fill on="f" focussize="0,0"/>
              <v:stroke on="f"/>
              <v:imagedata o:title=""/>
              <o:lock v:ext="edit" aspectratio="f"/>
              <v:textbox inset="0mm,0mm,0mm,0mm">
                <w:txbxContent>
                  <w:p w14:paraId="3E2C888B">
                    <w:pPr>
                      <w:spacing w:before="7"/>
                      <w:ind w:left="20" w:right="0" w:firstLine="0"/>
                      <w:jc w:val="left"/>
                      <w:rPr>
                        <w:rFonts w:ascii="Times New Roman" w:hAnsi="Times New Roman"/>
                        <w:sz w:val="28"/>
                      </w:rPr>
                    </w:pPr>
                    <w:r>
                      <w:rPr>
                        <w:rFonts w:ascii="Times New Roman" w:hAnsi="Times New Roman"/>
                        <w:sz w:val="28"/>
                      </w:rPr>
                      <w:t>—13—</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6F851">
    <w:pPr>
      <w:pStyle w:val="4"/>
      <w:spacing w:line="14" w:lineRule="auto"/>
      <w:rPr>
        <w:sz w:val="20"/>
      </w:rPr>
    </w:pPr>
    <w:r>
      <w:rPr>
        <w:sz w:val="20"/>
      </w:rPr>
      <mc:AlternateContent>
        <mc:Choice Requires="wps">
          <w:drawing>
            <wp:anchor distT="0" distB="0" distL="0" distR="0" simplePos="0" relativeHeight="251663360" behindDoc="1" locked="0" layoutInCell="1" allowOverlap="1">
              <wp:simplePos x="0" y="0"/>
              <wp:positionH relativeFrom="page">
                <wp:posOffset>873125</wp:posOffset>
              </wp:positionH>
              <wp:positionV relativeFrom="page">
                <wp:posOffset>6925310</wp:posOffset>
              </wp:positionV>
              <wp:extent cx="554990" cy="221615"/>
              <wp:effectExtent l="0" t="0" r="0" b="0"/>
              <wp:wrapNone/>
              <wp:docPr id="27" name="Textbox 27"/>
              <wp:cNvGraphicFramePr/>
              <a:graphic xmlns:a="http://schemas.openxmlformats.org/drawingml/2006/main">
                <a:graphicData uri="http://schemas.microsoft.com/office/word/2010/wordprocessingShape">
                  <wps:wsp>
                    <wps:cNvSpPr txBox="1"/>
                    <wps:spPr>
                      <a:xfrm>
                        <a:off x="0" y="0"/>
                        <a:ext cx="554990" cy="221615"/>
                      </a:xfrm>
                      <a:prstGeom prst="rect">
                        <a:avLst/>
                      </a:prstGeom>
                    </wps:spPr>
                    <wps:txbx>
                      <w:txbxContent>
                        <w:p w14:paraId="4F3732AA">
                          <w:pPr>
                            <w:spacing w:before="7"/>
                            <w:ind w:left="20" w:right="0" w:firstLine="0"/>
                            <w:jc w:val="left"/>
                            <w:rPr>
                              <w:rFonts w:ascii="Times New Roman" w:hAnsi="Times New Roman"/>
                              <w:sz w:val="28"/>
                            </w:rPr>
                          </w:pPr>
                          <w:r>
                            <w:rPr>
                              <w:rFonts w:ascii="Times New Roman" w:hAnsi="Times New Roman"/>
                              <w:sz w:val="28"/>
                            </w:rPr>
                            <w:t>—</w:t>
                          </w:r>
                          <w:r>
                            <w:rPr>
                              <w:rFonts w:ascii="Times New Roman" w:hAnsi="Times New Roman"/>
                              <w:sz w:val="28"/>
                            </w:rPr>
                            <w:fldChar w:fldCharType="begin"/>
                          </w:r>
                          <w:r>
                            <w:rPr>
                              <w:rFonts w:ascii="Times New Roman" w:hAnsi="Times New Roman"/>
                              <w:sz w:val="28"/>
                            </w:rPr>
                            <w:instrText xml:space="preserve"> PAGE </w:instrText>
                          </w:r>
                          <w:r>
                            <w:rPr>
                              <w:rFonts w:ascii="Times New Roman" w:hAnsi="Times New Roman"/>
                              <w:sz w:val="28"/>
                            </w:rPr>
                            <w:fldChar w:fldCharType="separate"/>
                          </w:r>
                          <w:r>
                            <w:rPr>
                              <w:rFonts w:ascii="Times New Roman" w:hAnsi="Times New Roman"/>
                              <w:sz w:val="28"/>
                            </w:rPr>
                            <w:t>14</w:t>
                          </w:r>
                          <w:r>
                            <w:rPr>
                              <w:rFonts w:ascii="Times New Roman" w:hAnsi="Times New Roman"/>
                              <w:sz w:val="28"/>
                            </w:rPr>
                            <w:fldChar w:fldCharType="end"/>
                          </w:r>
                          <w:r>
                            <w:rPr>
                              <w:rFonts w:ascii="Times New Roman" w:hAnsi="Times New Roman"/>
                              <w:sz w:val="28"/>
                            </w:rPr>
                            <w:t>—</w:t>
                          </w:r>
                        </w:p>
                      </w:txbxContent>
                    </wps:txbx>
                    <wps:bodyPr wrap="square" lIns="0" tIns="0" rIns="0" bIns="0" rtlCol="0">
                      <a:noAutofit/>
                    </wps:bodyPr>
                  </wps:wsp>
                </a:graphicData>
              </a:graphic>
            </wp:anchor>
          </w:drawing>
        </mc:Choice>
        <mc:Fallback>
          <w:pict>
            <v:shape id="Textbox 27" o:spid="_x0000_s1026" o:spt="202" type="#_x0000_t202" style="position:absolute;left:0pt;margin-left:68.75pt;margin-top:545.3pt;height:17.45pt;width:43.7pt;mso-position-horizontal-relative:page;mso-position-vertical-relative:page;z-index:-251653120;mso-width-relative:page;mso-height-relative:page;" filled="f" stroked="f" coordsize="21600,21600" o:gfxdata="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026zi2gAAAA0BAAAPAAAAAAAAAAEAIAAAACIAAABkcnMvZG93bnJldi54bWxQSwECFAAUAAAA&#10;CACHTuJA7BD+irMBAAB1AwAADgAAAAAAAAABACAAAAApAQAAZHJzL2Uyb0RvYy54bWxQSwUGAAAA&#10;AAYABgBZAQAATgUAAAAA&#10;">
              <v:fill on="f" focussize="0,0"/>
              <v:stroke on="f"/>
              <v:imagedata o:title=""/>
              <o:lock v:ext="edit" aspectratio="f"/>
              <v:textbox inset="0mm,0mm,0mm,0mm">
                <w:txbxContent>
                  <w:p w14:paraId="4F3732AA">
                    <w:pPr>
                      <w:spacing w:before="7"/>
                      <w:ind w:left="20" w:right="0" w:firstLine="0"/>
                      <w:jc w:val="left"/>
                      <w:rPr>
                        <w:rFonts w:ascii="Times New Roman" w:hAnsi="Times New Roman"/>
                        <w:sz w:val="28"/>
                      </w:rPr>
                    </w:pPr>
                    <w:r>
                      <w:rPr>
                        <w:rFonts w:ascii="Times New Roman" w:hAnsi="Times New Roman"/>
                        <w:sz w:val="28"/>
                      </w:rPr>
                      <w:t>—</w:t>
                    </w:r>
                    <w:r>
                      <w:rPr>
                        <w:rFonts w:ascii="Times New Roman" w:hAnsi="Times New Roman"/>
                        <w:sz w:val="28"/>
                      </w:rPr>
                      <w:fldChar w:fldCharType="begin"/>
                    </w:r>
                    <w:r>
                      <w:rPr>
                        <w:rFonts w:ascii="Times New Roman" w:hAnsi="Times New Roman"/>
                        <w:sz w:val="28"/>
                      </w:rPr>
                      <w:instrText xml:space="preserve"> PAGE </w:instrText>
                    </w:r>
                    <w:r>
                      <w:rPr>
                        <w:rFonts w:ascii="Times New Roman" w:hAnsi="Times New Roman"/>
                        <w:sz w:val="28"/>
                      </w:rPr>
                      <w:fldChar w:fldCharType="separate"/>
                    </w:r>
                    <w:r>
                      <w:rPr>
                        <w:rFonts w:ascii="Times New Roman" w:hAnsi="Times New Roman"/>
                        <w:sz w:val="28"/>
                      </w:rPr>
                      <w:t>14</w:t>
                    </w:r>
                    <w:r>
                      <w:rPr>
                        <w:rFonts w:ascii="Times New Roman" w:hAnsi="Times New Roman"/>
                        <w:sz w:val="28"/>
                      </w:rPr>
                      <w:fldChar w:fldCharType="end"/>
                    </w:r>
                    <w:r>
                      <w:rPr>
                        <w:rFonts w:ascii="Times New Roman" w:hAnsi="Times New Roman"/>
                        <w:sz w:val="28"/>
                      </w:rPr>
                      <w:t>—</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8AA9B1">
    <w:pPr>
      <w:pStyle w:val="4"/>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D62ECE"/>
    <w:multiLevelType w:val="multilevel"/>
    <w:tmpl w:val="03D62ECE"/>
    <w:lvl w:ilvl="0" w:tentative="0">
      <w:start w:val="1"/>
      <w:numFmt w:val="decimal"/>
      <w:lvlText w:val="%1、"/>
      <w:lvlJc w:val="left"/>
      <w:pPr>
        <w:ind w:left="300" w:hanging="272"/>
        <w:jc w:val="left"/>
      </w:pPr>
      <w:rPr>
        <w:rFonts w:hint="default"/>
        <w:spacing w:val="0"/>
        <w:w w:val="92"/>
        <w:lang w:val="en-US" w:eastAsia="zh-CN" w:bidi="ar-SA"/>
      </w:rPr>
    </w:lvl>
    <w:lvl w:ilvl="1" w:tentative="0">
      <w:start w:val="0"/>
      <w:numFmt w:val="bullet"/>
      <w:lvlText w:val="•"/>
      <w:lvlJc w:val="left"/>
      <w:pPr>
        <w:ind w:left="1808" w:hanging="272"/>
      </w:pPr>
      <w:rPr>
        <w:rFonts w:hint="default"/>
        <w:lang w:val="en-US" w:eastAsia="zh-CN" w:bidi="ar-SA"/>
      </w:rPr>
    </w:lvl>
    <w:lvl w:ilvl="2" w:tentative="0">
      <w:start w:val="0"/>
      <w:numFmt w:val="bullet"/>
      <w:lvlText w:val="•"/>
      <w:lvlJc w:val="left"/>
      <w:pPr>
        <w:ind w:left="3317" w:hanging="272"/>
      </w:pPr>
      <w:rPr>
        <w:rFonts w:hint="default"/>
        <w:lang w:val="en-US" w:eastAsia="zh-CN" w:bidi="ar-SA"/>
      </w:rPr>
    </w:lvl>
    <w:lvl w:ilvl="3" w:tentative="0">
      <w:start w:val="0"/>
      <w:numFmt w:val="bullet"/>
      <w:lvlText w:val="•"/>
      <w:lvlJc w:val="left"/>
      <w:pPr>
        <w:ind w:left="4826" w:hanging="272"/>
      </w:pPr>
      <w:rPr>
        <w:rFonts w:hint="default"/>
        <w:lang w:val="en-US" w:eastAsia="zh-CN" w:bidi="ar-SA"/>
      </w:rPr>
    </w:lvl>
    <w:lvl w:ilvl="4" w:tentative="0">
      <w:start w:val="0"/>
      <w:numFmt w:val="bullet"/>
      <w:lvlText w:val="•"/>
      <w:lvlJc w:val="left"/>
      <w:pPr>
        <w:ind w:left="6335" w:hanging="272"/>
      </w:pPr>
      <w:rPr>
        <w:rFonts w:hint="default"/>
        <w:lang w:val="en-US" w:eastAsia="zh-CN" w:bidi="ar-SA"/>
      </w:rPr>
    </w:lvl>
    <w:lvl w:ilvl="5" w:tentative="0">
      <w:start w:val="0"/>
      <w:numFmt w:val="bullet"/>
      <w:lvlText w:val="•"/>
      <w:lvlJc w:val="left"/>
      <w:pPr>
        <w:ind w:left="7844" w:hanging="272"/>
      </w:pPr>
      <w:rPr>
        <w:rFonts w:hint="default"/>
        <w:lang w:val="en-US" w:eastAsia="zh-CN" w:bidi="ar-SA"/>
      </w:rPr>
    </w:lvl>
    <w:lvl w:ilvl="6" w:tentative="0">
      <w:start w:val="0"/>
      <w:numFmt w:val="bullet"/>
      <w:lvlText w:val="•"/>
      <w:lvlJc w:val="left"/>
      <w:pPr>
        <w:ind w:left="9353" w:hanging="272"/>
      </w:pPr>
      <w:rPr>
        <w:rFonts w:hint="default"/>
        <w:lang w:val="en-US" w:eastAsia="zh-CN" w:bidi="ar-SA"/>
      </w:rPr>
    </w:lvl>
    <w:lvl w:ilvl="7" w:tentative="0">
      <w:start w:val="0"/>
      <w:numFmt w:val="bullet"/>
      <w:lvlText w:val="•"/>
      <w:lvlJc w:val="left"/>
      <w:pPr>
        <w:ind w:left="10862" w:hanging="272"/>
      </w:pPr>
      <w:rPr>
        <w:rFonts w:hint="default"/>
        <w:lang w:val="en-US" w:eastAsia="zh-CN" w:bidi="ar-SA"/>
      </w:rPr>
    </w:lvl>
    <w:lvl w:ilvl="8" w:tentative="0">
      <w:start w:val="0"/>
      <w:numFmt w:val="bullet"/>
      <w:lvlText w:val="•"/>
      <w:lvlJc w:val="left"/>
      <w:pPr>
        <w:ind w:left="12371" w:hanging="272"/>
      </w:pPr>
      <w:rPr>
        <w:rFonts w:hint="default"/>
        <w:lang w:val="en-US" w:eastAsia="zh-CN"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evenAndOddHeaders w:val="1"/>
  <w:drawingGridHorizontalSpacing w:val="110"/>
  <w:displayHorizontalDrawingGridEvery w:val="2"/>
  <w:characterSpacingControl w:val="doNotCompress"/>
  <w:footnotePr>
    <w:footnote w:id="0"/>
    <w:footnote w:id="1"/>
  </w:footnotePr>
  <w:endnotePr>
    <w:endnote w:id="0"/>
    <w:endnote w:id="1"/>
  </w:endnotePr>
  <w:compat>
    <w:ulTrailSpace/>
    <w:shapeLayoutLikeWW8/>
    <w:useFELayout/>
    <w:compatSetting w:name="compatibilityMode" w:uri="http://schemas.microsoft.com/office/word" w:val="14"/>
  </w:compat>
  <w:rsids>
    <w:rsidRoot w:val="00000000"/>
    <w:rsid w:val="15373796"/>
    <w:rsid w:val="2BFB5408"/>
    <w:rsid w:val="4FF552C3"/>
    <w:rsid w:val="506863A4"/>
    <w:rsid w:val="52E21146"/>
    <w:rsid w:val="550813C1"/>
    <w:rsid w:val="5AEF1EF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宋体" w:hAnsi="宋体" w:eastAsia="宋体" w:cs="宋体"/>
      <w:sz w:val="22"/>
      <w:szCs w:val="22"/>
      <w:lang w:val="en-US" w:eastAsia="zh-CN" w:bidi="ar-SA"/>
    </w:rPr>
  </w:style>
  <w:style w:type="paragraph" w:styleId="2">
    <w:name w:val="heading 1"/>
    <w:basedOn w:val="1"/>
    <w:qFormat/>
    <w:uiPriority w:val="1"/>
    <w:pPr>
      <w:ind w:left="139"/>
      <w:outlineLvl w:val="1"/>
    </w:pPr>
    <w:rPr>
      <w:rFonts w:ascii="宋体" w:hAnsi="宋体" w:eastAsia="宋体" w:cs="宋体"/>
      <w:sz w:val="44"/>
      <w:szCs w:val="44"/>
      <w:lang w:val="en-US" w:eastAsia="zh-CN" w:bidi="ar-SA"/>
    </w:rPr>
  </w:style>
  <w:style w:type="paragraph" w:styleId="3">
    <w:name w:val="heading 2"/>
    <w:basedOn w:val="1"/>
    <w:next w:val="1"/>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semiHidden/>
    <w:unhideWhenUsed/>
    <w:qFormat/>
    <w:uiPriority w:val="1"/>
  </w:style>
  <w:style w:type="table" w:default="1" w:styleId="6">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rPr>
      <w:rFonts w:ascii="宋体" w:hAnsi="宋体" w:eastAsia="宋体" w:cs="宋体"/>
      <w:sz w:val="32"/>
      <w:szCs w:val="32"/>
      <w:lang w:val="en-US" w:eastAsia="zh-CN" w:bidi="ar-SA"/>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8">
    <w:name w:val="Table Normal"/>
    <w:semiHidden/>
    <w:unhideWhenUsed/>
    <w:qFormat/>
    <w:uiPriority w:val="2"/>
    <w:tblPr>
      <w:tblCellMar>
        <w:top w:w="0" w:type="dxa"/>
        <w:left w:w="0" w:type="dxa"/>
        <w:bottom w:w="0" w:type="dxa"/>
        <w:right w:w="0" w:type="dxa"/>
      </w:tblCellMar>
    </w:tblPr>
  </w:style>
  <w:style w:type="paragraph" w:styleId="9">
    <w:name w:val="List Paragraph"/>
    <w:basedOn w:val="1"/>
    <w:qFormat/>
    <w:uiPriority w:val="1"/>
    <w:pPr>
      <w:spacing w:line="407" w:lineRule="exact"/>
      <w:ind w:left="113" w:firstLine="639"/>
    </w:pPr>
    <w:rPr>
      <w:rFonts w:ascii="宋体" w:hAnsi="宋体" w:eastAsia="宋体" w:cs="宋体"/>
      <w:lang w:val="en-US" w:eastAsia="zh-CN" w:bidi="ar-SA"/>
    </w:rPr>
  </w:style>
  <w:style w:type="paragraph" w:customStyle="1" w:styleId="10">
    <w:name w:val="Table Paragraph"/>
    <w:basedOn w:val="1"/>
    <w:qFormat/>
    <w:uiPriority w:val="1"/>
    <w:rPr>
      <w:rFonts w:ascii="宋体" w:hAnsi="宋体" w:eastAsia="宋体" w:cs="宋体"/>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9957</Words>
  <Characters>10148</Characters>
  <TotalTime>9</TotalTime>
  <ScaleCrop>false</ScaleCrop>
  <LinksUpToDate>false</LinksUpToDate>
  <CharactersWithSpaces>10331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2026-06-30T09:38:00Z</dcterms:created>
  <dc:creator>Administrator</dc:creator>
  <cp:lastModifiedBy>yx</cp:lastModifiedBy>
  <dcterms:modified xsi:type="dcterms:W3CDTF">2026-06-30T10:05:47Z</dcterms:modified>
  <dc:title>&lt;433A5C55736572735C41646D696E6973747261746F725C4465736B746F705C313131CDFECEC4B7A2B8C4B7A25B323032365D333320BAC5B9D8D3DAD0DEB8C4A1B6B9D8D3DABDF8D2BBB2BDB9E6B7B6CEC4B5C7C7F8C6D5CDA8D7A1D5ACCEEFD2B5B7FECEF1CAD5B7D1D3D0B9D8CECACCE2B5C4CDA8D6AAA</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2026-06-15T00:00:00Z</vt:filetime>
  </property>
  <property fmtid="{D5CDD505-2E9C-101B-9397-08002B2CF9AE}" pid="4" name="Creator">
    <vt:lpwstr>PScript5.dll Version 5.2.2</vt:lpwstr>
  </property>
  <property fmtid="{D5CDD505-2E9C-101B-9397-08002B2CF9AE}" pid="5" name="LastSaved">
    <vt:filetime>2026-06-30T00:00:00Z</vt:filetime>
  </property>
  <property fmtid="{D5CDD505-2E9C-101B-9397-08002B2CF9AE}" pid="6" name="Producer">
    <vt:lpwstr>Acrobat Distiller 15.0 (Windows)</vt:lpwstr>
  </property>
  <property fmtid="{D5CDD505-2E9C-101B-9397-08002B2CF9AE}" pid="7" name="KSOTemplateDocerSaveRecord">
    <vt:lpwstr>eyJoZGlkIjoiYjg0ZTU0ZmQ1YzJhMzM2NTk4ZTg1OTcxZGU2MTI5YzIiLCJ1c2VySWQiOiIxNjMzNTg3Mjk5In0=</vt:lpwstr>
  </property>
  <property fmtid="{D5CDD505-2E9C-101B-9397-08002B2CF9AE}" pid="8" name="KSOProductBuildVer">
    <vt:lpwstr>2052-12.1.0.26895</vt:lpwstr>
  </property>
  <property fmtid="{D5CDD505-2E9C-101B-9397-08002B2CF9AE}" pid="9" name="ICV">
    <vt:lpwstr>153F7398F0534D0DB4CE04EA5121E6C6_12</vt:lpwstr>
  </property>
</Properties>
</file>