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根据《中华人民共和国政府信息公开条例》（以下简称《条例》）和《山东省政府信息公开办法》（以下简称《办法》）的规定等文件要求，现公布威海市文登区教育局2018年度政府信息公开工作报告。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一、概述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2018年，威海市文登区教育局认真贯彻落实《中华人民共和国政府信息公开条例》、《山东省政府信息公开办法》和《威海市当前政府信息公开工作要点》，不断建立和完善政府信息公开制度、深化政府信息公开内容、规范政府信息公开流程、拓展政府信息公开形式，政府信息公开工作取得较大进展。全年，通过威海市文登区政府网站信息公开专栏以及新闻媒体、公告栏、电子显示屏等多种形式，发布各类法律法规、办事指南等服务信息1560多条，及时、全面、有效地主动公开政府信息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二、政府信息公开组织领导和制度建设情况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（一）不断强化领导体系建设。根据领导班子工作分工的变化情况，及时调整充实了政府信息公开工作领导小组成员，确保组织机构健全、工作人员到位、职责分工明确。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（二）继续完善制度管理机制。不断规范依申请公开办事指南、程序、时限、归档要求及文书样式，完善了依申请公开政府信息处理流程图，在政府网站信息公开专栏提供政府信息公开工作指南，并公开《政府信息公开申请表》，提供网上下载，不断丰富政府信息公开网依申请公开栏目功能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三、发布解读、回应社会关切以及互动交流情况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对涉及面广、社会关注度高或专业性强的政策性信息，加强事前舆情风险评估，准备解读材料，通过政府门户网站，利用电视媒体进行解读、阐释。安排专职工作人员对网信部门，负责网络舆情搜集汇总，并组织研判分析。对群众普遍关注的热点问题，通过“文登教育局”政务微信、微博公开信息；对监控到的不良信息，及时澄清事实，降低消除负面影响；对突发公共事件，迅速整理撰写舆情报告，供领导决策参考，并启动24小时值班制度，实时监控事件舆情进展。2018年，通过不同途径回应群众舆情40余次，参与“行风热线”访谈2次，“时政面对面”1次，召开新闻发布会2次，微访谈1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四、重点领域政府信息公开工作推进情况和公开情况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（一）推进行政权力信息公开。对审批事项进行清理，及时更新行政审批事项目录，并将清理结果向社会公开，我局的行政权力包括：行政审批事项3项（举办实施学历教育、学前教育、自学考试助学及其他文化教育的民办学校筹设、设立、变更、分立、合并、终止审批；教师资格认定；校车使用审查），行政处罚事项7项，没有与其他部门职责交叉事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（二）推进财政资金信息公开。在政府网站公开了教育系统2018年度部门预算，其中公开的范围、程度进一步扩大和细化，确保各项信息及时、透明、公开发布。 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五、主动公开政府信息情况以及公开平台建设情况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（一）加大了主动公开政府信息工作力度。2018年，我局在文登区政府网信息公开栏主动公开政府信息98条，其中政策法规7条，规划计划3条，业务工作49条，统计数据1条，其他信息38条。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（二）强化了政府信息公开平台建设。在依托“中国•文登”这个平台开展信息公开工作的同时，继续加强教育微信微博建设，加大公开力度，为群众了解文登教育信息提供方便。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（三）积极通过新闻媒体开展信息公开工作。在各类新闻媒体发表新闻稿件500余篇。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六、政府信息公开申请办理情况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2018年，文登区教育局未收到政府信息公开申请。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七、政府信息公开收费及减免情况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在政府信息公开过程中，文登区教育局始终坚持为民、便民、利民的原则，对印刷、邮寄等费用都予以减免。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八、因政府信息公开申请行政复议、提起行政诉讼的情况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2018年，我局对形成的政府信息实现了依法、有序公开，未出现申请行政复议、提起行政诉讼的情况。2018年，教育局未出现以教育局为被申请人的行政复议类案件。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九、政府信息公开保密审查及监督检查情况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接到上报相关公开信息后，教育局保密审查负责人员对拟发信息均进行保密安全审核，在确认所提交内容为可公开内容后，再由信息公开工作人员对信息进行公开，形成了及时对拟定公开材料进行事前保密审查、事后监督检查，确保所有公开信息准确无误、符合要求的工作机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十、所属事业单位信息公开工作推进措施和落实情况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2018年，教育局积极推进本系统事业单位信息公开工作，辖属事业单位建立了政府信息公开工作制度，通过政府网及时公开相关信息。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十一、存在的主要问题及改进情况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2017年，我局政府信息公开工作取得一定的成效，同时也存在对政府信息公开的宣传力度不够、重点领域政府信息公开仍需进一步细化等问题。下步我局将结合教育实际，抓住关键问题，突出群众关心、社会关注、与群众利益关系最密切的重要事项，从内容和形式上不断丰富完善政务公开工作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十二、需要说明的事项与附表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  <w:r>
        <w:rPr>
          <w:bdr w:val="none" w:color="auto" w:sz="0" w:space="0"/>
        </w:rPr>
        <w:t>本报告中所列数据的统计时限自2017年1月1日起至2017年12月31日止。本报告的电子版可在威海市文登区人民政府门户网站（</w:t>
      </w:r>
      <w:r>
        <w:rPr>
          <w:u w:val="none"/>
          <w:bdr w:val="none" w:color="auto" w:sz="0" w:space="0"/>
        </w:rPr>
        <w:fldChar w:fldCharType="begin"/>
      </w:r>
      <w:r>
        <w:rPr>
          <w:u w:val="none"/>
          <w:bdr w:val="none" w:color="auto" w:sz="0" w:space="0"/>
        </w:rPr>
        <w:instrText xml:space="preserve"> HYPERLINK "http://xxgk.wendeng.gov.cn/" </w:instrText>
      </w:r>
      <w:r>
        <w:rPr>
          <w:u w:val="none"/>
          <w:bdr w:val="none" w:color="auto" w:sz="0" w:space="0"/>
        </w:rPr>
        <w:fldChar w:fldCharType="separate"/>
      </w:r>
      <w:r>
        <w:rPr>
          <w:rStyle w:val="5"/>
          <w:u w:val="none"/>
          <w:bdr w:val="none" w:color="auto" w:sz="0" w:space="0"/>
        </w:rPr>
        <w:t>http://xxgk.wendeng.gov.cn/</w:t>
      </w:r>
      <w:r>
        <w:rPr>
          <w:u w:val="none"/>
          <w:bdr w:val="none" w:color="auto" w:sz="0" w:space="0"/>
        </w:rPr>
        <w:fldChar w:fldCharType="end"/>
      </w:r>
      <w:r>
        <w:rPr>
          <w:bdr w:val="none" w:color="auto" w:sz="0" w:space="0"/>
        </w:rPr>
        <w:t>）信息公开专栏查阅。如对本报告有疑问，请与威海市文登区教育局办公室联系（地址：威海市文登区世纪大道84号，邮编：264400，电话：0631—8452998）。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right"/>
      </w:pPr>
      <w:r>
        <w:rPr>
          <w:bdr w:val="none" w:color="auto" w:sz="0" w:space="0"/>
        </w:rPr>
        <w:t>威海市文登区教育局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right"/>
      </w:pPr>
      <w:r>
        <w:rPr>
          <w:bdr w:val="none" w:color="auto" w:sz="0" w:space="0"/>
        </w:rPr>
        <w:t>2019年1月23日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right"/>
      </w:pPr>
    </w:p>
    <w:tbl>
      <w:tblPr>
        <w:tblW w:w="8355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20"/>
        <w:gridCol w:w="1020"/>
        <w:gridCol w:w="915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69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24"/>
                <w:szCs w:val="24"/>
                <w:bdr w:val="none" w:color="auto" w:sz="0" w:space="0"/>
              </w:rPr>
              <w:t>统　计　指　标</w:t>
            </w:r>
          </w:p>
        </w:tc>
        <w:tc>
          <w:tcPr>
            <w:tcW w:w="10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24"/>
                <w:szCs w:val="24"/>
                <w:bdr w:val="none" w:color="auto" w:sz="0" w:space="0"/>
              </w:rPr>
              <w:t>单位</w:t>
            </w:r>
          </w:p>
        </w:tc>
        <w:tc>
          <w:tcPr>
            <w:tcW w:w="9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24"/>
                <w:szCs w:val="24"/>
                <w:bdr w:val="none" w:color="auto" w:sz="0" w:space="0"/>
              </w:rPr>
              <w:t>统计数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一、主动公开情况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（一）主动公开政府信息数（不同渠道和方式公开相同信息计1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条）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98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其中：主动公开规范性文件数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　　　制发规范性文件总数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（二）通过不同渠道和方式公开政府信息的情况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1.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政府公报公开政府信息数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2.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政府网站公开政府信息数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98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3.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政务微博公开政府信息数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4.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政务微信公开政府信息数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5.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其他方式公开政府信息数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二、回应解读情况（不同方式回应同一热点或舆情计1</w:t>
            </w:r>
            <w:r>
              <w:rPr>
                <w:rFonts w:ascii="黑体" w:hAnsi="宋体" w:eastAsia="黑体" w:cs="黑体"/>
                <w:color w:val="000000"/>
                <w:sz w:val="21"/>
                <w:szCs w:val="21"/>
                <w:bdr w:val="none" w:color="auto" w:sz="0" w:space="0"/>
              </w:rPr>
              <w:t>次）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  <w:jc w:val="left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（一）回应公众关注热点或重大舆情数（不同方式回应同一热点或舆情计1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次）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47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（二）通过不同渠道和方式回应解读的情况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1.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参加或举办新闻发布会总次数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2</w:t>
            </w:r>
          </w:p>
        </w:tc>
      </w:tr>
      <w:tr>
        <w:tblPrEx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　其中：主要负责同志参加新闻发布会次数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2.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政府网站在线访谈次数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　其中：主要负责同志参加政府网站在线访谈次数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3.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政策解读稿件发布数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篇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22</w:t>
            </w:r>
          </w:p>
        </w:tc>
      </w:tr>
      <w:tr>
        <w:tblPrEx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4.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微博微信回应事件数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15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5.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其他方式回应事件数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6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三、依申请公开情况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（一）收到申请数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1.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当面申请数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2.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传真申请数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3.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网络申请数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4.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信函申请数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5.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其他形式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（二）申请办结数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1.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按时办结数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2.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延期办结数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（三）申请答复数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1.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属于已主动公开范围数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2.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同意公开答复数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3.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同意部分公开答复数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4.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不同意公开答复数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　其中：涉及国家秘密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　　　　涉及商业秘密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　　　　涉及个人隐私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　　　　危及国家安全、公共安全、经济安全和社会稳定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　　　　不是《条例》所指政府信息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　　　　法律法规规定的其他情形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5.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不属于本行政机关公开数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6.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申请信息不存在数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7.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告知作出更改补充数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8.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告知通过其他途径办理数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四、行政复议数量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黑体" w:cs="Times New Roman"/>
                <w:color w:val="000000"/>
                <w:sz w:val="21"/>
                <w:szCs w:val="21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（一）维持具体行政行为数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（二）被依法纠错数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（三）其他情形数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五、行政诉讼数量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黑体" w:cs="Times New Roman"/>
                <w:color w:val="000000"/>
                <w:sz w:val="21"/>
                <w:szCs w:val="21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（一）维持具体行政行为或者驳回原告诉讼请求数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（二）被依法纠错数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（三）其他情形数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六、被举报投诉数量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黑体" w:cs="Times New Roman"/>
                <w:color w:val="000000"/>
                <w:sz w:val="21"/>
                <w:szCs w:val="21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（一）维持具体行政行为数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19"/>
                <w:szCs w:val="19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（二）被纠错数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19"/>
                <w:szCs w:val="19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（三）其他情形数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件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19"/>
                <w:szCs w:val="19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七、向图书馆、档案馆等查阅场所报送信息数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bdr w:val="none" w:color="auto" w:sz="0" w:space="0"/>
                <w:lang w:val="en-US" w:eastAsia="zh-CN" w:bidi="ar"/>
              </w:rPr>
              <w:t>146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（一）纸质文件数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bdr w:val="none" w:color="auto" w:sz="0" w:space="0"/>
                <w:lang w:val="en-US" w:eastAsia="zh-CN" w:bidi="ar"/>
              </w:rPr>
              <w:t>73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（二）电子文件数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  <w:bdr w:val="none" w:color="auto" w:sz="0" w:space="0"/>
                <w:lang w:val="en-US" w:eastAsia="zh-CN" w:bidi="ar"/>
              </w:rPr>
              <w:t>73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八、开通政府信息公开网站（或设立门户网站信息公开专栏）数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个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（一）市政府及其部门门户网站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个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（二）县（市、区）政府门户网站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个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（三）乡镇政府（街道办事处）门户网站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个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九、政府公报发行量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（一）公报发行期数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期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（二）公报发行总份数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份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十、设置政府信息查阅点数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个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（一）市政府及其部门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个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（二）县（市、区）政府及其部门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个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黑体" w:cs="Times New Roman"/>
                <w:color w:val="000000"/>
                <w:sz w:val="19"/>
                <w:szCs w:val="19"/>
                <w:bdr w:val="none" w:color="auto" w:sz="0" w:space="0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（三）乡镇政府（街道办事处）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个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十一、查阅点接待人数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（一）市政府及其部门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（二）县（市、区）政府及其部门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黑体" w:cs="Times New Roman"/>
                <w:color w:val="000000"/>
                <w:sz w:val="19"/>
                <w:szCs w:val="19"/>
                <w:bdr w:val="none" w:color="auto" w:sz="0" w:space="0"/>
              </w:rPr>
              <w:t>10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5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（三）乡镇政府（街道办事处）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十二、依申请公开信息收取的费用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万元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黑体" w:cs="Times New Roman"/>
                <w:color w:val="000000"/>
                <w:sz w:val="21"/>
                <w:szCs w:val="21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十三、机构建设和保障经费情况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（一）政府信息公开工作专门机构数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个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（二）从事政府信息公开工作人员数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人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1.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专职人员数（不包括政府公报及政府网站工作人员数）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人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　　　2.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bdr w:val="none" w:color="auto" w:sz="0" w:space="0"/>
              </w:rPr>
              <w:t>兼职人员数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人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万元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bdr w:val="none" w:color="auto" w:sz="0" w:space="0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21"/>
                <w:szCs w:val="21"/>
                <w:bdr w:val="none" w:color="auto" w:sz="0" w:space="0"/>
              </w:rPr>
              <w:t>十四、政府信息公开会议和培训情况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（一）召开政府信息公开工作会议或专题会议数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　　（二）举办各类培训班数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  <w:bdr w:val="none" w:color="auto" w:sz="0" w:space="0"/>
              </w:rPr>
              <w:t>次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64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</w:pPr>
            <w:r>
              <w:rPr>
                <w:rFonts w:hint="default" w:ascii="Times New Roman" w:hAnsi="Times New Roman" w:eastAsia="微软雅黑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bdr w:val="none" w:color="auto" w:sz="0" w:space="0"/>
              </w:rPr>
              <w:t>　　（三）接受培训人员数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</w:pPr>
            <w:r>
              <w:rPr>
                <w:rFonts w:hint="default" w:ascii="Times New Roman" w:hAnsi="Times New Roman" w:eastAsia="微软雅黑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bdr w:val="none" w:color="auto" w:sz="0" w:space="0"/>
              </w:rPr>
              <w:t>人次</w:t>
            </w:r>
          </w:p>
        </w:tc>
        <w:tc>
          <w:tcPr>
            <w:tcW w:w="0" w:type="auto"/>
            <w:tcBorders>
              <w:top w:val="outset" w:color="auto" w:sz="6" w:space="0"/>
              <w:left w:val="nil"/>
              <w:bottom w:val="outset" w:color="auto" w:sz="6" w:space="0"/>
              <w:right w:val="outset" w:color="auto" w:sz="6" w:space="0"/>
            </w:tcBorders>
            <w:shd w:val="clear"/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7D726A"/>
    <w:rsid w:val="237D7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2021-10-11T01:16:00Z</dcterms:created>
  <dc:creator>Small grass to fish lai</dc:creator>
  <cp:lastModifiedBy>Small grass to fish lai</cp:lastModifiedBy>
  <dcterms:modified xsi:type="dcterms:W3CDTF">2021-10-11T01:16:38Z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3A32B1E2DEC54F9C9A090B32889E368F</vt:lpwstr>
  </property>
</Properties>
</file>