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pacing w:val="8"/>
          <w:w w:val="95"/>
          <w:sz w:val="72"/>
          <w:highlight w:val="none"/>
          <w:lang w:val="en-US" w:eastAsia="zh-CN"/>
        </w:rPr>
      </w:pPr>
    </w:p>
    <w:p>
      <w:pPr>
        <w:jc w:val="center"/>
        <w:rPr>
          <w:rFonts w:hint="eastAsia" w:ascii="方正小标宋简体" w:hAnsi="方正小标宋简体" w:eastAsia="方正小标宋简体" w:cs="方正小标宋简体"/>
          <w:spacing w:val="4"/>
          <w:w w:val="95"/>
          <w:sz w:val="70"/>
          <w:szCs w:val="70"/>
          <w:highlight w:val="none"/>
          <w:lang w:eastAsia="zh-CN"/>
        </w:rPr>
      </w:pPr>
      <w:r>
        <w:rPr>
          <w:rFonts w:hint="eastAsia" w:ascii="方正小标宋简体" w:hAnsi="方正小标宋简体" w:eastAsia="方正小标宋简体" w:cs="方正小标宋简体"/>
          <w:spacing w:val="8"/>
          <w:w w:val="95"/>
          <w:sz w:val="70"/>
          <w:szCs w:val="70"/>
          <w:highlight w:val="none"/>
          <w:lang w:val="en-US" w:eastAsia="zh-CN"/>
        </w:rPr>
        <w:t>2022</w:t>
      </w:r>
      <w:r>
        <w:rPr>
          <w:rFonts w:hint="eastAsia" w:ascii="方正小标宋简体" w:hAnsi="方正小标宋简体" w:eastAsia="方正小标宋简体" w:cs="方正小标宋简体"/>
          <w:spacing w:val="4"/>
          <w:w w:val="95"/>
          <w:sz w:val="70"/>
          <w:szCs w:val="70"/>
          <w:highlight w:val="none"/>
        </w:rPr>
        <w:t>年</w:t>
      </w:r>
      <w:r>
        <w:rPr>
          <w:rFonts w:hint="eastAsia" w:ascii="方正小标宋简体" w:hAnsi="方正小标宋简体" w:eastAsia="方正小标宋简体" w:cs="方正小标宋简体"/>
          <w:spacing w:val="4"/>
          <w:w w:val="95"/>
          <w:sz w:val="70"/>
          <w:szCs w:val="70"/>
          <w:highlight w:val="none"/>
          <w:lang w:eastAsia="zh-CN"/>
        </w:rPr>
        <w:t>文登区政府</w:t>
      </w:r>
      <w:r>
        <w:rPr>
          <w:rFonts w:hint="eastAsia" w:ascii="方正小标宋简体" w:hAnsi="方正小标宋简体" w:eastAsia="方正小标宋简体" w:cs="方正小标宋简体"/>
          <w:spacing w:val="4"/>
          <w:w w:val="95"/>
          <w:sz w:val="70"/>
          <w:szCs w:val="70"/>
          <w:highlight w:val="none"/>
        </w:rPr>
        <w:t>决算</w:t>
      </w:r>
      <w:r>
        <w:rPr>
          <w:rFonts w:hint="eastAsia" w:ascii="方正小标宋简体" w:hAnsi="方正小标宋简体" w:eastAsia="方正小标宋简体" w:cs="方正小标宋简体"/>
          <w:spacing w:val="4"/>
          <w:w w:val="95"/>
          <w:sz w:val="70"/>
          <w:szCs w:val="70"/>
          <w:highlight w:val="none"/>
          <w:lang w:eastAsia="zh-CN"/>
        </w:rPr>
        <w:t>公开</w:t>
      </w:r>
    </w:p>
    <w:p>
      <w:pPr>
        <w:jc w:val="center"/>
        <w:rPr>
          <w:rFonts w:hint="eastAsia" w:ascii="方正小标宋简体" w:hAnsi="方正小标宋简体" w:eastAsia="方正小标宋简体" w:cs="方正小标宋简体"/>
          <w:spacing w:val="4"/>
          <w:w w:val="95"/>
          <w:sz w:val="70"/>
          <w:szCs w:val="70"/>
          <w:highlight w:val="none"/>
          <w:lang w:eastAsia="zh-CN"/>
        </w:rPr>
      </w:pPr>
      <w:r>
        <w:rPr>
          <w:rFonts w:hint="eastAsia" w:ascii="方正小标宋简体" w:hAnsi="方正小标宋简体" w:eastAsia="方正小标宋简体" w:cs="方正小标宋简体"/>
          <w:spacing w:val="4"/>
          <w:w w:val="95"/>
          <w:sz w:val="70"/>
          <w:szCs w:val="70"/>
          <w:highlight w:val="none"/>
          <w:lang w:eastAsia="zh-CN"/>
        </w:rPr>
        <w:t>其他相关情况</w:t>
      </w: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jc w:val="both"/>
        <w:rPr>
          <w:rFonts w:hint="default" w:ascii="方正小标宋简体" w:hAnsi="方正小标宋简体" w:eastAsia="方正小标宋简体" w:cs="方正小标宋简体"/>
          <w:spacing w:val="4"/>
          <w:w w:val="95"/>
          <w:sz w:val="70"/>
          <w:szCs w:val="70"/>
          <w:highlight w:val="none"/>
          <w:lang w:val="en-US" w:eastAsia="zh-CN"/>
        </w:rPr>
      </w:pPr>
    </w:p>
    <w:tbl>
      <w:tblPr>
        <w:tblStyle w:val="18"/>
        <w:tblW w:w="8279" w:type="dxa"/>
        <w:tblInd w:w="93" w:type="dxa"/>
        <w:shd w:val="clear" w:color="auto" w:fill="auto"/>
        <w:tblLayout w:type="autofit"/>
        <w:tblCellMar>
          <w:top w:w="0" w:type="dxa"/>
          <w:left w:w="108" w:type="dxa"/>
          <w:bottom w:w="0" w:type="dxa"/>
          <w:right w:w="108" w:type="dxa"/>
        </w:tblCellMar>
      </w:tblPr>
      <w:tblGrid>
        <w:gridCol w:w="1871"/>
        <w:gridCol w:w="6408"/>
      </w:tblGrid>
      <w:tr>
        <w:tblPrEx>
          <w:shd w:val="clear" w:color="auto" w:fill="auto"/>
          <w:tblCellMar>
            <w:top w:w="0" w:type="dxa"/>
            <w:left w:w="108" w:type="dxa"/>
            <w:bottom w:w="0" w:type="dxa"/>
            <w:right w:w="108" w:type="dxa"/>
          </w:tblCellMar>
        </w:tblPrEx>
        <w:trPr>
          <w:trHeight w:val="510" w:hRule="atLeast"/>
        </w:trPr>
        <w:tc>
          <w:tcPr>
            <w:tcW w:w="1871" w:type="dxa"/>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附件1</w:t>
            </w:r>
          </w:p>
        </w:tc>
        <w:tc>
          <w:tcPr>
            <w:tcW w:w="640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2022年重大政策和重点项目绩效执行结果</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2022年财政转移支付安排说明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2022年文登区政府债务决算的说明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2022年三公经费分项数据及增减变化说明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2022年预算绩效工作开展情况</w:t>
            </w:r>
          </w:p>
        </w:tc>
      </w:tr>
    </w:tbl>
    <w:p>
      <w:pPr>
        <w:jc w:val="both"/>
        <w:rPr>
          <w:rFonts w:hint="eastAsia" w:ascii="方正小标宋简体" w:hAnsi="方正小标宋简体" w:eastAsia="方正小标宋简体" w:cs="方正小标宋简体"/>
          <w:spacing w:val="4"/>
          <w:w w:val="95"/>
          <w:sz w:val="20"/>
          <w:szCs w:val="20"/>
          <w:highlight w:val="none"/>
          <w:lang w:eastAsia="zh-CN"/>
        </w:rPr>
      </w:pPr>
    </w:p>
    <w:p>
      <w:pPr>
        <w:pStyle w:val="2"/>
        <w:rPr>
          <w:rFonts w:hint="eastAsia" w:ascii="方正小标宋简体" w:hAnsi="方正小标宋简体" w:eastAsia="方正小标宋简体" w:cs="方正小标宋简体"/>
          <w:spacing w:val="4"/>
          <w:w w:val="95"/>
          <w:sz w:val="20"/>
          <w:szCs w:val="20"/>
          <w:highlight w:val="none"/>
          <w:lang w:eastAsia="zh-CN"/>
        </w:rPr>
      </w:pPr>
    </w:p>
    <w:p>
      <w:pPr>
        <w:rPr>
          <w:rFonts w:hint="eastAsia" w:ascii="方正小标宋简体" w:hAnsi="方正小标宋简体" w:eastAsia="方正小标宋简体" w:cs="方正小标宋简体"/>
          <w:spacing w:val="4"/>
          <w:w w:val="95"/>
          <w:sz w:val="20"/>
          <w:szCs w:val="20"/>
          <w:highlight w:val="none"/>
          <w:lang w:eastAsia="zh-CN"/>
        </w:rPr>
      </w:pPr>
    </w:p>
    <w:p>
      <w:pPr>
        <w:pStyle w:val="2"/>
        <w:rPr>
          <w:rFonts w:hint="eastAsia"/>
          <w:lang w:eastAsia="zh-CN"/>
        </w:rPr>
      </w:pPr>
    </w:p>
    <w:p>
      <w:pPr>
        <w:pageBreakBefore w:val="0"/>
        <w:kinsoku/>
        <w:wordWrap/>
        <w:topLinePunct w:val="0"/>
        <w:bidi w:val="0"/>
        <w:spacing w:line="560" w:lineRule="exact"/>
        <w:jc w:val="both"/>
        <w:rPr>
          <w:rFonts w:hint="eastAsia" w:ascii="仿宋_GB2312" w:hAnsi="仿宋_GB2312" w:eastAsia="仿宋_GB2312" w:cs="仿宋_GB2312"/>
          <w:b/>
          <w:bCs/>
          <w:spacing w:val="4"/>
          <w:w w:val="95"/>
          <w:sz w:val="24"/>
          <w:szCs w:val="24"/>
          <w:highlight w:val="none"/>
          <w:lang w:eastAsia="zh-CN"/>
        </w:rPr>
        <w:sectPr>
          <w:pgSz w:w="11900" w:h="16820"/>
          <w:pgMar w:top="1871" w:right="1474" w:bottom="1871" w:left="1587" w:header="850" w:footer="1389" w:gutter="0"/>
          <w:cols w:space="720" w:num="1"/>
        </w:sectPr>
      </w:pPr>
    </w:p>
    <w:p>
      <w:pPr>
        <w:pageBreakBefore w:val="0"/>
        <w:kinsoku/>
        <w:wordWrap/>
        <w:topLinePunct w:val="0"/>
        <w:bidi w:val="0"/>
        <w:spacing w:line="560" w:lineRule="exact"/>
        <w:jc w:val="both"/>
        <w:rPr>
          <w:rFonts w:hint="eastAsia" w:ascii="仿宋_GB2312" w:hAnsi="仿宋_GB2312" w:eastAsia="仿宋_GB2312" w:cs="仿宋_GB2312"/>
          <w:b/>
          <w:bCs/>
          <w:spacing w:val="4"/>
          <w:w w:val="95"/>
          <w:sz w:val="24"/>
          <w:szCs w:val="24"/>
          <w:highlight w:val="none"/>
          <w:lang w:val="en-US" w:eastAsia="zh-CN"/>
        </w:rPr>
      </w:pPr>
      <w:r>
        <w:rPr>
          <w:rFonts w:hint="eastAsia" w:ascii="仿宋_GB2312" w:hAnsi="仿宋_GB2312" w:eastAsia="仿宋_GB2312" w:cs="仿宋_GB2312"/>
          <w:b/>
          <w:bCs/>
          <w:spacing w:val="4"/>
          <w:w w:val="95"/>
          <w:sz w:val="24"/>
          <w:szCs w:val="24"/>
          <w:highlight w:val="none"/>
          <w:lang w:eastAsia="zh-CN"/>
        </w:rPr>
        <w:t>附件</w:t>
      </w:r>
      <w:r>
        <w:rPr>
          <w:rFonts w:hint="eastAsia" w:ascii="仿宋_GB2312" w:hAnsi="仿宋_GB2312" w:eastAsia="仿宋_GB2312" w:cs="仿宋_GB2312"/>
          <w:b/>
          <w:bCs/>
          <w:spacing w:val="4"/>
          <w:w w:val="95"/>
          <w:sz w:val="24"/>
          <w:szCs w:val="24"/>
          <w:highlight w:val="none"/>
          <w:lang w:val="en-US" w:eastAsia="zh-CN"/>
        </w:rPr>
        <w:t>1</w:t>
      </w:r>
    </w:p>
    <w:p>
      <w:pPr>
        <w:pStyle w:val="2"/>
        <w:rPr>
          <w:rFonts w:hint="eastAsia"/>
          <w:lang w:val="en-US" w:eastAsia="zh-CN"/>
        </w:rPr>
      </w:pPr>
    </w:p>
    <w:p>
      <w:pPr>
        <w:rPr>
          <w:rFonts w:hint="eastAsia"/>
          <w:lang w:val="en-US" w:eastAsia="zh-CN"/>
        </w:rPr>
      </w:pPr>
    </w:p>
    <w:p>
      <w:pPr>
        <w:rPr>
          <w:rFonts w:hint="eastAsia"/>
          <w:lang w:val="en-US" w:eastAsia="zh-CN"/>
        </w:rPr>
      </w:pPr>
    </w:p>
    <w:p>
      <w:pPr>
        <w:pageBreakBefore w:val="0"/>
        <w:numPr>
          <w:ilvl w:val="0"/>
          <w:numId w:val="0"/>
        </w:numPr>
        <w:tabs>
          <w:tab w:val="left" w:pos="2101"/>
        </w:tabs>
        <w:kinsoku/>
        <w:wordWrap/>
        <w:topLinePunct w:val="0"/>
        <w:bidi w:val="0"/>
        <w:spacing w:before="49" w:line="560" w:lineRule="exact"/>
        <w:ind w:right="0" w:rightChars="0"/>
        <w:jc w:val="center"/>
        <w:rPr>
          <w:rFonts w:eastAsia="黑体"/>
          <w:b/>
          <w:bCs/>
          <w:sz w:val="36"/>
          <w:szCs w:val="36"/>
        </w:rPr>
      </w:pPr>
      <w:r>
        <w:rPr>
          <w:rFonts w:hint="eastAsia" w:ascii="方正小标宋简体" w:hAnsi="方正小标宋简体" w:eastAsia="方正小标宋简体" w:cs="方正小标宋简体"/>
          <w:sz w:val="44"/>
          <w:szCs w:val="44"/>
          <w:highlight w:val="none"/>
          <w:lang w:val="en-US" w:eastAsia="zh-CN"/>
        </w:rPr>
        <w:t>2022年重大政策及重点项目绩效执行结果</w:t>
      </w:r>
    </w:p>
    <w:p>
      <w:pPr>
        <w:pageBreakBefore w:val="0"/>
        <w:kinsoku/>
        <w:wordWrap/>
        <w:topLinePunct w:val="0"/>
        <w:bidi w:val="0"/>
        <w:spacing w:before="62" w:after="62" w:line="560" w:lineRule="exact"/>
        <w:ind w:firstLine="803"/>
        <w:jc w:val="center"/>
        <w:rPr>
          <w:b/>
          <w:bCs/>
          <w:sz w:val="40"/>
          <w:szCs w:val="40"/>
        </w:rPr>
      </w:pP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36"/>
          <w:szCs w:val="36"/>
        </w:rPr>
      </w:pPr>
      <w:r>
        <w:rPr>
          <w:rFonts w:hint="eastAsia" w:ascii="方正小标宋简体" w:hAnsi="方正小标宋简体" w:eastAsia="方正小标宋简体" w:cs="方正小标宋简体"/>
          <w:b w:val="0"/>
          <w:bCs/>
          <w:color w:val="000000"/>
          <w:kern w:val="0"/>
          <w:sz w:val="36"/>
          <w:szCs w:val="36"/>
        </w:rPr>
        <w:t>2022年高标准农田建设项目</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36"/>
          <w:szCs w:val="36"/>
        </w:rPr>
      </w:pPr>
      <w:r>
        <w:rPr>
          <w:rFonts w:hint="eastAsia" w:ascii="方正小标宋简体" w:hAnsi="方正小标宋简体" w:eastAsia="方正小标宋简体" w:cs="方正小标宋简体"/>
          <w:b w:val="0"/>
          <w:bCs/>
          <w:color w:val="000000"/>
          <w:kern w:val="0"/>
          <w:sz w:val="36"/>
          <w:szCs w:val="36"/>
        </w:rPr>
        <w:t>绩效评价报告</w:t>
      </w:r>
    </w:p>
    <w:p>
      <w:pPr>
        <w:autoSpaceDE w:val="0"/>
        <w:autoSpaceDN w:val="0"/>
        <w:adjustRightInd w:val="0"/>
        <w:spacing w:line="590" w:lineRule="exact"/>
        <w:ind w:firstLine="0" w:firstLineChars="0"/>
        <w:jc w:val="center"/>
        <w:rPr>
          <w:rFonts w:ascii="仿宋" w:hAnsi="仿宋" w:eastAsia="仿宋" w:cs="仿宋"/>
          <w:b/>
          <w:bCs/>
          <w:color w:val="000000"/>
          <w:kern w:val="0"/>
          <w:sz w:val="52"/>
          <w:szCs w:val="52"/>
        </w:rPr>
      </w:pPr>
    </w:p>
    <w:p>
      <w:pPr>
        <w:spacing w:line="590" w:lineRule="exact"/>
        <w:ind w:left="680" w:firstLine="640" w:firstLineChars="200"/>
        <w:rPr>
          <w:rFonts w:ascii="仿宋" w:hAnsi="仿宋" w:eastAsia="仿宋" w:cs="仿宋"/>
          <w:sz w:val="32"/>
        </w:rPr>
      </w:pPr>
    </w:p>
    <w:p>
      <w:pPr>
        <w:spacing w:line="590" w:lineRule="exact"/>
        <w:ind w:firstLine="640" w:firstLineChars="200"/>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firstLineChars="200"/>
        <w:rPr>
          <w:rFonts w:ascii="仿宋" w:hAnsi="仿宋" w:eastAsia="仿宋" w:cs="仿宋"/>
          <w:b/>
          <w:bCs/>
          <w:sz w:val="30"/>
        </w:rPr>
      </w:pPr>
    </w:p>
    <w:p>
      <w:pPr>
        <w:spacing w:line="590" w:lineRule="exact"/>
        <w:ind w:firstLine="602" w:firstLineChars="200"/>
        <w:rPr>
          <w:rFonts w:ascii="仿宋" w:hAnsi="仿宋" w:eastAsia="仿宋" w:cs="仿宋"/>
          <w:b/>
          <w:bCs/>
          <w:sz w:val="30"/>
        </w:rPr>
      </w:pPr>
    </w:p>
    <w:p>
      <w:pPr>
        <w:spacing w:line="590" w:lineRule="exact"/>
        <w:ind w:firstLine="602" w:firstLineChars="200"/>
        <w:rPr>
          <w:rFonts w:ascii="仿宋" w:hAnsi="仿宋" w:eastAsia="仿宋" w:cs="仿宋"/>
          <w:b/>
          <w:bCs/>
          <w:sz w:val="30"/>
        </w:rPr>
      </w:pPr>
    </w:p>
    <w:p>
      <w:pPr>
        <w:pageBreakBefore w:val="0"/>
        <w:kinsoku/>
        <w:wordWrap/>
        <w:topLinePunct w:val="0"/>
        <w:bidi w:val="0"/>
        <w:spacing w:before="87" w:after="87" w:line="560" w:lineRule="exact"/>
        <w:rPr>
          <w:rFonts w:hint="eastAsia" w:ascii="仿宋" w:hAnsi="仿宋" w:cs="仿宋"/>
          <w:b/>
          <w:bCs/>
          <w:szCs w:val="24"/>
        </w:rPr>
      </w:pPr>
    </w:p>
    <w:p>
      <w:pPr>
        <w:pageBreakBefore w:val="0"/>
        <w:kinsoku/>
        <w:wordWrap/>
        <w:topLinePunct w:val="0"/>
        <w:bidi w:val="0"/>
        <w:spacing w:before="87" w:after="87" w:line="560" w:lineRule="exact"/>
        <w:jc w:val="center"/>
        <w:rPr>
          <w:rFonts w:hint="eastAsia" w:ascii="仿宋" w:hAnsi="仿宋" w:cs="仿宋"/>
          <w:b/>
          <w:bCs/>
          <w:szCs w:val="24"/>
        </w:rPr>
      </w:pPr>
      <w:r>
        <w:rPr>
          <w:rFonts w:hint="eastAsia" w:ascii="仿宋" w:hAnsi="仿宋" w:cs="仿宋"/>
          <w:b/>
          <w:bCs/>
          <w:szCs w:val="24"/>
        </w:rPr>
        <w:t>威海市文登区财政局</w:t>
      </w:r>
    </w:p>
    <w:p>
      <w:pPr>
        <w:pageBreakBefore w:val="0"/>
        <w:kinsoku/>
        <w:wordWrap/>
        <w:topLinePunct w:val="0"/>
        <w:bidi w:val="0"/>
        <w:spacing w:before="87" w:after="87" w:line="560" w:lineRule="exact"/>
        <w:jc w:val="center"/>
        <w:rPr>
          <w:rFonts w:hint="eastAsia" w:ascii="仿宋" w:hAnsi="仿宋" w:cs="仿宋"/>
          <w:b/>
          <w:bCs/>
          <w:szCs w:val="24"/>
        </w:rPr>
        <w:sectPr>
          <w:headerReference r:id="rId5" w:type="first"/>
          <w:footerReference r:id="rId8" w:type="first"/>
          <w:headerReference r:id="rId3" w:type="default"/>
          <w:footerReference r:id="rId6" w:type="default"/>
          <w:headerReference r:id="rId4" w:type="even"/>
          <w:footerReference r:id="rId7" w:type="even"/>
          <w:pgSz w:w="11850" w:h="16783"/>
          <w:pgMar w:top="1440" w:right="1440" w:bottom="1440" w:left="1440" w:header="737" w:footer="1077" w:gutter="0"/>
          <w:cols w:equalWidth="0" w:num="1">
            <w:col w:w="9026"/>
          </w:cols>
          <w:docGrid w:linePitch="360" w:charSpace="0"/>
        </w:sectPr>
      </w:pPr>
      <w:r>
        <w:rPr>
          <w:rFonts w:hint="eastAsia" w:ascii="仿宋" w:hAnsi="仿宋" w:cs="仿宋"/>
          <w:b/>
          <w:bCs/>
          <w:szCs w:val="24"/>
        </w:rPr>
        <w:t>评价时间</w:t>
      </w:r>
      <w:r>
        <w:rPr>
          <w:rFonts w:hint="eastAsia" w:ascii="仿宋" w:hAnsi="仿宋" w:cs="仿宋"/>
          <w:b/>
          <w:bCs/>
          <w:szCs w:val="24"/>
          <w:lang w:eastAsia="zh-CN"/>
        </w:rPr>
        <w:t>：</w:t>
      </w:r>
      <w:r>
        <w:rPr>
          <w:rFonts w:hint="eastAsia" w:ascii="仿宋" w:hAnsi="仿宋" w:cs="仿宋"/>
          <w:b/>
          <w:bCs/>
          <w:szCs w:val="24"/>
        </w:rPr>
        <w:t>202</w:t>
      </w:r>
      <w:r>
        <w:rPr>
          <w:rFonts w:hint="eastAsia" w:ascii="仿宋" w:hAnsi="仿宋" w:cs="仿宋"/>
          <w:b/>
          <w:bCs/>
          <w:szCs w:val="24"/>
          <w:lang w:val="en-US" w:eastAsia="zh-CN"/>
        </w:rPr>
        <w:t>3</w:t>
      </w:r>
      <w:r>
        <w:rPr>
          <w:rFonts w:hint="eastAsia" w:ascii="仿宋" w:hAnsi="仿宋" w:cs="仿宋"/>
          <w:b/>
          <w:bCs/>
          <w:szCs w:val="24"/>
        </w:rPr>
        <w:t xml:space="preserve"> 年 </w:t>
      </w:r>
      <w:r>
        <w:rPr>
          <w:rFonts w:hint="eastAsia" w:ascii="仿宋" w:hAnsi="仿宋" w:cs="仿宋"/>
          <w:b/>
          <w:bCs/>
          <w:szCs w:val="24"/>
          <w:lang w:val="en-US" w:eastAsia="zh-CN"/>
        </w:rPr>
        <w:t>8</w:t>
      </w:r>
      <w:r>
        <w:rPr>
          <w:rFonts w:hint="eastAsia" w:ascii="仿宋" w:hAnsi="仿宋" w:cs="仿宋"/>
          <w:b/>
          <w:bCs/>
          <w:szCs w:val="24"/>
        </w:rPr>
        <w:t xml:space="preserve"> 月</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一、项目基本情况</w:t>
      </w:r>
    </w:p>
    <w:p>
      <w:pPr>
        <w:pStyle w:val="54"/>
        <w:numPr>
          <w:ilvl w:val="0"/>
          <w:numId w:val="2"/>
        </w:numPr>
        <w:spacing w:line="560" w:lineRule="exact"/>
        <w:ind w:firstLineChars="0"/>
        <w:outlineLvl w:val="3"/>
        <w:rPr>
          <w:rFonts w:hint="eastAsia" w:ascii="楷体_GB2312" w:hAnsi="楷体_GB2312" w:eastAsia="楷体_GB2312" w:cs="楷体_GB2312"/>
          <w:szCs w:val="32"/>
        </w:rPr>
      </w:pPr>
      <w:r>
        <w:rPr>
          <w:rFonts w:hint="eastAsia" w:ascii="楷体_GB2312" w:hAnsi="楷体_GB2312" w:eastAsia="楷体_GB2312" w:cs="楷体_GB2312"/>
          <w:szCs w:val="32"/>
        </w:rPr>
        <w:t>项目设立目的</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威海市农业农村局下发了《威海市农业农村局关于编报 2022 年高标准农田建设项目计划和实施方案的通知》（威农字﹝2022﹞8 号），下达文登区2022年高标准农田建设任务10万亩，其中高效节水灌溉面积0.6万亩。文登区农业农村局根据省市主管部门下达的高标准农田建设任务组织实施2022年文登区2022年高标准农田建设工作。</w:t>
      </w:r>
    </w:p>
    <w:p>
      <w:pPr>
        <w:pStyle w:val="54"/>
        <w:numPr>
          <w:ilvl w:val="0"/>
          <w:numId w:val="2"/>
        </w:numPr>
        <w:spacing w:line="560" w:lineRule="exact"/>
        <w:ind w:firstLineChars="0"/>
        <w:outlineLvl w:val="3"/>
        <w:rPr>
          <w:rFonts w:hint="eastAsia" w:ascii="楷体_GB2312" w:hAnsi="楷体_GB2312" w:eastAsia="楷体_GB2312" w:cs="楷体_GB2312"/>
          <w:szCs w:val="32"/>
        </w:rPr>
      </w:pPr>
      <w:r>
        <w:rPr>
          <w:rFonts w:hint="eastAsia" w:ascii="楷体_GB2312" w:hAnsi="楷体_GB2312" w:eastAsia="楷体_GB2312" w:cs="楷体_GB2312"/>
          <w:szCs w:val="32"/>
        </w:rPr>
        <w:t>项目主要内容</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2022年高标准农田建设项目安排在泽库、侯家、高村、张家产及大水泊5个镇实施。其中高村4万亩，大水泊0.8万亩，侯家2.1万亩，泽库1.2万亩，张家产1.9万亩，共计10万亩。以及耕地质量检测500处、高标准农田智慧平台建设等，共涉及102个行政村。</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规划主要建设内容为，新建泵站21座，新建集水窖3座，敷设供水管共39.714km，新建给水栓843个，闸阀室98个，电缆3600m；道路硬化长88.44km；新建管涵85座；新建(包含改建)农桥33座；田间排水沟清淤450m；平塘护砌86座，平塘清淤12座；新建农用井8座；土地整理4129亩；地力培肥1300亩；耕地质量检测500处；建设高标准农田综合管理平台。</w:t>
      </w:r>
    </w:p>
    <w:p>
      <w:pPr>
        <w:pStyle w:val="54"/>
        <w:numPr>
          <w:ilvl w:val="0"/>
          <w:numId w:val="2"/>
        </w:numPr>
        <w:spacing w:line="560" w:lineRule="exact"/>
        <w:ind w:firstLineChars="0"/>
        <w:outlineLvl w:val="3"/>
        <w:rPr>
          <w:rFonts w:hint="eastAsia" w:ascii="楷体_GB2312" w:hAnsi="楷体_GB2312" w:eastAsia="楷体_GB2312" w:cs="楷体_GB2312"/>
          <w:szCs w:val="32"/>
        </w:rPr>
      </w:pPr>
      <w:r>
        <w:rPr>
          <w:rFonts w:hint="eastAsia" w:ascii="楷体_GB2312" w:hAnsi="楷体_GB2312" w:eastAsia="楷体_GB2312" w:cs="楷体_GB2312"/>
          <w:szCs w:val="32"/>
        </w:rPr>
        <w:t>项目实施情况</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高标准农田建设项目，按计划确定的大水泊镇、张家产镇、高村镇、侯家镇、泽库镇5个镇101个行政村实施，高村镇绿杨村未实施。项目实施情况为，新建泵站23座，新建集水窖4座，敷设供水管共53..2191km，新建给水栓986个，闸阀室146个，电缆4370m；道路硬化长92.75km；新建管涵；新建(包含改建)农桥35座，修复农桥1座，漫水桥3座、溢洪道1座；田间排水沟清淤5条，浆砌排水沟55.5米，清理埋水管20处，浆砌排水沟102.6米，水沟清淤270.3米；平塘护砌77座，平塘清淤23座，平塘挡土墙284米；新建农用井6座；土地整理3580亩；发放有机肥8491.906吨；耕地质量检测500处；建设完成高标准农田综合管理平台。</w:t>
      </w:r>
    </w:p>
    <w:p>
      <w:pPr>
        <w:pStyle w:val="54"/>
        <w:numPr>
          <w:ilvl w:val="0"/>
          <w:numId w:val="2"/>
        </w:numPr>
        <w:spacing w:line="560" w:lineRule="exact"/>
        <w:ind w:firstLineChars="0"/>
        <w:outlineLvl w:val="3"/>
        <w:rPr>
          <w:rFonts w:hint="eastAsia" w:ascii="楷体_GB2312" w:hAnsi="楷体_GB2312" w:eastAsia="楷体_GB2312" w:cs="楷体_GB2312"/>
          <w:szCs w:val="32"/>
        </w:rPr>
      </w:pPr>
      <w:r>
        <w:rPr>
          <w:rFonts w:hint="eastAsia" w:ascii="楷体_GB2312" w:hAnsi="楷体_GB2312" w:eastAsia="楷体_GB2312" w:cs="楷体_GB2312"/>
          <w:szCs w:val="32"/>
        </w:rPr>
        <w:t>资金投入和使用情况</w:t>
      </w:r>
    </w:p>
    <w:p>
      <w:pPr>
        <w:pStyle w:val="54"/>
        <w:spacing w:line="560" w:lineRule="exact"/>
        <w:ind w:firstLine="0" w:firstLineChars="0"/>
        <w:jc w:val="center"/>
        <w:rPr>
          <w:rFonts w:hint="eastAsia" w:cs="仿宋_GB2312"/>
          <w:color w:val="000000"/>
          <w:szCs w:val="32"/>
        </w:rPr>
      </w:pPr>
      <w:r>
        <w:rPr>
          <w:rFonts w:cs="仿宋_GB2312"/>
          <w:color w:val="000000"/>
          <w:szCs w:val="32"/>
        </w:rPr>
        <w:t>2022年高</w:t>
      </w:r>
      <w:r>
        <w:rPr>
          <w:rFonts w:hint="eastAsia" w:cs="仿宋_GB2312"/>
          <w:color w:val="000000"/>
          <w:szCs w:val="32"/>
        </w:rPr>
        <w:t>标准农田</w:t>
      </w:r>
      <w:r>
        <w:rPr>
          <w:rFonts w:cs="仿宋_GB2312"/>
          <w:color w:val="000000"/>
          <w:szCs w:val="32"/>
        </w:rPr>
        <w:t>项目</w:t>
      </w:r>
      <w:r>
        <w:rPr>
          <w:rFonts w:hint="eastAsia" w:cs="仿宋_GB2312"/>
          <w:color w:val="000000"/>
          <w:szCs w:val="32"/>
        </w:rPr>
        <w:t>各级资金预算指标文汇总表</w:t>
      </w:r>
    </w:p>
    <w:tbl>
      <w:tblPr>
        <w:tblStyle w:val="18"/>
        <w:tblW w:w="4997" w:type="pct"/>
        <w:tblInd w:w="0" w:type="dxa"/>
        <w:tblLayout w:type="fixed"/>
        <w:tblCellMar>
          <w:top w:w="0" w:type="dxa"/>
          <w:left w:w="108" w:type="dxa"/>
          <w:bottom w:w="0" w:type="dxa"/>
          <w:right w:w="108" w:type="dxa"/>
        </w:tblCellMar>
      </w:tblPr>
      <w:tblGrid>
        <w:gridCol w:w="564"/>
        <w:gridCol w:w="1164"/>
        <w:gridCol w:w="2690"/>
        <w:gridCol w:w="2088"/>
        <w:gridCol w:w="1275"/>
        <w:gridCol w:w="1275"/>
      </w:tblGrid>
      <w:tr>
        <w:tblPrEx>
          <w:tblCellMar>
            <w:top w:w="0" w:type="dxa"/>
            <w:left w:w="108" w:type="dxa"/>
            <w:bottom w:w="0" w:type="dxa"/>
            <w:right w:w="108" w:type="dxa"/>
          </w:tblCellMar>
        </w:tblPrEx>
        <w:trPr>
          <w:trHeight w:val="760" w:hRule="atLeast"/>
        </w:trPr>
        <w:tc>
          <w:tcPr>
            <w:tcW w:w="312"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序号</w:t>
            </w:r>
          </w:p>
        </w:tc>
        <w:tc>
          <w:tcPr>
            <w:tcW w:w="642"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各级资金</w:t>
            </w:r>
          </w:p>
        </w:tc>
        <w:tc>
          <w:tcPr>
            <w:tcW w:w="1484"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指标文号</w:t>
            </w:r>
          </w:p>
        </w:tc>
        <w:tc>
          <w:tcPr>
            <w:tcW w:w="1152"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日期</w:t>
            </w:r>
          </w:p>
        </w:tc>
        <w:tc>
          <w:tcPr>
            <w:tcW w:w="703" w:type="pct"/>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下达指标</w:t>
            </w:r>
            <w:r>
              <w:rPr>
                <w:rFonts w:hint="eastAsia" w:ascii="宋体" w:hAnsi="宋体" w:eastAsia="宋体" w:cs="宋体"/>
                <w:b/>
                <w:bCs/>
                <w:color w:val="000000"/>
                <w:kern w:val="0"/>
                <w:sz w:val="22"/>
                <w:szCs w:val="22"/>
                <w:lang w:bidi="ar"/>
              </w:rPr>
              <w:br w:type="textWrapping"/>
            </w:r>
            <w:r>
              <w:rPr>
                <w:rFonts w:hint="eastAsia" w:ascii="宋体" w:hAnsi="宋体" w:eastAsia="宋体" w:cs="宋体"/>
                <w:b/>
                <w:bCs/>
                <w:color w:val="000000"/>
                <w:kern w:val="0"/>
                <w:sz w:val="22"/>
                <w:szCs w:val="22"/>
                <w:lang w:bidi="ar"/>
              </w:rPr>
              <w:t>金额</w:t>
            </w:r>
          </w:p>
          <w:p>
            <w:pPr>
              <w:widowControl/>
              <w:spacing w:line="240" w:lineRule="auto"/>
              <w:ind w:firstLine="0" w:firstLineChars="0"/>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（万元）</w:t>
            </w:r>
          </w:p>
        </w:tc>
        <w:tc>
          <w:tcPr>
            <w:tcW w:w="703" w:type="pct"/>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bidi="ar"/>
              </w:rPr>
              <w:t>合计金额（万元）</w:t>
            </w:r>
          </w:p>
        </w:tc>
      </w:tr>
      <w:tr>
        <w:tblPrEx>
          <w:tblCellMar>
            <w:top w:w="0" w:type="dxa"/>
            <w:left w:w="108" w:type="dxa"/>
            <w:bottom w:w="0" w:type="dxa"/>
            <w:right w:w="108" w:type="dxa"/>
          </w:tblCellMar>
        </w:tblPrEx>
        <w:trPr>
          <w:trHeight w:val="500" w:hRule="atLeast"/>
        </w:trPr>
        <w:tc>
          <w:tcPr>
            <w:tcW w:w="312" w:type="pct"/>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642" w:type="pct"/>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中央资金</w:t>
            </w:r>
          </w:p>
        </w:tc>
        <w:tc>
          <w:tcPr>
            <w:tcW w:w="1484"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威文财农整﹝2022﹞1号</w:t>
            </w:r>
          </w:p>
        </w:tc>
        <w:tc>
          <w:tcPr>
            <w:tcW w:w="1152"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2022.1.10日</w:t>
            </w:r>
          </w:p>
        </w:tc>
        <w:tc>
          <w:tcPr>
            <w:tcW w:w="703"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7592</w:t>
            </w:r>
          </w:p>
        </w:tc>
        <w:tc>
          <w:tcPr>
            <w:tcW w:w="703" w:type="pct"/>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9917</w:t>
            </w:r>
          </w:p>
        </w:tc>
      </w:tr>
      <w:tr>
        <w:tblPrEx>
          <w:tblCellMar>
            <w:top w:w="0" w:type="dxa"/>
            <w:left w:w="108" w:type="dxa"/>
            <w:bottom w:w="0" w:type="dxa"/>
            <w:right w:w="108" w:type="dxa"/>
          </w:tblCellMar>
        </w:tblPrEx>
        <w:trPr>
          <w:trHeight w:val="500" w:hRule="atLeast"/>
        </w:trPr>
        <w:tc>
          <w:tcPr>
            <w:tcW w:w="312" w:type="pct"/>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c>
          <w:tcPr>
            <w:tcW w:w="642" w:type="pct"/>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c>
          <w:tcPr>
            <w:tcW w:w="1484"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威文财农整﹝2022﹞17号</w:t>
            </w:r>
          </w:p>
        </w:tc>
        <w:tc>
          <w:tcPr>
            <w:tcW w:w="1152"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2022.5.30日</w:t>
            </w:r>
          </w:p>
        </w:tc>
        <w:tc>
          <w:tcPr>
            <w:tcW w:w="703"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2325</w:t>
            </w:r>
          </w:p>
        </w:tc>
        <w:tc>
          <w:tcPr>
            <w:tcW w:w="703" w:type="pct"/>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500" w:hRule="atLeast"/>
        </w:trPr>
        <w:tc>
          <w:tcPr>
            <w:tcW w:w="312" w:type="pct"/>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642" w:type="pct"/>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省级资金</w:t>
            </w:r>
          </w:p>
        </w:tc>
        <w:tc>
          <w:tcPr>
            <w:tcW w:w="1484"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威文财农整[2023]3号</w:t>
            </w:r>
          </w:p>
        </w:tc>
        <w:tc>
          <w:tcPr>
            <w:tcW w:w="1152"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2023.1.18日</w:t>
            </w:r>
          </w:p>
        </w:tc>
        <w:tc>
          <w:tcPr>
            <w:tcW w:w="703" w:type="pc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747</w:t>
            </w:r>
          </w:p>
        </w:tc>
        <w:tc>
          <w:tcPr>
            <w:tcW w:w="703" w:type="pct"/>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4747</w:t>
            </w:r>
          </w:p>
        </w:tc>
      </w:tr>
      <w:tr>
        <w:tblPrEx>
          <w:tblCellMar>
            <w:top w:w="0" w:type="dxa"/>
            <w:left w:w="108" w:type="dxa"/>
            <w:bottom w:w="0" w:type="dxa"/>
            <w:right w:w="108" w:type="dxa"/>
          </w:tblCellMar>
        </w:tblPrEx>
        <w:trPr>
          <w:trHeight w:val="500" w:hRule="atLeast"/>
        </w:trPr>
        <w:tc>
          <w:tcPr>
            <w:tcW w:w="312" w:type="pct"/>
            <w:vMerge w:val="continue"/>
            <w:tcBorders>
              <w:top w:val="single" w:color="auto" w:sz="4" w:space="0"/>
              <w:left w:val="single" w:color="auto"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c>
          <w:tcPr>
            <w:tcW w:w="642" w:type="pct"/>
            <w:vMerge w:val="continue"/>
            <w:tcBorders>
              <w:top w:val="single" w:color="auto" w:sz="4" w:space="0"/>
              <w:left w:val="nil"/>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c>
          <w:tcPr>
            <w:tcW w:w="1484" w:type="pct"/>
            <w:tcBorders>
              <w:top w:val="single" w:color="auto"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威文财农整﹝2022﹞10号</w:t>
            </w:r>
          </w:p>
        </w:tc>
        <w:tc>
          <w:tcPr>
            <w:tcW w:w="1152" w:type="pct"/>
            <w:tcBorders>
              <w:top w:val="single" w:color="auto" w:sz="4" w:space="0"/>
              <w:left w:val="nil"/>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2022.4.22日</w:t>
            </w:r>
          </w:p>
        </w:tc>
        <w:tc>
          <w:tcPr>
            <w:tcW w:w="703" w:type="pct"/>
            <w:tcBorders>
              <w:top w:val="single" w:color="auto"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4000</w:t>
            </w:r>
          </w:p>
        </w:tc>
        <w:tc>
          <w:tcPr>
            <w:tcW w:w="703" w:type="pct"/>
            <w:vMerge w:val="continue"/>
            <w:tcBorders>
              <w:top w:val="single" w:color="auto" w:sz="4" w:space="0"/>
              <w:left w:val="single" w:color="000000" w:sz="4" w:space="0"/>
              <w:bottom w:val="single" w:color="000000"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r>
      <w:tr>
        <w:tblPrEx>
          <w:tblCellMar>
            <w:top w:w="0" w:type="dxa"/>
            <w:left w:w="108" w:type="dxa"/>
            <w:bottom w:w="0" w:type="dxa"/>
            <w:right w:w="108" w:type="dxa"/>
          </w:tblCellMar>
        </w:tblPrEx>
        <w:trPr>
          <w:trHeight w:val="50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642" w:type="pct"/>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市级资金</w:t>
            </w:r>
          </w:p>
        </w:tc>
        <w:tc>
          <w:tcPr>
            <w:tcW w:w="148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威文财预指﹝2022﹞15号</w:t>
            </w:r>
          </w:p>
        </w:tc>
        <w:tc>
          <w:tcPr>
            <w:tcW w:w="1152" w:type="pct"/>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2022.4.22日</w:t>
            </w:r>
          </w:p>
        </w:tc>
        <w:tc>
          <w:tcPr>
            <w:tcW w:w="703"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500</w:t>
            </w:r>
          </w:p>
        </w:tc>
        <w:tc>
          <w:tcPr>
            <w:tcW w:w="703"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500</w:t>
            </w:r>
          </w:p>
        </w:tc>
      </w:tr>
      <w:tr>
        <w:tblPrEx>
          <w:tblCellMar>
            <w:top w:w="0" w:type="dxa"/>
            <w:left w:w="108" w:type="dxa"/>
            <w:bottom w:w="0" w:type="dxa"/>
            <w:right w:w="108" w:type="dxa"/>
          </w:tblCellMar>
        </w:tblPrEx>
        <w:trPr>
          <w:trHeight w:val="50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w:t>
            </w:r>
          </w:p>
        </w:tc>
        <w:tc>
          <w:tcPr>
            <w:tcW w:w="642" w:type="pct"/>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区级资金</w:t>
            </w:r>
          </w:p>
        </w:tc>
        <w:tc>
          <w:tcPr>
            <w:tcW w:w="148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威文财农﹝2022﹞4号</w:t>
            </w:r>
          </w:p>
        </w:tc>
        <w:tc>
          <w:tcPr>
            <w:tcW w:w="1152" w:type="pct"/>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2022.7.1日</w:t>
            </w:r>
          </w:p>
        </w:tc>
        <w:tc>
          <w:tcPr>
            <w:tcW w:w="703"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336</w:t>
            </w:r>
          </w:p>
        </w:tc>
        <w:tc>
          <w:tcPr>
            <w:tcW w:w="703"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336</w:t>
            </w:r>
          </w:p>
        </w:tc>
      </w:tr>
      <w:tr>
        <w:tblPrEx>
          <w:tblCellMar>
            <w:top w:w="0" w:type="dxa"/>
            <w:left w:w="108" w:type="dxa"/>
            <w:bottom w:w="0" w:type="dxa"/>
            <w:right w:w="108" w:type="dxa"/>
          </w:tblCellMar>
        </w:tblPrEx>
        <w:trPr>
          <w:trHeight w:val="50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c>
          <w:tcPr>
            <w:tcW w:w="642" w:type="pct"/>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总计</w:t>
            </w:r>
          </w:p>
        </w:tc>
        <w:tc>
          <w:tcPr>
            <w:tcW w:w="1484" w:type="pct"/>
            <w:tcBorders>
              <w:top w:val="nil"/>
              <w:left w:val="single" w:color="000000" w:sz="4" w:space="0"/>
              <w:bottom w:val="single" w:color="000000" w:sz="4" w:space="0"/>
              <w:right w:val="single" w:color="000000" w:sz="4" w:space="0"/>
            </w:tcBorders>
            <w:noWrap/>
            <w:vAlign w:val="center"/>
          </w:tcPr>
          <w:p>
            <w:pPr>
              <w:widowControl/>
              <w:spacing w:line="240" w:lineRule="auto"/>
              <w:ind w:firstLine="0" w:firstLineChars="0"/>
              <w:rPr>
                <w:rFonts w:hint="eastAsia" w:ascii="宋体" w:hAnsi="宋体" w:eastAsia="宋体" w:cs="宋体"/>
                <w:color w:val="000000"/>
                <w:sz w:val="22"/>
                <w:szCs w:val="22"/>
              </w:rPr>
            </w:pPr>
          </w:p>
        </w:tc>
        <w:tc>
          <w:tcPr>
            <w:tcW w:w="1152" w:type="pct"/>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2"/>
                <w:szCs w:val="22"/>
              </w:rPr>
            </w:pPr>
          </w:p>
        </w:tc>
        <w:tc>
          <w:tcPr>
            <w:tcW w:w="703"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15500</w:t>
            </w:r>
          </w:p>
        </w:tc>
        <w:tc>
          <w:tcPr>
            <w:tcW w:w="703"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15500</w:t>
            </w:r>
          </w:p>
        </w:tc>
      </w:tr>
    </w:tbl>
    <w:p>
      <w:pPr>
        <w:pStyle w:val="54"/>
        <w:ind w:firstLine="0" w:firstLineChars="0"/>
        <w:jc w:val="center"/>
        <w:rPr>
          <w:rFonts w:cs="仿宋_GB2312"/>
          <w:color w:val="000000"/>
          <w:szCs w:val="32"/>
        </w:rPr>
      </w:pPr>
    </w:p>
    <w:p>
      <w:pPr>
        <w:pStyle w:val="54"/>
        <w:ind w:firstLine="0" w:firstLineChars="0"/>
        <w:jc w:val="center"/>
        <w:rPr>
          <w:rFonts w:cs="仿宋_GB2312"/>
          <w:color w:val="000000"/>
          <w:szCs w:val="32"/>
        </w:rPr>
      </w:pPr>
      <w:r>
        <w:rPr>
          <w:rFonts w:cs="仿宋_GB2312"/>
          <w:color w:val="000000"/>
          <w:szCs w:val="32"/>
        </w:rPr>
        <w:t>2022年高</w:t>
      </w:r>
      <w:r>
        <w:rPr>
          <w:rFonts w:hint="eastAsia" w:cs="仿宋_GB2312"/>
          <w:color w:val="000000"/>
          <w:szCs w:val="32"/>
        </w:rPr>
        <w:t>标准农田</w:t>
      </w:r>
      <w:r>
        <w:rPr>
          <w:rFonts w:cs="仿宋_GB2312"/>
          <w:color w:val="000000"/>
          <w:szCs w:val="32"/>
        </w:rPr>
        <w:t>项目预算资金</w:t>
      </w:r>
      <w:r>
        <w:rPr>
          <w:rFonts w:hint="eastAsia" w:cs="仿宋_GB2312"/>
          <w:color w:val="000000"/>
          <w:szCs w:val="32"/>
        </w:rPr>
        <w:t>实际</w:t>
      </w:r>
      <w:r>
        <w:rPr>
          <w:rFonts w:cs="仿宋_GB2312"/>
          <w:color w:val="000000"/>
          <w:szCs w:val="32"/>
        </w:rPr>
        <w:t>执行情况表</w:t>
      </w:r>
    </w:p>
    <w:tbl>
      <w:tblPr>
        <w:tblStyle w:val="18"/>
        <w:tblW w:w="9074" w:type="dxa"/>
        <w:tblInd w:w="96" w:type="dxa"/>
        <w:tblLayout w:type="autofit"/>
        <w:tblCellMar>
          <w:top w:w="0" w:type="dxa"/>
          <w:left w:w="108" w:type="dxa"/>
          <w:bottom w:w="0" w:type="dxa"/>
          <w:right w:w="108" w:type="dxa"/>
        </w:tblCellMar>
      </w:tblPr>
      <w:tblGrid>
        <w:gridCol w:w="618"/>
        <w:gridCol w:w="1799"/>
        <w:gridCol w:w="3036"/>
        <w:gridCol w:w="1221"/>
        <w:gridCol w:w="1302"/>
        <w:gridCol w:w="1098"/>
      </w:tblGrid>
      <w:tr>
        <w:tblPrEx>
          <w:tblCellMar>
            <w:top w:w="0" w:type="dxa"/>
            <w:left w:w="108" w:type="dxa"/>
            <w:bottom w:w="0" w:type="dxa"/>
            <w:right w:w="108" w:type="dxa"/>
          </w:tblCellMar>
        </w:tblPrEx>
        <w:trPr>
          <w:trHeight w:val="740"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实施单位</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合同价(万)</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收款日期</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收款金额</w:t>
            </w:r>
            <w:r>
              <w:rPr>
                <w:rFonts w:hint="eastAsia" w:ascii="宋体" w:hAnsi="宋体" w:eastAsia="宋体" w:cs="宋体"/>
                <w:b/>
                <w:bCs/>
                <w:color w:val="000000"/>
                <w:kern w:val="0"/>
                <w:sz w:val="20"/>
                <w:szCs w:val="20"/>
                <w:lang w:bidi="ar"/>
              </w:rPr>
              <w:br w:type="textWrapping"/>
            </w:r>
            <w:r>
              <w:rPr>
                <w:rFonts w:hint="eastAsia" w:ascii="宋体" w:hAnsi="宋体" w:eastAsia="宋体" w:cs="宋体"/>
                <w:b/>
                <w:bCs/>
                <w:color w:val="000000"/>
                <w:kern w:val="0"/>
                <w:sz w:val="20"/>
                <w:szCs w:val="20"/>
                <w:lang w:bidi="ar"/>
              </w:rPr>
              <w:t>（万元）</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一标段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威海市恒发建设工程有限公司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1660.0269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二标段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威海水利工程集团有限公司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747.281679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三标段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威海市文登区永利建筑工程有限公司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1168.3799</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四标段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山东润康水务有限公司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527.64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五标段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文登市程翔建筑工程有限公司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343.49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六标段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威海市德源建设有限公司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1130.26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七标段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荣成市诚安基础工程有限公司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890.37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八标段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山东荣城建筑集团有限公司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680.39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九标段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山东聚成水电建设集团有限公司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779.78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文登市通海安装有限公司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523.11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十一标段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荣成市迎福基础工程有限公司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398.11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十二标段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文登市寰发建筑工程有限公司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366.10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十三标段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荣成市辉景建筑工程有限公司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405.93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十四标段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威海文兴建设工程有限公司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784.06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r>
      <w:tr>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十五标段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威海市凯达建筑有限公司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1046.23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2022.11.21 </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 xml:space="preserve"> 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26.16</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十六标段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威海宏阔建筑工程有限公司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718.55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110</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监理一标段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山东新时代工程管理有限公司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9.39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监理二标段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山东鼎晟工程项目管理有限公司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9.20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监理三标段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威海广厦监理工程有限公司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8.70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59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勘察设计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山东庆禹工程设计有限公司</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288.63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耕地质量检测项目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山东融洽检测技术有限公司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90.89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生物有机肥采购项目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青岛海大生物集团股份有限公司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520.00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2023.2.1</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95</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生物有机肥采购项目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元和生物科技（德州）有限公司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480.00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2023.1.19</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2023.2.1</w:t>
            </w: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95.9</w:t>
            </w:r>
          </w:p>
        </w:tc>
      </w:tr>
      <w:tr>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智慧平台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山东辰阳电子科技有限公司</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187.96 </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rPr>
                <w:rFonts w:hint="eastAsia" w:ascii="宋体" w:hAnsi="宋体" w:eastAsia="宋体" w:cs="宋体"/>
                <w:color w:val="000000"/>
                <w:sz w:val="20"/>
                <w:szCs w:val="20"/>
              </w:rPr>
            </w:pPr>
          </w:p>
        </w:tc>
      </w:tr>
      <w:tr>
        <w:tblPrEx>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13764.47</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z w:val="20"/>
                <w:szCs w:val="20"/>
              </w:rPr>
            </w:pPr>
          </w:p>
        </w:tc>
        <w:tc>
          <w:tcPr>
            <w:tcW w:w="109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457.06</w:t>
            </w:r>
          </w:p>
        </w:tc>
      </w:tr>
    </w:tbl>
    <w:p>
      <w:pPr>
        <w:pStyle w:val="54"/>
        <w:numPr>
          <w:ilvl w:val="0"/>
          <w:numId w:val="2"/>
        </w:numPr>
        <w:spacing w:line="560" w:lineRule="exact"/>
        <w:ind w:firstLineChars="0"/>
        <w:outlineLvl w:val="3"/>
        <w:rPr>
          <w:rFonts w:hint="eastAsia" w:cs="Times New Roman"/>
          <w:szCs w:val="32"/>
        </w:rPr>
      </w:pPr>
      <w:r>
        <w:rPr>
          <w:rFonts w:hint="eastAsia" w:ascii="楷体_GB2312" w:hAnsi="楷体_GB2312" w:eastAsia="楷体_GB2312" w:cs="楷体_GB2312"/>
          <w:szCs w:val="32"/>
        </w:rPr>
        <w:t>取得的主要成效</w:t>
      </w:r>
    </w:p>
    <w:p>
      <w:pPr>
        <w:pStyle w:val="54"/>
        <w:spacing w:line="560" w:lineRule="exact"/>
        <w:ind w:firstLine="640"/>
        <w:rPr>
          <w:rFonts w:hint="eastAsia" w:ascii="仿宋_GB2312" w:eastAsia="仿宋_GB2312" w:cs="仿宋_GB2312" w:hAnsiTheme="minorHAnsi"/>
          <w:color w:val="auto"/>
          <w:kern w:val="2"/>
          <w:sz w:val="32"/>
          <w:szCs w:val="32"/>
          <w:lang w:val="en-US" w:eastAsia="zh-CN" w:bidi="ar-SA"/>
        </w:rPr>
      </w:pPr>
      <w:r>
        <w:rPr>
          <w:rFonts w:hint="eastAsia" w:ascii="仿宋_GB2312" w:eastAsia="仿宋_GB2312" w:cs="仿宋_GB2312" w:hAnsiTheme="minorHAnsi"/>
          <w:color w:val="auto"/>
          <w:kern w:val="2"/>
          <w:sz w:val="32"/>
          <w:szCs w:val="32"/>
          <w:lang w:val="en-US" w:eastAsia="zh-CN" w:bidi="ar-SA"/>
        </w:rPr>
        <w:t>威海市文登区农业农村局围绕农业增效、农民增收、农村发展目标的总体目标,精心组织高标准农田建设项目。重点支持种粮大户,提高粮食产能;增加了农户施肥情况调查、项目区耕地质量等级评价工作和对农户施肥情况的调查,提高了施肥建议报告使用价值。通过科学规划和规范管理,较好地完成了省市下达的高标准农田建设任务。</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二、绩效评价综合结论</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仿宋_GB2312" w:eastAsia="仿宋_GB2312" w:cs="仿宋_GB2312" w:hAnsiTheme="minorHAnsi"/>
          <w:color w:val="auto"/>
          <w:kern w:val="2"/>
          <w:sz w:val="32"/>
          <w:szCs w:val="32"/>
          <w:lang w:val="en-US" w:eastAsia="zh-CN" w:bidi="ar-SA"/>
        </w:rPr>
      </w:pPr>
      <w:r>
        <w:rPr>
          <w:rFonts w:hint="eastAsia" w:ascii="仿宋_GB2312" w:eastAsia="仿宋_GB2312" w:cs="仿宋_GB2312" w:hAnsiTheme="minorHAnsi"/>
          <w:color w:val="auto"/>
          <w:kern w:val="2"/>
          <w:sz w:val="32"/>
          <w:szCs w:val="32"/>
          <w:lang w:val="en-US" w:eastAsia="zh-CN" w:bidi="ar-SA"/>
        </w:rPr>
        <w:t>根据绩效评价指标体系，对2022年高标准农田建设项目各项指标进行评价，通过综合评价客观分析，本项目绩效评价最终综合评分结果为：总分80.19分，综合绩效评价等级为“良”。项目综合绩效评价得分情况见下表：</w:t>
      </w:r>
    </w:p>
    <w:p>
      <w:pPr>
        <w:ind w:firstLine="0" w:firstLineChars="0"/>
        <w:jc w:val="center"/>
        <w:rPr>
          <w:rFonts w:hint="eastAsia" w:ascii="宋体" w:hAnsi="宋体" w:cs="仿宋_GB2312"/>
          <w:b/>
          <w:bCs/>
          <w:color w:val="000000"/>
          <w:kern w:val="0"/>
          <w:sz w:val="30"/>
          <w:szCs w:val="30"/>
          <w:lang w:bidi="ar"/>
        </w:rPr>
      </w:pPr>
      <w:r>
        <w:rPr>
          <w:rFonts w:hint="eastAsia" w:ascii="宋体" w:hAnsi="宋体" w:cs="仿宋_GB2312"/>
          <w:b/>
          <w:bCs/>
          <w:color w:val="000000"/>
          <w:kern w:val="0"/>
          <w:sz w:val="30"/>
          <w:szCs w:val="30"/>
          <w:lang w:bidi="ar"/>
        </w:rPr>
        <w:t>项目综合绩效评价得分情况表</w:t>
      </w:r>
    </w:p>
    <w:tbl>
      <w:tblPr>
        <w:tblStyle w:val="18"/>
        <w:tblW w:w="8940" w:type="dxa"/>
        <w:tblInd w:w="96" w:type="dxa"/>
        <w:tblLayout w:type="autofit"/>
        <w:tblCellMar>
          <w:top w:w="0" w:type="dxa"/>
          <w:left w:w="108" w:type="dxa"/>
          <w:bottom w:w="0" w:type="dxa"/>
          <w:right w:w="108" w:type="dxa"/>
        </w:tblCellMar>
      </w:tblPr>
      <w:tblGrid>
        <w:gridCol w:w="1716"/>
        <w:gridCol w:w="2484"/>
        <w:gridCol w:w="2604"/>
        <w:gridCol w:w="2136"/>
      </w:tblGrid>
      <w:tr>
        <w:tblPrEx>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widowControl/>
              <w:ind w:firstLine="422"/>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bidi="ar"/>
              </w:rPr>
              <w:t>评价指标</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权重（%）</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评价得分</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评价分值占比</w:t>
            </w:r>
          </w:p>
        </w:tc>
      </w:tr>
      <w:tr>
        <w:tblPrEx>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widowControl/>
              <w:ind w:firstLine="422"/>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bidi="ar"/>
              </w:rPr>
              <w:t>项目决策</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20</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 xml:space="preserve">17.33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86.6</w:t>
            </w:r>
            <w:r>
              <w:rPr>
                <w:rFonts w:hint="eastAsia" w:ascii="宋体" w:hAnsi="宋体" w:eastAsia="宋体" w:cs="宋体"/>
                <w:color w:val="000000"/>
                <w:kern w:val="0"/>
                <w:sz w:val="21"/>
                <w:szCs w:val="21"/>
                <w:lang w:val="en-US" w:eastAsia="zh-CN" w:bidi="ar"/>
              </w:rPr>
              <w:t>5</w:t>
            </w:r>
            <w:r>
              <w:rPr>
                <w:rFonts w:hint="eastAsia" w:ascii="宋体" w:hAnsi="宋体" w:eastAsia="宋体" w:cs="宋体"/>
                <w:color w:val="000000"/>
                <w:kern w:val="0"/>
                <w:sz w:val="21"/>
                <w:szCs w:val="21"/>
                <w:lang w:bidi="ar"/>
              </w:rPr>
              <w:t>%</w:t>
            </w:r>
          </w:p>
        </w:tc>
      </w:tr>
      <w:tr>
        <w:tblPrEx>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widowControl/>
              <w:ind w:firstLine="422"/>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bidi="ar"/>
              </w:rPr>
              <w:t>项目过程</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20</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 xml:space="preserve">13.25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66.25%</w:t>
            </w:r>
          </w:p>
        </w:tc>
      </w:tr>
      <w:tr>
        <w:tblPrEx>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widowControl/>
              <w:ind w:firstLine="422"/>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bidi="ar"/>
              </w:rPr>
              <w:t>项目产出</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40</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 xml:space="preserve">31.64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79.10%</w:t>
            </w:r>
          </w:p>
        </w:tc>
      </w:tr>
      <w:tr>
        <w:tblPrEx>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widowControl/>
              <w:ind w:firstLine="422"/>
              <w:jc w:val="center"/>
              <w:textAlignment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bidi="ar"/>
              </w:rPr>
              <w:t>项目效益</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20</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 xml:space="preserve">17.97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89.8</w:t>
            </w:r>
            <w:r>
              <w:rPr>
                <w:rFonts w:hint="eastAsia" w:ascii="宋体" w:hAnsi="宋体" w:eastAsia="宋体" w:cs="宋体"/>
                <w:color w:val="000000"/>
                <w:kern w:val="0"/>
                <w:sz w:val="21"/>
                <w:szCs w:val="21"/>
                <w:lang w:val="en-US" w:eastAsia="zh-CN" w:bidi="ar"/>
              </w:rPr>
              <w:t>5</w:t>
            </w:r>
            <w:r>
              <w:rPr>
                <w:rFonts w:hint="eastAsia" w:ascii="宋体" w:hAnsi="宋体" w:eastAsia="宋体" w:cs="宋体"/>
                <w:color w:val="000000"/>
                <w:kern w:val="0"/>
                <w:sz w:val="21"/>
                <w:szCs w:val="21"/>
                <w:lang w:bidi="ar"/>
              </w:rPr>
              <w:t>%</w:t>
            </w:r>
          </w:p>
        </w:tc>
      </w:tr>
      <w:tr>
        <w:tblPrEx>
          <w:tblCellMar>
            <w:top w:w="0" w:type="dxa"/>
            <w:left w:w="108" w:type="dxa"/>
            <w:bottom w:w="0" w:type="dxa"/>
            <w:right w:w="108" w:type="dxa"/>
          </w:tblCellMar>
        </w:tblPrEx>
        <w:trPr>
          <w:trHeight w:val="600" w:hRule="atLeast"/>
        </w:trPr>
        <w:tc>
          <w:tcPr>
            <w:tcW w:w="1716" w:type="dxa"/>
            <w:tcBorders>
              <w:top w:val="single" w:color="000000" w:sz="4" w:space="0"/>
              <w:left w:val="single" w:color="000000" w:sz="4" w:space="0"/>
              <w:bottom w:val="single" w:color="000000" w:sz="4" w:space="0"/>
              <w:right w:val="single" w:color="000000" w:sz="4" w:space="0"/>
            </w:tcBorders>
            <w:noWrap/>
            <w:vAlign w:val="center"/>
          </w:tcPr>
          <w:p>
            <w:pPr>
              <w:widowControl/>
              <w:ind w:firstLine="422"/>
              <w:jc w:val="center"/>
              <w:textAlignment w:val="center"/>
              <w:rPr>
                <w:rFonts w:ascii="宋体" w:hAnsi="宋体" w:eastAsia="宋体" w:cs="宋体"/>
                <w:b/>
                <w:bCs/>
                <w:color w:val="000000"/>
                <w:sz w:val="21"/>
                <w:szCs w:val="21"/>
              </w:rPr>
            </w:pPr>
            <w:r>
              <w:rPr>
                <w:rFonts w:hint="eastAsia" w:ascii="宋体" w:hAnsi="宋体" w:eastAsia="宋体" w:cs="宋体"/>
                <w:b/>
                <w:bCs/>
                <w:color w:val="000000"/>
                <w:kern w:val="0"/>
                <w:sz w:val="21"/>
                <w:szCs w:val="21"/>
                <w:lang w:bidi="ar"/>
              </w:rPr>
              <w:t>综合绩效</w:t>
            </w:r>
          </w:p>
        </w:tc>
        <w:tc>
          <w:tcPr>
            <w:tcW w:w="248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100</w:t>
            </w:r>
          </w:p>
        </w:tc>
        <w:tc>
          <w:tcPr>
            <w:tcW w:w="2604"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80.</w:t>
            </w:r>
            <w:r>
              <w:rPr>
                <w:rFonts w:hint="eastAsia" w:ascii="宋体" w:hAnsi="宋体" w:eastAsia="宋体" w:cs="宋体"/>
                <w:color w:val="000000"/>
                <w:kern w:val="0"/>
                <w:sz w:val="21"/>
                <w:szCs w:val="21"/>
                <w:highlight w:val="none"/>
                <w:lang w:val="en-US" w:eastAsia="zh-CN" w:bidi="ar"/>
              </w:rPr>
              <w:t>19</w:t>
            </w:r>
            <w:r>
              <w:rPr>
                <w:rFonts w:hint="eastAsia" w:ascii="宋体" w:hAnsi="宋体" w:eastAsia="宋体" w:cs="宋体"/>
                <w:color w:val="000000"/>
                <w:kern w:val="0"/>
                <w:sz w:val="21"/>
                <w:szCs w:val="21"/>
                <w:highlight w:val="none"/>
                <w:lang w:bidi="ar"/>
              </w:rPr>
              <w:t xml:space="preserve"> </w:t>
            </w:r>
          </w:p>
        </w:tc>
        <w:tc>
          <w:tcPr>
            <w:tcW w:w="2136" w:type="dxa"/>
            <w:tcBorders>
              <w:top w:val="single" w:color="000000" w:sz="4" w:space="0"/>
              <w:left w:val="single" w:color="000000" w:sz="4" w:space="0"/>
              <w:bottom w:val="single" w:color="000000" w:sz="4" w:space="0"/>
              <w:right w:val="single" w:color="000000" w:sz="4" w:space="0"/>
            </w:tcBorders>
            <w:noWrap/>
            <w:vAlign w:val="center"/>
          </w:tcPr>
          <w:p>
            <w:pPr>
              <w:widowControl/>
              <w:ind w:firstLine="420"/>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80.</w:t>
            </w:r>
            <w:r>
              <w:rPr>
                <w:rFonts w:hint="eastAsia" w:ascii="宋体" w:hAnsi="宋体" w:eastAsia="宋体" w:cs="宋体"/>
                <w:color w:val="000000"/>
                <w:kern w:val="0"/>
                <w:sz w:val="21"/>
                <w:szCs w:val="21"/>
                <w:lang w:val="en-US" w:eastAsia="zh-CN" w:bidi="ar"/>
              </w:rPr>
              <w:t>19</w:t>
            </w:r>
            <w:r>
              <w:rPr>
                <w:rFonts w:hint="eastAsia" w:ascii="宋体" w:hAnsi="宋体" w:eastAsia="宋体" w:cs="宋体"/>
                <w:color w:val="000000"/>
                <w:kern w:val="0"/>
                <w:sz w:val="21"/>
                <w:szCs w:val="21"/>
                <w:lang w:bidi="ar"/>
              </w:rPr>
              <w:t>%</w:t>
            </w:r>
          </w:p>
        </w:tc>
      </w:tr>
    </w:tbl>
    <w:p>
      <w:pPr>
        <w:adjustRightInd w:val="0"/>
        <w:snapToGrid w:val="0"/>
        <w:spacing w:line="560" w:lineRule="exact"/>
        <w:ind w:firstLine="640" w:firstLineChars="200"/>
        <w:rPr>
          <w:rFonts w:hint="eastAsia" w:ascii="仿宋_GB2312" w:eastAsia="仿宋_GB2312"/>
          <w:sz w:val="32"/>
          <w:szCs w:val="32"/>
        </w:rPr>
      </w:pPr>
    </w:p>
    <w:p>
      <w:pPr>
        <w:adjustRightInd w:val="0"/>
        <w:snapToGrid w:val="0"/>
        <w:spacing w:line="560" w:lineRule="exact"/>
        <w:ind w:firstLine="640" w:firstLineChars="200"/>
        <w:rPr>
          <w:rFonts w:hint="eastAsia" w:ascii="黑体" w:hAnsi="黑体" w:eastAsia="黑体"/>
          <w:sz w:val="32"/>
          <w:szCs w:val="32"/>
        </w:rPr>
      </w:pPr>
      <w:bookmarkStart w:id="0" w:name="_Toc30854"/>
      <w:bookmarkStart w:id="1" w:name="_Toc6088"/>
      <w:bookmarkStart w:id="2" w:name="_Toc31275"/>
      <w:r>
        <w:rPr>
          <w:rFonts w:hint="eastAsia" w:ascii="黑体" w:hAnsi="黑体" w:eastAsia="黑体"/>
          <w:sz w:val="32"/>
          <w:szCs w:val="32"/>
          <w:lang w:eastAsia="zh-CN"/>
        </w:rPr>
        <w:t>三、</w:t>
      </w:r>
      <w:r>
        <w:rPr>
          <w:rFonts w:hint="eastAsia" w:ascii="黑体" w:hAnsi="黑体" w:eastAsia="黑体"/>
          <w:sz w:val="32"/>
          <w:szCs w:val="32"/>
        </w:rPr>
        <w:t>存在的主要问题及原因分析</w:t>
      </w:r>
      <w:bookmarkEnd w:id="0"/>
      <w:bookmarkEnd w:id="1"/>
      <w:bookmarkEnd w:id="2"/>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（一）</w:t>
      </w:r>
      <w:r>
        <w:rPr>
          <w:rFonts w:hint="eastAsia" w:ascii="仿宋_GB2312" w:eastAsia="仿宋_GB2312"/>
          <w:sz w:val="32"/>
          <w:szCs w:val="32"/>
        </w:rPr>
        <w:t>高标准农田部分工程存在质量瑕疵。施工单位存在未按设计图施工情况，监理单位监督和巡查力度不足，未及时发现修正问题，不利于高标准农田高质量建设。</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（二）</w:t>
      </w:r>
      <w:r>
        <w:rPr>
          <w:rFonts w:hint="eastAsia" w:ascii="仿宋_GB2312" w:eastAsia="仿宋_GB2312"/>
          <w:sz w:val="32"/>
          <w:szCs w:val="32"/>
        </w:rPr>
        <w:t>工程变更流程不规范。需变更设计的工程未按文件要求程序报批，没有工程规划设计变更表、工程变更投资预算对比表。</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项目竣工移交后管护不到位。项目通过验收签定固定资产移交管护协议后，管护单位管护工作重视不足，对出现问题的工程未及时开展维护工作。</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（四）</w:t>
      </w:r>
      <w:r>
        <w:rPr>
          <w:rFonts w:hint="eastAsia" w:ascii="仿宋_GB2312" w:eastAsia="仿宋_GB2312"/>
          <w:sz w:val="32"/>
          <w:szCs w:val="32"/>
        </w:rPr>
        <w:t>发现问题未及时解决，影响使用及移交。验收移交时，对于使用村提出的意见未及时沟通解决或给与整改，影响移交工作及后期的使用。</w:t>
      </w:r>
    </w:p>
    <w:p>
      <w:pPr>
        <w:pStyle w:val="4"/>
        <w:numPr>
          <w:ilvl w:val="0"/>
          <w:numId w:val="0"/>
        </w:numPr>
        <w:adjustRightInd w:val="0"/>
        <w:snapToGrid w:val="0"/>
        <w:spacing w:before="0" w:after="0" w:line="560" w:lineRule="exact"/>
        <w:ind w:left="0" w:leftChars="0" w:firstLine="640" w:firstLineChars="200"/>
        <w:rPr>
          <w:rFonts w:hint="eastAsia" w:ascii="黑体" w:hAnsi="黑体" w:eastAsia="黑体" w:cs="仿宋_GB2312"/>
          <w:bCs w:val="0"/>
          <w:color w:val="auto"/>
          <w:kern w:val="2"/>
          <w:sz w:val="32"/>
          <w:szCs w:val="32"/>
          <w:lang w:val="en-US" w:eastAsia="zh-CN" w:bidi="ar-SA"/>
        </w:rPr>
      </w:pPr>
      <w:bookmarkStart w:id="3" w:name="_Toc32668"/>
      <w:bookmarkStart w:id="4" w:name="_Toc14706"/>
      <w:bookmarkStart w:id="5" w:name="_Toc24748"/>
      <w:r>
        <w:rPr>
          <w:rFonts w:hint="eastAsia" w:ascii="黑体" w:hAnsi="黑体" w:eastAsia="黑体" w:cs="仿宋_GB2312"/>
          <w:bCs w:val="0"/>
          <w:color w:val="auto"/>
          <w:kern w:val="2"/>
          <w:sz w:val="32"/>
          <w:szCs w:val="32"/>
          <w:lang w:val="en-US" w:eastAsia="zh-CN" w:bidi="ar-SA"/>
        </w:rPr>
        <w:t>四、建议和对策</w:t>
      </w:r>
      <w:bookmarkEnd w:id="3"/>
      <w:bookmarkEnd w:id="4"/>
      <w:bookmarkEnd w:id="5"/>
    </w:p>
    <w:p>
      <w:pPr>
        <w:adjustRightInd w:val="0"/>
        <w:snapToGrid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对于文登区2022年高标准农田建设项目绩效评价发现的问题，评价工作组提出如下建议和对策：</w:t>
      </w:r>
    </w:p>
    <w:p>
      <w:pPr>
        <w:adjustRightInd w:val="0"/>
        <w:snapToGrid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（一）建议今后要加强高标准农田建设工程质量管理工作，严格按照设计施工，高质量推进项目建设。健全完善项目工程质量监管体系，强化项目建设全过程工程质量管理，加强对工程质量的过程监督检查。</w:t>
      </w:r>
    </w:p>
    <w:p>
      <w:pPr>
        <w:adjustRightInd w:val="0"/>
        <w:snapToGrid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（二）建议规范工程变更管理，规范农田建设项目工程设计变更和项目调整管理工作。需变更设计的工程严格按《威海市农业农村局高标准农田建设项目工程设计变更和项目调整管理办法》规定执行。</w:t>
      </w:r>
    </w:p>
    <w:p>
      <w:pPr>
        <w:adjustRightInd w:val="0"/>
        <w:snapToGrid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（三）建议加强对项目的管护工作，督促管护单位建立健全高标准农田项目运行管理方案，组织好项目运行管护队伍，并对项目实行常态化运行管护，发现损坏情况及时组织维修。</w:t>
      </w:r>
    </w:p>
    <w:p>
      <w:pPr>
        <w:adjustRightInd w:val="0"/>
        <w:snapToGrid w:val="0"/>
        <w:spacing w:line="560" w:lineRule="exact"/>
        <w:ind w:firstLine="640" w:firstLineChars="200"/>
        <w:rPr>
          <w:rFonts w:hint="eastAsia" w:ascii="仿宋_GB2312" w:eastAsia="仿宋_GB2312"/>
          <w:sz w:val="32"/>
          <w:szCs w:val="32"/>
          <w:lang w:eastAsia="zh-CN"/>
        </w:rPr>
        <w:sectPr>
          <w:footerReference r:id="rId9" w:type="default"/>
          <w:pgSz w:w="11906" w:h="16838"/>
          <w:pgMar w:top="2098" w:right="1474" w:bottom="1871" w:left="1587" w:header="737" w:footer="851" w:gutter="0"/>
          <w:pgNumType w:fmt="upperRoman" w:start="1"/>
          <w:cols w:space="720" w:num="1"/>
          <w:docGrid w:type="lines" w:linePitch="408" w:charSpace="0"/>
        </w:sectPr>
      </w:pPr>
      <w:r>
        <w:rPr>
          <w:rFonts w:hint="eastAsia" w:ascii="仿宋_GB2312" w:eastAsia="仿宋_GB2312"/>
          <w:sz w:val="32"/>
          <w:szCs w:val="32"/>
          <w:lang w:eastAsia="zh-CN"/>
        </w:rPr>
        <w:t>（四）建议对高标准农田发现的问题及时解决，督促施工单位、监理单位对高标准农田建设工程存在的尾工及使用用户反馈的质量瑕疵及时进行整改，杜绝因为施工单位与村之间沟通无果而影响村民使用或造成</w:t>
      </w:r>
      <w:r>
        <w:rPr>
          <w:rFonts w:hint="eastAsia" w:ascii="仿宋_GB2312" w:eastAsia="仿宋_GB2312"/>
          <w:sz w:val="32"/>
          <w:szCs w:val="32"/>
          <w:lang w:val="en-US" w:eastAsia="zh-CN"/>
        </w:rPr>
        <w:t>移交</w:t>
      </w:r>
      <w:r>
        <w:rPr>
          <w:rFonts w:hint="eastAsia" w:ascii="仿宋_GB2312" w:eastAsia="仿宋_GB2312"/>
          <w:sz w:val="32"/>
          <w:szCs w:val="32"/>
          <w:lang w:eastAsia="zh-CN"/>
        </w:rPr>
        <w:t>延迟问题。</w:t>
      </w:r>
    </w:p>
    <w:p>
      <w:pPr>
        <w:spacing w:line="590" w:lineRule="exact"/>
        <w:ind w:firstLine="0" w:firstLineChars="0"/>
        <w:jc w:val="right"/>
        <w:rPr>
          <w:rFonts w:ascii="仿宋" w:hAnsi="仿宋" w:eastAsia="仿宋" w:cs="仿宋"/>
          <w:b/>
          <w:bCs/>
          <w:sz w:val="36"/>
          <w:szCs w:val="36"/>
        </w:rPr>
      </w:pPr>
    </w:p>
    <w:p>
      <w:pPr>
        <w:spacing w:line="590" w:lineRule="exact"/>
        <w:ind w:firstLine="723"/>
        <w:jc w:val="center"/>
        <w:rPr>
          <w:rFonts w:ascii="仿宋" w:hAnsi="仿宋" w:eastAsia="仿宋" w:cs="仿宋"/>
          <w:b/>
          <w:bCs/>
          <w:sz w:val="36"/>
          <w:szCs w:val="36"/>
        </w:rPr>
      </w:pPr>
    </w:p>
    <w:p>
      <w:pPr>
        <w:spacing w:line="590" w:lineRule="exact"/>
        <w:ind w:firstLine="723"/>
        <w:jc w:val="center"/>
        <w:rPr>
          <w:rFonts w:ascii="仿宋" w:hAnsi="仿宋" w:eastAsia="仿宋" w:cs="仿宋"/>
          <w:b/>
          <w:bCs/>
          <w:sz w:val="36"/>
          <w:szCs w:val="36"/>
        </w:rPr>
      </w:pPr>
    </w:p>
    <w:p>
      <w:pPr>
        <w:spacing w:line="590" w:lineRule="exact"/>
        <w:ind w:firstLine="803"/>
        <w:jc w:val="center"/>
        <w:rPr>
          <w:rFonts w:ascii="仿宋" w:hAnsi="仿宋" w:eastAsia="仿宋" w:cs="仿宋"/>
          <w:b/>
          <w:bCs/>
          <w:sz w:val="40"/>
          <w:szCs w:val="40"/>
        </w:rPr>
      </w:pP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rPr>
      </w:pPr>
      <w:r>
        <w:rPr>
          <w:rFonts w:hint="eastAsia" w:ascii="方正小标宋简体" w:hAnsi="方正小标宋简体" w:eastAsia="方正小标宋简体" w:cs="方正小标宋简体"/>
          <w:b/>
          <w:bCs/>
          <w:color w:val="000000"/>
          <w:kern w:val="0"/>
          <w:sz w:val="44"/>
          <w:szCs w:val="44"/>
          <w:lang w:val="en-US" w:eastAsia="zh-CN"/>
        </w:rPr>
        <w:t>2022年</w:t>
      </w:r>
      <w:r>
        <w:rPr>
          <w:rFonts w:hint="eastAsia" w:ascii="方正小标宋简体" w:hAnsi="方正小标宋简体" w:eastAsia="方正小标宋简体" w:cs="方正小标宋简体"/>
          <w:b/>
          <w:bCs/>
          <w:color w:val="000000"/>
          <w:kern w:val="0"/>
          <w:sz w:val="44"/>
          <w:szCs w:val="44"/>
        </w:rPr>
        <w:t>公共文化服务体系建设项目</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rPr>
      </w:pPr>
      <w:r>
        <w:rPr>
          <w:rFonts w:hint="eastAsia" w:ascii="方正小标宋简体" w:hAnsi="方正小标宋简体" w:eastAsia="方正小标宋简体" w:cs="方正小标宋简体"/>
          <w:b/>
          <w:bCs/>
          <w:color w:val="000000"/>
          <w:kern w:val="0"/>
          <w:sz w:val="44"/>
          <w:szCs w:val="44"/>
        </w:rPr>
        <w:t>绩效评价报告</w:t>
      </w:r>
    </w:p>
    <w:p>
      <w:pPr>
        <w:autoSpaceDE w:val="0"/>
        <w:autoSpaceDN w:val="0"/>
        <w:adjustRightInd w:val="0"/>
        <w:spacing w:line="590" w:lineRule="exact"/>
        <w:ind w:firstLine="0" w:firstLineChars="0"/>
        <w:jc w:val="center"/>
        <w:rPr>
          <w:rFonts w:ascii="仿宋" w:hAnsi="仿宋" w:eastAsia="仿宋" w:cs="仿宋"/>
          <w:b/>
          <w:bCs/>
          <w:color w:val="000000"/>
          <w:kern w:val="0"/>
          <w:sz w:val="52"/>
          <w:szCs w:val="52"/>
        </w:rPr>
      </w:pPr>
    </w:p>
    <w:p>
      <w:pPr>
        <w:spacing w:line="590" w:lineRule="exact"/>
        <w:ind w:left="680"/>
        <w:rPr>
          <w:rFonts w:ascii="仿宋" w:hAnsi="仿宋" w:eastAsia="仿宋" w:cs="仿宋"/>
          <w:sz w:val="32"/>
        </w:rPr>
      </w:pPr>
    </w:p>
    <w:p>
      <w:pPr>
        <w:spacing w:line="590" w:lineRule="exact"/>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jc w:val="center"/>
        <w:rPr>
          <w:rFonts w:ascii="仿宋" w:hAnsi="仿宋" w:eastAsia="仿宋" w:cs="仿宋"/>
          <w:b/>
          <w:bCs/>
          <w:sz w:val="32"/>
          <w:szCs w:val="24"/>
        </w:rPr>
      </w:pPr>
      <w:r>
        <w:rPr>
          <w:rFonts w:hint="eastAsia" w:ascii="仿宋" w:hAnsi="仿宋" w:eastAsia="仿宋" w:cs="仿宋"/>
          <w:b/>
          <w:bCs/>
          <w:sz w:val="32"/>
          <w:szCs w:val="24"/>
        </w:rPr>
        <w:t>威海市文登区财政局</w:t>
      </w:r>
    </w:p>
    <w:p>
      <w:pPr>
        <w:spacing w:line="590" w:lineRule="exact"/>
        <w:jc w:val="center"/>
        <w:rPr>
          <w:rFonts w:ascii="仿宋" w:hAnsi="仿宋" w:eastAsia="仿宋" w:cs="仿宋"/>
          <w:b/>
          <w:bCs/>
          <w:sz w:val="32"/>
          <w:szCs w:val="24"/>
        </w:rPr>
        <w:sectPr>
          <w:headerReference r:id="rId12" w:type="first"/>
          <w:footerReference r:id="rId15" w:type="first"/>
          <w:headerReference r:id="rId10" w:type="default"/>
          <w:footerReference r:id="rId13" w:type="default"/>
          <w:headerReference r:id="rId11" w:type="even"/>
          <w:footerReference r:id="rId14" w:type="even"/>
          <w:pgSz w:w="11850" w:h="16783"/>
          <w:pgMar w:top="1440" w:right="1440" w:bottom="1440" w:left="1440" w:header="737" w:footer="1077" w:gutter="0"/>
          <w:cols w:equalWidth="0" w:num="1">
            <w:col w:w="9026"/>
          </w:cols>
          <w:docGrid w:linePitch="360" w:charSpace="0"/>
        </w:sectPr>
      </w:pPr>
      <w:r>
        <w:rPr>
          <w:rFonts w:hint="eastAsia" w:ascii="仿宋" w:hAnsi="仿宋" w:eastAsia="仿宋" w:cs="仿宋"/>
          <w:b/>
          <w:bCs/>
          <w:sz w:val="32"/>
          <w:szCs w:val="24"/>
        </w:rPr>
        <w:t>评价时间：202</w:t>
      </w:r>
      <w:r>
        <w:rPr>
          <w:rFonts w:hint="eastAsia" w:ascii="仿宋" w:hAnsi="仿宋" w:eastAsia="仿宋" w:cs="仿宋"/>
          <w:b/>
          <w:bCs/>
          <w:sz w:val="32"/>
          <w:szCs w:val="24"/>
          <w:lang w:val="en-US" w:eastAsia="zh-CN"/>
        </w:rPr>
        <w:t>3</w:t>
      </w:r>
      <w:r>
        <w:rPr>
          <w:rFonts w:hint="eastAsia" w:ascii="仿宋" w:hAnsi="仿宋" w:eastAsia="仿宋" w:cs="仿宋"/>
          <w:b/>
          <w:bCs/>
          <w:sz w:val="32"/>
          <w:szCs w:val="24"/>
        </w:rPr>
        <w:t xml:space="preserve"> 年 </w:t>
      </w:r>
      <w:r>
        <w:rPr>
          <w:rFonts w:hint="eastAsia" w:ascii="仿宋" w:hAnsi="仿宋" w:eastAsia="仿宋" w:cs="仿宋"/>
          <w:b/>
          <w:bCs/>
          <w:sz w:val="32"/>
          <w:szCs w:val="24"/>
          <w:lang w:val="en-US" w:eastAsia="zh-CN"/>
        </w:rPr>
        <w:t>7</w:t>
      </w:r>
      <w:r>
        <w:rPr>
          <w:rFonts w:hint="eastAsia" w:ascii="仿宋" w:hAnsi="仿宋" w:eastAsia="仿宋" w:cs="仿宋"/>
          <w:b/>
          <w:bCs/>
          <w:sz w:val="32"/>
          <w:szCs w:val="24"/>
        </w:rPr>
        <w:t xml:space="preserve"> 月</w:t>
      </w:r>
    </w:p>
    <w:p>
      <w:pPr>
        <w:pStyle w:val="3"/>
        <w:pageBreakBefore w:val="0"/>
        <w:widowControl w:val="0"/>
        <w:numPr>
          <w:ilvl w:val="0"/>
          <w:numId w:val="3"/>
        </w:numPr>
        <w:kinsoku/>
        <w:wordWrap/>
        <w:overflowPunct/>
        <w:topLinePunct w:val="0"/>
        <w:bidi w:val="0"/>
        <w:adjustRightInd/>
        <w:snapToGrid/>
        <w:spacing w:line="560" w:lineRule="exact"/>
        <w:ind w:firstLine="640" w:firstLineChars="200"/>
        <w:textAlignment w:val="auto"/>
        <w:rPr>
          <w:rFonts w:ascii="Times New Roman" w:hAnsi="Times New Roman" w:eastAsia="黑体" w:cs="Times New Roman"/>
        </w:rPr>
      </w:pPr>
      <w:r>
        <w:rPr>
          <w:rFonts w:ascii="Times New Roman" w:hAnsi="Times New Roman" w:eastAsia="黑体" w:cs="Times New Roman"/>
        </w:rPr>
        <w:t>项目概况</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（一）项目概况</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加快构建现代公共文化服务体系，提升基层公共服务文化水平，有助于满足人民群众日益增长的文化需求。国务院办公厅2015年1月14日印发的《关于加快构建现代公共文化服务体系的意见》和《国家基本公共服务标准（2021年版）》等文件要求：建成覆盖城乡、便捷高效、保基本、促公平的现代公共文化服务体系，主要包括为城乡居民免费开放公共图书馆等公共文化设施、为农村群众提供数字电影放映服务、为农村乡镇提供每年送戏曲等文艺演出，从而保障群众基本文化权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2022年本项目安排预算资金570万元，全部由区本级财政负担，提款方式为报账提款。2022年实际收到财政资金274.11万元，其中2021年度项目资金252.58万元，2022年度项目资金21.53万元。</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（二）绩效目标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该项目年度总体目标为满足广大人民群众精神文化需求，预计为</w:t>
      </w:r>
      <w:r>
        <w:rPr>
          <w:rFonts w:hint="eastAsia" w:ascii="Times New Roman" w:hAnsi="Times New Roman" w:eastAsia="仿宋_GB2312" w:cs="Times New Roman"/>
          <w:sz w:val="32"/>
          <w:szCs w:val="32"/>
        </w:rPr>
        <w:t>628个村免费送戏、送电影3270场，实现一年一村五场戏，每村每月一场电影，建设2处乡村书房，有利于</w:t>
      </w:r>
      <w:r>
        <w:rPr>
          <w:rFonts w:ascii="Times New Roman" w:hAnsi="Times New Roman" w:eastAsia="仿宋_GB2312" w:cs="Times New Roman"/>
          <w:sz w:val="32"/>
          <w:szCs w:val="32"/>
        </w:rPr>
        <w:t>提升群众幸福感，弘扬精神文化。</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（三）取得的主要成效</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1、项目招标采购环节程序规范</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单位在采购管理过程中，严格按照《政府采购需求管理办法》，启用专业的采购代理机构，按规定在指定网站上公开采购公告、中标（成交）公告、采购合同公告等，评审环节依照客观、公正、审慎的原则邀请评审专家独立评审，采购实施计划规范有效，采购合同签订严密，验收手续严格客观并按规定时间公示验收结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2、城市书房运营规范，有利于优秀文化传播</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城市书房主要承担免费借阅书籍、办借书证的功能，同时凭借其安静优雅的环境为群众提供适合阅读和学习的场地。此外城市书房作为社区与人民群众的纽带，充分发挥其公益作用，多次开展阅读推广、书画展览、传播国学等主题活动，让公众能够在日常生活中有更多的途径来进行文化学习和精神文明获取。</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（四）评价结论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评价工作组通过对公共文化服务体系建设项目进行综合评价</w:t>
      </w:r>
      <w:r>
        <w:rPr>
          <w:rFonts w:ascii="Times New Roman" w:hAnsi="Times New Roman" w:eastAsia="仿宋_GB2312" w:cs="Times New Roman"/>
          <w:color w:val="000000" w:themeColor="text1"/>
          <w:sz w:val="32"/>
          <w:szCs w:val="32"/>
          <w14:textFill>
            <w14:solidFill>
              <w14:schemeClr w14:val="tx1"/>
            </w14:solidFill>
          </w14:textFill>
        </w:rPr>
        <w:t>，认为该项目政府采购流程完整规范</w:t>
      </w:r>
      <w:r>
        <w:rPr>
          <w:rFonts w:ascii="Times New Roman" w:hAnsi="Times New Roman" w:eastAsia="仿宋_GB2312" w:cs="Times New Roman"/>
          <w:color w:val="000000" w:themeColor="text1"/>
          <w:kern w:val="0"/>
          <w:sz w:val="32"/>
          <w:szCs w:val="32"/>
          <w14:textFill>
            <w14:solidFill>
              <w14:schemeClr w14:val="tx1"/>
            </w14:solidFill>
          </w14:textFill>
        </w:rPr>
        <w:t>，项目预算资金分配依据充分</w:t>
      </w:r>
      <w:r>
        <w:rPr>
          <w:rFonts w:ascii="Times New Roman" w:hAnsi="Times New Roman" w:eastAsia="仿宋_GB2312" w:cs="Times New Roman"/>
          <w:color w:val="000000" w:themeColor="text1"/>
          <w:sz w:val="32"/>
          <w:szCs w:val="32"/>
          <w14:textFill>
            <w14:solidFill>
              <w14:schemeClr w14:val="tx1"/>
            </w14:solidFill>
          </w14:textFill>
        </w:rPr>
        <w:t>，资金使用合规合法，有助于保障人民群众的文化权益</w:t>
      </w:r>
      <w:r>
        <w:rPr>
          <w:rFonts w:ascii="Times New Roman" w:hAnsi="Times New Roman" w:eastAsia="仿宋_GB2312" w:cs="Times New Roman"/>
          <w:color w:val="000000" w:themeColor="text1"/>
          <w:kern w:val="0"/>
          <w:sz w:val="32"/>
          <w:szCs w:val="32"/>
          <w14:textFill>
            <w14:solidFill>
              <w14:schemeClr w14:val="tx1"/>
            </w14:solidFill>
          </w14:textFill>
        </w:rPr>
        <w:t>，提升满意度</w:t>
      </w:r>
      <w:r>
        <w:rPr>
          <w:rFonts w:ascii="Times New Roman" w:hAnsi="Times New Roman" w:eastAsia="仿宋_GB2312" w:cs="Times New Roman"/>
          <w:color w:val="000000" w:themeColor="text1"/>
          <w:sz w:val="32"/>
          <w:szCs w:val="32"/>
          <w14:textFill>
            <w14:solidFill>
              <w14:schemeClr w14:val="tx1"/>
            </w14:solidFill>
          </w14:textFill>
        </w:rPr>
        <w:t>，但项目在在免费送戏质量、农村电影播放质量和完成时间合理性等方面仍存在问题，最后综合评价得分为</w:t>
      </w:r>
      <w:r>
        <w:rPr>
          <w:rFonts w:hint="eastAsia" w:ascii="Times New Roman" w:hAnsi="Times New Roman" w:eastAsia="仿宋_GB2312" w:cs="Times New Roman"/>
          <w:color w:val="000000" w:themeColor="text1"/>
          <w:sz w:val="32"/>
          <w:szCs w:val="32"/>
          <w14:textFill>
            <w14:solidFill>
              <w14:schemeClr w14:val="tx1"/>
            </w14:solidFill>
          </w14:textFill>
        </w:rPr>
        <w:t>83.43</w:t>
      </w:r>
      <w:r>
        <w:rPr>
          <w:rFonts w:ascii="Times New Roman" w:hAnsi="Times New Roman" w:eastAsia="仿宋_GB2312" w:cs="Times New Roman"/>
          <w:color w:val="000000" w:themeColor="text1"/>
          <w:sz w:val="32"/>
          <w:szCs w:val="32"/>
          <w14:textFill>
            <w14:solidFill>
              <w14:schemeClr w14:val="tx1"/>
            </w14:solidFill>
          </w14:textFill>
        </w:rPr>
        <w:t>分，评价等级为“良”</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二、存在的主要问题及原因分析</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（一）免费送戏工程存在的问题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1、扎堆演出现象突出，实际演出场次存疑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查看送戏演出记录和记录监督表发现存在明显的扎堆演出现象，各场送戏间隔时间较短，甚至部分演出安排为一天三场。如米山镇长山村8月15日、8月16日、8月17日连续三天都有演出；米山镇下铺子村8月25日一天安排三场演出。同时发现部分同一演出单位不同场次的演出照片虽不一样，但细节（包括幕布摆放、观众位置、光影变化等）高度相似，演出场次的真实数量有待考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2、送戏演出总体质量不高，演出档案资料混乱 </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们抽查9个乡镇共270个村、1350条记录发现11场送戏无质量监督表；部分质量监督表信息填写不完整、不准确，如大水泊镇前土埠岭村一场演出盖章单位为大水泊镇埠前头村，艺术团演出没有附节目单；部分演出照片不能与节目单、演出场地对应，如有的照片为萨克斯演奏但节目单没有独奏节目，有的实际演出地址为泽头镇但演出照片显示为葛家镇，有的照片在多次、各地演出中反复使用；节目单无更新，演出节目一成不变，在同一个村（居）反复演出，如米山镇大山前村</w:t>
      </w:r>
      <w:r>
        <w:rPr>
          <w:rFonts w:hint="eastAsia" w:ascii="Times New Roman" w:hAnsi="Times New Roman" w:eastAsia="仿宋_GB2312" w:cs="Times New Roman"/>
          <w:sz w:val="32"/>
          <w:szCs w:val="32"/>
        </w:rPr>
        <w:t>8月14日至8月26日期间由金声艺术团完成三场演出，三场节目单一模一样</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（二）农村免费送电影工程存在的问题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农村电影观影人次较少，影片质量有待提高。通过抽查电影管理平台229条实时播放记录，发现48场电影观影人次不足5人；同时通过实地走访村户，村民表示出门的主要目的是乘凉，顺便看电影，且到晚上8点半以后，观影人数直线下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通过发放电子问卷调查和实地走访了解，人民群众喜好影片类型前三类为：喜剧片、科幻片和爱国主旋律片，然而实际播放影片多为红色主旋律片，喜剧片占比很小，无科幻片。</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（三）公益创投项目存在的问题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1、项目资料不完整，个别资料错误明显 </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各实施单位按要求按时提交月结资料、中期评价和结项自评报告，但个别单位月结资料不完整，如文登区蓝天救援队2022年开展16次活动，但月结资料只有1份活动签到表，威海天朝电子有限公司无活动签到表。</w:t>
      </w:r>
      <w:r>
        <w:rPr>
          <w:rFonts w:ascii="Times New Roman" w:hAnsi="Times New Roman" w:eastAsia="仿宋_GB2312" w:cs="Times New Roman"/>
          <w:sz w:val="32"/>
          <w:szCs w:val="32"/>
        </w:rPr>
        <w:t>同时监督评估单位的结项报告出现明显错误，</w:t>
      </w:r>
      <w:r>
        <w:rPr>
          <w:rFonts w:hint="eastAsia" w:ascii="Times New Roman" w:hAnsi="Times New Roman" w:eastAsia="仿宋_GB2312" w:cs="Times New Roman"/>
          <w:sz w:val="32"/>
          <w:szCs w:val="32"/>
        </w:rPr>
        <w:t>部分群众满意度调查表上存在地点标注错误的问题，如6项公益创投活动中只有文登区蓝天救援队组织的活动受益范围隶属环山街道,但在</w:t>
      </w:r>
      <w:r>
        <w:rPr>
          <w:rFonts w:ascii="Times New Roman" w:hAnsi="Times New Roman" w:eastAsia="仿宋_GB2312" w:cs="Times New Roman"/>
          <w:sz w:val="32"/>
          <w:szCs w:val="32"/>
        </w:rPr>
        <w:t>群众满意度调查表上由其他镇街开展的活动依然标注为环山街道</w:t>
      </w:r>
      <w:r>
        <w:rPr>
          <w:rFonts w:ascii="Times New Roman" w:hAnsi="Times New Roman" w:eastAsia="仿宋_GB2312" w:cs="Times New Roman"/>
          <w:bCs/>
          <w:sz w:val="32"/>
          <w:szCs w:val="32"/>
        </w:rPr>
        <w:t>。</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2、个别项目开展意义较小，传播面受限</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威海天朝电子有限公司开展了昆阳书院文化挖掘、遗址保护项目，经咨询相关专业人员，该项目属于课题性质，但立意较小，传播文化的作用有限，且其开展的部分实施活动如去烟台博物馆等地查阅资料属于非必要行为，因昆阳书院已于2013年成为威海市级文物，昆阳书院的缘由等基本信息早已被挖掘，因此上述行为属于无效活动。</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（四）乡村书房建设存在的问题</w:t>
      </w:r>
    </w:p>
    <w:p>
      <w:pPr>
        <w:spacing w:line="56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周边环境嘈杂，未设置单独入口</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实地查看，2处乡村书房皆置身于其他经营性场所中的一处空间，独立成区。其中西铺头乡村书房紧邻室内儿童乐园且无单独入口；慈口观乡村书房位于一所餐馆内，设置了单独出入口但在走访日当天为锁着的状态，</w:t>
      </w:r>
      <w:r>
        <w:rPr>
          <w:rFonts w:hint="eastAsia" w:ascii="Times New Roman" w:hAnsi="Times New Roman" w:eastAsia="仿宋_GB2312" w:cs="Times New Roman"/>
          <w:sz w:val="32"/>
          <w:szCs w:val="32"/>
        </w:rPr>
        <w:t>2处书房的</w:t>
      </w:r>
      <w:r>
        <w:rPr>
          <w:rFonts w:ascii="Times New Roman" w:hAnsi="Times New Roman" w:eastAsia="仿宋_GB2312" w:cs="Times New Roman"/>
          <w:sz w:val="32"/>
          <w:szCs w:val="32"/>
        </w:rPr>
        <w:t>周边环境都较为嘈杂。</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另</w:t>
      </w:r>
      <w:r>
        <w:rPr>
          <w:rFonts w:ascii="Times New Roman" w:hAnsi="Times New Roman" w:eastAsia="仿宋_GB2312" w:cs="Times New Roman"/>
          <w:sz w:val="32"/>
          <w:szCs w:val="32"/>
        </w:rPr>
        <w:t>经图书馆后台查询，慈口观乡村书房的</w:t>
      </w:r>
      <w:r>
        <w:rPr>
          <w:rFonts w:hint="eastAsia" w:ascii="Times New Roman" w:hAnsi="Times New Roman" w:eastAsia="仿宋_GB2312" w:cs="Times New Roman"/>
          <w:sz w:val="32"/>
          <w:szCs w:val="32"/>
        </w:rPr>
        <w:t>借阅机使用率较低，7月份该处的图书借还次数总计为零，</w:t>
      </w:r>
      <w:r>
        <w:rPr>
          <w:rFonts w:ascii="Times New Roman" w:hAnsi="Times New Roman" w:eastAsia="仿宋_GB2312" w:cs="Times New Roman"/>
          <w:sz w:val="32"/>
          <w:szCs w:val="32"/>
        </w:rPr>
        <w:t xml:space="preserve"> 走访日当天为关机状态。</w:t>
      </w:r>
    </w:p>
    <w:p>
      <w:pPr>
        <w:spacing w:line="560"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三、建议和对策</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（一）合理安排演出时间，加强演出监督和检查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建议各演出单位向各乡镇（街道）及时上报演出计划，妥善协商、合理安排演出时间，结合天气等变量因素，因地制宜。同时也要追求实事求是的演出态度，避免为了完成演出任务而忽视真实性。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议区文旅局加大监督与检查力度，开展定期抽查活动，发现不妥及时要求整改，融入考核元素，整改结果与补贴挂钩。演出单位也要采取有效措施如添加时间水印等形式留下演出“证据”，并与实际演出一一对应；同时提高创新能力，多倾听群众心声，创作出人民群众喜闻乐见、与时俱进的节目。</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（二）适应观众需求，提高影片质量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建议电影公司适当调整影片类型比例，与上级影片公司沟通，引进更多群众喜欢的优秀电影，与时代看齐。同时加强映前宣传力度，让群众及时了解公益电影放映动态，调动起群众观影的兴趣和积极性。</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（三）加大项目督导力度，提高审核水平</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议区文旅局督促项目实施单位档案管理规范化，必要时可开展相关培训活动；提高检查水平，减少工作失误。同时加强对项目方案及实施计划的审核力度，多方面、深入了解项目背景信息，确保财政资金发挥最大效用。</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（四）规范乡村书房建设，加大验收严格力度</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建议区文旅局严格按照威海市乡村书房验收评价表的要求建设乡村书房，合理规划位置，综合考虑周边各种影响因素，因地制宜；加大验收力度，提高验收质量，对不符合要求的事项及时整改。</w:t>
      </w:r>
    </w:p>
    <w:p>
      <w:pPr>
        <w:spacing w:line="560"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四、需要说明的事项</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城市书房需关注经营风险。评价组到5处城市书房了解其财务管理方面，发现普遍存在经营成本高于运营补助的情况。经营成本主要包括房屋资金、人工成本、水电暖支出及其他零星支出。5处城市书房自开业以来一直入不敷出，平均超支1-2万元/年，业主反映缺口部分由自身补贴。建议主管部门关注经营风险，防止业主因入不敷出而出现关闭的可能性。</w:t>
      </w:r>
    </w:p>
    <w:p>
      <w:pPr>
        <w:adjustRightInd/>
        <w:snapToGrid/>
        <w:spacing w:line="590" w:lineRule="exact"/>
        <w:ind w:firstLine="0" w:firstLineChars="0"/>
        <w:jc w:val="right"/>
        <w:rPr>
          <w:rFonts w:ascii="仿宋" w:hAnsi="仿宋" w:eastAsia="仿宋" w:cs="仿宋"/>
          <w:b/>
          <w:bCs/>
          <w:sz w:val="36"/>
          <w:szCs w:val="36"/>
        </w:rPr>
      </w:pPr>
    </w:p>
    <w:p>
      <w:pPr>
        <w:adjustRightInd/>
        <w:snapToGrid/>
        <w:spacing w:line="590" w:lineRule="exact"/>
        <w:ind w:firstLine="723"/>
        <w:jc w:val="center"/>
        <w:rPr>
          <w:rFonts w:ascii="仿宋" w:hAnsi="仿宋" w:eastAsia="仿宋" w:cs="仿宋"/>
          <w:b/>
          <w:bCs/>
          <w:sz w:val="36"/>
          <w:szCs w:val="36"/>
        </w:rPr>
      </w:pPr>
    </w:p>
    <w:p/>
    <w:p>
      <w:pPr>
        <w:pStyle w:val="2"/>
      </w:pPr>
    </w:p>
    <w:p/>
    <w:p>
      <w:pPr>
        <w:pStyle w:val="2"/>
      </w:pPr>
    </w:p>
    <w:p/>
    <w:p>
      <w:pPr>
        <w:pStyle w:val="2"/>
      </w:pPr>
    </w:p>
    <w:p/>
    <w:p>
      <w:pPr>
        <w:pStyle w:val="54"/>
      </w:pPr>
    </w:p>
    <w:p>
      <w:pPr>
        <w:spacing w:line="590" w:lineRule="exact"/>
        <w:ind w:firstLine="0" w:firstLineChars="0"/>
        <w:jc w:val="right"/>
        <w:rPr>
          <w:rFonts w:ascii="仿宋" w:hAnsi="仿宋" w:eastAsia="仿宋" w:cs="仿宋"/>
          <w:b/>
          <w:bCs/>
          <w:sz w:val="36"/>
          <w:szCs w:val="36"/>
        </w:rPr>
      </w:pPr>
    </w:p>
    <w:p>
      <w:pPr>
        <w:spacing w:line="590" w:lineRule="exact"/>
        <w:ind w:firstLine="723"/>
        <w:jc w:val="center"/>
        <w:rPr>
          <w:rFonts w:ascii="仿宋" w:hAnsi="仿宋" w:eastAsia="仿宋" w:cs="仿宋"/>
          <w:b/>
          <w:bCs/>
          <w:sz w:val="36"/>
          <w:szCs w:val="36"/>
        </w:rPr>
      </w:pPr>
    </w:p>
    <w:p>
      <w:pPr>
        <w:spacing w:line="590" w:lineRule="exact"/>
        <w:ind w:firstLine="723"/>
        <w:jc w:val="center"/>
        <w:rPr>
          <w:rFonts w:ascii="仿宋" w:hAnsi="仿宋" w:eastAsia="仿宋" w:cs="仿宋"/>
          <w:b/>
          <w:bCs/>
          <w:sz w:val="36"/>
          <w:szCs w:val="36"/>
        </w:rPr>
      </w:pPr>
    </w:p>
    <w:p>
      <w:pPr>
        <w:spacing w:line="590" w:lineRule="exact"/>
        <w:ind w:firstLine="803"/>
        <w:jc w:val="center"/>
        <w:rPr>
          <w:rFonts w:ascii="仿宋" w:hAnsi="仿宋" w:eastAsia="仿宋" w:cs="仿宋"/>
          <w:b/>
          <w:bCs/>
          <w:sz w:val="40"/>
          <w:szCs w:val="40"/>
        </w:rPr>
      </w:pPr>
    </w:p>
    <w:p>
      <w:pPr>
        <w:pStyle w:val="54"/>
        <w:rPr>
          <w:rFonts w:ascii="仿宋" w:hAnsi="仿宋" w:eastAsia="仿宋" w:cs="仿宋"/>
          <w:b/>
          <w:bCs/>
          <w:sz w:val="40"/>
          <w:szCs w:val="40"/>
        </w:rPr>
      </w:pPr>
    </w:p>
    <w:p>
      <w:pPr>
        <w:pStyle w:val="54"/>
        <w:rPr>
          <w:rFonts w:ascii="仿宋" w:hAnsi="仿宋" w:eastAsia="仿宋" w:cs="仿宋"/>
          <w:b/>
          <w:bCs/>
          <w:sz w:val="40"/>
          <w:szCs w:val="40"/>
        </w:rPr>
      </w:pPr>
    </w:p>
    <w:p>
      <w:pPr>
        <w:pStyle w:val="54"/>
        <w:rPr>
          <w:rFonts w:ascii="仿宋" w:hAnsi="仿宋" w:eastAsia="仿宋" w:cs="仿宋"/>
          <w:b/>
          <w:bCs/>
          <w:sz w:val="40"/>
          <w:szCs w:val="40"/>
        </w:rPr>
      </w:pPr>
    </w:p>
    <w:p>
      <w:pPr>
        <w:pStyle w:val="54"/>
        <w:rPr>
          <w:rFonts w:ascii="仿宋" w:hAnsi="仿宋" w:eastAsia="仿宋" w:cs="仿宋"/>
          <w:b/>
          <w:bCs/>
          <w:sz w:val="40"/>
          <w:szCs w:val="40"/>
        </w:rPr>
      </w:pPr>
    </w:p>
    <w:p>
      <w:pPr>
        <w:pStyle w:val="54"/>
        <w:ind w:left="0" w:leftChars="0" w:firstLine="0" w:firstLineChars="0"/>
        <w:rPr>
          <w:rFonts w:ascii="仿宋" w:hAnsi="仿宋" w:eastAsia="仿宋" w:cs="仿宋"/>
          <w:b/>
          <w:bCs/>
          <w:sz w:val="40"/>
          <w:szCs w:val="40"/>
        </w:rPr>
      </w:pPr>
    </w:p>
    <w:p>
      <w:pPr>
        <w:pStyle w:val="54"/>
        <w:ind w:left="0" w:leftChars="0" w:firstLine="0" w:firstLineChars="0"/>
        <w:rPr>
          <w:rFonts w:ascii="仿宋" w:hAnsi="仿宋" w:eastAsia="仿宋" w:cs="仿宋"/>
          <w:b/>
          <w:bCs/>
          <w:sz w:val="40"/>
          <w:szCs w:val="40"/>
        </w:rPr>
      </w:pPr>
    </w:p>
    <w:p>
      <w:pPr>
        <w:pStyle w:val="54"/>
        <w:ind w:left="0" w:leftChars="0" w:firstLine="0" w:firstLineChars="0"/>
        <w:rPr>
          <w:rFonts w:ascii="仿宋" w:hAnsi="仿宋" w:eastAsia="仿宋" w:cs="仿宋"/>
          <w:b/>
          <w:bCs/>
          <w:sz w:val="40"/>
          <w:szCs w:val="40"/>
        </w:rPr>
      </w:pPr>
    </w:p>
    <w:p>
      <w:pPr>
        <w:pStyle w:val="54"/>
        <w:ind w:left="0" w:leftChars="0" w:firstLine="0" w:firstLineChars="0"/>
        <w:rPr>
          <w:rFonts w:ascii="仿宋" w:hAnsi="仿宋" w:eastAsia="仿宋" w:cs="仿宋"/>
          <w:b/>
          <w:bCs/>
          <w:sz w:val="40"/>
          <w:szCs w:val="40"/>
        </w:rPr>
      </w:pP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rPr>
      </w:pPr>
      <w:r>
        <w:rPr>
          <w:rFonts w:hint="eastAsia" w:ascii="方正小标宋简体" w:hAnsi="方正小标宋简体" w:eastAsia="方正小标宋简体" w:cs="方正小标宋简体"/>
          <w:b w:val="0"/>
          <w:bCs/>
          <w:color w:val="000000"/>
          <w:kern w:val="0"/>
          <w:sz w:val="48"/>
          <w:szCs w:val="48"/>
          <w:lang w:val="en-US" w:eastAsia="zh-CN"/>
        </w:rPr>
        <w:t>2022年</w:t>
      </w:r>
      <w:r>
        <w:rPr>
          <w:rFonts w:hint="eastAsia" w:ascii="方正小标宋简体" w:hAnsi="方正小标宋简体" w:eastAsia="方正小标宋简体" w:cs="方正小标宋简体"/>
          <w:b w:val="0"/>
          <w:bCs/>
          <w:color w:val="000000"/>
          <w:kern w:val="0"/>
          <w:sz w:val="48"/>
          <w:szCs w:val="48"/>
        </w:rPr>
        <w:t>数字校园项目</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rPr>
      </w:pPr>
      <w:r>
        <w:rPr>
          <w:rFonts w:hint="eastAsia" w:ascii="方正小标宋简体" w:hAnsi="方正小标宋简体" w:eastAsia="方正小标宋简体" w:cs="方正小标宋简体"/>
          <w:b w:val="0"/>
          <w:bCs/>
          <w:color w:val="000000"/>
          <w:kern w:val="0"/>
          <w:sz w:val="48"/>
          <w:szCs w:val="48"/>
        </w:rPr>
        <w:t>绩效评价报告</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8"/>
          <w:szCs w:val="48"/>
        </w:rPr>
      </w:pPr>
    </w:p>
    <w:p>
      <w:pPr>
        <w:spacing w:line="590" w:lineRule="exact"/>
        <w:ind w:left="680"/>
        <w:rPr>
          <w:rFonts w:ascii="仿宋" w:hAnsi="仿宋" w:eastAsia="仿宋" w:cs="仿宋"/>
          <w:sz w:val="32"/>
        </w:rPr>
      </w:pPr>
    </w:p>
    <w:p>
      <w:pPr>
        <w:spacing w:line="590" w:lineRule="exact"/>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jc w:val="center"/>
        <w:rPr>
          <w:rFonts w:ascii="仿宋" w:hAnsi="仿宋" w:eastAsia="仿宋" w:cs="仿宋"/>
          <w:b/>
          <w:bCs/>
          <w:sz w:val="32"/>
          <w:szCs w:val="24"/>
        </w:rPr>
      </w:pPr>
      <w:r>
        <w:rPr>
          <w:rFonts w:hint="eastAsia" w:ascii="仿宋" w:hAnsi="仿宋" w:eastAsia="仿宋" w:cs="仿宋"/>
          <w:b/>
          <w:bCs/>
          <w:sz w:val="32"/>
          <w:szCs w:val="24"/>
        </w:rPr>
        <w:t>威海市文登区财政局</w:t>
      </w:r>
    </w:p>
    <w:p>
      <w:pPr>
        <w:spacing w:line="590" w:lineRule="exact"/>
        <w:jc w:val="center"/>
        <w:rPr>
          <w:rFonts w:ascii="仿宋" w:hAnsi="仿宋" w:eastAsia="仿宋" w:cs="仿宋"/>
          <w:b/>
          <w:bCs/>
          <w:sz w:val="32"/>
          <w:szCs w:val="24"/>
        </w:rPr>
        <w:sectPr>
          <w:headerReference r:id="rId18" w:type="first"/>
          <w:footerReference r:id="rId21" w:type="first"/>
          <w:headerReference r:id="rId16" w:type="default"/>
          <w:footerReference r:id="rId19" w:type="default"/>
          <w:headerReference r:id="rId17" w:type="even"/>
          <w:footerReference r:id="rId20" w:type="even"/>
          <w:pgSz w:w="11850" w:h="16783"/>
          <w:pgMar w:top="1440" w:right="1440" w:bottom="1440" w:left="1440" w:header="737" w:footer="1077" w:gutter="0"/>
          <w:cols w:equalWidth="0" w:num="1">
            <w:col w:w="9026"/>
          </w:cols>
          <w:docGrid w:linePitch="360" w:charSpace="0"/>
        </w:sectPr>
      </w:pPr>
      <w:r>
        <w:rPr>
          <w:rFonts w:hint="eastAsia" w:ascii="仿宋" w:hAnsi="仿宋" w:eastAsia="仿宋" w:cs="仿宋"/>
          <w:b/>
          <w:bCs/>
          <w:sz w:val="32"/>
          <w:szCs w:val="24"/>
        </w:rPr>
        <w:t>评价时间：202</w:t>
      </w:r>
      <w:r>
        <w:rPr>
          <w:rFonts w:hint="eastAsia" w:ascii="仿宋" w:hAnsi="仿宋" w:eastAsia="仿宋" w:cs="仿宋"/>
          <w:b/>
          <w:bCs/>
          <w:sz w:val="32"/>
          <w:szCs w:val="24"/>
          <w:lang w:val="en-US" w:eastAsia="zh-CN"/>
        </w:rPr>
        <w:t>3</w:t>
      </w:r>
      <w:r>
        <w:rPr>
          <w:rFonts w:hint="eastAsia" w:ascii="仿宋" w:hAnsi="仿宋" w:eastAsia="仿宋" w:cs="仿宋"/>
          <w:b/>
          <w:bCs/>
          <w:sz w:val="32"/>
          <w:szCs w:val="24"/>
        </w:rPr>
        <w:t xml:space="preserve"> 年 </w:t>
      </w:r>
      <w:r>
        <w:rPr>
          <w:rFonts w:hint="eastAsia" w:ascii="仿宋" w:hAnsi="仿宋" w:eastAsia="仿宋" w:cs="仿宋"/>
          <w:b/>
          <w:bCs/>
          <w:sz w:val="32"/>
          <w:szCs w:val="24"/>
          <w:lang w:val="en-US" w:eastAsia="zh-CN"/>
        </w:rPr>
        <w:t>7</w:t>
      </w:r>
      <w:r>
        <w:rPr>
          <w:rFonts w:hint="eastAsia" w:ascii="仿宋" w:hAnsi="仿宋" w:eastAsia="仿宋" w:cs="仿宋"/>
          <w:b/>
          <w:bCs/>
          <w:sz w:val="32"/>
          <w:szCs w:val="24"/>
        </w:rPr>
        <w:t xml:space="preserve"> 月</w:t>
      </w:r>
    </w:p>
    <w:p>
      <w:pPr>
        <w:pStyle w:val="3"/>
        <w:ind w:firstLine="640" w:firstLineChars="200"/>
        <w:rPr>
          <w:rFonts w:ascii="Times New Roman" w:hAnsi="黑体" w:eastAsia="黑体" w:cs="Times New Roman"/>
          <w:bCs w:val="0"/>
          <w:color w:val="auto"/>
          <w:kern w:val="2"/>
          <w:sz w:val="32"/>
          <w:szCs w:val="32"/>
          <w:lang w:val="en-US" w:eastAsia="zh-CN" w:bidi="ar-SA"/>
        </w:rPr>
      </w:pPr>
      <w:bookmarkStart w:id="6" w:name="_Toc141515719"/>
      <w:r>
        <w:rPr>
          <w:rFonts w:ascii="Times New Roman" w:hAnsi="黑体" w:eastAsia="黑体" w:cs="Times New Roman"/>
          <w:bCs w:val="0"/>
          <w:color w:val="auto"/>
          <w:kern w:val="2"/>
          <w:sz w:val="32"/>
          <w:szCs w:val="32"/>
          <w:lang w:val="en-US" w:eastAsia="zh-CN" w:bidi="ar-SA"/>
        </w:rPr>
        <w:t>一、项目概况</w:t>
      </w:r>
      <w:bookmarkEnd w:id="6"/>
    </w:p>
    <w:p>
      <w:pPr>
        <w:spacing w:line="560" w:lineRule="exact"/>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1、立项背景</w:t>
      </w:r>
    </w:p>
    <w:p>
      <w:pPr>
        <w:spacing w:line="560" w:lineRule="exact"/>
        <w:ind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为深入贯彻落实党的十九大精神，积极推进“互联网+”行动，提升中小学校信息化建设与应用水平，推动信息技术与教育教学的深度融合，切实加快全国教育信息化进程，以教育信息化支撑和引领教育现代化，服务教育强国建设，</w:t>
      </w:r>
      <w:bookmarkStart w:id="10" w:name="_GoBack"/>
      <w:bookmarkEnd w:id="10"/>
      <w:r>
        <w:rPr>
          <w:rFonts w:ascii="Times New Roman" w:hAnsi="Times New Roman" w:eastAsia="仿宋_GB2312" w:cs="Times New Roman"/>
          <w:sz w:val="32"/>
          <w:szCs w:val="32"/>
          <w:lang w:val="en-US" w:eastAsia="zh-CN"/>
        </w:rPr>
        <w:t>教育部先后下发了《中小学数字校园建设规范（试行）》和《教育信息化 2.0 行动计划》等文件，要求坚持“深化应用，融合创新”的基本思想，促进区域教育的均衡发展和学校教育的质量提升。要到 2022 年基本实现“三全两高一大”的发展目标。</w:t>
      </w:r>
    </w:p>
    <w:p>
      <w:pPr>
        <w:spacing w:line="560" w:lineRule="exact"/>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2、项目依据及内容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中小学数字校园建设规范（试行）》、《山东省教育信息化2.0行动计划(2019-2022)》、《山东省教育厅关于加快中小学数字校园建设全覆盖工作的通知》（鲁教科函〔2020〕23号）、《威海市教育局关于转发和落实《山东省教育厅关于加快中小学数字校园建设全覆盖工作的通知》的通知》（威教办字〔2020〕4号）等文件规定，教体局开展数字校园项目，包括数字校园管理平台、网络安全建设、多媒体教学设备、计算机设备四部分。</w:t>
      </w:r>
    </w:p>
    <w:p>
      <w:pPr>
        <w:spacing w:line="560" w:lineRule="exact"/>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3、资金投入及使用情况</w:t>
      </w:r>
    </w:p>
    <w:p>
      <w:pPr>
        <w:spacing w:line="560" w:lineRule="exact"/>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本项目预算总金额2,983.70万元，通过公开招标的方式对项目施工及监理进行政府采购，项目施工中标单位为山东捷讯通信技术有限公司，中标金额为2,955.20万元；项目监理中标单位为湖南万恒工程项目管理有限公司，中标金额为10.58万元。根据合同约定的付款方式，2022年安排预算资金1,492.00万元。</w:t>
      </w:r>
    </w:p>
    <w:p>
      <w:pPr>
        <w:spacing w:line="560" w:lineRule="exact"/>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项目最终结算金额为2,942.52万元，其中捷讯公司2,931.94万元，万恒公司10.58万元。按照合同约定的付款进度，2022年应付款50%即1,471.26万元。2022年财政共拨付本项目预算资金1,471.26万元，威海市文登区教育和体育局对外支付1,471.26万元（2022年支付1,000.00万元，2023年支付471.26万元），其中支付给捷讯公司1,465.97万元，万恒公司5.29万元。</w:t>
      </w:r>
    </w:p>
    <w:p>
      <w:pPr>
        <w:spacing w:line="560" w:lineRule="exact"/>
        <w:ind w:firstLine="800" w:firstLineChars="250"/>
        <w:rPr>
          <w:rFonts w:ascii="Times New Roman" w:hAnsi="Times New Roman" w:cs="Times New Roman"/>
          <w:szCs w:val="32"/>
        </w:rPr>
      </w:pPr>
      <w:r>
        <w:rPr>
          <w:rFonts w:ascii="Times New Roman" w:hAnsi="Times New Roman" w:cs="Times New Roman"/>
          <w:szCs w:val="32"/>
        </w:rPr>
        <w:t>4、评价得分</w:t>
      </w:r>
    </w:p>
    <w:p>
      <w:pPr>
        <w:pStyle w:val="53"/>
        <w:spacing w:line="560" w:lineRule="exact"/>
        <w:ind w:right="108" w:firstLine="640" w:firstLineChars="200"/>
        <w:rPr>
          <w:rFonts w:hAnsi="Times New Roman" w:eastAsia="仿宋_GB2312" w:cs="Times New Roman"/>
          <w:color w:val="auto"/>
          <w:kern w:val="0"/>
          <w:sz w:val="32"/>
          <w:szCs w:val="32"/>
        </w:rPr>
      </w:pPr>
      <w:r>
        <w:rPr>
          <w:rFonts w:hAnsi="Times New Roman" w:eastAsia="仿宋_GB2312" w:cs="Times New Roman"/>
          <w:color w:val="auto"/>
          <w:kern w:val="0"/>
          <w:sz w:val="32"/>
          <w:szCs w:val="32"/>
        </w:rPr>
        <w:t>项目总体评分结果为8</w:t>
      </w:r>
      <w:r>
        <w:rPr>
          <w:rFonts w:hint="eastAsia" w:hAnsi="Times New Roman" w:eastAsia="仿宋_GB2312" w:cs="Times New Roman"/>
          <w:color w:val="auto"/>
          <w:kern w:val="0"/>
          <w:sz w:val="32"/>
          <w:szCs w:val="32"/>
        </w:rPr>
        <w:t>9.12</w:t>
      </w:r>
      <w:r>
        <w:rPr>
          <w:rFonts w:hAnsi="Times New Roman" w:eastAsia="仿宋_GB2312" w:cs="Times New Roman"/>
          <w:color w:val="auto"/>
          <w:kern w:val="0"/>
          <w:sz w:val="32"/>
          <w:szCs w:val="32"/>
        </w:rPr>
        <w:t>分，评价等级为良。综合评分表如下：</w:t>
      </w:r>
    </w:p>
    <w:p>
      <w:pPr>
        <w:pStyle w:val="53"/>
        <w:spacing w:line="560" w:lineRule="exact"/>
        <w:ind w:right="108" w:firstLine="3360" w:firstLineChars="1600"/>
        <w:rPr>
          <w:rFonts w:hAnsi="Times New Roman" w:eastAsia="黑体" w:cs="Times New Roman"/>
          <w:color w:val="auto"/>
          <w:kern w:val="0"/>
        </w:rPr>
      </w:pPr>
      <w:r>
        <w:rPr>
          <w:rFonts w:hAnsi="Times New Roman" w:eastAsia="黑体" w:cs="Times New Roman"/>
          <w:color w:val="auto"/>
          <w:kern w:val="0"/>
        </w:rPr>
        <w:t>绩效评价综合得分情况表</w:t>
      </w:r>
    </w:p>
    <w:tbl>
      <w:tblPr>
        <w:tblStyle w:val="19"/>
        <w:tblW w:w="0" w:type="auto"/>
        <w:tblInd w:w="67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77"/>
        <w:gridCol w:w="1401"/>
        <w:gridCol w:w="1265"/>
        <w:gridCol w:w="1265"/>
        <w:gridCol w:w="1401"/>
        <w:gridCol w:w="153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指标</w:t>
            </w:r>
          </w:p>
        </w:tc>
        <w:tc>
          <w:tcPr>
            <w:tcW w:w="1417"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决策</w:t>
            </w:r>
          </w:p>
        </w:tc>
        <w:tc>
          <w:tcPr>
            <w:tcW w:w="1276"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过程</w:t>
            </w:r>
          </w:p>
        </w:tc>
        <w:tc>
          <w:tcPr>
            <w:tcW w:w="1276" w:type="dxa"/>
            <w:tcBorders>
              <w:righ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产出</w:t>
            </w:r>
          </w:p>
        </w:tc>
        <w:tc>
          <w:tcPr>
            <w:tcW w:w="1417" w:type="dxa"/>
            <w:tcBorders>
              <w:lef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效益</w:t>
            </w:r>
          </w:p>
        </w:tc>
        <w:tc>
          <w:tcPr>
            <w:tcW w:w="1559"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合计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分值</w:t>
            </w:r>
          </w:p>
        </w:tc>
        <w:tc>
          <w:tcPr>
            <w:tcW w:w="1417"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16</w:t>
            </w:r>
          </w:p>
        </w:tc>
        <w:tc>
          <w:tcPr>
            <w:tcW w:w="1276"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24</w:t>
            </w:r>
          </w:p>
        </w:tc>
        <w:tc>
          <w:tcPr>
            <w:tcW w:w="1276" w:type="dxa"/>
            <w:tcBorders>
              <w:righ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36</w:t>
            </w:r>
          </w:p>
        </w:tc>
        <w:tc>
          <w:tcPr>
            <w:tcW w:w="1417" w:type="dxa"/>
            <w:tcBorders>
              <w:lef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24</w:t>
            </w:r>
          </w:p>
        </w:tc>
        <w:tc>
          <w:tcPr>
            <w:tcW w:w="1559"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得分</w:t>
            </w:r>
          </w:p>
        </w:tc>
        <w:tc>
          <w:tcPr>
            <w:tcW w:w="1417"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15.5</w:t>
            </w:r>
          </w:p>
        </w:tc>
        <w:tc>
          <w:tcPr>
            <w:tcW w:w="1276" w:type="dxa"/>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20</w:t>
            </w:r>
            <w:r>
              <w:rPr>
                <w:rFonts w:hAnsi="Times New Roman" w:cs="Times New Roman" w:eastAsiaTheme="minorEastAsia"/>
                <w:color w:val="auto"/>
                <w:kern w:val="0"/>
              </w:rPr>
              <w:t>.96</w:t>
            </w:r>
          </w:p>
        </w:tc>
        <w:tc>
          <w:tcPr>
            <w:tcW w:w="1276" w:type="dxa"/>
            <w:tcBorders>
              <w:righ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30.39</w:t>
            </w:r>
          </w:p>
        </w:tc>
        <w:tc>
          <w:tcPr>
            <w:tcW w:w="1417" w:type="dxa"/>
            <w:tcBorders>
              <w:lef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2</w:t>
            </w:r>
            <w:r>
              <w:rPr>
                <w:rFonts w:hint="eastAsia" w:hAnsi="Times New Roman" w:cs="Times New Roman" w:eastAsiaTheme="minorEastAsia"/>
                <w:color w:val="auto"/>
                <w:kern w:val="0"/>
              </w:rPr>
              <w:t>2.2</w:t>
            </w:r>
            <w:r>
              <w:rPr>
                <w:rFonts w:hAnsi="Times New Roman" w:cs="Times New Roman" w:eastAsiaTheme="minorEastAsia"/>
                <w:color w:val="auto"/>
                <w:kern w:val="0"/>
              </w:rPr>
              <w:t>7</w:t>
            </w:r>
          </w:p>
        </w:tc>
        <w:tc>
          <w:tcPr>
            <w:tcW w:w="1559" w:type="dxa"/>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89.12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993"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得分率</w:t>
            </w:r>
          </w:p>
        </w:tc>
        <w:tc>
          <w:tcPr>
            <w:tcW w:w="1417" w:type="dxa"/>
            <w:vAlign w:val="center"/>
          </w:tcPr>
          <w:p>
            <w:pPr>
              <w:pStyle w:val="53"/>
              <w:spacing w:line="560" w:lineRule="exact"/>
              <w:ind w:right="108"/>
              <w:jc w:val="center"/>
              <w:rPr>
                <w:rFonts w:hAnsi="Times New Roman" w:cs="Times New Roman" w:eastAsiaTheme="minorEastAsia"/>
                <w:color w:val="auto"/>
                <w:kern w:val="0"/>
              </w:rPr>
            </w:pPr>
            <w:r>
              <w:rPr>
                <w:rFonts w:hAnsi="Times New Roman" w:cs="Times New Roman" w:eastAsiaTheme="minorEastAsia"/>
                <w:color w:val="auto"/>
                <w:kern w:val="0"/>
              </w:rPr>
              <w:t>96.88%</w:t>
            </w:r>
          </w:p>
        </w:tc>
        <w:tc>
          <w:tcPr>
            <w:tcW w:w="1276" w:type="dxa"/>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87.33</w:t>
            </w:r>
            <w:r>
              <w:rPr>
                <w:rFonts w:hAnsi="Times New Roman" w:cs="Times New Roman" w:eastAsiaTheme="minorEastAsia"/>
                <w:color w:val="auto"/>
                <w:kern w:val="0"/>
              </w:rPr>
              <w:t>%</w:t>
            </w:r>
          </w:p>
        </w:tc>
        <w:tc>
          <w:tcPr>
            <w:tcW w:w="1276" w:type="dxa"/>
            <w:tcBorders>
              <w:righ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84.42</w:t>
            </w:r>
            <w:r>
              <w:rPr>
                <w:rFonts w:hAnsi="Times New Roman" w:cs="Times New Roman" w:eastAsiaTheme="minorEastAsia"/>
                <w:color w:val="auto"/>
                <w:kern w:val="0"/>
              </w:rPr>
              <w:t>%</w:t>
            </w:r>
          </w:p>
        </w:tc>
        <w:tc>
          <w:tcPr>
            <w:tcW w:w="1417" w:type="dxa"/>
            <w:tcBorders>
              <w:left w:val="single" w:color="auto" w:sz="4" w:space="0"/>
            </w:tcBorders>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92.79</w:t>
            </w:r>
            <w:r>
              <w:rPr>
                <w:rFonts w:hAnsi="Times New Roman" w:cs="Times New Roman" w:eastAsiaTheme="minorEastAsia"/>
                <w:color w:val="auto"/>
                <w:kern w:val="0"/>
              </w:rPr>
              <w:t>%</w:t>
            </w:r>
          </w:p>
        </w:tc>
        <w:tc>
          <w:tcPr>
            <w:tcW w:w="1559" w:type="dxa"/>
            <w:vAlign w:val="center"/>
          </w:tcPr>
          <w:p>
            <w:pPr>
              <w:pStyle w:val="53"/>
              <w:spacing w:line="560" w:lineRule="exact"/>
              <w:ind w:right="108"/>
              <w:jc w:val="center"/>
              <w:rPr>
                <w:rFonts w:hAnsi="Times New Roman" w:cs="Times New Roman" w:eastAsiaTheme="minorEastAsia"/>
                <w:color w:val="auto"/>
                <w:kern w:val="0"/>
              </w:rPr>
            </w:pPr>
            <w:r>
              <w:rPr>
                <w:rFonts w:hint="eastAsia" w:hAnsi="Times New Roman" w:cs="Times New Roman" w:eastAsiaTheme="minorEastAsia"/>
                <w:color w:val="auto"/>
                <w:kern w:val="0"/>
              </w:rPr>
              <w:t>89.12</w:t>
            </w:r>
            <w:r>
              <w:rPr>
                <w:rFonts w:hAnsi="Times New Roman" w:cs="Times New Roman" w:eastAsiaTheme="minorEastAsia"/>
                <w:color w:val="auto"/>
                <w:kern w:val="0"/>
              </w:rPr>
              <w:t>%</w:t>
            </w:r>
          </w:p>
        </w:tc>
      </w:tr>
    </w:tbl>
    <w:p>
      <w:pPr>
        <w:pStyle w:val="3"/>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黑体" w:eastAsia="黑体" w:cs="Times New Roman"/>
          <w:bCs w:val="0"/>
          <w:color w:val="auto"/>
          <w:kern w:val="2"/>
          <w:sz w:val="32"/>
          <w:szCs w:val="32"/>
          <w:lang w:val="en-US" w:eastAsia="zh-CN" w:bidi="ar-SA"/>
        </w:rPr>
      </w:pPr>
      <w:bookmarkStart w:id="7" w:name="_Toc141515720"/>
    </w:p>
    <w:p>
      <w:pPr>
        <w:pStyle w:val="3"/>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黑体" w:eastAsia="黑体" w:cs="Times New Roman"/>
          <w:bCs w:val="0"/>
          <w:color w:val="auto"/>
          <w:kern w:val="2"/>
          <w:sz w:val="32"/>
          <w:szCs w:val="32"/>
          <w:lang w:val="en-US" w:eastAsia="zh-CN" w:bidi="ar-SA"/>
        </w:rPr>
      </w:pPr>
      <w:r>
        <w:rPr>
          <w:rFonts w:ascii="Times New Roman" w:hAnsi="黑体" w:eastAsia="黑体" w:cs="Times New Roman"/>
          <w:bCs w:val="0"/>
          <w:color w:val="auto"/>
          <w:kern w:val="2"/>
          <w:sz w:val="32"/>
          <w:szCs w:val="32"/>
          <w:lang w:val="en-US" w:eastAsia="zh-CN" w:bidi="ar-SA"/>
        </w:rPr>
        <w:t>二、主要经验及做法</w:t>
      </w:r>
      <w:bookmarkEnd w:id="7"/>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区教体局立足我区教育信息化实际，开展数字校园项目，建设覆盖全区的数字校园管理平台、部署新型网络防火墙和负载均衡、更新触控一体机和智慧黑板、新建计算机教室、更新计算机等，以教育信息化带动教育现代化，不断提升教育信息化建设水平。主要经验做法如下：</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1、方案多方反复论证，避免盲目性。</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2、专业监理公司监督，严把质量关。</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3、组织多轮培训，确保能用会用愿用。</w:t>
      </w:r>
    </w:p>
    <w:p>
      <w:pPr>
        <w:pStyle w:val="2"/>
        <w:pageBreakBefore w:val="0"/>
        <w:widowControl w:val="0"/>
        <w:kinsoku/>
        <w:wordWrap/>
        <w:overflowPunct/>
        <w:topLinePunct w:val="0"/>
        <w:autoSpaceDE/>
        <w:autoSpaceDN/>
        <w:bidi w:val="0"/>
        <w:adjustRightInd/>
        <w:snapToGrid/>
        <w:spacing w:line="560" w:lineRule="exact"/>
        <w:textAlignment w:val="auto"/>
      </w:pPr>
    </w:p>
    <w:p>
      <w:pPr>
        <w:pStyle w:val="3"/>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黑体" w:eastAsia="黑体" w:cs="Times New Roman"/>
          <w:bCs w:val="0"/>
          <w:color w:val="auto"/>
          <w:kern w:val="2"/>
          <w:sz w:val="32"/>
          <w:szCs w:val="32"/>
          <w:lang w:val="en-US" w:eastAsia="zh-CN" w:bidi="ar-SA"/>
        </w:rPr>
      </w:pPr>
      <w:bookmarkStart w:id="8" w:name="_Toc141515721"/>
      <w:r>
        <w:rPr>
          <w:rFonts w:ascii="Times New Roman" w:hAnsi="黑体" w:eastAsia="黑体" w:cs="Times New Roman"/>
          <w:bCs w:val="0"/>
          <w:color w:val="auto"/>
          <w:kern w:val="2"/>
          <w:sz w:val="32"/>
          <w:szCs w:val="32"/>
          <w:lang w:val="en-US" w:eastAsia="zh-CN" w:bidi="ar-SA"/>
        </w:rPr>
        <w:t>三、存在的问题</w:t>
      </w:r>
      <w:bookmarkEnd w:id="8"/>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rPr>
      </w:pPr>
      <w:r>
        <w:rPr>
          <w:rFonts w:hint="eastAsia" w:ascii="楷体_GB2312" w:eastAsia="楷体_GB2312"/>
        </w:rPr>
        <w:t>（一）个别验收存档资料与实际不符</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rPr>
      </w:pPr>
      <w:r>
        <w:rPr>
          <w:rFonts w:ascii="Times New Roman" w:hAnsi="Times New Roman" w:cs="Times New Roman"/>
        </w:rPr>
        <w:t>个别项目验收资料与实际情况不符，如</w:t>
      </w:r>
      <w:r>
        <w:rPr>
          <w:rFonts w:hint="eastAsia" w:ascii="Times New Roman" w:hAnsi="Times New Roman" w:cs="Times New Roman"/>
        </w:rPr>
        <w:t>侯家小学高拍仪配备数量不符</w:t>
      </w:r>
      <w:r>
        <w:rPr>
          <w:rFonts w:ascii="Times New Roman" w:hAnsi="Times New Roman" w:cs="Times New Roman"/>
        </w:rPr>
        <w:t>；三里河小学2台一体机未拆封</w:t>
      </w:r>
      <w:r>
        <w:rPr>
          <w:rFonts w:hint="eastAsia" w:ascii="Times New Roman" w:hAnsi="Times New Roman" w:cs="Times New Roman"/>
        </w:rPr>
        <w:t>安装</w:t>
      </w:r>
      <w:r>
        <w:rPr>
          <w:rFonts w:ascii="Times New Roman" w:hAnsi="Times New Roman" w:cs="Times New Roman"/>
        </w:rPr>
        <w:t>，</w:t>
      </w:r>
      <w:r>
        <w:rPr>
          <w:rFonts w:hint="eastAsia" w:ascii="Times New Roman" w:hAnsi="Times New Roman" w:cs="Times New Roman"/>
        </w:rPr>
        <w:t>与存档记录情况不符</w:t>
      </w:r>
      <w:r>
        <w:rPr>
          <w:rFonts w:ascii="Times New Roman" w:hAnsi="Times New Roman" w:cs="Times New Roma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rPr>
      </w:pPr>
      <w:r>
        <w:rPr>
          <w:rFonts w:hint="eastAsia" w:ascii="楷体_GB2312" w:eastAsia="楷体_GB2312"/>
        </w:rPr>
        <w:t>（二）资产管理不规范</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1、私自将设备外借。如葛家幼儿园</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界石幼儿园</w:t>
      </w:r>
      <w:r>
        <w:rPr>
          <w:rFonts w:hint="eastAsia" w:ascii="Times New Roman" w:hAnsi="Times New Roman" w:eastAsia="仿宋_GB2312" w:cs="Times New Roman"/>
          <w:sz w:val="32"/>
          <w:szCs w:val="32"/>
          <w:lang w:eastAsia="zh-CN"/>
        </w:rPr>
        <w:t>将设备借予他校</w:t>
      </w:r>
      <w:r>
        <w:rPr>
          <w:rFonts w:ascii="Times New Roman" w:hAnsi="Times New Roman" w:eastAsia="仿宋_GB2312" w:cs="Times New Roman"/>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2、资产入账不及时。我们走访的41所学校均于2023年2月之后将本项目购买的资产入账，部分学校在我们现场调查之后入账。</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3、随意挪用设备。如柳林小学将3台学生机挪作教师机使用。</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rPr>
      </w:pPr>
      <w:r>
        <w:rPr>
          <w:rFonts w:ascii="楷体_GB2312" w:eastAsia="楷体_GB2312"/>
        </w:rPr>
        <w:t>（</w:t>
      </w:r>
      <w:r>
        <w:rPr>
          <w:rFonts w:hint="eastAsia" w:ascii="楷体_GB2312" w:eastAsia="楷体_GB2312"/>
        </w:rPr>
        <w:t>三</w:t>
      </w:r>
      <w:r>
        <w:rPr>
          <w:rFonts w:ascii="楷体_GB2312" w:eastAsia="楷体_GB2312"/>
        </w:rPr>
        <w:t>）</w:t>
      </w:r>
      <w:r>
        <w:rPr>
          <w:rFonts w:hint="eastAsia" w:ascii="楷体_GB2312" w:eastAsia="楷体_GB2312"/>
        </w:rPr>
        <w:t xml:space="preserve">资产配置结构不合理，导致部分资产使用率低、分配不均衡 </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1、平台及部分</w:t>
      </w:r>
      <w:r>
        <w:rPr>
          <w:rFonts w:ascii="Times New Roman" w:hAnsi="Times New Roman" w:eastAsia="仿宋_GB2312" w:cs="Times New Roman"/>
          <w:sz w:val="32"/>
          <w:szCs w:val="32"/>
          <w:lang w:eastAsia="zh-CN"/>
        </w:rPr>
        <w:t>设备</w:t>
      </w:r>
      <w:r>
        <w:rPr>
          <w:rFonts w:hint="eastAsia" w:ascii="Times New Roman" w:hAnsi="Times New Roman" w:eastAsia="仿宋_GB2312" w:cs="Times New Roman"/>
          <w:sz w:val="32"/>
          <w:szCs w:val="32"/>
          <w:lang w:eastAsia="zh-CN"/>
        </w:rPr>
        <w:t>暂未使用或使用率极低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（1）管理平台完工半年多尚未全面推广使用。</w:t>
      </w:r>
      <w:r>
        <w:rPr>
          <w:rFonts w:ascii="Times New Roman" w:hAnsi="Times New Roman" w:eastAsia="仿宋_GB2312" w:cs="Times New Roman"/>
          <w:sz w:val="32"/>
          <w:szCs w:val="32"/>
          <w:lang w:eastAsia="zh-CN"/>
        </w:rPr>
        <w:t>截至评价日，该平台</w:t>
      </w:r>
      <w:r>
        <w:rPr>
          <w:rFonts w:hint="eastAsia" w:ascii="Times New Roman" w:hAnsi="Times New Roman" w:eastAsia="仿宋_GB2312" w:cs="Times New Roman"/>
          <w:sz w:val="32"/>
          <w:szCs w:val="32"/>
          <w:lang w:eastAsia="zh-CN"/>
        </w:rPr>
        <w:t>仅在小范围测试使用，</w:t>
      </w:r>
      <w:r>
        <w:rPr>
          <w:rFonts w:ascii="Times New Roman" w:hAnsi="Times New Roman" w:eastAsia="仿宋_GB2312" w:cs="Times New Roman"/>
          <w:sz w:val="32"/>
          <w:szCs w:val="32"/>
          <w:lang w:eastAsia="zh-CN"/>
        </w:rPr>
        <w:t>尚未</w:t>
      </w:r>
      <w:r>
        <w:rPr>
          <w:rFonts w:hint="eastAsia" w:ascii="Times New Roman" w:hAnsi="Times New Roman" w:eastAsia="仿宋_GB2312" w:cs="Times New Roman"/>
          <w:sz w:val="32"/>
          <w:szCs w:val="32"/>
          <w:lang w:eastAsia="zh-CN"/>
        </w:rPr>
        <w:t>全面推广</w:t>
      </w:r>
      <w:r>
        <w:rPr>
          <w:rFonts w:ascii="Times New Roman" w:hAnsi="Times New Roman" w:eastAsia="仿宋_GB2312" w:cs="Times New Roman"/>
          <w:sz w:val="32"/>
          <w:szCs w:val="32"/>
          <w:lang w:eastAsia="zh-CN"/>
        </w:rPr>
        <w:t>，预计2023年</w:t>
      </w:r>
      <w:r>
        <w:rPr>
          <w:rFonts w:hint="eastAsia" w:ascii="Times New Roman" w:hAnsi="Times New Roman" w:eastAsia="仿宋_GB2312" w:cs="Times New Roman"/>
          <w:sz w:val="32"/>
          <w:szCs w:val="32"/>
          <w:lang w:eastAsia="zh-CN"/>
        </w:rPr>
        <w:t>9月</w:t>
      </w:r>
      <w:r>
        <w:rPr>
          <w:rFonts w:ascii="Times New Roman" w:hAnsi="Times New Roman" w:eastAsia="仿宋_GB2312" w:cs="Times New Roman"/>
          <w:sz w:val="32"/>
          <w:szCs w:val="32"/>
          <w:lang w:eastAsia="zh-CN"/>
        </w:rPr>
        <w:t>新学年投入使用。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（2）部分学校存在设备暂未使用或使用率极低的问题。</w:t>
      </w:r>
      <w:r>
        <w:rPr>
          <w:rFonts w:ascii="Times New Roman" w:hAnsi="Times New Roman" w:eastAsia="仿宋_GB2312" w:cs="Times New Roman"/>
          <w:sz w:val="32"/>
          <w:szCs w:val="32"/>
          <w:lang w:eastAsia="zh-CN"/>
        </w:rPr>
        <w:t>我们走访了41所学校，有17所学校存在设备</w:t>
      </w:r>
      <w:r>
        <w:rPr>
          <w:rFonts w:hint="eastAsia" w:ascii="Times New Roman" w:hAnsi="Times New Roman" w:eastAsia="仿宋_GB2312" w:cs="Times New Roman"/>
          <w:sz w:val="32"/>
          <w:szCs w:val="32"/>
          <w:lang w:eastAsia="zh-CN"/>
        </w:rPr>
        <w:t>暂未使用或使用率极低</w:t>
      </w:r>
      <w:r>
        <w:rPr>
          <w:rFonts w:ascii="Times New Roman" w:hAnsi="Times New Roman" w:eastAsia="仿宋_GB2312" w:cs="Times New Roman"/>
          <w:sz w:val="32"/>
          <w:szCs w:val="32"/>
          <w:lang w:eastAsia="zh-CN"/>
        </w:rPr>
        <w:t>问题，造成</w:t>
      </w:r>
      <w:r>
        <w:rPr>
          <w:rFonts w:hint="eastAsia" w:ascii="Times New Roman" w:hAnsi="Times New Roman" w:eastAsia="仿宋_GB2312" w:cs="Times New Roman"/>
          <w:sz w:val="32"/>
          <w:szCs w:val="32"/>
          <w:lang w:eastAsia="zh-CN"/>
        </w:rPr>
        <w:t>上述问题</w:t>
      </w:r>
      <w:r>
        <w:rPr>
          <w:rFonts w:ascii="Times New Roman" w:hAnsi="Times New Roman" w:eastAsia="仿宋_GB2312" w:cs="Times New Roman"/>
          <w:sz w:val="32"/>
          <w:szCs w:val="32"/>
          <w:lang w:eastAsia="zh-CN"/>
        </w:rPr>
        <w:t>的主要原因有：</w:t>
      </w:r>
      <w:r>
        <w:rPr>
          <w:rFonts w:hint="eastAsia" w:ascii="Times New Roman" w:hAnsi="Times New Roman" w:eastAsia="仿宋_GB2312" w:cs="Times New Roman"/>
          <w:sz w:val="32"/>
          <w:szCs w:val="32"/>
          <w:lang w:eastAsia="zh-CN"/>
        </w:rPr>
        <w:t>为扩班准备但暂未实现；</w:t>
      </w:r>
      <w:r>
        <w:rPr>
          <w:rFonts w:ascii="Times New Roman" w:hAnsi="Times New Roman" w:eastAsia="仿宋_GB2312" w:cs="Times New Roman"/>
          <w:sz w:val="32"/>
          <w:szCs w:val="32"/>
          <w:lang w:eastAsia="zh-CN"/>
        </w:rPr>
        <w:t>生源减少导致班额缩减</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预算超出现实需求</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新建校班额未满</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w:t>
      </w:r>
      <w:r>
        <w:rPr>
          <w:rFonts w:ascii="Times New Roman" w:hAnsi="Times New Roman" w:eastAsia="仿宋_GB2312" w:cs="Times New Roman"/>
          <w:sz w:val="32"/>
          <w:szCs w:val="32"/>
          <w:lang w:eastAsia="zh-CN"/>
        </w:rPr>
        <w:t>各学校</w:t>
      </w:r>
      <w:r>
        <w:rPr>
          <w:rFonts w:hint="eastAsia" w:ascii="Times New Roman" w:hAnsi="Times New Roman" w:eastAsia="仿宋_GB2312" w:cs="Times New Roman"/>
          <w:sz w:val="32"/>
          <w:szCs w:val="32"/>
          <w:lang w:eastAsia="zh-CN"/>
        </w:rPr>
        <w:t>一体机</w:t>
      </w:r>
      <w:r>
        <w:rPr>
          <w:rFonts w:ascii="Times New Roman" w:hAnsi="Times New Roman" w:eastAsia="仿宋_GB2312" w:cs="Times New Roman"/>
          <w:sz w:val="32"/>
          <w:szCs w:val="32"/>
          <w:lang w:eastAsia="zh-CN"/>
        </w:rPr>
        <w:t>设备分配不均衡，部分超过</w:t>
      </w:r>
      <w:r>
        <w:rPr>
          <w:rFonts w:hint="eastAsia" w:ascii="Times New Roman" w:hAnsi="Times New Roman" w:eastAsia="仿宋_GB2312" w:cs="Times New Roman"/>
          <w:sz w:val="32"/>
          <w:szCs w:val="32"/>
          <w:lang w:eastAsia="zh-CN"/>
        </w:rPr>
        <w:t>区统一</w:t>
      </w:r>
      <w:r>
        <w:rPr>
          <w:rFonts w:ascii="Times New Roman" w:hAnsi="Times New Roman" w:eastAsia="仿宋_GB2312" w:cs="Times New Roman"/>
          <w:sz w:val="32"/>
          <w:szCs w:val="32"/>
          <w:lang w:eastAsia="zh-CN"/>
        </w:rPr>
        <w:t>标准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区</w:t>
      </w:r>
      <w:r>
        <w:rPr>
          <w:rFonts w:ascii="Times New Roman" w:hAnsi="Times New Roman" w:eastAsia="仿宋_GB2312" w:cs="Times New Roman"/>
          <w:sz w:val="32"/>
          <w:szCs w:val="32"/>
          <w:lang w:eastAsia="zh-CN"/>
        </w:rPr>
        <w:t>教体局《关于做好数字校园建设需求确认工作的通知》</w:t>
      </w:r>
      <w:r>
        <w:rPr>
          <w:rFonts w:hint="eastAsia" w:ascii="Times New Roman" w:hAnsi="Times New Roman" w:eastAsia="仿宋_GB2312" w:cs="Times New Roman"/>
          <w:sz w:val="32"/>
          <w:szCs w:val="32"/>
          <w:lang w:eastAsia="zh-CN"/>
        </w:rPr>
        <w:t>规定了本项目各学校配备标准为</w:t>
      </w:r>
      <w:r>
        <w:rPr>
          <w:rFonts w:ascii="Times New Roman" w:hAnsi="Times New Roman" w:eastAsia="仿宋_GB2312" w:cs="Times New Roman"/>
          <w:sz w:val="32"/>
          <w:szCs w:val="32"/>
          <w:lang w:eastAsia="zh-CN"/>
        </w:rPr>
        <w:t>“多媒体建设标准：全部普通教室（包括高中走班教室）、录播教室和计算机教室（最多两套）”，我们现场抽查的41所学校中大部分学校</w:t>
      </w:r>
      <w:r>
        <w:rPr>
          <w:rFonts w:hint="eastAsia" w:ascii="Times New Roman" w:hAnsi="Times New Roman" w:eastAsia="仿宋_GB2312" w:cs="Times New Roman"/>
          <w:sz w:val="32"/>
          <w:szCs w:val="32"/>
          <w:lang w:eastAsia="zh-CN"/>
        </w:rPr>
        <w:t>均</w:t>
      </w:r>
      <w:r>
        <w:rPr>
          <w:rFonts w:ascii="Times New Roman" w:hAnsi="Times New Roman" w:eastAsia="仿宋_GB2312" w:cs="Times New Roman"/>
          <w:sz w:val="32"/>
          <w:szCs w:val="32"/>
          <w:lang w:eastAsia="zh-CN"/>
        </w:rPr>
        <w:t>按照该标准申请配备，但有</w:t>
      </w:r>
      <w:r>
        <w:rPr>
          <w:rFonts w:hint="eastAsia" w:ascii="Times New Roman" w:hAnsi="Times New Roman" w:eastAsia="仿宋_GB2312" w:cs="Times New Roman"/>
          <w:sz w:val="32"/>
          <w:szCs w:val="32"/>
          <w:lang w:eastAsia="zh-CN"/>
        </w:rPr>
        <w:t>7</w:t>
      </w:r>
      <w:r>
        <w:rPr>
          <w:rFonts w:ascii="Times New Roman" w:hAnsi="Times New Roman" w:eastAsia="仿宋_GB2312" w:cs="Times New Roman"/>
          <w:sz w:val="32"/>
          <w:szCs w:val="32"/>
          <w:lang w:eastAsia="zh-CN"/>
        </w:rPr>
        <w:t>所学校</w:t>
      </w:r>
      <w:r>
        <w:rPr>
          <w:rFonts w:hint="eastAsia" w:ascii="Times New Roman" w:hAnsi="Times New Roman" w:eastAsia="仿宋_GB2312" w:cs="Times New Roman"/>
          <w:sz w:val="32"/>
          <w:szCs w:val="32"/>
          <w:lang w:eastAsia="zh-CN"/>
        </w:rPr>
        <w:t>9台一体机</w:t>
      </w:r>
      <w:r>
        <w:rPr>
          <w:rFonts w:ascii="Times New Roman" w:hAnsi="Times New Roman" w:eastAsia="仿宋_GB2312" w:cs="Times New Roman"/>
          <w:sz w:val="32"/>
          <w:szCs w:val="32"/>
          <w:lang w:eastAsia="zh-CN"/>
        </w:rPr>
        <w:t>设备配备超过该标准，造成全区教育资源分配的不均衡。</w:t>
      </w:r>
      <w:r>
        <w:rPr>
          <w:rFonts w:hint="eastAsia" w:ascii="Times New Roman" w:hAnsi="Times New Roman" w:eastAsia="仿宋_GB2312" w:cs="Times New Roman"/>
          <w:sz w:val="32"/>
          <w:szCs w:val="32"/>
          <w:lang w:eastAsia="zh-CN"/>
        </w:rPr>
        <w:t>如</w:t>
      </w:r>
      <w:r>
        <w:rPr>
          <w:rFonts w:ascii="Times New Roman" w:hAnsi="Times New Roman" w:eastAsia="仿宋_GB2312" w:cs="Times New Roman"/>
          <w:sz w:val="32"/>
          <w:szCs w:val="32"/>
          <w:lang w:eastAsia="zh-CN"/>
        </w:rPr>
        <w:t>部分学校为活动室、会议室等配备</w:t>
      </w:r>
      <w:r>
        <w:rPr>
          <w:rFonts w:hint="eastAsia" w:ascii="Times New Roman" w:hAnsi="Times New Roman" w:eastAsia="仿宋_GB2312" w:cs="Times New Roman"/>
          <w:sz w:val="32"/>
          <w:szCs w:val="32"/>
          <w:lang w:eastAsia="zh-CN"/>
        </w:rPr>
        <w:t>一体机；</w:t>
      </w:r>
      <w:r>
        <w:rPr>
          <w:rFonts w:ascii="Times New Roman" w:hAnsi="Times New Roman" w:eastAsia="仿宋_GB2312" w:cs="Times New Roman"/>
          <w:sz w:val="32"/>
          <w:szCs w:val="32"/>
          <w:lang w:eastAsia="zh-CN"/>
        </w:rPr>
        <w:t>部分学校计算机教室</w:t>
      </w:r>
      <w:r>
        <w:rPr>
          <w:rFonts w:hint="eastAsia" w:ascii="Times New Roman" w:hAnsi="Times New Roman" w:eastAsia="仿宋_GB2312" w:cs="Times New Roman"/>
          <w:sz w:val="32"/>
          <w:szCs w:val="32"/>
          <w:lang w:eastAsia="zh-CN"/>
        </w:rPr>
        <w:t>一体机</w:t>
      </w:r>
      <w:r>
        <w:rPr>
          <w:rFonts w:ascii="Times New Roman" w:hAnsi="Times New Roman" w:eastAsia="仿宋_GB2312" w:cs="Times New Roman"/>
          <w:sz w:val="32"/>
          <w:szCs w:val="32"/>
          <w:lang w:eastAsia="zh-CN"/>
        </w:rPr>
        <w:t>配备数量</w:t>
      </w:r>
      <w:r>
        <w:rPr>
          <w:rFonts w:hint="eastAsia" w:ascii="Times New Roman" w:hAnsi="Times New Roman" w:eastAsia="仿宋_GB2312" w:cs="Times New Roman"/>
          <w:sz w:val="32"/>
          <w:szCs w:val="32"/>
          <w:lang w:eastAsia="zh-CN"/>
        </w:rPr>
        <w:t>超过区统一标准</w:t>
      </w:r>
      <w:r>
        <w:rPr>
          <w:rFonts w:ascii="Times New Roman" w:hAnsi="Times New Roman" w:eastAsia="仿宋_GB2312" w:cs="Times New Roman"/>
          <w:sz w:val="32"/>
          <w:szCs w:val="32"/>
          <w:lang w:eastAsia="zh-CN"/>
        </w:rPr>
        <w:t>。</w:t>
      </w:r>
    </w:p>
    <w:p>
      <w:pPr>
        <w:pageBreakBefore w:val="0"/>
        <w:widowControl w:val="0"/>
        <w:kinsoku/>
        <w:wordWrap/>
        <w:overflowPunct/>
        <w:topLinePunct w:val="0"/>
        <w:autoSpaceDE/>
        <w:autoSpaceDN/>
        <w:bidi w:val="0"/>
        <w:adjustRightInd/>
        <w:snapToGrid/>
        <w:spacing w:line="560" w:lineRule="exact"/>
        <w:ind w:firstLine="630"/>
        <w:textAlignment w:val="auto"/>
        <w:rPr>
          <w:rFonts w:ascii="楷体_GB2312" w:hAnsi="Times New Roman" w:eastAsia="楷体_GB2312" w:cs="Times New Roman"/>
        </w:rPr>
      </w:pPr>
      <w:r>
        <w:rPr>
          <w:rFonts w:hint="eastAsia" w:ascii="楷体_GB2312" w:hAnsi="Times New Roman" w:eastAsia="楷体_GB2312" w:cs="Times New Roman"/>
        </w:rPr>
        <w:t>（四）项目完工不及时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32"/>
          <w:szCs w:val="32"/>
          <w:lang w:eastAsia="zh-CN"/>
        </w:rPr>
      </w:pPr>
      <w:r>
        <w:rPr>
          <w:rFonts w:ascii="Times New Roman" w:hAnsi="Times New Roman" w:cs="Times New Roman"/>
        </w:rPr>
        <w:t xml:space="preserve">   </w:t>
      </w:r>
      <w:r>
        <w:rPr>
          <w:rFonts w:hint="eastAsia" w:ascii="Times New Roman" w:hAnsi="Times New Roman" w:cs="Times New Roman"/>
        </w:rPr>
        <w:t xml:space="preserve"> </w:t>
      </w:r>
      <w:r>
        <w:rPr>
          <w:rFonts w:hint="eastAsia" w:ascii="Times New Roman" w:hAnsi="Times New Roman" w:eastAsia="仿宋_GB2312" w:cs="Times New Roman"/>
          <w:sz w:val="32"/>
          <w:szCs w:val="32"/>
          <w:lang w:eastAsia="zh-CN"/>
        </w:rPr>
        <w:t>由于疫情、考试等原因施工推迟，捷讯公司实际完工比计划延迟2个月。</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rPr>
      </w:pPr>
      <w:r>
        <w:rPr>
          <w:rFonts w:hint="eastAsia" w:ascii="楷体_GB2312" w:eastAsia="楷体_GB2312"/>
        </w:rPr>
        <w:t>（五）供需矛盾依然存在</w:t>
      </w:r>
    </w:p>
    <w:p>
      <w:pPr>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虽然数字校园项目投入了大量的物力财力，但仍然不能满足现实需求，供需矛盾依然存在，主要表现为：</w:t>
      </w:r>
      <w:r>
        <w:rPr>
          <w:rFonts w:hint="eastAsia" w:ascii="Times New Roman" w:hAnsi="Times New Roman" w:eastAsia="仿宋_GB2312" w:cs="Times New Roman"/>
          <w:sz w:val="32"/>
          <w:szCs w:val="32"/>
          <w:lang w:eastAsia="zh-CN"/>
        </w:rPr>
        <w:t>新旧一体机体验感存在差距；部分教师对原有教师电脑配备不满意。</w:t>
      </w:r>
    </w:p>
    <w:p>
      <w:pPr>
        <w:pStyle w:val="3"/>
        <w:keepNext/>
        <w:keepLines/>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Times New Roman" w:hAnsi="黑体" w:eastAsia="黑体" w:cs="Times New Roman"/>
          <w:bCs w:val="0"/>
          <w:color w:val="auto"/>
          <w:kern w:val="2"/>
          <w:sz w:val="32"/>
          <w:szCs w:val="32"/>
          <w:lang w:val="en-US" w:eastAsia="zh-CN" w:bidi="ar-SA"/>
        </w:rPr>
      </w:pPr>
      <w:bookmarkStart w:id="9" w:name="_Toc141515722"/>
      <w:r>
        <w:rPr>
          <w:rFonts w:ascii="Times New Roman" w:hAnsi="黑体" w:eastAsia="黑体" w:cs="Times New Roman"/>
          <w:bCs w:val="0"/>
          <w:color w:val="auto"/>
          <w:kern w:val="2"/>
          <w:sz w:val="32"/>
          <w:szCs w:val="32"/>
          <w:lang w:val="en-US" w:eastAsia="zh-CN" w:bidi="ar-SA"/>
        </w:rPr>
        <w:t>四、意见及建议</w:t>
      </w:r>
      <w:bookmarkEnd w:id="9"/>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rPr>
      </w:pPr>
      <w:r>
        <w:rPr>
          <w:rFonts w:ascii="Times New Roman" w:hAnsi="Times New Roman" w:eastAsia="楷体_GB2312" w:cs="Times New Roman"/>
        </w:rPr>
        <w:t>（</w:t>
      </w:r>
      <w:r>
        <w:rPr>
          <w:rFonts w:hint="eastAsia" w:ascii="Times New Roman" w:hAnsi="Times New Roman" w:eastAsia="楷体_GB2312" w:cs="Times New Roman"/>
        </w:rPr>
        <w:t>一</w:t>
      </w:r>
      <w:r>
        <w:rPr>
          <w:rFonts w:ascii="Times New Roman" w:hAnsi="Times New Roman" w:eastAsia="楷体_GB2312" w:cs="Times New Roman"/>
        </w:rPr>
        <w:t>）加强存档资料审核，确保资料准确性。</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rPr>
      </w:pPr>
      <w:r>
        <w:rPr>
          <w:rFonts w:ascii="Times New Roman" w:hAnsi="Times New Roman" w:eastAsia="楷体_GB2312" w:cs="Times New Roman"/>
        </w:rPr>
        <w:t>（</w:t>
      </w:r>
      <w:r>
        <w:rPr>
          <w:rFonts w:hint="eastAsia" w:ascii="Times New Roman" w:hAnsi="Times New Roman" w:eastAsia="楷体_GB2312" w:cs="Times New Roman"/>
        </w:rPr>
        <w:t>二</w:t>
      </w:r>
      <w:r>
        <w:rPr>
          <w:rFonts w:ascii="Times New Roman" w:hAnsi="Times New Roman" w:eastAsia="楷体_GB2312" w:cs="Times New Roman"/>
        </w:rPr>
        <w:t>）加强资产管理，确保入账及时、账实相符。</w:t>
      </w:r>
    </w:p>
    <w:p>
      <w:pPr>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楷体_GB2312" w:cs="Times New Roman"/>
        </w:rPr>
      </w:pPr>
      <w:r>
        <w:rPr>
          <w:rFonts w:ascii="Times New Roman" w:hAnsi="Times New Roman" w:eastAsia="楷体_GB2312" w:cs="Times New Roman"/>
        </w:rPr>
        <w:t xml:space="preserve">    （</w:t>
      </w:r>
      <w:r>
        <w:rPr>
          <w:rFonts w:hint="eastAsia" w:ascii="Times New Roman" w:hAnsi="Times New Roman" w:eastAsia="楷体_GB2312" w:cs="Times New Roman"/>
        </w:rPr>
        <w:t>三</w:t>
      </w:r>
      <w:r>
        <w:rPr>
          <w:rFonts w:ascii="Times New Roman" w:hAnsi="Times New Roman" w:eastAsia="楷体_GB2312" w:cs="Times New Roman"/>
        </w:rPr>
        <w:t>）优化资产配置结构，提高资产使用效率，促进教育均衡发展。</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rPr>
      </w:pPr>
      <w:r>
        <w:rPr>
          <w:rFonts w:hint="eastAsia" w:ascii="楷体_GB2312" w:hAnsi="Times New Roman" w:eastAsia="楷体_GB2312" w:cs="Times New Roman"/>
        </w:rPr>
        <w:t>（四）</w:t>
      </w:r>
      <w:r>
        <w:rPr>
          <w:rFonts w:hint="eastAsia" w:ascii="楷体_GB2312" w:eastAsia="楷体_GB2312"/>
        </w:rPr>
        <w:t>合理安排施工进度，确保项目按时完工。</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rPr>
      </w:pPr>
      <w:r>
        <w:rPr>
          <w:rFonts w:ascii="Times New Roman" w:hAnsi="Times New Roman" w:eastAsia="楷体_GB2312" w:cs="Times New Roman"/>
        </w:rPr>
        <w:t>（</w:t>
      </w:r>
      <w:r>
        <w:rPr>
          <w:rFonts w:hint="eastAsia" w:ascii="Times New Roman" w:hAnsi="Times New Roman" w:eastAsia="楷体_GB2312" w:cs="Times New Roman"/>
        </w:rPr>
        <w:t>五</w:t>
      </w:r>
      <w:r>
        <w:rPr>
          <w:rFonts w:ascii="Times New Roman" w:hAnsi="Times New Roman" w:eastAsia="楷体_GB2312" w:cs="Times New Roman"/>
        </w:rPr>
        <w:t>）软硬件配合，缓解供需矛盾。</w:t>
      </w: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Pr>
        <w:rPr>
          <w:rFonts w:ascii="Times New Roman" w:hAnsi="Times New Roman" w:eastAsia="楷体_GB2312" w:cs="Times New Roman"/>
        </w:rPr>
      </w:pPr>
    </w:p>
    <w:p>
      <w:pPr>
        <w:pStyle w:val="2"/>
        <w:rPr>
          <w:rFonts w:ascii="Times New Roman" w:hAnsi="Times New Roman" w:eastAsia="楷体_GB2312" w:cs="Times New Roman"/>
        </w:rPr>
      </w:pPr>
    </w:p>
    <w:p/>
    <w:p>
      <w:pPr>
        <w:pageBreakBefore w:val="0"/>
        <w:kinsoku/>
        <w:wordWrap/>
        <w:overflowPunct/>
        <w:topLinePunct w:val="0"/>
        <w:bidi w:val="0"/>
        <w:snapToGrid/>
        <w:spacing w:line="560" w:lineRule="exact"/>
        <w:jc w:val="both"/>
        <w:textAlignment w:val="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eastAsia="zh-CN"/>
        </w:rPr>
        <w:t>附件</w:t>
      </w:r>
      <w:r>
        <w:rPr>
          <w:rFonts w:hint="eastAsia" w:ascii="仿宋_GB2312" w:hAnsi="仿宋_GB2312" w:eastAsia="仿宋_GB2312" w:cs="仿宋_GB2312"/>
          <w:b/>
          <w:bCs/>
          <w:sz w:val="24"/>
          <w:szCs w:val="24"/>
          <w:highlight w:val="none"/>
          <w:lang w:val="en-US" w:eastAsia="zh-CN"/>
        </w:rPr>
        <w:t>2</w:t>
      </w:r>
    </w:p>
    <w:p>
      <w:pPr>
        <w:pStyle w:val="2"/>
        <w:rPr>
          <w:rFonts w:hint="eastAsia"/>
          <w:lang w:val="en-US" w:eastAsia="zh-CN"/>
        </w:rPr>
      </w:pPr>
    </w:p>
    <w:p>
      <w:pPr>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w:t>
      </w:r>
      <w:r>
        <w:rPr>
          <w:rFonts w:hint="eastAsia" w:ascii="方正小标宋简体" w:hAnsi="方正小标宋简体" w:eastAsia="方正小标宋简体" w:cs="方正小标宋简体"/>
          <w:sz w:val="44"/>
          <w:szCs w:val="44"/>
          <w:highlight w:val="none"/>
          <w:lang w:val="en-US" w:eastAsia="zh-CN"/>
        </w:rPr>
        <w:t>22</w:t>
      </w:r>
      <w:r>
        <w:rPr>
          <w:rFonts w:hint="eastAsia" w:ascii="方正小标宋简体" w:hAnsi="方正小标宋简体" w:eastAsia="方正小标宋简体" w:cs="方正小标宋简体"/>
          <w:sz w:val="44"/>
          <w:szCs w:val="44"/>
          <w:highlight w:val="none"/>
        </w:rPr>
        <w:t>年一般公共预算转移支付情况</w:t>
      </w:r>
    </w:p>
    <w:p>
      <w:pPr>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安排的说明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年，我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共收到中央、省、市三级转移支付补助资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金</w:t>
      </w:r>
      <w:r>
        <w:rPr>
          <w:rFonts w:hint="eastAsia" w:ascii="仿宋_GB2312" w:hAnsi="仿宋_GB2312" w:eastAsia="仿宋_GB2312" w:cs="仿宋_GB2312"/>
          <w:sz w:val="32"/>
          <w:szCs w:val="32"/>
          <w:highlight w:val="none"/>
          <w:lang w:val="en-US" w:eastAsia="zh-CN"/>
        </w:rPr>
        <w:t>204396</w:t>
      </w:r>
      <w:r>
        <w:rPr>
          <w:rFonts w:hint="eastAsia" w:ascii="仿宋_GB2312" w:hAnsi="仿宋_GB2312" w:eastAsia="仿宋_GB2312" w:cs="仿宋_GB2312"/>
          <w:sz w:val="32"/>
          <w:szCs w:val="32"/>
          <w:highlight w:val="none"/>
        </w:rPr>
        <w:t>万元，具体情况如下：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20</w:t>
      </w:r>
      <w:r>
        <w:rPr>
          <w:rFonts w:hint="eastAsia" w:ascii="黑体" w:hAnsi="黑体" w:eastAsia="黑体" w:cs="黑体"/>
          <w:sz w:val="32"/>
          <w:szCs w:val="32"/>
          <w:highlight w:val="none"/>
          <w:lang w:val="en-US" w:eastAsia="zh-CN"/>
        </w:rPr>
        <w:t>22</w:t>
      </w:r>
      <w:r>
        <w:rPr>
          <w:rFonts w:hint="eastAsia" w:ascii="黑体" w:hAnsi="黑体" w:eastAsia="黑体" w:cs="黑体"/>
          <w:sz w:val="32"/>
          <w:szCs w:val="32"/>
          <w:highlight w:val="none"/>
        </w:rPr>
        <w:t>年一般性转移支付执行数为</w:t>
      </w:r>
      <w:r>
        <w:rPr>
          <w:rFonts w:hint="eastAsia" w:ascii="黑体" w:hAnsi="黑体" w:eastAsia="黑体" w:cs="黑体"/>
          <w:sz w:val="32"/>
          <w:szCs w:val="32"/>
          <w:highlight w:val="none"/>
          <w:lang w:val="en-US" w:eastAsia="zh-CN"/>
        </w:rPr>
        <w:t>179460</w:t>
      </w:r>
      <w:r>
        <w:rPr>
          <w:rFonts w:hint="eastAsia" w:ascii="黑体" w:hAnsi="黑体" w:eastAsia="黑体" w:cs="黑体"/>
          <w:sz w:val="32"/>
          <w:szCs w:val="32"/>
          <w:highlight w:val="none"/>
        </w:rPr>
        <w:t>万元</w:t>
      </w:r>
      <w:r>
        <w:rPr>
          <w:rFonts w:hint="eastAsia" w:ascii="黑体" w:hAnsi="黑体" w:eastAsia="黑体" w:cs="黑体"/>
          <w:sz w:val="32"/>
          <w:szCs w:val="32"/>
          <w:lang w:val="en-US" w:eastAsia="zh-CN"/>
        </w:rPr>
        <w:t>(</w:t>
      </w:r>
      <w:r>
        <w:rPr>
          <w:rFonts w:hint="eastAsia" w:ascii="黑体" w:hAnsi="黑体" w:eastAsia="黑体" w:cs="黑体"/>
          <w:sz w:val="32"/>
          <w:szCs w:val="32"/>
        </w:rPr>
        <w:t>因体制原因，我区对乡镇按照部门进行管理，因此没有</w:t>
      </w:r>
      <w:r>
        <w:rPr>
          <w:rFonts w:hint="eastAsia" w:ascii="黑体" w:hAnsi="黑体" w:eastAsia="黑体" w:cs="黑体"/>
          <w:sz w:val="32"/>
          <w:szCs w:val="32"/>
          <w:lang w:eastAsia="zh-CN"/>
        </w:rPr>
        <w:t>对乡镇</w:t>
      </w:r>
      <w:r>
        <w:rPr>
          <w:rFonts w:hint="eastAsia" w:ascii="黑体" w:hAnsi="黑体" w:eastAsia="黑体" w:cs="黑体"/>
          <w:sz w:val="32"/>
          <w:szCs w:val="32"/>
        </w:rPr>
        <w:t>一般性转移支付</w:t>
      </w:r>
      <w:r>
        <w:rPr>
          <w:rFonts w:hint="eastAsia" w:ascii="黑体" w:hAnsi="黑体" w:eastAsia="黑体" w:cs="黑体"/>
          <w:sz w:val="32"/>
          <w:szCs w:val="32"/>
          <w:lang w:eastAsia="zh-CN"/>
        </w:rPr>
        <w:t>情况</w:t>
      </w:r>
      <w:r>
        <w:rPr>
          <w:rFonts w:hint="eastAsia" w:ascii="黑体" w:hAnsi="黑体" w:eastAsia="黑体" w:cs="黑体"/>
          <w:sz w:val="32"/>
          <w:szCs w:val="32"/>
          <w:lang w:val="en-US" w:eastAsia="zh-CN"/>
        </w:rPr>
        <w:t>)</w:t>
      </w:r>
      <w:r>
        <w:rPr>
          <w:rFonts w:hint="eastAsia" w:ascii="黑体" w:hAnsi="黑体" w:eastAsia="黑体" w:cs="黑体"/>
          <w:sz w:val="32"/>
          <w:szCs w:val="32"/>
          <w:highlight w:val="none"/>
        </w:rPr>
        <w:t>，其中：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rPr>
        <w:t>均衡性转移支付</w:t>
      </w:r>
      <w:r>
        <w:rPr>
          <w:rFonts w:hint="eastAsia" w:ascii="仿宋_GB2312" w:hAnsi="仿宋_GB2312" w:eastAsia="仿宋_GB2312" w:cs="仿宋_GB2312"/>
          <w:color w:val="auto"/>
          <w:sz w:val="32"/>
          <w:szCs w:val="32"/>
          <w:highlight w:val="none"/>
          <w:lang w:val="en-US" w:eastAsia="zh-CN"/>
        </w:rPr>
        <w:t>1720</w:t>
      </w:r>
      <w:r>
        <w:rPr>
          <w:rFonts w:hint="eastAsia" w:ascii="仿宋_GB2312" w:hAnsi="仿宋_GB2312" w:eastAsia="仿宋_GB2312" w:cs="仿宋_GB2312"/>
          <w:color w:val="auto"/>
          <w:sz w:val="32"/>
          <w:szCs w:val="32"/>
          <w:highlight w:val="none"/>
        </w:rPr>
        <w:t>万元，主要用于均衡各地方政府财力差异，推进区域间基本公共服务均等化。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县级基本财力保障机制奖补资金</w:t>
      </w:r>
      <w:r>
        <w:rPr>
          <w:rFonts w:hint="eastAsia" w:ascii="仿宋_GB2312" w:hAnsi="仿宋_GB2312" w:eastAsia="仿宋_GB2312" w:cs="仿宋_GB2312"/>
          <w:color w:val="auto"/>
          <w:sz w:val="32"/>
          <w:szCs w:val="32"/>
          <w:highlight w:val="none"/>
          <w:lang w:val="en-US" w:eastAsia="zh-CN"/>
        </w:rPr>
        <w:t>13072</w:t>
      </w:r>
      <w:r>
        <w:rPr>
          <w:rFonts w:hint="eastAsia" w:ascii="仿宋_GB2312" w:hAnsi="仿宋_GB2312" w:eastAsia="仿宋_GB2312" w:cs="仿宋_GB2312"/>
          <w:color w:val="auto"/>
          <w:sz w:val="32"/>
          <w:szCs w:val="32"/>
          <w:highlight w:val="none"/>
        </w:rPr>
        <w:t>万元，主要用于增强基层政府“保工资、保运转、保基本民生”能力，保障基层政府实施公共管理、提供基本公共服务以及落实各项民生政策基本财力需要。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（三）产粮（油）大县奖励资金1166万元，主要用于缓解产粮（油）大县财政困难，调动政府抓好粮食生产的积极性，巩固粮食安全基础。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（四）重点生态功能区转移支付606万元。主要用于对国家级重点生态县、国家自然保护区以及重要水源保护地财力补助，帮助其生态保护和民生改善。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rPr>
        <w:t>农林水共同财政事权转移支付收入</w:t>
      </w:r>
      <w:r>
        <w:rPr>
          <w:rFonts w:hint="eastAsia" w:ascii="仿宋_GB2312" w:hAnsi="仿宋_GB2312" w:eastAsia="仿宋_GB2312" w:cs="仿宋_GB2312"/>
          <w:color w:val="auto"/>
          <w:sz w:val="32"/>
          <w:szCs w:val="32"/>
          <w:highlight w:val="none"/>
          <w:lang w:val="en-US" w:eastAsia="zh-CN"/>
        </w:rPr>
        <w:t>22780</w:t>
      </w:r>
      <w:r>
        <w:rPr>
          <w:rFonts w:hint="eastAsia" w:ascii="仿宋_GB2312" w:hAnsi="仿宋_GB2312" w:eastAsia="仿宋_GB2312" w:cs="仿宋_GB2312"/>
          <w:color w:val="auto"/>
          <w:sz w:val="32"/>
          <w:szCs w:val="32"/>
          <w:highlight w:val="none"/>
        </w:rPr>
        <w:t>万元，主要用于支持乡村振兴专项支出。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rPr>
        <w:t>社会保障和就业共同财政事权转移支付收入</w:t>
      </w:r>
      <w:r>
        <w:rPr>
          <w:rFonts w:hint="eastAsia" w:ascii="仿宋_GB2312" w:hAnsi="仿宋_GB2312" w:eastAsia="仿宋_GB2312" w:cs="仿宋_GB2312"/>
          <w:color w:val="auto"/>
          <w:sz w:val="32"/>
          <w:szCs w:val="32"/>
          <w:highlight w:val="none"/>
          <w:lang w:val="en-US" w:eastAsia="zh-CN"/>
        </w:rPr>
        <w:t>25916</w:t>
      </w:r>
      <w:r>
        <w:rPr>
          <w:rFonts w:hint="eastAsia" w:ascii="仿宋_GB2312" w:hAnsi="仿宋_GB2312" w:eastAsia="仿宋_GB2312" w:cs="仿宋_GB2312"/>
          <w:color w:val="auto"/>
          <w:sz w:val="32"/>
          <w:szCs w:val="32"/>
          <w:highlight w:val="none"/>
        </w:rPr>
        <w:t>万元，主要用于保障居民基本养老保险基础养老金发放、对城乡低保对象等低收入群体进行补助。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（七）医疗卫生</w:t>
      </w:r>
      <w:r>
        <w:rPr>
          <w:rFonts w:hint="eastAsia" w:ascii="仿宋_GB2312" w:hAnsi="仿宋_GB2312" w:eastAsia="仿宋_GB2312" w:cs="仿宋_GB2312"/>
          <w:color w:val="auto"/>
          <w:sz w:val="32"/>
          <w:szCs w:val="32"/>
          <w:highlight w:val="none"/>
        </w:rPr>
        <w:t>共同财政事权转移支付收入</w:t>
      </w:r>
      <w:r>
        <w:rPr>
          <w:rFonts w:hint="eastAsia" w:ascii="仿宋_GB2312" w:hAnsi="仿宋_GB2312" w:eastAsia="仿宋_GB2312" w:cs="仿宋_GB2312"/>
          <w:color w:val="auto"/>
          <w:sz w:val="32"/>
          <w:szCs w:val="32"/>
          <w:highlight w:val="none"/>
          <w:lang w:val="en-US" w:eastAsia="zh-CN"/>
        </w:rPr>
        <w:t>10045</w:t>
      </w:r>
      <w:r>
        <w:rPr>
          <w:rFonts w:hint="eastAsia" w:ascii="仿宋_GB2312" w:hAnsi="仿宋_GB2312" w:eastAsia="仿宋_GB2312" w:cs="仿宋_GB2312"/>
          <w:color w:val="auto"/>
          <w:sz w:val="32"/>
          <w:szCs w:val="32"/>
          <w:highlight w:val="none"/>
        </w:rPr>
        <w:t>万元，主要用于计划生育服务、城乡医疗救助、医保能力提升等方面支出。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教育共同财政事权转移支付收入</w:t>
      </w:r>
      <w:r>
        <w:rPr>
          <w:rFonts w:hint="eastAsia" w:ascii="仿宋_GB2312" w:hAnsi="仿宋_GB2312" w:eastAsia="仿宋_GB2312" w:cs="仿宋_GB2312"/>
          <w:color w:val="auto"/>
          <w:sz w:val="32"/>
          <w:szCs w:val="32"/>
          <w:highlight w:val="none"/>
          <w:lang w:val="en-US" w:eastAsia="zh-CN"/>
        </w:rPr>
        <w:t>5785</w:t>
      </w:r>
      <w:r>
        <w:rPr>
          <w:rFonts w:hint="eastAsia" w:ascii="仿宋_GB2312" w:hAnsi="仿宋_GB2312" w:eastAsia="仿宋_GB2312" w:cs="仿宋_GB2312"/>
          <w:color w:val="auto"/>
          <w:sz w:val="32"/>
          <w:szCs w:val="32"/>
          <w:highlight w:val="none"/>
        </w:rPr>
        <w:t>万元，主要用于完善城乡义务教育经费保障机制、改善薄弱地区基础教育办学条件，推动教育资源均衡配置。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rPr>
        <w:t>其他一般性转移支付</w:t>
      </w:r>
      <w:r>
        <w:rPr>
          <w:rFonts w:hint="eastAsia" w:ascii="仿宋_GB2312" w:hAnsi="仿宋_GB2312" w:eastAsia="仿宋_GB2312" w:cs="仿宋_GB2312"/>
          <w:color w:val="auto"/>
          <w:sz w:val="32"/>
          <w:szCs w:val="32"/>
          <w:highlight w:val="none"/>
          <w:lang w:val="en-US" w:eastAsia="zh-CN"/>
        </w:rPr>
        <w:t>98370</w:t>
      </w:r>
      <w:r>
        <w:rPr>
          <w:rFonts w:hint="eastAsia" w:ascii="仿宋_GB2312" w:hAnsi="仿宋_GB2312" w:eastAsia="仿宋_GB2312" w:cs="仿宋_GB2312"/>
          <w:color w:val="auto"/>
          <w:sz w:val="32"/>
          <w:szCs w:val="32"/>
          <w:highlight w:val="none"/>
        </w:rPr>
        <w:t>万元，主要包括公共安全、节能环保、交通运输等共同财政事权转移支付以及企事业单位划转补助等，重点用于公共安全、节能环保、交通运输等公共服务和社会管理领域，增强基本公共服务保障能力。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20</w:t>
      </w:r>
      <w:r>
        <w:rPr>
          <w:rFonts w:hint="eastAsia" w:ascii="黑体" w:hAnsi="黑体" w:eastAsia="黑体" w:cs="黑体"/>
          <w:sz w:val="32"/>
          <w:szCs w:val="32"/>
          <w:highlight w:val="none"/>
          <w:lang w:val="en-US" w:eastAsia="zh-CN"/>
        </w:rPr>
        <w:t>22</w:t>
      </w:r>
      <w:r>
        <w:rPr>
          <w:rFonts w:hint="eastAsia" w:ascii="黑体" w:hAnsi="黑体" w:eastAsia="黑体" w:cs="黑体"/>
          <w:sz w:val="32"/>
          <w:szCs w:val="32"/>
          <w:highlight w:val="none"/>
        </w:rPr>
        <w:t>年专项转移支付执行数为</w:t>
      </w:r>
      <w:r>
        <w:rPr>
          <w:rFonts w:hint="eastAsia" w:ascii="黑体" w:hAnsi="黑体" w:eastAsia="黑体" w:cs="黑体"/>
          <w:sz w:val="32"/>
          <w:szCs w:val="32"/>
          <w:highlight w:val="none"/>
          <w:lang w:val="en-US" w:eastAsia="zh-CN"/>
        </w:rPr>
        <w:t>24936</w:t>
      </w:r>
      <w:r>
        <w:rPr>
          <w:rFonts w:hint="eastAsia" w:ascii="黑体" w:hAnsi="黑体" w:eastAsia="黑体" w:cs="黑体"/>
          <w:sz w:val="32"/>
          <w:szCs w:val="32"/>
          <w:highlight w:val="none"/>
        </w:rPr>
        <w:t>万元</w:t>
      </w:r>
      <w:r>
        <w:rPr>
          <w:rFonts w:hint="eastAsia" w:ascii="黑体" w:hAnsi="黑体" w:eastAsia="黑体" w:cs="黑体"/>
          <w:sz w:val="32"/>
          <w:szCs w:val="32"/>
          <w:lang w:val="en-US" w:eastAsia="zh-CN"/>
        </w:rPr>
        <w:t>(</w:t>
      </w:r>
      <w:r>
        <w:rPr>
          <w:rFonts w:hint="eastAsia" w:ascii="黑体" w:hAnsi="黑体" w:eastAsia="黑体" w:cs="黑体"/>
          <w:sz w:val="32"/>
          <w:szCs w:val="32"/>
        </w:rPr>
        <w:t>因体制原因，我区对乡镇按照部门进行管理，因此没有</w:t>
      </w:r>
      <w:r>
        <w:rPr>
          <w:rFonts w:hint="eastAsia" w:ascii="黑体" w:hAnsi="黑体" w:eastAsia="黑体" w:cs="黑体"/>
          <w:sz w:val="32"/>
          <w:szCs w:val="32"/>
          <w:lang w:eastAsia="zh-CN"/>
        </w:rPr>
        <w:t>对乡镇</w:t>
      </w:r>
      <w:r>
        <w:rPr>
          <w:rFonts w:hint="eastAsia" w:ascii="黑体" w:hAnsi="黑体" w:eastAsia="黑体" w:cs="黑体"/>
          <w:sz w:val="32"/>
          <w:szCs w:val="32"/>
        </w:rPr>
        <w:t>转移支付</w:t>
      </w:r>
      <w:r>
        <w:rPr>
          <w:rFonts w:hint="eastAsia" w:ascii="黑体" w:hAnsi="黑体" w:eastAsia="黑体" w:cs="黑体"/>
          <w:sz w:val="32"/>
          <w:szCs w:val="32"/>
          <w:lang w:eastAsia="zh-CN"/>
        </w:rPr>
        <w:t>情况</w:t>
      </w:r>
      <w:r>
        <w:rPr>
          <w:rFonts w:hint="eastAsia" w:ascii="黑体" w:hAnsi="黑体" w:eastAsia="黑体" w:cs="黑体"/>
          <w:sz w:val="32"/>
          <w:szCs w:val="32"/>
          <w:lang w:val="en-US" w:eastAsia="zh-CN"/>
        </w:rPr>
        <w:t>)</w:t>
      </w:r>
      <w:r>
        <w:rPr>
          <w:rFonts w:hint="eastAsia" w:ascii="黑体" w:hAnsi="黑体" w:eastAsia="黑体" w:cs="黑体"/>
          <w:sz w:val="32"/>
          <w:szCs w:val="32"/>
          <w:highlight w:val="none"/>
        </w:rPr>
        <w:t>，其中：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（一）节能环保方面7178万元。主要用于支持环境污染防治、节能减排和清洁取暖等相关方面支出。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农林水方面</w:t>
      </w:r>
      <w:r>
        <w:rPr>
          <w:rFonts w:hint="eastAsia" w:ascii="仿宋_GB2312" w:hAnsi="仿宋_GB2312" w:eastAsia="仿宋_GB2312" w:cs="仿宋_GB2312"/>
          <w:sz w:val="32"/>
          <w:szCs w:val="32"/>
          <w:highlight w:val="none"/>
          <w:lang w:val="en-US" w:eastAsia="zh-CN"/>
        </w:rPr>
        <w:t>1968</w:t>
      </w:r>
      <w:r>
        <w:rPr>
          <w:rFonts w:hint="eastAsia" w:ascii="仿宋_GB2312" w:hAnsi="仿宋_GB2312" w:eastAsia="仿宋_GB2312" w:cs="仿宋_GB2312"/>
          <w:sz w:val="32"/>
          <w:szCs w:val="32"/>
          <w:highlight w:val="none"/>
        </w:rPr>
        <w:t>万元，主要用于支持农业科技和现代农业生产发展、重大动植物病虫害防治、耕地质量提升、植树造林和森林资源保护管理、水利发展等方面支出。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sz w:val="32"/>
          <w:szCs w:val="32"/>
          <w:highlight w:val="none"/>
        </w:rPr>
        <w:t>资源勘探信息等方面</w:t>
      </w:r>
      <w:r>
        <w:rPr>
          <w:rFonts w:hint="eastAsia" w:ascii="仿宋_GB2312" w:hAnsi="仿宋_GB2312" w:eastAsia="仿宋_GB2312" w:cs="仿宋_GB2312"/>
          <w:sz w:val="32"/>
          <w:szCs w:val="32"/>
          <w:highlight w:val="none"/>
          <w:lang w:val="en-US" w:eastAsia="zh-CN"/>
        </w:rPr>
        <w:t>2703</w:t>
      </w:r>
      <w:r>
        <w:rPr>
          <w:rFonts w:hint="eastAsia" w:ascii="仿宋_GB2312" w:hAnsi="仿宋_GB2312" w:eastAsia="仿宋_GB2312" w:cs="仿宋_GB2312"/>
          <w:sz w:val="32"/>
          <w:szCs w:val="32"/>
          <w:highlight w:val="none"/>
        </w:rPr>
        <w:t>万元，主要用于支持工业提质增效和军民融合发展、安全生产、中小企业创业补助及创新奖励等方面支出。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sz w:val="32"/>
          <w:szCs w:val="32"/>
          <w:highlight w:val="none"/>
        </w:rPr>
        <w:t>住房保障方面</w:t>
      </w:r>
      <w:r>
        <w:rPr>
          <w:rFonts w:hint="eastAsia" w:ascii="仿宋_GB2312" w:hAnsi="仿宋_GB2312" w:eastAsia="仿宋_GB2312" w:cs="仿宋_GB2312"/>
          <w:sz w:val="32"/>
          <w:szCs w:val="32"/>
          <w:highlight w:val="none"/>
          <w:lang w:val="en-US" w:eastAsia="zh-CN"/>
        </w:rPr>
        <w:t>6974万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主要用于支持城镇保障性安居工程、农村危房改造等方面支出。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小标宋简体" w:hAnsi="方正小标宋简体" w:eastAsia="方正小标宋简体" w:cs="方正小标宋简体"/>
          <w:sz w:val="44"/>
          <w:szCs w:val="44"/>
          <w:highlight w:val="none"/>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其他方面</w:t>
      </w:r>
      <w:r>
        <w:rPr>
          <w:rFonts w:hint="eastAsia" w:ascii="仿宋_GB2312" w:hAnsi="仿宋_GB2312" w:eastAsia="仿宋_GB2312" w:cs="仿宋_GB2312"/>
          <w:sz w:val="32"/>
          <w:szCs w:val="32"/>
          <w:highlight w:val="none"/>
          <w:lang w:val="en-US" w:eastAsia="zh-CN"/>
        </w:rPr>
        <w:t>6113万元，主要用于支持文化旅游体育与传媒、社会保障等项目建设等方面支出。</w:t>
      </w: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rPr>
          <w:rFonts w:hint="eastAsia" w:ascii="方正小标宋简体" w:hAnsi="方正小标宋简体" w:eastAsia="方正小标宋简体" w:cs="方正小标宋简体"/>
          <w:sz w:val="44"/>
          <w:szCs w:val="44"/>
          <w:highlight w:val="none"/>
        </w:rPr>
      </w:pPr>
    </w:p>
    <w:p>
      <w:pPr>
        <w:pStyle w:val="54"/>
        <w:ind w:left="0" w:leftChars="0" w:firstLine="0" w:firstLineChars="0"/>
        <w:rPr>
          <w:rFonts w:hint="eastAsia" w:ascii="方正小标宋简体" w:hAnsi="方正小标宋简体" w:eastAsia="方正小标宋简体" w:cs="方正小标宋简体"/>
          <w:sz w:val="44"/>
          <w:szCs w:val="44"/>
          <w:highlight w:val="none"/>
        </w:rPr>
      </w:pPr>
    </w:p>
    <w:p>
      <w:pPr>
        <w:pStyle w:val="54"/>
        <w:ind w:left="0" w:leftChars="0" w:firstLine="0" w:firstLineChars="0"/>
        <w:rPr>
          <w:rFonts w:hint="eastAsia" w:ascii="方正小标宋简体" w:hAnsi="方正小标宋简体" w:eastAsia="方正小标宋简体" w:cs="方正小标宋简体"/>
          <w:sz w:val="44"/>
          <w:szCs w:val="44"/>
          <w:highlight w:val="none"/>
        </w:rPr>
      </w:pP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w:t>
      </w:r>
      <w:r>
        <w:rPr>
          <w:rFonts w:hint="eastAsia" w:ascii="方正小标宋简体" w:hAnsi="方正小标宋简体" w:eastAsia="方正小标宋简体" w:cs="方正小标宋简体"/>
          <w:sz w:val="44"/>
          <w:szCs w:val="44"/>
          <w:highlight w:val="none"/>
          <w:lang w:val="en-US" w:eastAsia="zh-CN"/>
        </w:rPr>
        <w:t>22</w:t>
      </w:r>
      <w:r>
        <w:rPr>
          <w:rFonts w:hint="eastAsia" w:ascii="方正小标宋简体" w:hAnsi="方正小标宋简体" w:eastAsia="方正小标宋简体" w:cs="方正小标宋简体"/>
          <w:sz w:val="44"/>
          <w:szCs w:val="44"/>
          <w:highlight w:val="none"/>
        </w:rPr>
        <w:t>年政府性基金转移支付情况</w:t>
      </w: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安排的说明</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年，我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共收到省、市</w:t>
      </w:r>
      <w:r>
        <w:rPr>
          <w:rFonts w:hint="eastAsia" w:ascii="仿宋_GB2312" w:hAnsi="仿宋_GB2312" w:eastAsia="仿宋_GB2312" w:cs="仿宋_GB2312"/>
          <w:sz w:val="32"/>
          <w:szCs w:val="32"/>
          <w:highlight w:val="none"/>
          <w:lang w:eastAsia="zh-CN"/>
        </w:rPr>
        <w:t>两</w:t>
      </w:r>
      <w:r>
        <w:rPr>
          <w:rFonts w:hint="eastAsia" w:ascii="仿宋_GB2312" w:hAnsi="仿宋_GB2312" w:eastAsia="仿宋_GB2312" w:cs="仿宋_GB2312"/>
          <w:sz w:val="32"/>
          <w:szCs w:val="32"/>
          <w:highlight w:val="none"/>
        </w:rPr>
        <w:t>级转移支付补助资金</w:t>
      </w:r>
      <w:r>
        <w:rPr>
          <w:rFonts w:hint="eastAsia" w:ascii="仿宋_GB2312" w:hAnsi="仿宋_GB2312" w:eastAsia="仿宋_GB2312" w:cs="仿宋_GB2312"/>
          <w:sz w:val="32"/>
          <w:szCs w:val="32"/>
          <w:highlight w:val="none"/>
          <w:lang w:val="en-US" w:eastAsia="zh-CN"/>
        </w:rPr>
        <w:t>7686</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因体制原因，我区对乡镇按照部门进行管理，因此没有</w:t>
      </w:r>
      <w:r>
        <w:rPr>
          <w:rFonts w:hint="eastAsia" w:ascii="仿宋_GB2312" w:hAnsi="仿宋_GB2312" w:eastAsia="仿宋_GB2312" w:cs="仿宋_GB2312"/>
          <w:sz w:val="32"/>
          <w:szCs w:val="32"/>
          <w:highlight w:val="none"/>
          <w:lang w:eastAsia="zh-CN"/>
        </w:rPr>
        <w:t>对乡镇</w:t>
      </w:r>
      <w:r>
        <w:rPr>
          <w:rFonts w:hint="eastAsia" w:ascii="仿宋_GB2312" w:hAnsi="仿宋_GB2312" w:eastAsia="仿宋_GB2312" w:cs="仿宋_GB2312"/>
          <w:sz w:val="32"/>
          <w:szCs w:val="32"/>
          <w:highlight w:val="none"/>
        </w:rPr>
        <w:t>转移支付</w:t>
      </w:r>
      <w:r>
        <w:rPr>
          <w:rFonts w:hint="eastAsia" w:ascii="仿宋_GB2312" w:hAnsi="仿宋_GB2312" w:eastAsia="仿宋_GB2312" w:cs="仿宋_GB2312"/>
          <w:sz w:val="32"/>
          <w:szCs w:val="32"/>
          <w:highlight w:val="none"/>
          <w:lang w:eastAsia="zh-CN"/>
        </w:rPr>
        <w:t>情况</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，具体情况如下：</w:t>
      </w:r>
    </w:p>
    <w:p>
      <w:pPr>
        <w:numPr>
          <w:ilvl w:val="0"/>
          <w:numId w:val="4"/>
        </w:num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国有土地使用权出让</w:t>
      </w:r>
      <w:r>
        <w:rPr>
          <w:rFonts w:hint="eastAsia" w:ascii="仿宋_GB2312" w:hAnsi="仿宋_GB2312" w:eastAsia="仿宋_GB2312" w:cs="仿宋_GB2312"/>
          <w:color w:val="auto"/>
          <w:sz w:val="32"/>
          <w:szCs w:val="32"/>
          <w:highlight w:val="none"/>
          <w:lang w:val="en-US" w:eastAsia="zh-CN"/>
        </w:rPr>
        <w:t>2251</w:t>
      </w:r>
      <w:r>
        <w:rPr>
          <w:rFonts w:hint="eastAsia" w:ascii="仿宋_GB2312" w:hAnsi="仿宋_GB2312" w:eastAsia="仿宋_GB2312" w:cs="仿宋_GB2312"/>
          <w:color w:val="auto"/>
          <w:sz w:val="32"/>
          <w:szCs w:val="32"/>
          <w:highlight w:val="none"/>
        </w:rPr>
        <w:t>万元，主要用于征地和拆迁补偿、土地开发、城市建设及加快保障性安居工程建设等方面支出</w:t>
      </w:r>
      <w:r>
        <w:rPr>
          <w:rFonts w:hint="eastAsia" w:ascii="仿宋_GB2312" w:hAnsi="仿宋_GB2312" w:eastAsia="仿宋_GB2312" w:cs="仿宋_GB2312"/>
          <w:color w:val="auto"/>
          <w:sz w:val="32"/>
          <w:szCs w:val="32"/>
          <w:highlight w:val="none"/>
          <w:lang w:eastAsia="zh-CN"/>
        </w:rPr>
        <w:t>。</w:t>
      </w:r>
    </w:p>
    <w:p>
      <w:pPr>
        <w:numPr>
          <w:ilvl w:val="0"/>
          <w:numId w:val="0"/>
        </w:num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国家电影事业发展专项资金相关收入</w:t>
      </w:r>
      <w:r>
        <w:rPr>
          <w:rFonts w:hint="eastAsia" w:ascii="仿宋_GB2312" w:hAnsi="仿宋_GB2312" w:eastAsia="仿宋_GB2312" w:cs="仿宋_GB2312"/>
          <w:color w:val="auto"/>
          <w:sz w:val="32"/>
          <w:szCs w:val="32"/>
          <w:highlight w:val="none"/>
          <w:lang w:val="en-US" w:eastAsia="zh-CN"/>
        </w:rPr>
        <w:t>279</w:t>
      </w:r>
      <w:r>
        <w:rPr>
          <w:rFonts w:hint="eastAsia" w:ascii="仿宋_GB2312" w:hAnsi="仿宋_GB2312" w:eastAsia="仿宋_GB2312" w:cs="仿宋_GB2312"/>
          <w:color w:val="auto"/>
          <w:sz w:val="32"/>
          <w:szCs w:val="32"/>
          <w:highlight w:val="none"/>
        </w:rPr>
        <w:t>万元，主要用于支持影院建设和设备更新改造、重点制片基地建设发展等方面支出</w:t>
      </w:r>
      <w:r>
        <w:rPr>
          <w:rFonts w:hint="eastAsia" w:ascii="仿宋_GB2312" w:hAnsi="仿宋_GB2312" w:eastAsia="仿宋_GB2312" w:cs="仿宋_GB2312"/>
          <w:color w:val="auto"/>
          <w:sz w:val="32"/>
          <w:szCs w:val="32"/>
          <w:highlight w:val="none"/>
          <w:lang w:eastAsia="zh-CN"/>
        </w:rPr>
        <w:t>。</w:t>
      </w:r>
    </w:p>
    <w:p>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三、大中型水库移民后期扶持基金收入2113万元，主要用于解决水库移民安置后生产生活问题，促进库区和移民安置区经济社会发展等方面支出。</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rPr>
        <w:t>彩票公益金收入</w:t>
      </w:r>
      <w:r>
        <w:rPr>
          <w:rFonts w:hint="eastAsia" w:ascii="仿宋_GB2312" w:hAnsi="仿宋_GB2312" w:eastAsia="仿宋_GB2312" w:cs="仿宋_GB2312"/>
          <w:color w:val="auto"/>
          <w:sz w:val="32"/>
          <w:szCs w:val="32"/>
          <w:highlight w:val="none"/>
          <w:lang w:val="en-US" w:eastAsia="zh-CN"/>
        </w:rPr>
        <w:t>2933</w:t>
      </w:r>
      <w:r>
        <w:rPr>
          <w:rFonts w:hint="eastAsia" w:ascii="仿宋_GB2312" w:hAnsi="仿宋_GB2312" w:eastAsia="仿宋_GB2312" w:cs="仿宋_GB2312"/>
          <w:color w:val="auto"/>
          <w:sz w:val="32"/>
          <w:szCs w:val="32"/>
          <w:highlight w:val="none"/>
        </w:rPr>
        <w:t>万元，主要用于支持市县养老、扶贫、体育、教育、残疾人、城乡医疗救助等社会公益事业发展，对彩票发行销售机构业务开展给予补助。</w:t>
      </w:r>
    </w:p>
    <w:p>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重大水利工程建设基金收入</w:t>
      </w:r>
      <w:r>
        <w:rPr>
          <w:rFonts w:hint="eastAsia" w:ascii="仿宋_GB2312" w:hAnsi="仿宋_GB2312" w:eastAsia="仿宋_GB2312" w:cs="仿宋_GB2312"/>
          <w:color w:val="auto"/>
          <w:sz w:val="32"/>
          <w:szCs w:val="32"/>
          <w:highlight w:val="none"/>
          <w:lang w:val="en-US" w:eastAsia="zh-CN"/>
        </w:rPr>
        <w:t>110</w:t>
      </w:r>
      <w:r>
        <w:rPr>
          <w:rFonts w:hint="eastAsia" w:ascii="仿宋_GB2312" w:hAnsi="仿宋_GB2312" w:eastAsia="仿宋_GB2312" w:cs="仿宋_GB2312"/>
          <w:color w:val="auto"/>
          <w:sz w:val="32"/>
          <w:szCs w:val="32"/>
          <w:highlight w:val="none"/>
        </w:rPr>
        <w:t>万元，主要用于</w:t>
      </w:r>
      <w:r>
        <w:rPr>
          <w:rFonts w:hint="eastAsia" w:ascii="仿宋_GB2312" w:hAnsi="仿宋_GB2312" w:eastAsia="仿宋_GB2312" w:cs="仿宋_GB2312"/>
          <w:color w:val="auto"/>
          <w:sz w:val="32"/>
          <w:szCs w:val="32"/>
          <w:highlight w:val="none"/>
          <w:lang w:eastAsia="zh-CN"/>
        </w:rPr>
        <w:t>重点水利工程</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eastAsia="zh-CN"/>
        </w:rPr>
        <w:t>领域。</w:t>
      </w:r>
    </w:p>
    <w:p>
      <w:pPr>
        <w:rPr>
          <w:rFonts w:hint="eastAsia"/>
          <w:lang w:val="en-US" w:eastAsia="zh-CN"/>
        </w:rPr>
      </w:pPr>
    </w:p>
    <w:p>
      <w:pPr>
        <w:pStyle w:val="2"/>
        <w:rPr>
          <w:rFonts w:hint="eastAsia"/>
          <w:lang w:val="en-US" w:eastAsia="zh-CN"/>
        </w:rPr>
      </w:pPr>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附件3</w:t>
      </w:r>
    </w:p>
    <w:p>
      <w:pPr>
        <w:jc w:val="both"/>
        <w:rPr>
          <w:rFonts w:hint="eastAsia" w:ascii="仿宋_GB2312" w:hAnsi="仿宋_GB2312" w:eastAsia="仿宋_GB2312" w:cs="仿宋_GB2312"/>
          <w:b/>
          <w:bCs/>
          <w:sz w:val="24"/>
          <w:szCs w:val="24"/>
          <w:highlight w:val="none"/>
          <w:lang w:val="en-US" w:eastAsia="zh-CN"/>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2</w:t>
      </w:r>
      <w:r>
        <w:rPr>
          <w:rFonts w:hint="eastAsia" w:ascii="方正小标宋简体" w:hAnsi="方正小标宋简体" w:eastAsia="方正小标宋简体" w:cs="方正小标宋简体"/>
          <w:sz w:val="44"/>
          <w:szCs w:val="44"/>
        </w:rPr>
        <w:t>年文登区政府债务决算的说明</w:t>
      </w:r>
    </w:p>
    <w:p>
      <w:pPr>
        <w:pStyle w:val="25"/>
        <w:adjustRightInd/>
        <w:spacing w:line="560" w:lineRule="exact"/>
        <w:ind w:firstLine="640" w:firstLineChars="200"/>
        <w:jc w:val="left"/>
        <w:rPr>
          <w:rFonts w:hint="eastAsia" w:ascii="黑体" w:hAnsi="黑体" w:eastAsia="黑体" w:cs="黑体"/>
          <w:szCs w:val="32"/>
        </w:rPr>
      </w:pPr>
      <w:r>
        <w:rPr>
          <w:rFonts w:hint="eastAsia" w:ascii="黑体" w:hAnsi="黑体" w:eastAsia="黑体" w:cs="黑体"/>
          <w:szCs w:val="32"/>
        </w:rPr>
        <w:t>一、202</w:t>
      </w:r>
      <w:r>
        <w:rPr>
          <w:rFonts w:hint="eastAsia" w:ascii="黑体" w:hAnsi="黑体" w:eastAsia="黑体" w:cs="黑体"/>
          <w:szCs w:val="32"/>
          <w:lang w:val="en-US" w:eastAsia="zh-CN"/>
        </w:rPr>
        <w:t>2</w:t>
      </w:r>
      <w:r>
        <w:rPr>
          <w:rFonts w:hint="eastAsia" w:ascii="黑体" w:hAnsi="黑体" w:eastAsia="黑体" w:cs="黑体"/>
          <w:szCs w:val="32"/>
        </w:rPr>
        <w:t xml:space="preserve">年文登区地方政府债务限额情况 </w:t>
      </w:r>
    </w:p>
    <w:p>
      <w:pPr>
        <w:pStyle w:val="25"/>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经国务院批准，财政厅核定我区202</w:t>
      </w:r>
      <w:r>
        <w:rPr>
          <w:rFonts w:hint="eastAsia" w:ascii="仿宋_GB2312" w:hAnsi="仿宋_GB2312" w:cs="仿宋_GB2312"/>
          <w:szCs w:val="32"/>
          <w:lang w:val="en-US" w:eastAsia="zh-CN"/>
        </w:rPr>
        <w:t>2</w:t>
      </w:r>
      <w:r>
        <w:rPr>
          <w:rFonts w:hint="eastAsia" w:ascii="仿宋_GB2312" w:hAnsi="仿宋_GB2312" w:cs="仿宋_GB2312"/>
          <w:szCs w:val="32"/>
        </w:rPr>
        <w:t>年地方政府债务限额</w:t>
      </w:r>
      <w:r>
        <w:rPr>
          <w:rFonts w:hint="eastAsia" w:ascii="仿宋_GB2312" w:hAnsi="仿宋_GB2312" w:cs="仿宋_GB2312"/>
          <w:szCs w:val="32"/>
          <w:lang w:val="en-US" w:eastAsia="zh-CN"/>
        </w:rPr>
        <w:t>206.39</w:t>
      </w:r>
      <w:r>
        <w:rPr>
          <w:rFonts w:hint="eastAsia" w:ascii="仿宋_GB2312" w:hAnsi="仿宋_GB2312" w:cs="仿宋_GB2312"/>
          <w:szCs w:val="32"/>
        </w:rPr>
        <w:t>亿元。其中新增债务限额</w:t>
      </w:r>
      <w:r>
        <w:rPr>
          <w:rFonts w:hint="eastAsia" w:ascii="仿宋_GB2312" w:hAnsi="仿宋_GB2312" w:cs="仿宋_GB2312"/>
          <w:szCs w:val="32"/>
          <w:lang w:val="en-US" w:eastAsia="zh-CN"/>
        </w:rPr>
        <w:t>19.3</w:t>
      </w:r>
      <w:r>
        <w:rPr>
          <w:rFonts w:hint="eastAsia" w:ascii="仿宋_GB2312" w:hAnsi="仿宋_GB2312" w:cs="仿宋_GB2312"/>
          <w:szCs w:val="32"/>
        </w:rPr>
        <w:t>亿元。</w:t>
      </w:r>
    </w:p>
    <w:p>
      <w:pPr>
        <w:pStyle w:val="25"/>
        <w:adjustRightInd/>
        <w:spacing w:line="560" w:lineRule="exact"/>
        <w:ind w:firstLine="640" w:firstLineChars="200"/>
        <w:jc w:val="left"/>
        <w:rPr>
          <w:rFonts w:hint="eastAsia" w:ascii="仿宋_GB2312" w:hAnsi="仿宋_GB2312" w:cs="仿宋_GB2312"/>
          <w:szCs w:val="32"/>
        </w:rPr>
      </w:pPr>
      <w:r>
        <w:rPr>
          <w:rFonts w:hint="eastAsia" w:ascii="黑体" w:hAnsi="黑体" w:eastAsia="黑体" w:cs="黑体"/>
          <w:szCs w:val="32"/>
        </w:rPr>
        <w:t xml:space="preserve"> 二、202</w:t>
      </w:r>
      <w:r>
        <w:rPr>
          <w:rFonts w:hint="eastAsia" w:ascii="黑体" w:hAnsi="黑体" w:eastAsia="黑体" w:cs="黑体"/>
          <w:szCs w:val="32"/>
          <w:lang w:val="en-US" w:eastAsia="zh-CN"/>
        </w:rPr>
        <w:t>2</w:t>
      </w:r>
      <w:r>
        <w:rPr>
          <w:rFonts w:hint="eastAsia" w:ascii="黑体" w:hAnsi="黑体" w:eastAsia="黑体" w:cs="黑体"/>
          <w:szCs w:val="32"/>
        </w:rPr>
        <w:t>年文登区地方政府债务举借情况</w:t>
      </w:r>
      <w:r>
        <w:rPr>
          <w:rFonts w:hint="eastAsia" w:ascii="仿宋_GB2312" w:hAnsi="仿宋_GB2312" w:cs="仿宋_GB2312"/>
          <w:szCs w:val="32"/>
        </w:rPr>
        <w:t xml:space="preserve"> </w:t>
      </w:r>
    </w:p>
    <w:p>
      <w:pPr>
        <w:pStyle w:val="25"/>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202</w:t>
      </w:r>
      <w:r>
        <w:rPr>
          <w:rFonts w:hint="eastAsia" w:ascii="仿宋_GB2312" w:hAnsi="仿宋_GB2312" w:cs="仿宋_GB2312"/>
          <w:szCs w:val="32"/>
          <w:lang w:val="en-US" w:eastAsia="zh-CN"/>
        </w:rPr>
        <w:t>2</w:t>
      </w:r>
      <w:r>
        <w:rPr>
          <w:rFonts w:hint="eastAsia" w:ascii="仿宋_GB2312" w:hAnsi="仿宋_GB2312" w:cs="仿宋_GB2312"/>
          <w:szCs w:val="32"/>
        </w:rPr>
        <w:t>年文登区共发行政府债券</w:t>
      </w:r>
      <w:r>
        <w:rPr>
          <w:rFonts w:hint="eastAsia" w:ascii="仿宋_GB2312" w:hAnsi="仿宋_GB2312" w:cs="仿宋_GB2312"/>
          <w:szCs w:val="32"/>
          <w:lang w:val="en-US" w:eastAsia="zh-CN"/>
        </w:rPr>
        <w:t>38.46</w:t>
      </w:r>
      <w:r>
        <w:rPr>
          <w:rFonts w:hint="eastAsia" w:ascii="仿宋_GB2312" w:hAnsi="仿宋_GB2312" w:cs="仿宋_GB2312"/>
          <w:szCs w:val="32"/>
        </w:rPr>
        <w:t>亿元，其中：新增债券</w:t>
      </w:r>
      <w:r>
        <w:rPr>
          <w:rFonts w:hint="eastAsia" w:ascii="仿宋_GB2312" w:hAnsi="仿宋_GB2312" w:cs="仿宋_GB2312"/>
          <w:szCs w:val="32"/>
          <w:lang w:val="en-US" w:eastAsia="zh-CN"/>
        </w:rPr>
        <w:t>19.3</w:t>
      </w:r>
      <w:r>
        <w:rPr>
          <w:rFonts w:hint="eastAsia" w:ascii="仿宋_GB2312" w:hAnsi="仿宋_GB2312" w:cs="仿宋_GB2312"/>
          <w:szCs w:val="32"/>
        </w:rPr>
        <w:t>亿元，再融资债券</w:t>
      </w:r>
      <w:r>
        <w:rPr>
          <w:rFonts w:hint="eastAsia" w:ascii="仿宋_GB2312" w:hAnsi="仿宋_GB2312" w:cs="仿宋_GB2312"/>
          <w:szCs w:val="32"/>
          <w:lang w:val="en-US" w:eastAsia="zh-CN"/>
        </w:rPr>
        <w:t>19.16</w:t>
      </w:r>
      <w:r>
        <w:rPr>
          <w:rFonts w:hint="eastAsia" w:ascii="仿宋_GB2312" w:hAnsi="仿宋_GB2312" w:cs="仿宋_GB2312"/>
          <w:szCs w:val="32"/>
        </w:rPr>
        <w:t>亿元（用于偿还到期政府债券，不增加政府债务余额）。截至202</w:t>
      </w:r>
      <w:r>
        <w:rPr>
          <w:rFonts w:hint="eastAsia" w:ascii="仿宋_GB2312" w:hAnsi="仿宋_GB2312" w:cs="仿宋_GB2312"/>
          <w:szCs w:val="32"/>
          <w:lang w:val="en-US" w:eastAsia="zh-CN"/>
        </w:rPr>
        <w:t>2</w:t>
      </w:r>
      <w:r>
        <w:rPr>
          <w:rFonts w:hint="eastAsia" w:ascii="仿宋_GB2312" w:hAnsi="仿宋_GB2312" w:cs="仿宋_GB2312"/>
          <w:szCs w:val="32"/>
        </w:rPr>
        <w:t>年底，全区政府债务余额</w:t>
      </w:r>
      <w:r>
        <w:rPr>
          <w:rFonts w:hint="eastAsia" w:ascii="仿宋_GB2312" w:hAnsi="仿宋_GB2312" w:cs="仿宋_GB2312"/>
          <w:szCs w:val="32"/>
          <w:lang w:val="en-US" w:eastAsia="zh-CN"/>
        </w:rPr>
        <w:t>202.98</w:t>
      </w:r>
      <w:r>
        <w:rPr>
          <w:rFonts w:hint="eastAsia" w:ascii="仿宋_GB2312" w:hAnsi="仿宋_GB2312" w:cs="仿宋_GB2312"/>
          <w:szCs w:val="32"/>
        </w:rPr>
        <w:t>亿元，严格控制在财政部核定限额之内。</w:t>
      </w:r>
    </w:p>
    <w:p>
      <w:pPr>
        <w:pStyle w:val="25"/>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按照《国务院关于加强地方政府性债务管理的意见》（国发〔2014〕43号）、《财政部关于对地方政府债务实行限额管理的实施意见》（财预〔2015〕225号）和《财政部关于印发&lt;地方政府债务信息公开办法（试行）&gt;的通知》（财预〔2018〕209号）等规定，2018年历次发行政府债券举借政府债务的相关信息，均已按规定向社会公开。</w:t>
      </w:r>
    </w:p>
    <w:p>
      <w:pPr>
        <w:spacing w:line="560" w:lineRule="exact"/>
        <w:ind w:firstLine="640" w:firstLineChars="200"/>
        <w:jc w:val="left"/>
        <w:rPr>
          <w:rFonts w:hint="eastAsia" w:ascii="Times New Roman" w:hAnsi="Times New Roman" w:eastAsia="黑体" w:cs="Times New Roman"/>
        </w:rPr>
      </w:pPr>
      <w:r>
        <w:rPr>
          <w:rFonts w:hint="eastAsia" w:ascii="Times New Roman" w:hAnsi="Times New Roman" w:eastAsia="黑体" w:cs="Times New Roman"/>
        </w:rPr>
        <w:t>三、债券资金使用安排情况的说明</w:t>
      </w:r>
    </w:p>
    <w:p>
      <w:pPr>
        <w:spacing w:line="560" w:lineRule="exact"/>
        <w:ind w:firstLine="640" w:firstLineChars="200"/>
        <w:rPr>
          <w:rFonts w:ascii="仿宋_GB2312" w:hAnsi="仿宋_GB2312" w:eastAsia="仿宋_GB2312"/>
        </w:rPr>
      </w:pPr>
      <w:r>
        <w:rPr>
          <w:rFonts w:hint="eastAsia" w:ascii="仿宋_GB2312" w:hAnsi="仿宋_GB2312" w:eastAsia="仿宋_GB2312"/>
        </w:rPr>
        <w:t>将政府债务收支全面纳入预算管理，强化资金监管，提高债券资金效益。在新增债券资金使用方面，全部用于重点民生项目和在建公益性项目后续融资，其中农林水利建设支出5.89亿元、市政建设</w:t>
      </w:r>
      <w:r>
        <w:rPr>
          <w:rFonts w:hint="eastAsia" w:ascii="仿宋_GB2312" w:hAnsi="仿宋_GB2312" w:eastAsia="仿宋_GB2312"/>
          <w:lang w:val="en-US" w:eastAsia="zh-CN"/>
        </w:rPr>
        <w:t>6.6</w:t>
      </w:r>
      <w:r>
        <w:rPr>
          <w:rFonts w:hint="eastAsia" w:ascii="仿宋_GB2312" w:hAnsi="仿宋_GB2312" w:eastAsia="仿宋_GB2312"/>
        </w:rPr>
        <w:t>亿元、保障性住房</w:t>
      </w:r>
      <w:r>
        <w:rPr>
          <w:rFonts w:hint="eastAsia" w:ascii="仿宋_GB2312" w:hAnsi="仿宋_GB2312" w:eastAsia="仿宋_GB2312"/>
          <w:lang w:val="en-US" w:eastAsia="zh-CN"/>
        </w:rPr>
        <w:t>5.71</w:t>
      </w:r>
      <w:r>
        <w:rPr>
          <w:rFonts w:hint="eastAsia" w:ascii="仿宋_GB2312" w:hAnsi="仿宋_GB2312" w:eastAsia="仿宋_GB2312"/>
        </w:rPr>
        <w:t>亿元、教科文卫</w:t>
      </w:r>
      <w:r>
        <w:rPr>
          <w:rFonts w:hint="eastAsia" w:ascii="仿宋_GB2312" w:hAnsi="仿宋_GB2312" w:eastAsia="仿宋_GB2312"/>
          <w:lang w:val="en-US" w:eastAsia="zh-CN"/>
        </w:rPr>
        <w:t>1.1</w:t>
      </w:r>
      <w:r>
        <w:rPr>
          <w:rFonts w:hint="eastAsia" w:ascii="仿宋_GB2312" w:hAnsi="仿宋_GB2312" w:eastAsia="仿宋_GB2312"/>
        </w:rPr>
        <w:t>亿元。</w:t>
      </w:r>
    </w:p>
    <w:p/>
    <w:p>
      <w:pPr>
        <w:jc w:val="both"/>
        <w:rPr>
          <w:rFonts w:hint="eastAsia" w:ascii="仿宋_GB2312" w:hAnsi="仿宋_GB2312" w:eastAsia="仿宋_GB2312" w:cs="仿宋_GB2312"/>
          <w:b/>
          <w:bCs/>
          <w:sz w:val="24"/>
          <w:szCs w:val="24"/>
          <w:highlight w:val="none"/>
          <w:lang w:val="en-US" w:eastAsia="zh-CN"/>
        </w:rPr>
      </w:pPr>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附件4</w:t>
      </w:r>
    </w:p>
    <w:p>
      <w:pPr>
        <w:jc w:val="both"/>
        <w:rPr>
          <w:rFonts w:hint="eastAsia" w:ascii="仿宋_GB2312" w:hAnsi="仿宋_GB2312" w:eastAsia="仿宋_GB2312" w:cs="仿宋_GB2312"/>
          <w:b/>
          <w:bCs/>
          <w:sz w:val="24"/>
          <w:szCs w:val="24"/>
          <w:highlight w:val="none"/>
          <w:lang w:val="en-US" w:eastAsia="zh-CN"/>
        </w:rPr>
      </w:pPr>
    </w:p>
    <w:p>
      <w:pPr>
        <w:jc w:val="both"/>
        <w:rPr>
          <w:rFonts w:hint="eastAsia" w:ascii="仿宋_GB2312" w:hAnsi="仿宋_GB2312" w:eastAsia="仿宋_GB2312" w:cs="仿宋_GB2312"/>
          <w:sz w:val="32"/>
          <w:szCs w:val="32"/>
          <w:highlight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2022年三公经费分项数据及增减变化说明</w:t>
      </w:r>
    </w:p>
    <w:p>
      <w:pPr>
        <w:ind w:firstLine="640" w:firstLineChars="200"/>
        <w:jc w:val="both"/>
        <w:rPr>
          <w:rFonts w:hint="eastAsia" w:ascii="仿宋_GB2312" w:hAnsi="仿宋_GB2312" w:eastAsia="仿宋_GB2312"/>
        </w:rPr>
      </w:pPr>
      <w:r>
        <w:rPr>
          <w:rFonts w:hint="eastAsia" w:ascii="仿宋_GB2312" w:hAnsi="仿宋_GB2312" w:eastAsia="仿宋_GB2312"/>
        </w:rPr>
        <w:t>根据《预算法》以及现行相关规定，经</w:t>
      </w:r>
      <w:r>
        <w:rPr>
          <w:rFonts w:hint="eastAsia" w:ascii="仿宋_GB2312" w:hAnsi="仿宋_GB2312" w:eastAsia="仿宋_GB2312"/>
          <w:lang w:eastAsia="zh-CN"/>
        </w:rPr>
        <w:t>区财政局</w:t>
      </w:r>
      <w:r>
        <w:rPr>
          <w:rFonts w:hint="eastAsia" w:ascii="仿宋_GB2312" w:hAnsi="仿宋_GB2312" w:eastAsia="仿宋_GB2312"/>
        </w:rPr>
        <w:t>汇总，20</w:t>
      </w:r>
      <w:r>
        <w:rPr>
          <w:rFonts w:hint="eastAsia" w:ascii="仿宋_GB2312" w:hAnsi="仿宋_GB2312" w:eastAsia="仿宋_GB2312"/>
          <w:lang w:val="en-US" w:eastAsia="zh-CN"/>
        </w:rPr>
        <w:t>22</w:t>
      </w:r>
      <w:r>
        <w:rPr>
          <w:rFonts w:hint="eastAsia" w:ascii="仿宋_GB2312" w:hAnsi="仿宋_GB2312" w:eastAsia="仿宋_GB2312"/>
        </w:rPr>
        <w:t>年</w:t>
      </w:r>
      <w:r>
        <w:rPr>
          <w:rFonts w:hint="eastAsia" w:ascii="仿宋_GB2312" w:hAnsi="仿宋_GB2312" w:eastAsia="仿宋_GB2312"/>
          <w:lang w:eastAsia="zh-CN"/>
        </w:rPr>
        <w:t>区</w:t>
      </w:r>
      <w:r>
        <w:rPr>
          <w:rFonts w:hint="eastAsia" w:ascii="仿宋_GB2312" w:hAnsi="仿宋_GB2312" w:eastAsia="仿宋_GB2312"/>
        </w:rPr>
        <w:t>级决算部门，包括</w:t>
      </w:r>
      <w:r>
        <w:rPr>
          <w:rFonts w:hint="eastAsia" w:ascii="仿宋_GB2312" w:hAnsi="仿宋_GB2312" w:eastAsia="仿宋_GB2312"/>
          <w:lang w:eastAsia="zh-CN"/>
        </w:rPr>
        <w:t>区</w:t>
      </w:r>
      <w:r>
        <w:rPr>
          <w:rFonts w:hint="eastAsia" w:ascii="仿宋_GB2312" w:hAnsi="仿宋_GB2312" w:eastAsia="仿宋_GB2312"/>
        </w:rPr>
        <w:t>级行政单位、事业单位（含参照公务员法管理的事业单位）和其他单位使用当年一般公共预算财政拨款及以前年度结转资金安排的“三公”经费决算数为</w:t>
      </w:r>
      <w:r>
        <w:rPr>
          <w:rFonts w:hint="eastAsia" w:ascii="仿宋_GB2312" w:hAnsi="仿宋_GB2312" w:eastAsia="仿宋_GB2312"/>
          <w:lang w:val="en-US" w:eastAsia="zh-CN"/>
        </w:rPr>
        <w:t>804.39万</w:t>
      </w:r>
      <w:r>
        <w:rPr>
          <w:rFonts w:hint="eastAsia" w:ascii="仿宋_GB2312" w:hAnsi="仿宋_GB2312" w:eastAsia="仿宋_GB2312"/>
        </w:rPr>
        <w:t>元，比年初预算数减少</w:t>
      </w:r>
      <w:r>
        <w:rPr>
          <w:rFonts w:hint="eastAsia" w:ascii="仿宋_GB2312" w:hAnsi="仿宋_GB2312" w:eastAsia="仿宋_GB2312"/>
          <w:lang w:val="en-US" w:eastAsia="zh-CN"/>
        </w:rPr>
        <w:t>342.19万</w:t>
      </w:r>
      <w:r>
        <w:rPr>
          <w:rFonts w:hint="eastAsia" w:ascii="仿宋_GB2312" w:hAnsi="仿宋_GB2312" w:eastAsia="仿宋_GB2312"/>
        </w:rPr>
        <w:t>元，主要是</w:t>
      </w:r>
      <w:r>
        <w:rPr>
          <w:rFonts w:hint="eastAsia" w:ascii="仿宋_GB2312" w:hAnsi="仿宋_GB2312" w:eastAsia="仿宋_GB2312"/>
          <w:lang w:eastAsia="zh-CN"/>
        </w:rPr>
        <w:t>区</w:t>
      </w:r>
      <w:r>
        <w:rPr>
          <w:rFonts w:hint="eastAsia" w:ascii="仿宋_GB2312" w:hAnsi="仿宋_GB2312" w:eastAsia="仿宋_GB2312"/>
        </w:rPr>
        <w:t>级各部门贯彻落实中央八项规定精神，按照过紧日子和厉行勤俭节约的要求，从严控制“三公”经费支出。其中，因公出国（境）费</w:t>
      </w:r>
      <w:r>
        <w:rPr>
          <w:rFonts w:hint="eastAsia" w:ascii="仿宋_GB2312" w:hAnsi="仿宋_GB2312" w:eastAsia="仿宋_GB2312"/>
          <w:lang w:val="en-US" w:eastAsia="zh-CN"/>
        </w:rPr>
        <w:t>10.2万</w:t>
      </w:r>
      <w:r>
        <w:rPr>
          <w:rFonts w:hint="eastAsia" w:ascii="仿宋_GB2312" w:hAnsi="仿宋_GB2312" w:eastAsia="仿宋_GB2312"/>
        </w:rPr>
        <w:t>元，比年初预算数减少</w:t>
      </w:r>
      <w:r>
        <w:rPr>
          <w:rFonts w:hint="eastAsia" w:ascii="仿宋_GB2312" w:hAnsi="仿宋_GB2312" w:eastAsia="仿宋_GB2312"/>
          <w:lang w:val="en-US" w:eastAsia="zh-CN"/>
        </w:rPr>
        <w:t>112.99万</w:t>
      </w:r>
      <w:r>
        <w:rPr>
          <w:rFonts w:hint="eastAsia" w:ascii="仿宋_GB2312" w:hAnsi="仿宋_GB2312" w:eastAsia="仿宋_GB2312"/>
        </w:rPr>
        <w:t>元，主要是</w:t>
      </w:r>
      <w:r>
        <w:rPr>
          <w:rFonts w:hint="eastAsia" w:ascii="仿宋_GB2312" w:hAnsi="仿宋_GB2312" w:eastAsia="仿宋_GB2312"/>
          <w:lang w:eastAsia="zh-CN"/>
        </w:rPr>
        <w:t>区</w:t>
      </w:r>
      <w:r>
        <w:rPr>
          <w:rFonts w:hint="eastAsia" w:ascii="仿宋_GB2312" w:hAnsi="仿宋_GB2312" w:eastAsia="仿宋_GB2312"/>
        </w:rPr>
        <w:t>直有关部门因公出国（境）团组和人数减少；公务用车购置及运行维护费</w:t>
      </w:r>
      <w:r>
        <w:rPr>
          <w:rFonts w:hint="eastAsia" w:ascii="仿宋_GB2312" w:hAnsi="仿宋_GB2312" w:eastAsia="仿宋_GB2312"/>
          <w:lang w:val="en-US" w:eastAsia="zh-CN"/>
        </w:rPr>
        <w:t>650.46万</w:t>
      </w:r>
      <w:r>
        <w:rPr>
          <w:rFonts w:hint="eastAsia" w:ascii="仿宋_GB2312" w:hAnsi="仿宋_GB2312" w:eastAsia="仿宋_GB2312"/>
        </w:rPr>
        <w:t>元（其中公务用车运行维护费</w:t>
      </w:r>
      <w:r>
        <w:rPr>
          <w:rFonts w:hint="eastAsia" w:ascii="仿宋_GB2312" w:hAnsi="仿宋_GB2312" w:eastAsia="仿宋_GB2312"/>
          <w:lang w:val="en-US" w:eastAsia="zh-CN"/>
        </w:rPr>
        <w:t>650.46万</w:t>
      </w:r>
      <w:r>
        <w:rPr>
          <w:rFonts w:hint="eastAsia" w:ascii="仿宋_GB2312" w:hAnsi="仿宋_GB2312" w:eastAsia="仿宋_GB2312"/>
        </w:rPr>
        <w:t>元），比年初预算数减少</w:t>
      </w:r>
      <w:r>
        <w:rPr>
          <w:rFonts w:hint="eastAsia" w:ascii="仿宋_GB2312" w:hAnsi="仿宋_GB2312" w:eastAsia="仿宋_GB2312"/>
          <w:lang w:val="en-US" w:eastAsia="zh-CN"/>
        </w:rPr>
        <w:t>51.86万</w:t>
      </w:r>
      <w:r>
        <w:rPr>
          <w:rFonts w:hint="eastAsia" w:ascii="仿宋_GB2312" w:hAnsi="仿宋_GB2312" w:eastAsia="仿宋_GB2312"/>
        </w:rPr>
        <w:t>元，主要是各部门加强和规范公务用车配备使用管理，公务用车开支下降；公务接待费</w:t>
      </w:r>
      <w:r>
        <w:rPr>
          <w:rFonts w:hint="eastAsia" w:ascii="仿宋_GB2312" w:hAnsi="仿宋_GB2312" w:eastAsia="仿宋_GB2312"/>
          <w:lang w:val="en-US" w:eastAsia="zh-CN"/>
        </w:rPr>
        <w:t>143.73万</w:t>
      </w:r>
      <w:r>
        <w:rPr>
          <w:rFonts w:hint="eastAsia" w:ascii="仿宋_GB2312" w:hAnsi="仿宋_GB2312" w:eastAsia="仿宋_GB2312"/>
        </w:rPr>
        <w:t>元，比年初预算数减少</w:t>
      </w:r>
      <w:r>
        <w:rPr>
          <w:rFonts w:hint="eastAsia" w:ascii="仿宋_GB2312" w:hAnsi="仿宋_GB2312" w:eastAsia="仿宋_GB2312"/>
          <w:lang w:val="en-US" w:eastAsia="zh-CN"/>
        </w:rPr>
        <w:t>177.34万</w:t>
      </w:r>
      <w:r>
        <w:rPr>
          <w:rFonts w:hint="eastAsia" w:ascii="仿宋_GB2312" w:hAnsi="仿宋_GB2312" w:eastAsia="仿宋_GB2312"/>
        </w:rPr>
        <w:t xml:space="preserve">元，主要是各部门认真贯彻落实厉行节约有关规定，严控公务接待范围和开支标准，进一步压减相关支出。 </w:t>
      </w:r>
    </w:p>
    <w:p>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rPr>
        <w:t>——注释与说明： 1、因公出国（境）费反映单位公务</w:t>
      </w:r>
      <w:r>
        <w:rPr>
          <w:rFonts w:hint="eastAsia" w:ascii="仿宋_GB2312" w:hAnsi="仿宋_GB2312" w:eastAsia="仿宋_GB2312" w:cs="仿宋_GB2312"/>
          <w:sz w:val="32"/>
          <w:szCs w:val="32"/>
        </w:rPr>
        <w:t>出国（境）的国际旅费、国外城市间交通费、住宿费、伙食费、培训费、公杂费等支出。 2、</w:t>
      </w:r>
      <w:r>
        <w:rPr>
          <w:rFonts w:hint="eastAsia" w:ascii="仿宋_GB2312" w:hAnsi="仿宋_GB2312" w:eastAsia="仿宋_GB2312" w:cs="仿宋_GB2312"/>
          <w:sz w:val="32"/>
          <w:szCs w:val="32"/>
          <w:lang w:eastAsia="zh-CN"/>
        </w:rPr>
        <w:t>由于</w:t>
      </w:r>
      <w:r>
        <w:rPr>
          <w:rFonts w:hint="eastAsia" w:ascii="仿宋_GB2312" w:hAnsi="仿宋_GB2312" w:eastAsia="仿宋_GB2312" w:cs="仿宋_GB2312"/>
          <w:sz w:val="32"/>
          <w:szCs w:val="32"/>
        </w:rPr>
        <w:t>当前上级不允许</w:t>
      </w:r>
      <w:r>
        <w:rPr>
          <w:rFonts w:hint="eastAsia" w:ascii="仿宋_GB2312" w:hAnsi="仿宋_GB2312" w:eastAsia="仿宋_GB2312" w:cs="仿宋_GB2312"/>
          <w:sz w:val="32"/>
          <w:szCs w:val="32"/>
          <w:lang w:eastAsia="zh-CN"/>
        </w:rPr>
        <w:t>购置</w:t>
      </w:r>
      <w:r>
        <w:rPr>
          <w:rFonts w:hint="eastAsia" w:ascii="仿宋_GB2312" w:hAnsi="仿宋_GB2312" w:eastAsia="仿宋_GB2312" w:cs="仿宋_GB2312"/>
          <w:sz w:val="32"/>
          <w:szCs w:val="32"/>
        </w:rPr>
        <w:t>新车，所以</w:t>
      </w:r>
      <w:r>
        <w:rPr>
          <w:rFonts w:hint="eastAsia" w:ascii="仿宋_GB2312" w:hAnsi="仿宋_GB2312" w:eastAsia="仿宋_GB2312"/>
        </w:rPr>
        <w:t>公务用车购置及运行维护费</w:t>
      </w:r>
      <w:r>
        <w:rPr>
          <w:rFonts w:hint="eastAsia" w:ascii="仿宋_GB2312" w:hAnsi="仿宋_GB2312" w:eastAsia="仿宋_GB2312"/>
          <w:lang w:eastAsia="zh-CN"/>
        </w:rPr>
        <w:t>全部是</w:t>
      </w:r>
      <w:r>
        <w:rPr>
          <w:rFonts w:hint="eastAsia" w:ascii="仿宋_GB2312" w:hAnsi="仿宋_GB2312" w:eastAsia="仿宋_GB2312" w:cs="仿宋_GB2312"/>
          <w:sz w:val="32"/>
          <w:szCs w:val="32"/>
        </w:rPr>
        <w:t>公务用车运行维护费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shd w:val="clear"/>
        </w:rPr>
        <w:t>据统计，20</w:t>
      </w:r>
      <w:r>
        <w:rPr>
          <w:rFonts w:hint="eastAsia" w:ascii="仿宋_GB2312" w:hAnsi="仿宋_GB2312" w:eastAsia="仿宋_GB2312" w:cs="仿宋_GB2312"/>
          <w:sz w:val="32"/>
          <w:szCs w:val="32"/>
          <w:shd w:val="clear"/>
          <w:lang w:val="en-US" w:eastAsia="zh-CN"/>
        </w:rPr>
        <w:t>22</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本级使用一般公共预算财政拨款开支运行维护费的公务用车保有量为</w:t>
      </w:r>
      <w:r>
        <w:rPr>
          <w:rFonts w:hint="eastAsia" w:ascii="仿宋_GB2312" w:hAnsi="仿宋_GB2312" w:eastAsia="仿宋_GB2312" w:cs="仿宋_GB2312"/>
          <w:sz w:val="32"/>
          <w:szCs w:val="32"/>
          <w:shd w:val="clear"/>
          <w:lang w:val="en-US" w:eastAsia="zh-CN"/>
        </w:rPr>
        <w:t>441</w:t>
      </w:r>
      <w:r>
        <w:rPr>
          <w:rFonts w:hint="eastAsia" w:ascii="仿宋_GB2312" w:hAnsi="仿宋_GB2312" w:eastAsia="仿宋_GB2312" w:cs="仿宋_GB2312"/>
          <w:sz w:val="32"/>
          <w:szCs w:val="32"/>
          <w:shd w:val="clear"/>
        </w:rPr>
        <w:t>辆。</w:t>
      </w:r>
      <w:r>
        <w:rPr>
          <w:rFonts w:hint="eastAsia" w:ascii="仿宋_GB2312" w:hAnsi="仿宋_GB2312" w:eastAsia="仿宋_GB2312" w:cs="仿宋_GB2312"/>
          <w:sz w:val="32"/>
          <w:szCs w:val="32"/>
        </w:rPr>
        <w:t xml:space="preserve"> 3、公务接待费反映单位按规定开支的各类公务接待（含外宾接待）支出。据统</w:t>
      </w:r>
      <w:r>
        <w:rPr>
          <w:rFonts w:hint="eastAsia" w:ascii="仿宋_GB2312" w:hAnsi="仿宋_GB2312" w:eastAsia="仿宋_GB2312" w:cs="仿宋_GB2312"/>
          <w:sz w:val="32"/>
          <w:szCs w:val="32"/>
          <w:shd w:val="clear"/>
        </w:rPr>
        <w:t>计，20</w:t>
      </w:r>
      <w:r>
        <w:rPr>
          <w:rFonts w:hint="eastAsia" w:ascii="仿宋_GB2312" w:hAnsi="仿宋_GB2312" w:eastAsia="仿宋_GB2312" w:cs="仿宋_GB2312"/>
          <w:sz w:val="32"/>
          <w:szCs w:val="32"/>
          <w:shd w:val="clear"/>
          <w:lang w:val="en-US" w:eastAsia="zh-CN"/>
        </w:rPr>
        <w:t>22</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本级公务接待批次与累计人次分别为</w:t>
      </w:r>
      <w:r>
        <w:rPr>
          <w:rFonts w:hint="eastAsia" w:ascii="仿宋_GB2312" w:hAnsi="仿宋_GB2312" w:eastAsia="仿宋_GB2312" w:cs="仿宋_GB2312"/>
          <w:sz w:val="32"/>
          <w:szCs w:val="32"/>
          <w:shd w:val="clear"/>
          <w:lang w:val="en-US" w:eastAsia="zh-CN"/>
        </w:rPr>
        <w:t>867</w:t>
      </w:r>
      <w:r>
        <w:rPr>
          <w:rFonts w:hint="eastAsia" w:ascii="仿宋_GB2312" w:hAnsi="仿宋_GB2312" w:eastAsia="仿宋_GB2312" w:cs="仿宋_GB2312"/>
          <w:sz w:val="32"/>
          <w:szCs w:val="32"/>
          <w:shd w:val="clear"/>
        </w:rPr>
        <w:t>批次、</w:t>
      </w:r>
      <w:r>
        <w:rPr>
          <w:rFonts w:hint="eastAsia" w:ascii="仿宋_GB2312" w:hAnsi="仿宋_GB2312" w:eastAsia="仿宋_GB2312" w:cs="仿宋_GB2312"/>
          <w:sz w:val="32"/>
          <w:szCs w:val="32"/>
          <w:shd w:val="clear"/>
          <w:lang w:val="en-US" w:eastAsia="zh-CN"/>
        </w:rPr>
        <w:t>7411</w:t>
      </w:r>
      <w:r>
        <w:rPr>
          <w:rFonts w:hint="eastAsia" w:ascii="仿宋_GB2312" w:hAnsi="仿宋_GB2312" w:eastAsia="仿宋_GB2312" w:cs="仿宋_GB2312"/>
          <w:sz w:val="32"/>
          <w:szCs w:val="32"/>
          <w:shd w:val="clear"/>
        </w:rPr>
        <w:t>人次。</w:t>
      </w:r>
    </w:p>
    <w:p>
      <w:pPr>
        <w:jc w:val="both"/>
        <w:rPr>
          <w:rFonts w:hint="eastAsia"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br w:type="textWrapping"/>
      </w:r>
    </w:p>
    <w:p>
      <w:pPr>
        <w:jc w:val="both"/>
        <w:rPr>
          <w:rFonts w:hint="eastAsia" w:ascii="仿宋_GB2312" w:hAnsi="仿宋_GB2312" w:eastAsia="仿宋_GB2312" w:cs="仿宋_GB2312"/>
          <w:sz w:val="24"/>
          <w:szCs w:val="24"/>
          <w:highlight w:val="none"/>
          <w:lang w:val="en-US" w:eastAsia="zh-CN"/>
        </w:rPr>
      </w:pPr>
    </w:p>
    <w:p>
      <w:pPr>
        <w:pStyle w:val="2"/>
        <w:rPr>
          <w:rFonts w:hint="eastAsia"/>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附件5</w:t>
      </w:r>
    </w:p>
    <w:p>
      <w:pPr>
        <w:spacing w:line="700" w:lineRule="exact"/>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20</w:t>
      </w:r>
      <w:r>
        <w:rPr>
          <w:rFonts w:hint="eastAsia" w:ascii="方正小标宋简体" w:eastAsia="方正小标宋简体"/>
          <w:sz w:val="44"/>
          <w:szCs w:val="44"/>
          <w:highlight w:val="none"/>
          <w:lang w:val="en-US" w:eastAsia="zh-CN"/>
        </w:rPr>
        <w:t>22</w:t>
      </w:r>
      <w:r>
        <w:rPr>
          <w:rFonts w:hint="eastAsia" w:ascii="方正小标宋简体" w:eastAsia="方正小标宋简体"/>
          <w:sz w:val="44"/>
          <w:szCs w:val="44"/>
          <w:highlight w:val="none"/>
        </w:rPr>
        <w:t>年预算绩效工作开展情况说明</w:t>
      </w:r>
    </w:p>
    <w:p>
      <w:pPr>
        <w:spacing w:line="560" w:lineRule="exact"/>
        <w:rPr>
          <w:rFonts w:hint="eastAsia" w:ascii="Times New Roman" w:hAnsi="Times New Roman" w:eastAsia="仿宋_GB2312"/>
          <w:sz w:val="32"/>
          <w:szCs w:val="32"/>
        </w:rPr>
      </w:pPr>
    </w:p>
    <w:p>
      <w:pPr>
        <w:pStyle w:val="49"/>
        <w:spacing w:after="0" w:line="560" w:lineRule="exact"/>
        <w:ind w:firstLine="640" w:firstLineChars="200"/>
        <w:rPr>
          <w:rFonts w:hint="eastAsia" w:ascii="楷体_GB2312" w:eastAsia="楷体_GB2312" w:cs="Times New Roman"/>
          <w:b/>
          <w:sz w:val="32"/>
          <w:szCs w:val="32"/>
        </w:rPr>
      </w:pPr>
      <w:r>
        <w:rPr>
          <w:rFonts w:hint="eastAsia" w:ascii="黑体" w:hAnsi="黑体" w:eastAsia="黑体" w:cs="黑体"/>
          <w:color w:val="auto"/>
          <w:spacing w:val="0"/>
          <w:kern w:val="2"/>
          <w:sz w:val="32"/>
          <w:szCs w:val="32"/>
          <w:lang w:val="en-US" w:eastAsia="zh-CN" w:bidi="ar-SA"/>
        </w:rPr>
        <w:t>一、推动预算绩效管理关口前移，对新增政策和项目开展事前绩效评估。</w:t>
      </w:r>
      <w:r>
        <w:rPr>
          <w:rFonts w:hint="eastAsia" w:ascii="Times New Roman" w:hAnsi="Times New Roman" w:eastAsia="仿宋_GB2312" w:cs="仿宋_GB2312"/>
          <w:color w:val="auto"/>
          <w:spacing w:val="0"/>
          <w:kern w:val="2"/>
          <w:sz w:val="32"/>
          <w:szCs w:val="32"/>
          <w:lang w:val="en-US" w:eastAsia="zh-CN" w:bidi="ar-SA"/>
        </w:rPr>
        <w:t>我们将政府过紧日子要求与强化绩效意识紧密结合起来，对申请2022年部门预算的新增政策项目，全部要求做事前绩效评估，并逐一审核，提出审核建议，创新了“纵横比对分析法”，即横向比较其他部门、其他项目申报情况，纵向比较上年度项目审核以及预算执行情况，通过比对分析，确认是否存在交叉申报、重复申报以及低效无效情况，有效提升了预算编制质量。2022年度预算申报中，共评估审核项目（政策）563个，其中建议调整后支持的248个，建议不予支持的248个，共涉及金额24.72亿元，审减13.17亿，审减率53.30%。</w:t>
      </w:r>
    </w:p>
    <w:p>
      <w:pPr>
        <w:pStyle w:val="49"/>
        <w:spacing w:after="0" w:line="560" w:lineRule="exact"/>
        <w:ind w:firstLine="640" w:firstLineChars="200"/>
        <w:rPr>
          <w:rFonts w:hint="eastAsia" w:ascii="仿宋_GB2312" w:eastAsia="仿宋_GB2312"/>
          <w:sz w:val="32"/>
          <w:szCs w:val="32"/>
        </w:rPr>
      </w:pPr>
      <w:r>
        <w:rPr>
          <w:rFonts w:hint="eastAsia" w:ascii="黑体" w:hAnsi="黑体" w:eastAsia="黑体" w:cs="黑体"/>
          <w:color w:val="auto"/>
          <w:spacing w:val="0"/>
          <w:kern w:val="2"/>
          <w:sz w:val="32"/>
          <w:szCs w:val="32"/>
          <w:lang w:val="en-US" w:eastAsia="zh-CN" w:bidi="ar-SA"/>
        </w:rPr>
        <w:t>二、绩效目标全面把关，成绩突出。</w:t>
      </w:r>
      <w:r>
        <w:rPr>
          <w:rFonts w:hint="eastAsia" w:ascii="Times New Roman" w:hAnsi="Times New Roman" w:eastAsia="仿宋_GB2312" w:cs="仿宋_GB2312"/>
          <w:color w:val="auto"/>
          <w:spacing w:val="0"/>
          <w:kern w:val="2"/>
          <w:sz w:val="32"/>
          <w:szCs w:val="32"/>
          <w:lang w:val="en-US" w:eastAsia="zh-CN" w:bidi="ar-SA"/>
        </w:rPr>
        <w:t>按照“谁申请资金，谁设定目标”的原则，对2022年全部预算项目的绩效目标进行逐一审核，重点审核产出指标、效益指标、满意度指标，要求指标尽量细化、量化、准确，2022年预算批复的718个项目全部做了绩效目标，项目绩效目标覆盖率达到100%。</w:t>
      </w:r>
    </w:p>
    <w:p>
      <w:pPr>
        <w:pStyle w:val="2"/>
        <w:ind w:firstLine="675"/>
      </w:pPr>
      <w:r>
        <w:rPr>
          <w:rFonts w:hint="eastAsia" w:ascii="黑体" w:hAnsi="黑体" w:eastAsia="黑体" w:cs="黑体"/>
          <w:color w:val="auto"/>
          <w:spacing w:val="0"/>
          <w:kern w:val="2"/>
          <w:sz w:val="32"/>
          <w:szCs w:val="32"/>
          <w:lang w:val="en-US" w:eastAsia="zh-CN" w:bidi="ar-SA"/>
        </w:rPr>
        <w:t>三、强化督导，推动绩效监控高质量完成。</w:t>
      </w:r>
      <w:r>
        <w:rPr>
          <w:rFonts w:hint="eastAsia" w:ascii="Times New Roman" w:hAnsi="Times New Roman" w:eastAsia="仿宋_GB2312" w:cs="仿宋_GB2312"/>
          <w:color w:val="auto"/>
          <w:spacing w:val="0"/>
          <w:kern w:val="2"/>
          <w:sz w:val="32"/>
          <w:szCs w:val="32"/>
          <w:lang w:val="en-US" w:eastAsia="zh-CN" w:bidi="ar-SA"/>
        </w:rPr>
        <w:t>今年以来，对纳入预算绩效管理范围的项目（政策）绩效目标实现程度和预算执行进度分阶段开展“双监控”，发现问题并及时反馈纠正，确保绩效目标如期保质保量实现，绩效运行监控覆盖率100%。一是开展1-6月绩效运行监控，通过督促预算单位线下填报绩效运行监控表，重点分析绩效目标实现程度，及时发现并纠正绩效目标偏离情况。二是开展1-9月绩效运行监控，通过组织业务科室线上整理政策项目绩效运行监控汇总表，重点分析预算执行进度，及时掌握并反馈预算执行进度偏低情况。</w:t>
      </w:r>
    </w:p>
    <w:p>
      <w:pPr>
        <w:spacing w:line="560" w:lineRule="exact"/>
        <w:ind w:firstLine="645"/>
        <w:rPr>
          <w:rFonts w:hint="eastAsia" w:ascii="仿宋_GB2312" w:hAnsi="Times New Roman" w:eastAsia="仿宋_GB2312"/>
          <w:sz w:val="32"/>
          <w:szCs w:val="32"/>
        </w:rPr>
      </w:pPr>
      <w:r>
        <w:rPr>
          <w:rFonts w:hint="eastAsia" w:ascii="黑体" w:hAnsi="黑体" w:eastAsia="黑体" w:cs="黑体"/>
          <w:color w:val="auto"/>
          <w:spacing w:val="0"/>
          <w:kern w:val="2"/>
          <w:sz w:val="32"/>
          <w:szCs w:val="32"/>
          <w:lang w:val="en-US" w:eastAsia="zh-CN" w:bidi="ar-SA"/>
        </w:rPr>
        <w:t>四、创新财政重点绩效评价机制，建立以满足个性化需求为导向的全应用财政重点绩效评价机制。</w:t>
      </w:r>
      <w:r>
        <w:rPr>
          <w:rFonts w:hint="eastAsia" w:ascii="Times New Roman" w:hAnsi="Times New Roman" w:eastAsia="仿宋_GB2312" w:cs="仿宋_GB2312"/>
          <w:color w:val="auto"/>
          <w:spacing w:val="0"/>
          <w:kern w:val="2"/>
          <w:sz w:val="32"/>
          <w:szCs w:val="32"/>
          <w:lang w:val="en-US" w:eastAsia="zh-CN" w:bidi="ar-SA"/>
        </w:rPr>
        <w:t>对2021年12个项目开展财政重点绩效评价，评价过程中实行第三方签到制度，财政全过程参与绩效评价工作，建立起“个性化、闭环式、全应用” 财政重点绩效评价监管体系，有效地提升绩效评价质量，并将评价结果反馈至财政支出科室与项目预算单位，作为预算安排与改进管理的重要依据。其中通过对“城区物业管理奖补激励资金”项目的绩效评价，建议完善奖补政策，明确奖补范围及面积，取消物业收费标准0.3元/平方米/月以上小区的奖补资金，取消对2010年后建成小区的星级奖补资金，政策修改完善后，每年能节约预算资金约300万元。</w:t>
      </w:r>
    </w:p>
    <w:p>
      <w:pPr>
        <w:spacing w:line="560" w:lineRule="exact"/>
        <w:ind w:firstLine="645"/>
        <w:rPr>
          <w:rFonts w:ascii="Times New Roman" w:hAnsi="Times New Roman" w:eastAsia="仿宋_GB2312"/>
          <w:sz w:val="32"/>
          <w:szCs w:val="32"/>
        </w:rPr>
      </w:pPr>
      <w:r>
        <w:rPr>
          <w:rFonts w:hint="eastAsia" w:ascii="黑体" w:hAnsi="黑体" w:eastAsia="黑体" w:cs="黑体"/>
          <w:color w:val="auto"/>
          <w:spacing w:val="0"/>
          <w:kern w:val="2"/>
          <w:sz w:val="32"/>
          <w:szCs w:val="32"/>
          <w:lang w:val="en-US" w:eastAsia="zh-CN" w:bidi="ar-SA"/>
        </w:rPr>
        <w:t>五、督导预算单位开展2021年度部门预算项目绩效自评工作，提升项目绩效自评质量。</w:t>
      </w:r>
      <w:r>
        <w:rPr>
          <w:rFonts w:hint="eastAsia" w:ascii="Times New Roman" w:hAnsi="Times New Roman" w:eastAsia="仿宋_GB2312" w:cs="仿宋_GB2312"/>
          <w:color w:val="auto"/>
          <w:spacing w:val="0"/>
          <w:kern w:val="2"/>
          <w:sz w:val="32"/>
          <w:szCs w:val="32"/>
          <w:lang w:val="en-US" w:eastAsia="zh-CN" w:bidi="ar-SA"/>
        </w:rPr>
        <w:t>按照“谁支出、谁自评”的要求，通过设置绩效自评表、绩效报告模板，要求所有区直部门对2021年度680个预算项目全面开展绩效自评，单位绩效自评情况作为年度考核与预算安排的重要依据。收集、整理、审核各单位项目绩效自评表与自评报告，对不符合要求的单位提出整改要求并限期改正，确保绩效自评资料准确合规，项目绩效自评率达100%。</w:t>
      </w:r>
    </w:p>
    <w:p>
      <w:pPr>
        <w:autoSpaceDE w:val="0"/>
        <w:autoSpaceDN w:val="0"/>
        <w:adjustRightInd w:val="0"/>
        <w:spacing w:line="560" w:lineRule="exact"/>
        <w:ind w:firstLine="640" w:firstLineChars="200"/>
        <w:rPr>
          <w:rFonts w:hint="eastAsia" w:ascii="Times New Roman" w:hAnsi="Times New Roman" w:eastAsia="仿宋_GB2312" w:cs="仿宋_GB2312"/>
          <w:color w:val="auto"/>
          <w:spacing w:val="0"/>
          <w:kern w:val="2"/>
          <w:sz w:val="32"/>
          <w:szCs w:val="32"/>
          <w:lang w:val="en-US" w:eastAsia="zh-CN" w:bidi="ar-SA"/>
        </w:rPr>
      </w:pPr>
      <w:r>
        <w:rPr>
          <w:rFonts w:hint="eastAsia" w:ascii="黑体" w:hAnsi="黑体" w:eastAsia="黑体" w:cs="黑体"/>
          <w:color w:val="auto"/>
          <w:spacing w:val="0"/>
          <w:kern w:val="2"/>
          <w:sz w:val="32"/>
          <w:szCs w:val="32"/>
          <w:lang w:val="en-US" w:eastAsia="zh-CN" w:bidi="ar-SA"/>
        </w:rPr>
        <w:t>六、全面推进部门整体绩效管理，进一步扩大绩效管理范围。</w:t>
      </w:r>
      <w:r>
        <w:rPr>
          <w:rFonts w:hint="eastAsia" w:ascii="Times New Roman" w:hAnsi="Times New Roman" w:eastAsia="仿宋_GB2312" w:cs="仿宋_GB2312"/>
          <w:color w:val="auto"/>
          <w:spacing w:val="0"/>
          <w:kern w:val="2"/>
          <w:sz w:val="32"/>
          <w:szCs w:val="32"/>
          <w:lang w:val="en-US" w:eastAsia="zh-CN" w:bidi="ar-SA"/>
        </w:rPr>
        <w:t>2022年度出台了《威海市文登区区级预算部门和单位整体绩效管理办法》，举办了针对全体区直单位的部门整体绩效管理培训会。将部门整体绩效管理范围扩展到全部64个区直部门，并选取了8个部门开展财政重点整体绩效评价，从运行成本、管理效率、履职效能、社会效应和服务对象满意度等方面入手，综合衡量部门和单位整体及核心业务实施效果，利用预算约束，强化结果应用”的部门整体绩效管理评价模式，部门整体绩效管理覆盖率达100%。</w:t>
      </w:r>
    </w:p>
    <w:p>
      <w:pPr>
        <w:pStyle w:val="55"/>
        <w:spacing w:after="0" w:line="560" w:lineRule="exact"/>
        <w:ind w:firstLine="643"/>
        <w:rPr>
          <w:rFonts w:hint="eastAsia" w:ascii="仿宋_GB2312" w:hAnsi="Calibri" w:eastAsia="仿宋_GB2312"/>
          <w:color w:val="000000" w:themeColor="text1"/>
          <w:spacing w:val="0"/>
          <w:kern w:val="2"/>
          <w:sz w:val="32"/>
          <w:szCs w:val="32"/>
          <w:lang w:val="en-US" w:eastAsia="zh-CN"/>
          <w14:textFill>
            <w14:solidFill>
              <w14:schemeClr w14:val="tx1"/>
            </w14:solidFill>
          </w14:textFill>
        </w:rPr>
      </w:pPr>
      <w:r>
        <w:rPr>
          <w:rFonts w:hint="eastAsia" w:ascii="黑体" w:hAnsi="黑体" w:eastAsia="黑体" w:cs="黑体"/>
          <w:color w:val="auto"/>
          <w:spacing w:val="0"/>
          <w:kern w:val="2"/>
          <w:sz w:val="32"/>
          <w:szCs w:val="32"/>
          <w:lang w:val="en-US" w:eastAsia="zh-CN" w:bidi="ar-SA"/>
        </w:rPr>
        <w:t>七、创新思路，继续试点财政综合运行绩效评价。</w:t>
      </w:r>
      <w:r>
        <w:rPr>
          <w:rFonts w:hint="eastAsia" w:ascii="Times New Roman" w:hAnsi="Times New Roman" w:eastAsia="仿宋_GB2312" w:cs="仿宋_GB2312"/>
          <w:color w:val="auto"/>
          <w:spacing w:val="0"/>
          <w:kern w:val="2"/>
          <w:sz w:val="32"/>
          <w:szCs w:val="32"/>
          <w:lang w:val="en-US" w:eastAsia="zh-CN" w:bidi="ar-SA"/>
        </w:rPr>
        <w:t xml:space="preserve">选择侯家镇、葛家镇政府开展财政运行综合绩效评价，将镇级政府收支预算全面纳入绩效管理，主要围绕镇政府基本财力、财政运行、预算规范管理、运行成效、风险控制能力、财源建设及可持续发展方面开展综合评价，紧扣履职效能、经济发展、财政管理等重点事项，全面分析镇级财政运行状况，增强财政运行的可持续性。 </w:t>
      </w:r>
      <w:r>
        <w:rPr>
          <w:rFonts w:hint="eastAsia" w:ascii="仿宋_GB2312" w:hAnsi="Calibri" w:eastAsia="仿宋_GB2312"/>
          <w:color w:val="000000" w:themeColor="text1"/>
          <w:spacing w:val="0"/>
          <w:kern w:val="2"/>
          <w:sz w:val="32"/>
          <w:szCs w:val="32"/>
          <w:lang w:val="en-US" w:eastAsia="zh-CN"/>
          <w14:textFill>
            <w14:solidFill>
              <w14:schemeClr w14:val="tx1"/>
            </w14:solidFill>
          </w14:textFill>
        </w:rPr>
        <w:t xml:space="preserve"> </w:t>
      </w:r>
    </w:p>
    <w:p>
      <w:pPr>
        <w:pStyle w:val="55"/>
        <w:spacing w:after="0" w:line="560" w:lineRule="exact"/>
        <w:ind w:firstLine="643"/>
        <w:rPr>
          <w:rFonts w:hint="default" w:ascii="仿宋_GB2312" w:hAnsi="仿宋_GB2312" w:eastAsia="仿宋_GB2312" w:cs="仿宋_GB2312"/>
          <w:sz w:val="24"/>
          <w:szCs w:val="24"/>
          <w:highlight w:val="none"/>
          <w:lang w:val="en-US" w:eastAsia="zh-CN"/>
        </w:rPr>
      </w:pPr>
      <w:r>
        <w:rPr>
          <w:rFonts w:hint="eastAsia" w:ascii="黑体" w:hAnsi="黑体" w:eastAsia="黑体" w:cs="黑体"/>
          <w:color w:val="auto"/>
          <w:spacing w:val="0"/>
          <w:kern w:val="2"/>
          <w:sz w:val="32"/>
          <w:szCs w:val="32"/>
          <w:lang w:val="en-US" w:eastAsia="zh-CN" w:bidi="ar-SA"/>
        </w:rPr>
        <w:t>八、积极开展成本效益分析，实施成本预算绩效管理。</w:t>
      </w:r>
      <w:r>
        <w:rPr>
          <w:rFonts w:hint="eastAsia" w:ascii="Times New Roman" w:hAnsi="Times New Roman" w:eastAsia="仿宋_GB2312" w:cs="仿宋_GB2312"/>
          <w:color w:val="auto"/>
          <w:spacing w:val="0"/>
          <w:kern w:val="2"/>
          <w:sz w:val="32"/>
          <w:szCs w:val="32"/>
          <w:lang w:val="en-US" w:eastAsia="zh-CN" w:bidi="ar-SA"/>
        </w:rPr>
        <w:t>选取了县乡公路保洁服务项目，通过成本绩效分析，核定项目成本，确定支出标准，评价标准，探索建立“成本和效益并重”的预算绩效管理机制。同时，印发了《关于开展成本预算绩效管理试点工作的实施方案》，将成本理念和方法贯穿于预算管理各环节。</w:t>
      </w:r>
    </w:p>
    <w:sectPr>
      <w:headerReference r:id="rId22" w:type="default"/>
      <w:footerReference r:id="rId2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spacing w:line="240" w:lineRule="auto"/>
                            <w:ind w:firstLine="360" w:firstLineChars="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pPr>
                      <w:pStyle w:val="10"/>
                      <w:spacing w:line="240" w:lineRule="auto"/>
                      <w:ind w:firstLine="360" w:firstLineChars="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ind w:firstLine="56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VI</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pPr>
                      <w:pStyle w:val="10"/>
                      <w:ind w:firstLine="56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VI</w:t>
                    </w:r>
                    <w:r>
                      <w:rPr>
                        <w:rFonts w:hint="eastAsia" w:ascii="宋体" w:hAnsi="宋体" w:eastAsia="宋体" w:cs="宋体"/>
                        <w:sz w:val="28"/>
                        <w:szCs w:val="28"/>
                      </w:rPr>
                      <w:fldChar w:fldCharType="end"/>
                    </w:r>
                  </w:p>
                </w:txbxContent>
              </v:textbox>
            </v:shape>
          </w:pict>
        </mc:Fallback>
      </mc:AlternateContent>
    </w:r>
  </w:p>
  <w:p>
    <w:pPr>
      <w:pStyle w:val="1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43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43</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600" w:firstLine="0" w:firstLineChars="0"/>
      <w:rPr>
        <w:rFonts w:ascii="宋体" w:hAnsi="宋体" w:eastAsia="宋体" w:cs="宋体"/>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firstLine="0" w:firstLineChars="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firstLine="0" w:firstLineChars="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8C2F"/>
    <w:multiLevelType w:val="singleLevel"/>
    <w:tmpl w:val="C21A8C2F"/>
    <w:lvl w:ilvl="0" w:tentative="0">
      <w:start w:val="1"/>
      <w:numFmt w:val="chineseCounting"/>
      <w:suff w:val="nothing"/>
      <w:lvlText w:val="%1、"/>
      <w:lvlJc w:val="left"/>
      <w:rPr>
        <w:rFonts w:hint="eastAsia"/>
      </w:rPr>
    </w:lvl>
  </w:abstractNum>
  <w:abstractNum w:abstractNumId="1">
    <w:nsid w:val="38E013F5"/>
    <w:multiLevelType w:val="singleLevel"/>
    <w:tmpl w:val="38E013F5"/>
    <w:lvl w:ilvl="0" w:tentative="0">
      <w:start w:val="1"/>
      <w:numFmt w:val="chineseCounting"/>
      <w:suff w:val="nothing"/>
      <w:lvlText w:val="%1、"/>
      <w:lvlJc w:val="left"/>
      <w:rPr>
        <w:rFonts w:hint="eastAsia"/>
      </w:rPr>
    </w:lvl>
  </w:abstractNum>
  <w:abstractNum w:abstractNumId="2">
    <w:nsid w:val="610671B8"/>
    <w:multiLevelType w:val="multilevel"/>
    <w:tmpl w:val="610671B8"/>
    <w:lvl w:ilvl="0" w:tentative="0">
      <w:start w:val="1"/>
      <w:numFmt w:val="chineseCountingThousand"/>
      <w:suff w:val="nothing"/>
      <w:lvlText w:val="%1、"/>
      <w:lvlJc w:val="left"/>
      <w:pPr>
        <w:ind w:left="3969" w:firstLine="0"/>
      </w:pPr>
      <w:rPr>
        <w:rFonts w:hint="eastAsia"/>
        <w:b/>
        <w:i w:val="0"/>
      </w:rPr>
    </w:lvl>
    <w:lvl w:ilvl="1" w:tentative="0">
      <w:start w:val="1"/>
      <w:numFmt w:val="chineseCountingThousand"/>
      <w:suff w:val="nothing"/>
      <w:lvlText w:val="（%2）"/>
      <w:lvlJc w:val="left"/>
      <w:pPr>
        <w:ind w:left="425" w:firstLine="0"/>
      </w:pPr>
      <w:rPr>
        <w:rFonts w:hint="default" w:ascii="Times New Roman" w:hAnsi="Times New Roman" w:cs="Times New Roman"/>
        <w:b/>
        <w:bCs w:val="0"/>
        <w:i w:val="0"/>
        <w:iCs w:val="0"/>
        <w:caps w:val="0"/>
        <w:smallCaps w:val="0"/>
        <w:strike w:val="0"/>
        <w:dstrike w:val="0"/>
        <w:vanish w:val="0"/>
        <w:spacing w:val="0"/>
        <w:kern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5"/>
      <w:suff w:val="nothing"/>
      <w:lvlText w:val="%3. "/>
      <w:lvlJc w:val="left"/>
      <w:pPr>
        <w:ind w:left="992" w:hanging="567"/>
      </w:pPr>
      <w:rPr>
        <w:rFonts w:hint="eastAsia"/>
      </w:rPr>
    </w:lvl>
    <w:lvl w:ilvl="3" w:tentative="0">
      <w:start w:val="1"/>
      <w:numFmt w:val="decimal"/>
      <w:suff w:val="nothing"/>
      <w:lvlText w:val="（%4）"/>
      <w:lvlJc w:val="left"/>
      <w:pPr>
        <w:ind w:left="992" w:hanging="425"/>
      </w:pPr>
      <w:rPr>
        <w:rFonts w:hint="eastAsia"/>
      </w:rPr>
    </w:lvl>
    <w:lvl w:ilvl="4" w:tentative="0">
      <w:start w:val="1"/>
      <w:numFmt w:val="decimal"/>
      <w:suff w:val="nothing"/>
      <w:lvlText w:val="%5）"/>
      <w:lvlJc w:val="left"/>
      <w:pPr>
        <w:ind w:left="992" w:hanging="113"/>
      </w:pPr>
      <w:rPr>
        <w:rFonts w:hint="eastAsia"/>
      </w:rPr>
    </w:lvl>
    <w:lvl w:ilvl="5" w:tentative="0">
      <w:start w:val="1"/>
      <w:numFmt w:val="decimal"/>
      <w:pStyle w:val="41"/>
      <w:suff w:val="nothing"/>
      <w:lvlText w:val="附件%6 "/>
      <w:lvlJc w:val="left"/>
      <w:pPr>
        <w:ind w:left="0" w:firstLine="0"/>
      </w:pPr>
      <w:rPr>
        <w:rFonts w:hint="eastAsia"/>
      </w:rPr>
    </w:lvl>
    <w:lvl w:ilvl="6" w:tentative="0">
      <w:start w:val="1"/>
      <w:numFmt w:val="chineseCountingThousand"/>
      <w:suff w:val="nothing"/>
      <w:lvlText w:val="%7、"/>
      <w:lvlJc w:val="left"/>
      <w:pPr>
        <w:ind w:left="992" w:hanging="567"/>
      </w:pPr>
      <w:rPr>
        <w:rFonts w:hint="eastAsia"/>
      </w:rPr>
    </w:lvl>
    <w:lvl w:ilvl="7" w:tentative="0">
      <w:start w:val="1"/>
      <w:numFmt w:val="chineseCountingThousand"/>
      <w:suff w:val="nothing"/>
      <w:lvlText w:val="（%8）"/>
      <w:lvlJc w:val="left"/>
      <w:pPr>
        <w:ind w:left="992" w:hanging="567"/>
      </w:pPr>
      <w:rPr>
        <w:rFonts w:hint="eastAsia"/>
      </w:rPr>
    </w:lvl>
    <w:lvl w:ilvl="8" w:tentative="0">
      <w:start w:val="1"/>
      <w:numFmt w:val="decimal"/>
      <w:suff w:val="nothing"/>
      <w:lvlText w:val="%9. "/>
      <w:lvlJc w:val="left"/>
      <w:pPr>
        <w:ind w:left="992" w:hanging="567"/>
      </w:pPr>
      <w:rPr>
        <w:rFonts w:hint="eastAsia"/>
      </w:rPr>
    </w:lvl>
  </w:abstractNum>
  <w:abstractNum w:abstractNumId="3">
    <w:nsid w:val="6595C08A"/>
    <w:multiLevelType w:val="singleLevel"/>
    <w:tmpl w:val="6595C08A"/>
    <w:lvl w:ilvl="0" w:tentative="0">
      <w:start w:val="1"/>
      <w:numFmt w:val="chineseCounting"/>
      <w:suff w:val="nothing"/>
      <w:lvlText w:val="（%1）"/>
      <w:lvlJc w:val="left"/>
      <w:pPr>
        <w:ind w:left="0" w:firstLine="420"/>
      </w:pPr>
      <w:rPr>
        <w:rFonts w:hint="eastAsia" w:ascii="楷体_GB2312" w:hAnsi="楷体_GB2312" w:eastAsia="楷体_GB2312" w:cs="楷体_GB2312"/>
        <w:sz w:val="32"/>
        <w:szCs w:val="32"/>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OGIwN2I1YjY3MTYyM2ViN2FmNjUwMGRiY2RlMDIifQ=="/>
  </w:docVars>
  <w:rsids>
    <w:rsidRoot w:val="79D00A66"/>
    <w:rsid w:val="04BA3565"/>
    <w:rsid w:val="063B2B4D"/>
    <w:rsid w:val="06DE32DA"/>
    <w:rsid w:val="07E64886"/>
    <w:rsid w:val="0F696B20"/>
    <w:rsid w:val="0FF24D67"/>
    <w:rsid w:val="10040085"/>
    <w:rsid w:val="1055163A"/>
    <w:rsid w:val="11744B2C"/>
    <w:rsid w:val="12C21534"/>
    <w:rsid w:val="13F27FF8"/>
    <w:rsid w:val="14445DAD"/>
    <w:rsid w:val="16247C45"/>
    <w:rsid w:val="162C6AF9"/>
    <w:rsid w:val="17F25957"/>
    <w:rsid w:val="1AE6371B"/>
    <w:rsid w:val="205940A0"/>
    <w:rsid w:val="20C932CD"/>
    <w:rsid w:val="211C2557"/>
    <w:rsid w:val="21D15060"/>
    <w:rsid w:val="228026A7"/>
    <w:rsid w:val="23D866EE"/>
    <w:rsid w:val="27C26BE0"/>
    <w:rsid w:val="2CC34063"/>
    <w:rsid w:val="2CFF39EA"/>
    <w:rsid w:val="2F462582"/>
    <w:rsid w:val="339C380E"/>
    <w:rsid w:val="344828F8"/>
    <w:rsid w:val="36F34D9D"/>
    <w:rsid w:val="37E90A73"/>
    <w:rsid w:val="38AD71CE"/>
    <w:rsid w:val="3C314FB9"/>
    <w:rsid w:val="3C486C5E"/>
    <w:rsid w:val="417C1E33"/>
    <w:rsid w:val="42775BE0"/>
    <w:rsid w:val="42BC2E2F"/>
    <w:rsid w:val="45B807DB"/>
    <w:rsid w:val="49956188"/>
    <w:rsid w:val="4B3F391B"/>
    <w:rsid w:val="4D6E4C0D"/>
    <w:rsid w:val="51FF6894"/>
    <w:rsid w:val="57230E23"/>
    <w:rsid w:val="5AC95C92"/>
    <w:rsid w:val="5B054A3B"/>
    <w:rsid w:val="5EB34C8F"/>
    <w:rsid w:val="5EBA426F"/>
    <w:rsid w:val="5F71563F"/>
    <w:rsid w:val="5FEA0785"/>
    <w:rsid w:val="61E70875"/>
    <w:rsid w:val="6252456C"/>
    <w:rsid w:val="62745086"/>
    <w:rsid w:val="640B615E"/>
    <w:rsid w:val="64A53FA6"/>
    <w:rsid w:val="6582360D"/>
    <w:rsid w:val="66EF76BF"/>
    <w:rsid w:val="69476AFE"/>
    <w:rsid w:val="6C375151"/>
    <w:rsid w:val="6CDA3D2E"/>
    <w:rsid w:val="6F063E1D"/>
    <w:rsid w:val="717F4379"/>
    <w:rsid w:val="72514A93"/>
    <w:rsid w:val="72FF004B"/>
    <w:rsid w:val="767C47E8"/>
    <w:rsid w:val="791F1447"/>
    <w:rsid w:val="79D00A66"/>
    <w:rsid w:val="7B7315D6"/>
    <w:rsid w:val="7CD74885"/>
    <w:rsid w:val="7D9618AD"/>
    <w:rsid w:val="7E3F6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2"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_GB2312" w:asciiTheme="minorHAnsi" w:hAnsiTheme="minorHAnsi" w:eastAsiaTheme="minorEastAsia"/>
      <w:color w:val="auto"/>
      <w:kern w:val="2"/>
      <w:sz w:val="32"/>
      <w:szCs w:val="32"/>
      <w:lang w:val="en-US" w:eastAsia="zh-CN" w:bidi="ar-SA"/>
    </w:rPr>
  </w:style>
  <w:style w:type="paragraph" w:styleId="3">
    <w:name w:val="heading 1"/>
    <w:basedOn w:val="1"/>
    <w:next w:val="1"/>
    <w:qFormat/>
    <w:uiPriority w:val="9"/>
    <w:pPr>
      <w:keepNext/>
      <w:keepLines/>
      <w:ind w:firstLine="200" w:firstLineChars="200"/>
      <w:outlineLvl w:val="0"/>
    </w:pPr>
    <w:rPr>
      <w:rFonts w:eastAsia="黑体"/>
      <w:bCs/>
      <w:kern w:val="44"/>
      <w:szCs w:val="44"/>
    </w:rPr>
  </w:style>
  <w:style w:type="paragraph" w:styleId="4">
    <w:name w:val="heading 2"/>
    <w:basedOn w:val="1"/>
    <w:next w:val="1"/>
    <w:unhideWhenUsed/>
    <w:qFormat/>
    <w:uiPriority w:val="9"/>
    <w:pPr>
      <w:keepNext/>
      <w:keepLines/>
      <w:ind w:firstLine="200" w:firstLineChars="200"/>
      <w:outlineLvl w:val="1"/>
    </w:pPr>
    <w:rPr>
      <w:rFonts w:eastAsia="楷体_GB2312" w:asciiTheme="majorHAnsi" w:hAnsiTheme="majorHAnsi" w:cstheme="majorBidi"/>
      <w:bCs/>
      <w:szCs w:val="32"/>
    </w:rPr>
  </w:style>
  <w:style w:type="paragraph" w:styleId="5">
    <w:name w:val="heading 3"/>
    <w:basedOn w:val="1"/>
    <w:next w:val="1"/>
    <w:qFormat/>
    <w:uiPriority w:val="2"/>
    <w:pPr>
      <w:keepNext/>
      <w:keepLines/>
      <w:widowControl w:val="0"/>
      <w:numPr>
        <w:ilvl w:val="2"/>
        <w:numId w:val="1"/>
      </w:numPr>
      <w:spacing w:before="120" w:after="60" w:line="500" w:lineRule="exact"/>
      <w:ind w:left="992" w:firstLine="0" w:firstLineChars="0"/>
      <w:jc w:val="both"/>
      <w:outlineLvl w:val="2"/>
    </w:pPr>
    <w:rPr>
      <w:rFonts w:ascii="Times New Roman" w:hAnsi="Times New Roman" w:eastAsia="仿宋_GB2312" w:cs="Times New Roman"/>
      <w:b/>
      <w:bCs/>
      <w:kern w:val="0"/>
      <w:sz w:val="28"/>
      <w:szCs w:val="32"/>
      <w:lang w:val="en-US" w:eastAsia="zh-CN" w:bidi="ar-SA"/>
    </w:rPr>
  </w:style>
  <w:style w:type="paragraph" w:styleId="6">
    <w:name w:val="heading 4"/>
    <w:basedOn w:val="1"/>
    <w:next w:val="1"/>
    <w:unhideWhenUsed/>
    <w:qFormat/>
    <w:uiPriority w:val="9"/>
    <w:pPr>
      <w:keepNext/>
      <w:keepLines/>
      <w:spacing w:line="560" w:lineRule="exact"/>
      <w:ind w:firstLine="200" w:firstLineChars="200"/>
      <w:jc w:val="left"/>
      <w:outlineLvl w:val="3"/>
    </w:pPr>
    <w:rPr>
      <w:rFonts w:eastAsia="楷体_GB2312" w:asciiTheme="majorHAnsi" w:hAnsiTheme="majorHAnsi" w:cstheme="majorBidi"/>
      <w:bCs/>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7">
    <w:name w:val="Body Text"/>
    <w:basedOn w:val="1"/>
    <w:next w:val="8"/>
    <w:qFormat/>
    <w:uiPriority w:val="1"/>
    <w:pPr>
      <w:autoSpaceDE w:val="0"/>
      <w:autoSpaceDN w:val="0"/>
      <w:spacing w:before="190"/>
      <w:ind w:left="1333"/>
      <w:jc w:val="left"/>
    </w:pPr>
    <w:rPr>
      <w:rFonts w:eastAsia="宋体"/>
      <w:kern w:val="0"/>
      <w:szCs w:val="32"/>
      <w:lang w:val="zh-CN" w:bidi="zh-CN"/>
    </w:rPr>
  </w:style>
  <w:style w:type="paragraph" w:styleId="8">
    <w:name w:val="Body Text First Indent"/>
    <w:basedOn w:val="7"/>
    <w:qFormat/>
    <w:uiPriority w:val="99"/>
    <w:pPr>
      <w:spacing w:line="360" w:lineRule="auto"/>
      <w:ind w:firstLine="420" w:firstLineChars="100"/>
    </w:pPr>
    <w:rPr>
      <w:rFonts w:ascii="Times New Roman" w:hAnsi="Times New Roman" w:cs="Times New Roman"/>
      <w:sz w:val="24"/>
    </w:rPr>
  </w:style>
  <w:style w:type="paragraph" w:styleId="9">
    <w:name w:val="Body Text Indent"/>
    <w:basedOn w:val="1"/>
    <w:next w:val="1"/>
    <w:qFormat/>
    <w:uiPriority w:val="0"/>
    <w:pPr>
      <w:spacing w:after="120"/>
      <w:ind w:left="420" w:leftChars="200"/>
    </w:pPr>
  </w:style>
  <w:style w:type="paragraph" w:styleId="10">
    <w:name w:val="footer"/>
    <w:basedOn w:val="1"/>
    <w:qFormat/>
    <w:uiPriority w:val="99"/>
    <w:pPr>
      <w:tabs>
        <w:tab w:val="center" w:pos="4153"/>
        <w:tab w:val="right" w:pos="8306"/>
      </w:tabs>
      <w:snapToGrid w:val="0"/>
      <w:spacing w:line="240" w:lineRule="atLeas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2">
    <w:name w:val="footnote text"/>
    <w:qFormat/>
    <w:uiPriority w:val="0"/>
    <w:pPr>
      <w:widowControl w:val="0"/>
      <w:snapToGrid w:val="0"/>
      <w:jc w:val="left"/>
    </w:pPr>
    <w:rPr>
      <w:rFonts w:ascii="Times New Roman" w:hAnsi="Times New Roman" w:eastAsia="仿宋_GB2312" w:cs="Times New Roman"/>
      <w:kern w:val="2"/>
      <w:sz w:val="18"/>
      <w:szCs w:val="18"/>
      <w:lang w:val="en-US" w:eastAsia="zh-CN" w:bidi="ar-SA"/>
    </w:rPr>
  </w:style>
  <w:style w:type="paragraph" w:styleId="13">
    <w:name w:val="toc 2"/>
    <w:basedOn w:val="1"/>
    <w:next w:val="14"/>
    <w:unhideWhenUsed/>
    <w:qFormat/>
    <w:uiPriority w:val="39"/>
  </w:style>
  <w:style w:type="paragraph" w:customStyle="1" w:styleId="14">
    <w:name w:val="闻政正文"/>
    <w:link w:val="40"/>
    <w:qFormat/>
    <w:uiPriority w:val="3"/>
    <w:pPr>
      <w:widowControl w:val="0"/>
      <w:spacing w:line="500" w:lineRule="exact"/>
      <w:ind w:firstLine="200" w:firstLineChars="200"/>
      <w:jc w:val="both"/>
    </w:pPr>
    <w:rPr>
      <w:rFonts w:ascii="Times New Roman" w:hAnsi="Times New Roman" w:eastAsia="仿宋_GB2312" w:cs="Times New Roman"/>
      <w:kern w:val="0"/>
      <w:sz w:val="28"/>
      <w:szCs w:val="28"/>
      <w:lang w:val="en-US" w:eastAsia="zh-CN" w:bidi="ar-SA"/>
    </w:rPr>
  </w:style>
  <w:style w:type="paragraph" w:styleId="15">
    <w:name w:val="Normal (Web)"/>
    <w:basedOn w:val="1"/>
    <w:qFormat/>
    <w:uiPriority w:val="0"/>
    <w:pPr>
      <w:widowControl w:val="0"/>
      <w:spacing w:before="100" w:beforeAutospacing="1" w:after="100" w:afterAutospacing="1" w:line="580" w:lineRule="exact"/>
      <w:ind w:left="0" w:right="0" w:firstLine="640" w:firstLineChars="200"/>
      <w:jc w:val="left"/>
    </w:pPr>
    <w:rPr>
      <w:rFonts w:ascii="仿宋_GB2312" w:hAnsi="Calibri" w:eastAsia="仿宋_GB2312" w:cs="Times New Roman"/>
      <w:kern w:val="0"/>
      <w:sz w:val="24"/>
      <w:szCs w:val="21"/>
      <w:lang w:val="en-US" w:eastAsia="zh-CN" w:bidi="ar"/>
    </w:rPr>
  </w:style>
  <w:style w:type="paragraph" w:styleId="16">
    <w:name w:val="Title"/>
    <w:basedOn w:val="1"/>
    <w:next w:val="1"/>
    <w:qFormat/>
    <w:uiPriority w:val="10"/>
    <w:pPr>
      <w:jc w:val="center"/>
      <w:outlineLvl w:val="0"/>
    </w:pPr>
    <w:rPr>
      <w:rFonts w:eastAsia="方正小标宋简体" w:asciiTheme="majorHAnsi" w:hAnsiTheme="majorHAnsi" w:cstheme="majorBidi"/>
      <w:bCs/>
      <w:sz w:val="44"/>
      <w:szCs w:val="32"/>
    </w:rPr>
  </w:style>
  <w:style w:type="paragraph" w:styleId="17">
    <w:name w:val="Body Text First Indent 2"/>
    <w:basedOn w:val="9"/>
    <w:next w:val="8"/>
    <w:qFormat/>
    <w:uiPriority w:val="0"/>
    <w:pPr>
      <w:widowControl/>
      <w:adjustRightInd w:val="0"/>
      <w:snapToGrid w:val="0"/>
      <w:spacing w:line="360" w:lineRule="auto"/>
      <w:ind w:firstLine="420"/>
      <w:jc w:val="left"/>
    </w:pPr>
    <w:rPr>
      <w:rFonts w:cs="Times New Roman"/>
      <w:kern w:val="0"/>
      <w:sz w:val="30"/>
    </w:rPr>
  </w:style>
  <w:style w:type="table" w:styleId="19">
    <w:name w:val="Table Grid"/>
    <w:qFormat/>
    <w:uiPriority w:val="39"/>
    <w:pPr>
      <w:spacing w:line="300" w:lineRule="exact"/>
      <w:jc w:val="center"/>
    </w:pPr>
    <w:rPr>
      <w:rFonts w:ascii="Times New Roman" w:hAnsi="Times New Roman" w:eastAsia="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blHeader/>
    </w:trPr>
    <w:tcPr>
      <w:vAlign w:val="center"/>
    </w:tcPr>
  </w:style>
  <w:style w:type="character" w:styleId="21">
    <w:name w:val="Emphasis"/>
    <w:qFormat/>
    <w:uiPriority w:val="20"/>
    <w:rPr>
      <w:color w:val="CC0000"/>
    </w:rPr>
  </w:style>
  <w:style w:type="character" w:styleId="22">
    <w:name w:val="Hyperlink"/>
    <w:basedOn w:val="20"/>
    <w:unhideWhenUsed/>
    <w:qFormat/>
    <w:uiPriority w:val="99"/>
    <w:rPr>
      <w:color w:val="0000FF"/>
      <w:u w:val="single"/>
    </w:rPr>
  </w:style>
  <w:style w:type="character" w:styleId="23">
    <w:name w:val="annotation reference"/>
    <w:unhideWhenUsed/>
    <w:qFormat/>
    <w:uiPriority w:val="99"/>
    <w:rPr>
      <w:sz w:val="21"/>
      <w:szCs w:val="21"/>
    </w:rPr>
  </w:style>
  <w:style w:type="character" w:styleId="24">
    <w:name w:val="footnote reference"/>
    <w:qFormat/>
    <w:uiPriority w:val="0"/>
    <w:rPr>
      <w:vertAlign w:val="superscript"/>
    </w:rPr>
  </w:style>
  <w:style w:type="paragraph" w:customStyle="1" w:styleId="25">
    <w:name w:val="纯文本1"/>
    <w:basedOn w:val="1"/>
    <w:qFormat/>
    <w:uiPriority w:val="0"/>
    <w:pPr>
      <w:adjustRightInd w:val="0"/>
      <w:textAlignment w:val="baseline"/>
    </w:pPr>
    <w:rPr>
      <w:rFonts w:ascii="宋体" w:hAnsi="Courier New" w:eastAsia="仿宋_GB2312" w:cs="Times New Roman"/>
      <w:sz w:val="32"/>
      <w:szCs w:val="20"/>
    </w:rPr>
  </w:style>
  <w:style w:type="character" w:customStyle="1" w:styleId="26">
    <w:name w:val="font01"/>
    <w:basedOn w:val="20"/>
    <w:qFormat/>
    <w:uiPriority w:val="0"/>
    <w:rPr>
      <w:rFonts w:hint="eastAsia" w:ascii="宋体" w:hAnsi="宋体" w:eastAsia="宋体" w:cs="宋体"/>
      <w:color w:val="000000"/>
      <w:sz w:val="24"/>
      <w:szCs w:val="24"/>
      <w:u w:val="none"/>
    </w:rPr>
  </w:style>
  <w:style w:type="character" w:customStyle="1" w:styleId="27">
    <w:name w:val="font61"/>
    <w:basedOn w:val="20"/>
    <w:qFormat/>
    <w:uiPriority w:val="0"/>
    <w:rPr>
      <w:rFonts w:hint="eastAsia" w:ascii="宋体" w:hAnsi="宋体" w:eastAsia="宋体" w:cs="宋体"/>
      <w:color w:val="000000"/>
      <w:sz w:val="20"/>
      <w:szCs w:val="20"/>
      <w:u w:val="none"/>
    </w:rPr>
  </w:style>
  <w:style w:type="character" w:customStyle="1" w:styleId="28">
    <w:name w:val="font51"/>
    <w:basedOn w:val="20"/>
    <w:qFormat/>
    <w:uiPriority w:val="0"/>
    <w:rPr>
      <w:rFonts w:hint="eastAsia" w:ascii="宋体" w:hAnsi="宋体" w:eastAsia="宋体" w:cs="宋体"/>
      <w:color w:val="000000"/>
      <w:sz w:val="20"/>
      <w:szCs w:val="20"/>
      <w:u w:val="none"/>
    </w:rPr>
  </w:style>
  <w:style w:type="paragraph" w:styleId="29">
    <w:name w:val="No Spacing"/>
    <w:qFormat/>
    <w:uiPriority w:val="1"/>
    <w:pPr>
      <w:widowControl w:val="0"/>
      <w:jc w:val="both"/>
    </w:pPr>
    <w:rPr>
      <w:rFonts w:ascii="Calibri" w:hAnsi="Calibri" w:eastAsia="仿宋_GB2312" w:cs="Times New Roman"/>
      <w:kern w:val="2"/>
      <w:sz w:val="21"/>
      <w:szCs w:val="22"/>
      <w:lang w:val="en-US" w:eastAsia="zh-CN" w:bidi="ar-SA"/>
    </w:rPr>
  </w:style>
  <w:style w:type="paragraph" w:customStyle="1" w:styleId="30">
    <w:name w:val="样式 (中文) 仿宋_GB2312 三号"/>
    <w:qFormat/>
    <w:uiPriority w:val="0"/>
    <w:pPr>
      <w:widowControl w:val="0"/>
      <w:spacing w:before="50" w:after="50" w:line="560" w:lineRule="exact"/>
      <w:ind w:firstLine="600" w:firstLineChars="200"/>
    </w:pPr>
    <w:rPr>
      <w:rFonts w:ascii="仿宋_GB2312" w:hAnsi="宋体" w:eastAsia="仿宋_GB2312" w:cs="Times New Roman"/>
      <w:bCs/>
      <w:color w:val="000000"/>
      <w:kern w:val="2"/>
      <w:sz w:val="30"/>
      <w:szCs w:val="28"/>
      <w:lang w:val="en-US" w:eastAsia="zh-CN" w:bidi="ar-SA"/>
    </w:rPr>
  </w:style>
  <w:style w:type="paragraph" w:customStyle="1" w:styleId="31">
    <w:name w:val="闻政页码"/>
    <w:qFormat/>
    <w:uiPriority w:val="6"/>
    <w:pPr>
      <w:jc w:val="center"/>
    </w:pPr>
    <w:rPr>
      <w:rFonts w:ascii="Times New Roman" w:hAnsi="Times New Roman" w:eastAsia="Times New Roman" w:cs="Times New Roman"/>
      <w:sz w:val="21"/>
      <w:szCs w:val="28"/>
      <w:lang w:val="en-US" w:eastAsia="zh-CN" w:bidi="ar-SA"/>
    </w:rPr>
  </w:style>
  <w:style w:type="paragraph" w:customStyle="1" w:styleId="32">
    <w:name w:val="闻政封面项目信息"/>
    <w:next w:val="33"/>
    <w:qFormat/>
    <w:uiPriority w:val="0"/>
    <w:pPr>
      <w:widowControl w:val="0"/>
      <w:spacing w:before="120"/>
      <w:ind w:left="800" w:leftChars="800"/>
      <w:jc w:val="left"/>
    </w:pPr>
    <w:rPr>
      <w:rFonts w:ascii="Times New Roman" w:hAnsi="Times New Roman" w:eastAsia="黑体" w:cs="Times New Roman"/>
      <w:kern w:val="0"/>
      <w:sz w:val="28"/>
      <w:szCs w:val="28"/>
      <w:lang w:val="en-US" w:eastAsia="zh-CN" w:bidi="ar-SA"/>
    </w:rPr>
  </w:style>
  <w:style w:type="paragraph" w:customStyle="1" w:styleId="33">
    <w:name w:val="闻政封面完成时间"/>
    <w:qFormat/>
    <w:uiPriority w:val="0"/>
    <w:pPr>
      <w:widowControl w:val="0"/>
      <w:spacing w:before="120"/>
      <w:ind w:left="0" w:leftChars="0"/>
      <w:jc w:val="center"/>
    </w:pPr>
    <w:rPr>
      <w:rFonts w:ascii="Times New Roman" w:hAnsi="Times New Roman" w:eastAsia="黑体" w:cs="Times New Roman"/>
      <w:b/>
      <w:kern w:val="0"/>
      <w:sz w:val="28"/>
      <w:szCs w:val="28"/>
      <w:lang w:val="en-US" w:eastAsia="zh-CN" w:bidi="ar-SA"/>
    </w:rPr>
  </w:style>
  <w:style w:type="paragraph" w:customStyle="1" w:styleId="34">
    <w:name w:val="闻政摘要标题"/>
    <w:qFormat/>
    <w:uiPriority w:val="2"/>
    <w:pPr>
      <w:widowControl w:val="0"/>
      <w:spacing w:before="480" w:after="360"/>
      <w:jc w:val="center"/>
      <w:outlineLvl w:val="0"/>
    </w:pPr>
    <w:rPr>
      <w:rFonts w:ascii="Times New Roman" w:hAnsi="Times New Roman" w:eastAsia="黑体" w:cs="Times New Roman"/>
      <w:b/>
      <w:snapToGrid w:val="0"/>
      <w:kern w:val="2"/>
      <w:sz w:val="32"/>
      <w:szCs w:val="24"/>
      <w:lang w:val="en-US" w:eastAsia="zh-CN" w:bidi="ar-SA"/>
    </w:rPr>
  </w:style>
  <w:style w:type="paragraph" w:customStyle="1" w:styleId="35">
    <w:name w:val="正文-闻政"/>
    <w:link w:val="47"/>
    <w:qFormat/>
    <w:uiPriority w:val="0"/>
    <w:pPr>
      <w:spacing w:line="500" w:lineRule="exact"/>
      <w:ind w:firstLine="200" w:firstLineChars="200"/>
    </w:pPr>
    <w:rPr>
      <w:rFonts w:ascii="等线" w:hAnsi="等线" w:eastAsia="仿宋_GB2312" w:cs="Times New Roman"/>
      <w:kern w:val="2"/>
      <w:sz w:val="28"/>
      <w:szCs w:val="22"/>
      <w:lang w:val="en-US" w:eastAsia="zh-CN" w:bidi="ar-SA"/>
    </w:rPr>
  </w:style>
  <w:style w:type="paragraph" w:customStyle="1" w:styleId="36">
    <w:name w:val="闻政封面标题"/>
    <w:next w:val="32"/>
    <w:qFormat/>
    <w:uiPriority w:val="0"/>
    <w:pPr>
      <w:widowControl w:val="0"/>
      <w:spacing w:before="480" w:after="360"/>
      <w:jc w:val="center"/>
    </w:pPr>
    <w:rPr>
      <w:rFonts w:ascii="Times New Roman" w:hAnsi="Times New Roman" w:eastAsia="黑体" w:cs="Times New Roman"/>
      <w:b/>
      <w:snapToGrid w:val="0"/>
      <w:kern w:val="2"/>
      <w:sz w:val="32"/>
      <w:szCs w:val="24"/>
      <w:lang w:val="en-US" w:eastAsia="zh-CN" w:bidi="ar-SA"/>
    </w:rPr>
  </w:style>
  <w:style w:type="paragraph" w:customStyle="1" w:styleId="37">
    <w:name w:val="闻政表"/>
    <w:qFormat/>
    <w:uiPriority w:val="0"/>
    <w:pPr>
      <w:widowControl w:val="0"/>
      <w:spacing w:before="60" w:after="60"/>
      <w:jc w:val="center"/>
    </w:pPr>
    <w:rPr>
      <w:rFonts w:ascii="Times New Roman" w:hAnsi="Times New Roman" w:eastAsia="仿宋_GB2312" w:cs="Times New Roman"/>
      <w:b/>
      <w:kern w:val="2"/>
      <w:sz w:val="24"/>
      <w:szCs w:val="28"/>
      <w:lang w:val="en-US" w:eastAsia="zh-CN" w:bidi="ar-SA"/>
    </w:rPr>
  </w:style>
  <w:style w:type="character" w:customStyle="1" w:styleId="38">
    <w:name w:val="my正文 Char"/>
    <w:link w:val="39"/>
    <w:qFormat/>
    <w:uiPriority w:val="0"/>
    <w:rPr>
      <w:rFonts w:ascii="Times New Roman" w:hAnsi="Times New Roman" w:eastAsia="仿宋" w:cs="Times New Roman"/>
      <w:kern w:val="0"/>
      <w:sz w:val="28"/>
      <w:szCs w:val="24"/>
      <w:lang w:val="en-US" w:eastAsia="zh-CN" w:bidi="ar-SA"/>
    </w:rPr>
  </w:style>
  <w:style w:type="paragraph" w:customStyle="1" w:styleId="39">
    <w:name w:val="my正文"/>
    <w:link w:val="38"/>
    <w:qFormat/>
    <w:uiPriority w:val="0"/>
    <w:pPr>
      <w:widowControl w:val="0"/>
      <w:spacing w:line="360" w:lineRule="auto"/>
      <w:ind w:firstLine="496" w:firstLineChars="177"/>
      <w:jc w:val="both"/>
    </w:pPr>
    <w:rPr>
      <w:rFonts w:ascii="Times New Roman" w:hAnsi="Times New Roman" w:eastAsia="仿宋" w:cs="Times New Roman"/>
      <w:kern w:val="0"/>
      <w:sz w:val="28"/>
      <w:szCs w:val="24"/>
      <w:lang w:val="en-US" w:eastAsia="zh-CN" w:bidi="ar-SA"/>
    </w:rPr>
  </w:style>
  <w:style w:type="character" w:customStyle="1" w:styleId="40">
    <w:name w:val="闻政正文 Char"/>
    <w:link w:val="14"/>
    <w:qFormat/>
    <w:uiPriority w:val="3"/>
    <w:rPr>
      <w:rFonts w:ascii="Times New Roman" w:hAnsi="Times New Roman" w:eastAsia="仿宋_GB2312" w:cs="Times New Roman"/>
      <w:kern w:val="0"/>
      <w:sz w:val="28"/>
      <w:szCs w:val="28"/>
      <w:lang w:val="en-US" w:eastAsia="zh-CN" w:bidi="ar-SA"/>
    </w:rPr>
  </w:style>
  <w:style w:type="paragraph" w:customStyle="1" w:styleId="41">
    <w:name w:val="闻政附件标题"/>
    <w:qFormat/>
    <w:uiPriority w:val="5"/>
    <w:pPr>
      <w:widowControl w:val="0"/>
      <w:numPr>
        <w:ilvl w:val="5"/>
        <w:numId w:val="1"/>
      </w:numPr>
      <w:spacing w:before="120" w:after="60" w:line="240" w:lineRule="auto"/>
      <w:ind w:firstLine="200" w:firstLineChars="0"/>
      <w:jc w:val="both"/>
      <w:outlineLvl w:val="0"/>
    </w:pPr>
    <w:rPr>
      <w:rFonts w:ascii="Times New Roman" w:hAnsi="Times New Roman" w:eastAsia="黑体" w:cs="Times New Roman"/>
      <w:b/>
      <w:kern w:val="0"/>
      <w:sz w:val="32"/>
      <w:szCs w:val="28"/>
      <w:lang w:val="en-US" w:eastAsia="zh-CN" w:bidi="ar-SA"/>
    </w:rPr>
  </w:style>
  <w:style w:type="paragraph" w:customStyle="1" w:styleId="42">
    <w:name w:val="闻政表文字"/>
    <w:autoRedefine/>
    <w:qFormat/>
    <w:uiPriority w:val="5"/>
    <w:pPr>
      <w:widowControl/>
      <w:pBdr>
        <w:between w:val="single" w:color="auto" w:sz="4" w:space="1"/>
      </w:pBdr>
      <w:spacing w:line="320" w:lineRule="exact"/>
      <w:ind w:firstLine="0" w:firstLineChars="0"/>
      <w:jc w:val="center"/>
    </w:pPr>
    <w:rPr>
      <w:rFonts w:ascii="Times New Roman" w:hAnsi="Times New Roman" w:eastAsia="宋体" w:cs="宋体"/>
      <w:bCs/>
      <w:color w:val="000000"/>
      <w:kern w:val="0"/>
      <w:sz w:val="22"/>
      <w:szCs w:val="22"/>
      <w:lang w:val="en-US" w:eastAsia="zh-CN" w:bidi="ar-SA"/>
    </w:rPr>
  </w:style>
  <w:style w:type="paragraph" w:customStyle="1" w:styleId="43">
    <w:name w:val="正文文本样式"/>
    <w:qFormat/>
    <w:uiPriority w:val="0"/>
    <w:pPr>
      <w:spacing w:line="360" w:lineRule="auto"/>
      <w:ind w:firstLine="480" w:firstLineChars="200"/>
    </w:pPr>
    <w:rPr>
      <w:rFonts w:ascii="Arial" w:hAnsi="Arial" w:eastAsia="宋体" w:cs="Times New Roman"/>
      <w:kern w:val="2"/>
      <w:sz w:val="24"/>
      <w:szCs w:val="22"/>
      <w:lang w:val="en-US" w:eastAsia="zh-CN" w:bidi="ar-SA"/>
    </w:rPr>
  </w:style>
  <w:style w:type="paragraph" w:customStyle="1" w:styleId="44">
    <w:name w:val="闻政附件一级标题"/>
    <w:next w:val="45"/>
    <w:qFormat/>
    <w:uiPriority w:val="7"/>
    <w:pPr>
      <w:widowControl w:val="0"/>
      <w:spacing w:before="120" w:after="60" w:line="500" w:lineRule="exact"/>
      <w:ind w:firstLine="0" w:firstLineChars="0"/>
      <w:jc w:val="left"/>
    </w:pPr>
    <w:rPr>
      <w:rFonts w:ascii="Times New Roman" w:hAnsi="Times New Roman" w:eastAsia="仿宋_GB2312" w:cs="宋体"/>
      <w:b/>
      <w:kern w:val="0"/>
      <w:sz w:val="28"/>
      <w:szCs w:val="28"/>
      <w:lang w:val="en-US" w:eastAsia="zh-CN" w:bidi="ar-SA"/>
    </w:rPr>
  </w:style>
  <w:style w:type="paragraph" w:customStyle="1" w:styleId="45">
    <w:name w:val="闻政附件正文"/>
    <w:qFormat/>
    <w:uiPriority w:val="99"/>
    <w:pPr>
      <w:widowControl w:val="0"/>
      <w:spacing w:line="500" w:lineRule="exact"/>
      <w:ind w:firstLine="200" w:firstLineChars="200"/>
      <w:jc w:val="both"/>
    </w:pPr>
    <w:rPr>
      <w:rFonts w:ascii="Times New Roman" w:hAnsi="Times New Roman" w:eastAsia="仿宋_GB2312" w:cs="Times New Roman"/>
      <w:kern w:val="0"/>
      <w:sz w:val="24"/>
      <w:szCs w:val="28"/>
      <w:lang w:val="en-US" w:eastAsia="zh-CN" w:bidi="ar-SA"/>
    </w:rPr>
  </w:style>
  <w:style w:type="paragraph" w:customStyle="1" w:styleId="46">
    <w:name w:val="闻政附件报告名"/>
    <w:autoRedefine/>
    <w:qFormat/>
    <w:uiPriority w:val="9"/>
    <w:pPr>
      <w:widowControl w:val="0"/>
      <w:spacing w:before="120" w:after="60" w:line="500" w:lineRule="exact"/>
      <w:ind w:firstLine="0" w:firstLineChars="0"/>
      <w:jc w:val="center"/>
    </w:pPr>
    <w:rPr>
      <w:rFonts w:ascii="Times New Roman" w:hAnsi="Times New Roman" w:eastAsia="仿宋_GB2312" w:cs="Times New Roman"/>
      <w:b/>
      <w:kern w:val="0"/>
      <w:sz w:val="28"/>
      <w:szCs w:val="28"/>
      <w:lang w:val="en-US" w:eastAsia="zh-CN" w:bidi="ar-SA"/>
    </w:rPr>
  </w:style>
  <w:style w:type="character" w:customStyle="1" w:styleId="47">
    <w:name w:val="正文-闻政 Char"/>
    <w:link w:val="35"/>
    <w:qFormat/>
    <w:uiPriority w:val="0"/>
    <w:rPr>
      <w:rFonts w:ascii="等线" w:hAnsi="等线" w:eastAsia="仿宋_GB2312"/>
      <w:kern w:val="2"/>
      <w:sz w:val="28"/>
      <w:szCs w:val="22"/>
      <w:lang w:val="en-US" w:eastAsia="zh-CN" w:bidi="ar-SA"/>
    </w:rPr>
  </w:style>
  <w:style w:type="paragraph" w:customStyle="1" w:styleId="48">
    <w:name w:val="列出段落1"/>
    <w:qFormat/>
    <w:uiPriority w:val="34"/>
    <w:pPr>
      <w:widowControl w:val="0"/>
      <w:ind w:firstLine="420" w:firstLineChars="200"/>
      <w:jc w:val="both"/>
    </w:pPr>
    <w:rPr>
      <w:rFonts w:ascii="Calibri" w:hAnsi="Calibri" w:eastAsia="宋体" w:cs="Times New Roman"/>
      <w:kern w:val="0"/>
      <w:sz w:val="20"/>
      <w:szCs w:val="20"/>
      <w:lang w:val="en-US" w:eastAsia="zh-CN" w:bidi="ar-SA"/>
    </w:rPr>
  </w:style>
  <w:style w:type="paragraph" w:customStyle="1" w:styleId="49">
    <w:name w:val="正文首行缩进1"/>
    <w:qFormat/>
    <w:uiPriority w:val="0"/>
    <w:pPr>
      <w:spacing w:after="120"/>
      <w:ind w:firstLine="420"/>
    </w:pPr>
    <w:rPr>
      <w:rFonts w:eastAsia="Calibri" w:cs="Calibri" w:asciiTheme="minorHAnsi" w:hAnsiTheme="minorHAnsi"/>
      <w:color w:val="000000"/>
      <w:kern w:val="2"/>
      <w:sz w:val="21"/>
      <w:szCs w:val="21"/>
      <w:lang w:val="en-US" w:eastAsia="zh-CN" w:bidi="ar-SA"/>
    </w:rPr>
  </w:style>
  <w:style w:type="paragraph" w:customStyle="1" w:styleId="50">
    <w:name w:val="BodyText1I2"/>
    <w:basedOn w:val="1"/>
    <w:autoRedefine/>
    <w:qFormat/>
    <w:uiPriority w:val="0"/>
    <w:pPr>
      <w:widowControl/>
      <w:spacing w:after="156"/>
      <w:ind w:left="420" w:leftChars="200" w:firstLine="420"/>
      <w:jc w:val="left"/>
    </w:pPr>
    <w:rPr>
      <w:color w:val="000000"/>
      <w:sz w:val="24"/>
      <w:szCs w:val="20"/>
    </w:rPr>
  </w:style>
  <w:style w:type="character" w:customStyle="1" w:styleId="51">
    <w:name w:val="NormalCharacter"/>
    <w:autoRedefine/>
    <w:semiHidden/>
    <w:qFormat/>
    <w:uiPriority w:val="0"/>
    <w:rPr>
      <w:rFonts w:hint="default" w:ascii="Times New Roman" w:hAnsi="Times New Roman" w:eastAsia="仿宋_GB2312" w:cs="Times New Roman"/>
      <w:kern w:val="2"/>
      <w:sz w:val="30"/>
      <w:szCs w:val="24"/>
      <w:lang w:val="en-US" w:eastAsia="zh-CN" w:bidi="ar-SA"/>
    </w:rPr>
  </w:style>
  <w:style w:type="paragraph" w:customStyle="1" w:styleId="52">
    <w:name w:val="样式11"/>
    <w:basedOn w:val="1"/>
    <w:autoRedefine/>
    <w:qFormat/>
    <w:uiPriority w:val="0"/>
    <w:pPr>
      <w:spacing w:line="600" w:lineRule="exact"/>
      <w:ind w:firstLine="602" w:firstLineChars="200"/>
    </w:pPr>
    <w:rPr>
      <w:rFonts w:ascii="宋体" w:hAnsi="宋体" w:eastAsiaTheme="minorEastAsia" w:cstheme="minorBidi"/>
      <w:b/>
      <w:sz w:val="30"/>
      <w:szCs w:val="30"/>
    </w:rPr>
  </w:style>
  <w:style w:type="paragraph" w:customStyle="1" w:styleId="53">
    <w:name w:val="正文 A"/>
    <w:autoRedefine/>
    <w:qFormat/>
    <w:uiPriority w:val="0"/>
    <w:pPr>
      <w:widowControl w:val="0"/>
      <w:jc w:val="both"/>
    </w:pPr>
    <w:rPr>
      <w:rFonts w:ascii="Times New Roman" w:hAnsi="Arial Unicode MS" w:eastAsia="Arial Unicode MS" w:cs="Arial Unicode MS"/>
      <w:color w:val="000000"/>
      <w:kern w:val="2"/>
      <w:sz w:val="21"/>
      <w:szCs w:val="21"/>
      <w:u w:color="000000"/>
      <w:lang w:val="en-US" w:eastAsia="zh-CN" w:bidi="ar-SA"/>
    </w:rPr>
  </w:style>
  <w:style w:type="paragraph" w:customStyle="1" w:styleId="54">
    <w:name w:val="首行缩进"/>
    <w:basedOn w:val="1"/>
    <w:autoRedefine/>
    <w:qFormat/>
    <w:uiPriority w:val="99"/>
    <w:pPr>
      <w:spacing w:line="360" w:lineRule="auto"/>
      <w:ind w:firstLine="480" w:firstLineChars="200"/>
    </w:pPr>
    <w:rPr>
      <w:rFonts w:ascii="宋体" w:hAnsi="宋体" w:cs="宋体"/>
      <w:kern w:val="0"/>
    </w:rPr>
  </w:style>
  <w:style w:type="paragraph" w:customStyle="1" w:styleId="55">
    <w:name w:val="Style1"/>
    <w:basedOn w:val="1"/>
    <w:autoRedefine/>
    <w:qFormat/>
    <w:uiPriority w:val="0"/>
    <w:pPr>
      <w:widowControl/>
      <w:tabs>
        <w:tab w:val="left" w:pos="-720"/>
      </w:tabs>
      <w:spacing w:after="120" w:line="400" w:lineRule="exact"/>
      <w:ind w:firstLine="200" w:firstLineChars="200"/>
    </w:pPr>
    <w:rPr>
      <w:rFonts w:ascii="Times New Roman" w:hAnsi="Times New Roman"/>
      <w:spacing w:val="-3"/>
      <w:kern w:val="0"/>
      <w:sz w:val="24"/>
      <w:lang w:val="en-AU"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18908</Words>
  <Characters>20958</Characters>
  <Lines>0</Lines>
  <Paragraphs>0</Paragraphs>
  <TotalTime>25</TotalTime>
  <ScaleCrop>false</ScaleCrop>
  <LinksUpToDate>false</LinksUpToDate>
  <CharactersWithSpaces>21044</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2021-05-15T08:41:00Z</dcterms:created>
  <dc:creator>刘鹏</dc:creator>
  <cp:lastModifiedBy>Administrator</cp:lastModifiedBy>
  <cp:lastPrinted>2022-11-11T08:34:00Z</cp:lastPrinted>
  <dcterms:modified xsi:type="dcterms:W3CDTF">2024-05-06T09:17:46Z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9B13EB97A2754A32BEE66D4062EB62D0_13</vt:lpwstr>
  </property>
</Properties>
</file>