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小标宋简体" w:hAnsi="方正小标宋简体" w:eastAsia="方正小标宋简体" w:cs="方正小标宋简体"/>
          <w:spacing w:val="8"/>
          <w:w w:val="95"/>
          <w:sz w:val="72"/>
          <w:highlight w:val="none"/>
          <w:lang w:val="en-US" w:eastAsia="zh-CN"/>
        </w:rPr>
      </w:pPr>
    </w:p>
    <w:p>
      <w:pPr>
        <w:jc w:val="center"/>
        <w:rPr>
          <w:rFonts w:hint="eastAsia" w:ascii="方正小标宋简体" w:hAnsi="方正小标宋简体" w:eastAsia="方正小标宋简体" w:cs="方正小标宋简体"/>
          <w:spacing w:val="4"/>
          <w:w w:val="95"/>
          <w:sz w:val="70"/>
          <w:szCs w:val="70"/>
          <w:highlight w:val="none"/>
          <w:lang w:eastAsia="zh-CN"/>
        </w:rPr>
      </w:pPr>
      <w:r>
        <w:rPr>
          <w:rFonts w:hint="eastAsia" w:ascii="方正小标宋简体" w:hAnsi="方正小标宋简体" w:eastAsia="方正小标宋简体" w:cs="方正小标宋简体"/>
          <w:spacing w:val="8"/>
          <w:w w:val="95"/>
          <w:sz w:val="70"/>
          <w:szCs w:val="70"/>
          <w:highlight w:val="none"/>
          <w:lang w:val="en-US" w:eastAsia="zh-CN"/>
        </w:rPr>
        <w:t>2022</w:t>
      </w:r>
      <w:r>
        <w:rPr>
          <w:rFonts w:hint="eastAsia" w:ascii="方正小标宋简体" w:hAnsi="方正小标宋简体" w:eastAsia="方正小标宋简体" w:cs="方正小标宋简体"/>
          <w:spacing w:val="4"/>
          <w:w w:val="95"/>
          <w:sz w:val="70"/>
          <w:szCs w:val="70"/>
          <w:highlight w:val="none"/>
        </w:rPr>
        <w:t>年</w:t>
      </w:r>
      <w:r>
        <w:rPr>
          <w:rFonts w:hint="eastAsia" w:ascii="方正小标宋简体" w:hAnsi="方正小标宋简体" w:eastAsia="方正小标宋简体" w:cs="方正小标宋简体"/>
          <w:spacing w:val="4"/>
          <w:w w:val="95"/>
          <w:sz w:val="70"/>
          <w:szCs w:val="70"/>
          <w:highlight w:val="none"/>
          <w:lang w:eastAsia="zh-CN"/>
        </w:rPr>
        <w:t>文登区政府</w:t>
      </w:r>
      <w:r>
        <w:rPr>
          <w:rFonts w:hint="eastAsia" w:ascii="方正小标宋简体" w:hAnsi="方正小标宋简体" w:eastAsia="方正小标宋简体" w:cs="方正小标宋简体"/>
          <w:spacing w:val="4"/>
          <w:w w:val="95"/>
          <w:sz w:val="70"/>
          <w:szCs w:val="70"/>
          <w:highlight w:val="none"/>
        </w:rPr>
        <w:t>决算</w:t>
      </w:r>
      <w:r>
        <w:rPr>
          <w:rFonts w:hint="eastAsia" w:ascii="方正小标宋简体" w:hAnsi="方正小标宋简体" w:eastAsia="方正小标宋简体" w:cs="方正小标宋简体"/>
          <w:spacing w:val="4"/>
          <w:w w:val="95"/>
          <w:sz w:val="70"/>
          <w:szCs w:val="70"/>
          <w:highlight w:val="none"/>
          <w:lang w:eastAsia="zh-CN"/>
        </w:rPr>
        <w:t>公开</w:t>
      </w:r>
    </w:p>
    <w:p>
      <w:pPr>
        <w:jc w:val="center"/>
        <w:rPr>
          <w:rFonts w:hint="eastAsia" w:ascii="方正小标宋简体" w:hAnsi="方正小标宋简体" w:eastAsia="方正小标宋简体" w:cs="方正小标宋简体"/>
          <w:spacing w:val="4"/>
          <w:w w:val="95"/>
          <w:sz w:val="70"/>
          <w:szCs w:val="70"/>
          <w:highlight w:val="none"/>
          <w:lang w:eastAsia="zh-CN"/>
        </w:rPr>
      </w:pPr>
      <w:r>
        <w:rPr>
          <w:rFonts w:hint="eastAsia" w:ascii="方正小标宋简体" w:hAnsi="方正小标宋简体" w:eastAsia="方正小标宋简体" w:cs="方正小标宋简体"/>
          <w:spacing w:val="4"/>
          <w:w w:val="95"/>
          <w:sz w:val="70"/>
          <w:szCs w:val="70"/>
          <w:highlight w:val="none"/>
          <w:lang w:eastAsia="zh-CN"/>
        </w:rPr>
        <w:t>其他相关情况</w:t>
      </w:r>
    </w:p>
    <w:p>
      <w:pPr>
        <w:ind w:firstLine="2019" w:firstLineChars="300"/>
        <w:jc w:val="both"/>
        <w:rPr>
          <w:rFonts w:hint="eastAsia" w:ascii="方正小标宋简体" w:hAnsi="方正小标宋简体" w:eastAsia="方正小标宋简体" w:cs="方正小标宋简体"/>
          <w:spacing w:val="4"/>
          <w:w w:val="95"/>
          <w:sz w:val="70"/>
          <w:szCs w:val="70"/>
          <w:highlight w:val="none"/>
          <w:lang w:eastAsia="zh-CN"/>
        </w:rPr>
      </w:pPr>
    </w:p>
    <w:p>
      <w:pPr>
        <w:ind w:firstLine="2019" w:firstLineChars="300"/>
        <w:jc w:val="both"/>
        <w:rPr>
          <w:rFonts w:hint="eastAsia" w:ascii="方正小标宋简体" w:hAnsi="方正小标宋简体" w:eastAsia="方正小标宋简体" w:cs="方正小标宋简体"/>
          <w:spacing w:val="4"/>
          <w:w w:val="95"/>
          <w:sz w:val="70"/>
          <w:szCs w:val="70"/>
          <w:highlight w:val="none"/>
          <w:lang w:eastAsia="zh-CN"/>
        </w:rPr>
      </w:pPr>
    </w:p>
    <w:p>
      <w:pPr>
        <w:ind w:firstLine="2019" w:firstLineChars="300"/>
        <w:jc w:val="both"/>
        <w:rPr>
          <w:rFonts w:hint="eastAsia" w:ascii="方正小标宋简体" w:hAnsi="方正小标宋简体" w:eastAsia="方正小标宋简体" w:cs="方正小标宋简体"/>
          <w:spacing w:val="4"/>
          <w:w w:val="95"/>
          <w:sz w:val="70"/>
          <w:szCs w:val="70"/>
          <w:highlight w:val="none"/>
          <w:lang w:eastAsia="zh-CN"/>
        </w:rPr>
      </w:pPr>
    </w:p>
    <w:p>
      <w:pPr>
        <w:ind w:firstLine="2019" w:firstLineChars="300"/>
        <w:jc w:val="both"/>
        <w:rPr>
          <w:rFonts w:hint="eastAsia" w:ascii="方正小标宋简体" w:hAnsi="方正小标宋简体" w:eastAsia="方正小标宋简体" w:cs="方正小标宋简体"/>
          <w:spacing w:val="4"/>
          <w:w w:val="95"/>
          <w:sz w:val="70"/>
          <w:szCs w:val="70"/>
          <w:highlight w:val="none"/>
          <w:lang w:eastAsia="zh-CN"/>
        </w:rPr>
      </w:pPr>
    </w:p>
    <w:p>
      <w:pPr>
        <w:jc w:val="both"/>
        <w:rPr>
          <w:rFonts w:hint="default" w:ascii="方正小标宋简体" w:hAnsi="方正小标宋简体" w:eastAsia="方正小标宋简体" w:cs="方正小标宋简体"/>
          <w:spacing w:val="4"/>
          <w:w w:val="95"/>
          <w:sz w:val="70"/>
          <w:szCs w:val="70"/>
          <w:highlight w:val="none"/>
          <w:lang w:val="en-US" w:eastAsia="zh-CN"/>
        </w:rPr>
      </w:pPr>
    </w:p>
    <w:tbl>
      <w:tblPr>
        <w:tblStyle w:val="18"/>
        <w:tblW w:w="8279" w:type="dxa"/>
        <w:tblInd w:w="93" w:type="dxa"/>
        <w:shd w:val="clear" w:color="auto" w:fill="auto"/>
        <w:tblLayout w:type="autofit"/>
        <w:tblCellMar>
          <w:top w:w="0" w:type="dxa"/>
          <w:left w:w="108" w:type="dxa"/>
          <w:bottom w:w="0" w:type="dxa"/>
          <w:right w:w="108" w:type="dxa"/>
        </w:tblCellMar>
      </w:tblPr>
      <w:tblGrid>
        <w:gridCol w:w="1871"/>
        <w:gridCol w:w="6408"/>
      </w:tblGrid>
      <w:tr>
        <w:tblPrEx>
          <w:shd w:val="clear" w:color="auto" w:fill="auto"/>
          <w:tblCellMar>
            <w:top w:w="0" w:type="dxa"/>
            <w:left w:w="108" w:type="dxa"/>
            <w:bottom w:w="0" w:type="dxa"/>
            <w:right w:w="108" w:type="dxa"/>
          </w:tblCellMar>
        </w:tblPrEx>
        <w:trPr>
          <w:trHeight w:val="510" w:hRule="atLeast"/>
        </w:trPr>
        <w:tc>
          <w:tcPr>
            <w:tcW w:w="1871" w:type="dxa"/>
            <w:tcBorders>
              <w:top w:val="nil"/>
              <w:left w:val="nil"/>
              <w:bottom w:val="nil"/>
              <w:right w:val="nil"/>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附件1</w:t>
            </w:r>
          </w:p>
        </w:tc>
        <w:tc>
          <w:tcPr>
            <w:tcW w:w="6408" w:type="dxa"/>
            <w:tcBorders>
              <w:top w:val="nil"/>
              <w:left w:val="nil"/>
              <w:bottom w:val="nil"/>
              <w:right w:val="nil"/>
            </w:tcBorders>
            <w:shd w:val="clear" w:color="auto" w:fill="FFFFFF"/>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2022年重大政策和重点项目绩效执行结果</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附件2</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2022年财政转移支付安排说明</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附件3</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u w:val="none"/>
                <w:lang w:val="en-US" w:eastAsia="zh-CN" w:bidi="ar"/>
              </w:rPr>
              <w:t>2022年文登区政府债务决算的说明</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附件4</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2022年三公经费分项数据及增减变化说明</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附件5</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2022年预算绩效工作开展情况</w:t>
            </w:r>
          </w:p>
        </w:tc>
      </w:tr>
    </w:tbl>
    <w:p>
      <w:pPr>
        <w:jc w:val="both"/>
        <w:rPr>
          <w:rFonts w:hint="eastAsia" w:ascii="方正小标宋简体" w:hAnsi="方正小标宋简体" w:eastAsia="方正小标宋简体" w:cs="方正小标宋简体"/>
          <w:spacing w:val="4"/>
          <w:w w:val="95"/>
          <w:sz w:val="20"/>
          <w:szCs w:val="20"/>
          <w:highlight w:val="none"/>
          <w:lang w:eastAsia="zh-CN"/>
        </w:rPr>
      </w:pPr>
    </w:p>
    <w:p>
      <w:pPr>
        <w:pStyle w:val="2"/>
        <w:rPr>
          <w:rFonts w:hint="eastAsia" w:ascii="方正小标宋简体" w:hAnsi="方正小标宋简体" w:eastAsia="方正小标宋简体" w:cs="方正小标宋简体"/>
          <w:spacing w:val="4"/>
          <w:w w:val="95"/>
          <w:sz w:val="20"/>
          <w:szCs w:val="20"/>
          <w:highlight w:val="none"/>
          <w:lang w:eastAsia="zh-CN"/>
        </w:rPr>
      </w:pPr>
    </w:p>
    <w:p>
      <w:pPr>
        <w:rPr>
          <w:rFonts w:hint="eastAsia" w:ascii="方正小标宋简体" w:hAnsi="方正小标宋简体" w:eastAsia="方正小标宋简体" w:cs="方正小标宋简体"/>
          <w:spacing w:val="4"/>
          <w:w w:val="95"/>
          <w:sz w:val="20"/>
          <w:szCs w:val="20"/>
          <w:highlight w:val="none"/>
          <w:lang w:eastAsia="zh-CN"/>
        </w:rPr>
      </w:pPr>
    </w:p>
    <w:p>
      <w:pPr>
        <w:pStyle w:val="2"/>
        <w:rPr>
          <w:rFonts w:hint="eastAsia"/>
          <w:lang w:eastAsia="zh-CN"/>
        </w:rPr>
      </w:pPr>
    </w:p>
    <w:p>
      <w:pPr>
        <w:pageBreakBefore w:val="0"/>
        <w:kinsoku/>
        <w:wordWrap/>
        <w:topLinePunct w:val="0"/>
        <w:bidi w:val="0"/>
        <w:spacing w:line="560" w:lineRule="exact"/>
        <w:jc w:val="both"/>
        <w:rPr>
          <w:rFonts w:hint="eastAsia" w:ascii="仿宋_GB2312" w:hAnsi="仿宋_GB2312" w:eastAsia="仿宋_GB2312" w:cs="仿宋_GB2312"/>
          <w:b/>
          <w:bCs/>
          <w:spacing w:val="4"/>
          <w:w w:val="95"/>
          <w:sz w:val="24"/>
          <w:szCs w:val="24"/>
          <w:highlight w:val="none"/>
          <w:lang w:eastAsia="zh-CN"/>
        </w:rPr>
        <w:sectPr>
          <w:pgSz w:w="11900" w:h="16820"/>
          <w:pgMar w:top="1871" w:right="1474" w:bottom="1871" w:left="1587" w:header="850" w:footer="1389" w:gutter="0"/>
          <w:cols w:space="720" w:num="1"/>
        </w:sectPr>
      </w:pPr>
    </w:p>
    <w:p>
      <w:pPr>
        <w:pageBreakBefore w:val="0"/>
        <w:kinsoku/>
        <w:wordWrap/>
        <w:topLinePunct w:val="0"/>
        <w:bidi w:val="0"/>
        <w:spacing w:line="560" w:lineRule="exact"/>
        <w:jc w:val="both"/>
        <w:rPr>
          <w:rFonts w:hint="eastAsia" w:ascii="仿宋_GB2312" w:hAnsi="仿宋_GB2312" w:eastAsia="仿宋_GB2312" w:cs="仿宋_GB2312"/>
          <w:b/>
          <w:bCs/>
          <w:spacing w:val="4"/>
          <w:w w:val="95"/>
          <w:sz w:val="24"/>
          <w:szCs w:val="24"/>
          <w:highlight w:val="none"/>
          <w:lang w:val="en-US" w:eastAsia="zh-CN"/>
        </w:rPr>
      </w:pPr>
      <w:r>
        <w:rPr>
          <w:rFonts w:hint="eastAsia" w:ascii="仿宋_GB2312" w:hAnsi="仿宋_GB2312" w:eastAsia="仿宋_GB2312" w:cs="仿宋_GB2312"/>
          <w:b/>
          <w:bCs/>
          <w:spacing w:val="4"/>
          <w:w w:val="95"/>
          <w:sz w:val="24"/>
          <w:szCs w:val="24"/>
          <w:highlight w:val="none"/>
          <w:lang w:eastAsia="zh-CN"/>
        </w:rPr>
        <w:t>附件</w:t>
      </w:r>
      <w:r>
        <w:rPr>
          <w:rFonts w:hint="eastAsia" w:ascii="仿宋_GB2312" w:hAnsi="仿宋_GB2312" w:eastAsia="仿宋_GB2312" w:cs="仿宋_GB2312"/>
          <w:b/>
          <w:bCs/>
          <w:spacing w:val="4"/>
          <w:w w:val="95"/>
          <w:sz w:val="24"/>
          <w:szCs w:val="24"/>
          <w:highlight w:val="none"/>
          <w:lang w:val="en-US" w:eastAsia="zh-CN"/>
        </w:rPr>
        <w:t>1</w:t>
      </w:r>
    </w:p>
    <w:p>
      <w:pPr>
        <w:pStyle w:val="2"/>
        <w:rPr>
          <w:rFonts w:hint="eastAsia"/>
          <w:lang w:val="en-US" w:eastAsia="zh-CN"/>
        </w:rPr>
      </w:pPr>
    </w:p>
    <w:p>
      <w:pPr>
        <w:rPr>
          <w:rFonts w:hint="eastAsia"/>
          <w:lang w:val="en-US" w:eastAsia="zh-CN"/>
        </w:rPr>
      </w:pPr>
    </w:p>
    <w:p>
      <w:pPr>
        <w:rPr>
          <w:rFonts w:hint="eastAsia"/>
          <w:lang w:val="en-US" w:eastAsia="zh-CN"/>
        </w:rPr>
      </w:pPr>
    </w:p>
    <w:p>
      <w:pPr>
        <w:pageBreakBefore w:val="0"/>
        <w:numPr>
          <w:ilvl w:val="0"/>
          <w:numId w:val="0"/>
        </w:numPr>
        <w:tabs>
          <w:tab w:val="left" w:pos="2101"/>
        </w:tabs>
        <w:kinsoku/>
        <w:wordWrap/>
        <w:topLinePunct w:val="0"/>
        <w:bidi w:val="0"/>
        <w:spacing w:before="49" w:line="560" w:lineRule="exact"/>
        <w:ind w:right="0" w:rightChars="0"/>
        <w:jc w:val="center"/>
        <w:rPr>
          <w:rFonts w:eastAsia="黑体"/>
          <w:b/>
          <w:bCs/>
          <w:sz w:val="36"/>
          <w:szCs w:val="36"/>
        </w:rPr>
      </w:pPr>
      <w:r>
        <w:rPr>
          <w:rFonts w:hint="eastAsia" w:ascii="方正小标宋简体" w:hAnsi="方正小标宋简体" w:eastAsia="方正小标宋简体" w:cs="方正小标宋简体"/>
          <w:sz w:val="44"/>
          <w:szCs w:val="44"/>
          <w:highlight w:val="none"/>
          <w:lang w:val="en-US" w:eastAsia="zh-CN"/>
        </w:rPr>
        <w:t>2022年重大政策及重点项目绩效执行结果</w:t>
      </w:r>
    </w:p>
    <w:p>
      <w:pPr>
        <w:pageBreakBefore w:val="0"/>
        <w:kinsoku/>
        <w:wordWrap/>
        <w:topLinePunct w:val="0"/>
        <w:bidi w:val="0"/>
        <w:spacing w:before="62" w:after="62" w:line="560" w:lineRule="exact"/>
        <w:ind w:firstLine="803"/>
        <w:jc w:val="center"/>
        <w:rPr>
          <w:b/>
          <w:bCs/>
          <w:sz w:val="40"/>
          <w:szCs w:val="40"/>
        </w:rPr>
      </w:pP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36"/>
          <w:szCs w:val="36"/>
        </w:rPr>
      </w:pPr>
      <w:r>
        <w:rPr>
          <w:rFonts w:hint="eastAsia" w:ascii="方正小标宋简体" w:hAnsi="方正小标宋简体" w:eastAsia="方正小标宋简体" w:cs="方正小标宋简体"/>
          <w:b w:val="0"/>
          <w:bCs/>
          <w:color w:val="000000"/>
          <w:kern w:val="0"/>
          <w:sz w:val="36"/>
          <w:szCs w:val="36"/>
        </w:rPr>
        <w:t>2022年高标准农田建设项目</w:t>
      </w: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36"/>
          <w:szCs w:val="36"/>
        </w:rPr>
      </w:pPr>
      <w:r>
        <w:rPr>
          <w:rFonts w:hint="eastAsia" w:ascii="方正小标宋简体" w:hAnsi="方正小标宋简体" w:eastAsia="方正小标宋简体" w:cs="方正小标宋简体"/>
          <w:b w:val="0"/>
          <w:bCs/>
          <w:color w:val="000000"/>
          <w:kern w:val="0"/>
          <w:sz w:val="36"/>
          <w:szCs w:val="36"/>
        </w:rPr>
        <w:t>绩效评价报告</w:t>
      </w:r>
    </w:p>
    <w:p>
      <w:pPr>
        <w:autoSpaceDE w:val="0"/>
        <w:autoSpaceDN w:val="0"/>
        <w:adjustRightInd w:val="0"/>
        <w:spacing w:line="590" w:lineRule="exact"/>
        <w:ind w:firstLine="0" w:firstLineChars="0"/>
        <w:jc w:val="center"/>
        <w:rPr>
          <w:rFonts w:ascii="仿宋" w:hAnsi="仿宋" w:eastAsia="仿宋" w:cs="仿宋"/>
          <w:b/>
          <w:bCs/>
          <w:color w:val="000000"/>
          <w:kern w:val="0"/>
          <w:sz w:val="52"/>
          <w:szCs w:val="52"/>
        </w:rPr>
      </w:pPr>
    </w:p>
    <w:p>
      <w:pPr>
        <w:spacing w:line="590" w:lineRule="exact"/>
        <w:ind w:left="680" w:firstLine="640" w:firstLineChars="200"/>
        <w:rPr>
          <w:rFonts w:ascii="仿宋" w:hAnsi="仿宋" w:eastAsia="仿宋" w:cs="仿宋"/>
          <w:sz w:val="32"/>
        </w:rPr>
      </w:pPr>
    </w:p>
    <w:p>
      <w:pPr>
        <w:spacing w:line="590" w:lineRule="exact"/>
        <w:ind w:firstLine="640" w:firstLineChars="200"/>
        <w:rPr>
          <w:rFonts w:ascii="仿宋" w:hAnsi="仿宋" w:eastAsia="仿宋" w:cs="仿宋"/>
          <w:sz w:val="32"/>
        </w:rPr>
      </w:pPr>
    </w:p>
    <w:p>
      <w:pPr>
        <w:spacing w:line="590" w:lineRule="exact"/>
        <w:ind w:firstLine="0" w:firstLineChars="0"/>
        <w:rPr>
          <w:rFonts w:ascii="仿宋" w:hAnsi="仿宋" w:eastAsia="仿宋" w:cs="仿宋"/>
          <w:sz w:val="32"/>
        </w:rPr>
      </w:pPr>
    </w:p>
    <w:p>
      <w:pPr>
        <w:spacing w:line="590" w:lineRule="exact"/>
        <w:ind w:firstLine="602" w:firstLineChars="200"/>
        <w:rPr>
          <w:rFonts w:ascii="仿宋" w:hAnsi="仿宋" w:eastAsia="仿宋" w:cs="仿宋"/>
          <w:b/>
          <w:bCs/>
          <w:sz w:val="30"/>
        </w:rPr>
      </w:pPr>
    </w:p>
    <w:p>
      <w:pPr>
        <w:spacing w:line="590" w:lineRule="exact"/>
        <w:ind w:firstLine="602" w:firstLineChars="200"/>
        <w:rPr>
          <w:rFonts w:ascii="仿宋" w:hAnsi="仿宋" w:eastAsia="仿宋" w:cs="仿宋"/>
          <w:b/>
          <w:bCs/>
          <w:sz w:val="30"/>
        </w:rPr>
      </w:pPr>
    </w:p>
    <w:p>
      <w:pPr>
        <w:spacing w:line="590" w:lineRule="exact"/>
        <w:ind w:firstLine="602" w:firstLineChars="200"/>
        <w:rPr>
          <w:rFonts w:ascii="仿宋" w:hAnsi="仿宋" w:eastAsia="仿宋" w:cs="仿宋"/>
          <w:b/>
          <w:bCs/>
          <w:sz w:val="30"/>
        </w:rPr>
      </w:pPr>
    </w:p>
    <w:p>
      <w:pPr>
        <w:pageBreakBefore w:val="0"/>
        <w:kinsoku/>
        <w:wordWrap/>
        <w:topLinePunct w:val="0"/>
        <w:bidi w:val="0"/>
        <w:spacing w:before="87" w:after="87" w:line="560" w:lineRule="exact"/>
        <w:rPr>
          <w:rFonts w:hint="eastAsia" w:ascii="仿宋" w:hAnsi="仿宋" w:cs="仿宋"/>
          <w:b/>
          <w:bCs/>
          <w:szCs w:val="24"/>
        </w:rPr>
      </w:pPr>
    </w:p>
    <w:p>
      <w:pPr>
        <w:pageBreakBefore w:val="0"/>
        <w:kinsoku/>
        <w:wordWrap/>
        <w:topLinePunct w:val="0"/>
        <w:bidi w:val="0"/>
        <w:spacing w:before="87" w:after="87" w:line="560" w:lineRule="exact"/>
        <w:jc w:val="center"/>
        <w:rPr>
          <w:rFonts w:hint="eastAsia" w:ascii="仿宋" w:hAnsi="仿宋" w:cs="仿宋"/>
          <w:b/>
          <w:bCs/>
          <w:szCs w:val="24"/>
        </w:rPr>
      </w:pPr>
      <w:r>
        <w:rPr>
          <w:rFonts w:hint="eastAsia" w:ascii="仿宋" w:hAnsi="仿宋" w:cs="仿宋"/>
          <w:b/>
          <w:bCs/>
          <w:szCs w:val="24"/>
        </w:rPr>
        <w:t>威海市文登区财政局</w:t>
      </w:r>
    </w:p>
    <w:p>
      <w:pPr>
        <w:pageBreakBefore w:val="0"/>
        <w:kinsoku/>
        <w:wordWrap/>
        <w:topLinePunct w:val="0"/>
        <w:bidi w:val="0"/>
        <w:spacing w:before="87" w:after="87" w:line="560" w:lineRule="exact"/>
        <w:jc w:val="center"/>
        <w:rPr>
          <w:rFonts w:hint="eastAsia" w:ascii="仿宋" w:hAnsi="仿宋" w:cs="仿宋"/>
          <w:b/>
          <w:bCs/>
          <w:szCs w:val="24"/>
        </w:rPr>
        <w:sectPr>
          <w:headerReference r:id="rId5" w:type="first"/>
          <w:footerReference r:id="rId8" w:type="first"/>
          <w:headerReference r:id="rId3" w:type="default"/>
          <w:footerReference r:id="rId6" w:type="default"/>
          <w:headerReference r:id="rId4" w:type="even"/>
          <w:footerReference r:id="rId7" w:type="even"/>
          <w:pgSz w:w="11850" w:h="16783"/>
          <w:pgMar w:top="1440" w:right="1440" w:bottom="1440" w:left="1440" w:header="737" w:footer="1077" w:gutter="0"/>
          <w:cols w:equalWidth="0" w:num="1">
            <w:col w:w="9026"/>
          </w:cols>
          <w:docGrid w:linePitch="360" w:charSpace="0"/>
        </w:sectPr>
      </w:pPr>
      <w:r>
        <w:rPr>
          <w:rFonts w:hint="eastAsia" w:ascii="仿宋" w:hAnsi="仿宋" w:cs="仿宋"/>
          <w:b/>
          <w:bCs/>
          <w:szCs w:val="24"/>
        </w:rPr>
        <w:t>评价时间</w:t>
      </w:r>
      <w:r>
        <w:rPr>
          <w:rFonts w:hint="eastAsia" w:ascii="仿宋" w:hAnsi="仿宋" w:cs="仿宋"/>
          <w:b/>
          <w:bCs/>
          <w:szCs w:val="24"/>
          <w:lang w:eastAsia="zh-CN"/>
        </w:rPr>
        <w:t>：</w:t>
      </w:r>
      <w:r>
        <w:rPr>
          <w:rFonts w:hint="eastAsia" w:ascii="仿宋" w:hAnsi="仿宋" w:cs="仿宋"/>
          <w:b/>
          <w:bCs/>
          <w:szCs w:val="24"/>
        </w:rPr>
        <w:t>202</w:t>
      </w:r>
      <w:r>
        <w:rPr>
          <w:rFonts w:hint="eastAsia" w:ascii="仿宋" w:hAnsi="仿宋" w:cs="仿宋"/>
          <w:b/>
          <w:bCs/>
          <w:szCs w:val="24"/>
          <w:lang w:val="en-US" w:eastAsia="zh-CN"/>
        </w:rPr>
        <w:t>3</w:t>
      </w:r>
      <w:r>
        <w:rPr>
          <w:rFonts w:hint="eastAsia" w:ascii="仿宋" w:hAnsi="仿宋" w:cs="仿宋"/>
          <w:b/>
          <w:bCs/>
          <w:szCs w:val="24"/>
        </w:rPr>
        <w:t xml:space="preserve"> 年 </w:t>
      </w:r>
      <w:r>
        <w:rPr>
          <w:rFonts w:hint="eastAsia" w:ascii="仿宋" w:hAnsi="仿宋" w:cs="仿宋"/>
          <w:b/>
          <w:bCs/>
          <w:szCs w:val="24"/>
          <w:lang w:val="en-US" w:eastAsia="zh-CN"/>
        </w:rPr>
        <w:t>8</w:t>
      </w:r>
      <w:r>
        <w:rPr>
          <w:rFonts w:hint="eastAsia" w:ascii="仿宋" w:hAnsi="仿宋" w:cs="仿宋"/>
          <w:b/>
          <w:bCs/>
          <w:szCs w:val="24"/>
        </w:rPr>
        <w:t xml:space="preserve"> 月</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一、项目基本情况</w:t>
      </w:r>
    </w:p>
    <w:p>
      <w:pPr>
        <w:pStyle w:val="54"/>
        <w:numPr>
          <w:ilvl w:val="0"/>
          <w:numId w:val="2"/>
        </w:numPr>
        <w:spacing w:line="560" w:lineRule="exact"/>
        <w:ind w:firstLineChars="0"/>
        <w:outlineLvl w:val="3"/>
        <w:rPr>
          <w:rFonts w:hint="eastAsia" w:ascii="楷体_GB2312" w:hAnsi="楷体_GB2312" w:eastAsia="楷体_GB2312" w:cs="楷体_GB2312"/>
          <w:szCs w:val="32"/>
        </w:rPr>
      </w:pPr>
      <w:r>
        <w:rPr>
          <w:rFonts w:hint="eastAsia" w:ascii="楷体_GB2312" w:hAnsi="楷体_GB2312" w:eastAsia="楷体_GB2312" w:cs="楷体_GB2312"/>
          <w:szCs w:val="32"/>
        </w:rPr>
        <w:t>项目设立目的</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威海市农业农村局下发了《威海市农业农村局关于编报 2022 年高标准农田建设项目计划和实施方案的通知》（威农字﹝2022﹞8 号），下达文登区2022年高标准农田建设任务10万亩，其中高效节水灌溉面积0.6万亩。文登区农业农村局根据省市主管部门下达的高标准农田建设任务组织实施2022年文登区2022年高标准农田建设工作。</w:t>
      </w:r>
    </w:p>
    <w:p>
      <w:pPr>
        <w:pStyle w:val="54"/>
        <w:numPr>
          <w:ilvl w:val="0"/>
          <w:numId w:val="2"/>
        </w:numPr>
        <w:spacing w:line="560" w:lineRule="exact"/>
        <w:ind w:firstLineChars="0"/>
        <w:outlineLvl w:val="3"/>
        <w:rPr>
          <w:rFonts w:hint="eastAsia" w:ascii="楷体_GB2312" w:hAnsi="楷体_GB2312" w:eastAsia="楷体_GB2312" w:cs="楷体_GB2312"/>
          <w:szCs w:val="32"/>
        </w:rPr>
      </w:pPr>
      <w:r>
        <w:rPr>
          <w:rFonts w:hint="eastAsia" w:ascii="楷体_GB2312" w:hAnsi="楷体_GB2312" w:eastAsia="楷体_GB2312" w:cs="楷体_GB2312"/>
          <w:szCs w:val="32"/>
        </w:rPr>
        <w:t>项目主要内容</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2022年高标准农田建设项目安排在泽库、侯家、高村、张家产及大水泊5个镇实施。其中高村4万亩，大水泊0.8万亩，侯家2.1万亩，泽库1.2万亩，张家产1.9万亩，共计10万亩。以及耕地质量检测500处、高标准农田智慧平台建设等，共涉及102个行政村。</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规划主要建设内容为，新建泵站21座，新建集水窖3座，敷设供水管共39.714km，新建给水栓843个，闸阀室98个，电缆3600m；道路硬化长88.44km；新建管涵85座；新建(包含改建)农桥33座；田间排水沟清淤450m；平塘护砌86座，平塘清淤12座；新建农用井8座；土地整理4129亩；地力培肥1300亩；耕地质量检测500处；建设高标准农田综合管理平台。</w:t>
      </w:r>
    </w:p>
    <w:p>
      <w:pPr>
        <w:pStyle w:val="54"/>
        <w:numPr>
          <w:ilvl w:val="0"/>
          <w:numId w:val="2"/>
        </w:numPr>
        <w:spacing w:line="560" w:lineRule="exact"/>
        <w:ind w:firstLineChars="0"/>
        <w:outlineLvl w:val="3"/>
        <w:rPr>
          <w:rFonts w:hint="eastAsia" w:ascii="楷体_GB2312" w:hAnsi="楷体_GB2312" w:eastAsia="楷体_GB2312" w:cs="楷体_GB2312"/>
          <w:szCs w:val="32"/>
        </w:rPr>
      </w:pPr>
      <w:r>
        <w:rPr>
          <w:rFonts w:hint="eastAsia" w:ascii="楷体_GB2312" w:hAnsi="楷体_GB2312" w:eastAsia="楷体_GB2312" w:cs="楷体_GB2312"/>
          <w:szCs w:val="32"/>
        </w:rPr>
        <w:t>项目实施情况</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高标准农田建设项目，按计划确定的大水泊镇、张家产镇、高村镇、侯家镇、泽库镇5个镇101个行政村实施，高村镇绿杨村未实施。项目实施情况为，新建泵站23座，新建集水窖4座，敷设供水管共53..2191km，新建给水栓986个，闸阀室146个，电缆4370m；道路硬化长92.75km；新建管涵；新建(包含改建)农桥35座，修复农桥1座，漫水桥3座、溢洪道1座；田间排水沟清淤5条，浆砌排水沟55.5米，清理埋水管20处，浆砌排水沟102.6米，水沟清淤270.3米；平塘护砌77座，平塘清淤23座，平塘挡土墙284米；新建农用井6座；土地整理3580亩；发放有机肥8491.906吨；耕地质量检测500处；建设完成高标准农田综合管理平台。</w:t>
      </w:r>
    </w:p>
    <w:p>
      <w:pPr>
        <w:pStyle w:val="54"/>
        <w:numPr>
          <w:ilvl w:val="0"/>
          <w:numId w:val="2"/>
        </w:numPr>
        <w:spacing w:line="560" w:lineRule="exact"/>
        <w:ind w:firstLineChars="0"/>
        <w:outlineLvl w:val="3"/>
        <w:rPr>
          <w:rFonts w:hint="eastAsia" w:ascii="楷体_GB2312" w:hAnsi="楷体_GB2312" w:eastAsia="楷体_GB2312" w:cs="楷体_GB2312"/>
          <w:szCs w:val="32"/>
        </w:rPr>
      </w:pPr>
      <w:r>
        <w:rPr>
          <w:rFonts w:hint="eastAsia" w:ascii="楷体_GB2312" w:hAnsi="楷体_GB2312" w:eastAsia="楷体_GB2312" w:cs="楷体_GB2312"/>
          <w:szCs w:val="32"/>
        </w:rPr>
        <w:t>资金投入和使用情况</w:t>
      </w:r>
    </w:p>
    <w:p>
      <w:pPr>
        <w:pStyle w:val="54"/>
        <w:spacing w:line="560" w:lineRule="exact"/>
        <w:ind w:firstLine="0" w:firstLineChars="0"/>
        <w:jc w:val="center"/>
        <w:rPr>
          <w:rFonts w:hint="eastAsia" w:cs="仿宋_GB2312"/>
          <w:color w:val="000000"/>
          <w:szCs w:val="32"/>
        </w:rPr>
      </w:pPr>
      <w:r>
        <w:rPr>
          <w:rFonts w:cs="仿宋_GB2312"/>
          <w:color w:val="000000"/>
          <w:szCs w:val="32"/>
        </w:rPr>
        <w:t>2022年高</w:t>
      </w:r>
      <w:r>
        <w:rPr>
          <w:rFonts w:hint="eastAsia" w:cs="仿宋_GB2312"/>
          <w:color w:val="000000"/>
          <w:szCs w:val="32"/>
        </w:rPr>
        <w:t>标准农田</w:t>
      </w:r>
      <w:r>
        <w:rPr>
          <w:rFonts w:cs="仿宋_GB2312"/>
          <w:color w:val="000000"/>
          <w:szCs w:val="32"/>
        </w:rPr>
        <w:t>项目</w:t>
      </w:r>
      <w:r>
        <w:rPr>
          <w:rFonts w:hint="eastAsia" w:cs="仿宋_GB2312"/>
          <w:color w:val="000000"/>
          <w:szCs w:val="32"/>
        </w:rPr>
        <w:t>各级资金预算指标文汇总表</w:t>
      </w:r>
    </w:p>
    <w:tbl>
      <w:tblPr>
        <w:tblStyle w:val="18"/>
        <w:tblW w:w="4997" w:type="pct"/>
        <w:tblInd w:w="0" w:type="dxa"/>
        <w:tblLayout w:type="fixed"/>
        <w:tblCellMar>
          <w:top w:w="0" w:type="dxa"/>
          <w:left w:w="108" w:type="dxa"/>
          <w:bottom w:w="0" w:type="dxa"/>
          <w:right w:w="108" w:type="dxa"/>
        </w:tblCellMar>
      </w:tblPr>
      <w:tblGrid>
        <w:gridCol w:w="564"/>
        <w:gridCol w:w="1164"/>
        <w:gridCol w:w="2690"/>
        <w:gridCol w:w="2088"/>
        <w:gridCol w:w="1275"/>
        <w:gridCol w:w="1275"/>
      </w:tblGrid>
      <w:tr>
        <w:tblPrEx>
          <w:tblCellMar>
            <w:top w:w="0" w:type="dxa"/>
            <w:left w:w="108" w:type="dxa"/>
            <w:bottom w:w="0" w:type="dxa"/>
            <w:right w:w="108" w:type="dxa"/>
          </w:tblCellMar>
        </w:tblPrEx>
        <w:trPr>
          <w:trHeight w:val="760" w:hRule="atLeast"/>
        </w:trPr>
        <w:tc>
          <w:tcPr>
            <w:tcW w:w="312"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b/>
                <w:bCs/>
                <w:color w:val="000000"/>
                <w:sz w:val="22"/>
                <w:szCs w:val="22"/>
              </w:rPr>
            </w:pPr>
            <w:r>
              <w:rPr>
                <w:rFonts w:hint="eastAsia" w:ascii="宋体" w:hAnsi="宋体" w:eastAsia="宋体" w:cs="宋体"/>
                <w:b/>
                <w:bCs/>
                <w:color w:val="000000"/>
                <w:kern w:val="0"/>
                <w:sz w:val="22"/>
                <w:szCs w:val="22"/>
                <w:lang w:bidi="ar"/>
              </w:rPr>
              <w:t>序号</w:t>
            </w:r>
          </w:p>
        </w:tc>
        <w:tc>
          <w:tcPr>
            <w:tcW w:w="642"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b/>
                <w:bCs/>
                <w:color w:val="000000"/>
                <w:sz w:val="22"/>
                <w:szCs w:val="22"/>
              </w:rPr>
            </w:pPr>
            <w:r>
              <w:rPr>
                <w:rFonts w:hint="eastAsia" w:ascii="宋体" w:hAnsi="宋体" w:eastAsia="宋体" w:cs="宋体"/>
                <w:b/>
                <w:bCs/>
                <w:color w:val="000000"/>
                <w:kern w:val="0"/>
                <w:sz w:val="22"/>
                <w:szCs w:val="22"/>
                <w:lang w:bidi="ar"/>
              </w:rPr>
              <w:t>各级资金</w:t>
            </w:r>
          </w:p>
        </w:tc>
        <w:tc>
          <w:tcPr>
            <w:tcW w:w="1484"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b/>
                <w:bCs/>
                <w:color w:val="000000"/>
                <w:sz w:val="22"/>
                <w:szCs w:val="22"/>
              </w:rPr>
            </w:pPr>
            <w:r>
              <w:rPr>
                <w:rFonts w:hint="eastAsia" w:ascii="宋体" w:hAnsi="宋体" w:eastAsia="宋体" w:cs="宋体"/>
                <w:b/>
                <w:bCs/>
                <w:color w:val="000000"/>
                <w:kern w:val="0"/>
                <w:sz w:val="22"/>
                <w:szCs w:val="22"/>
                <w:lang w:bidi="ar"/>
              </w:rPr>
              <w:t>指标文号</w:t>
            </w:r>
          </w:p>
        </w:tc>
        <w:tc>
          <w:tcPr>
            <w:tcW w:w="1152"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b/>
                <w:bCs/>
                <w:color w:val="000000"/>
                <w:sz w:val="22"/>
                <w:szCs w:val="22"/>
              </w:rPr>
            </w:pPr>
            <w:r>
              <w:rPr>
                <w:rFonts w:hint="eastAsia" w:ascii="宋体" w:hAnsi="宋体" w:eastAsia="宋体" w:cs="宋体"/>
                <w:b/>
                <w:bCs/>
                <w:color w:val="000000"/>
                <w:kern w:val="0"/>
                <w:sz w:val="22"/>
                <w:szCs w:val="22"/>
                <w:lang w:bidi="ar"/>
              </w:rPr>
              <w:t>日期</w:t>
            </w:r>
          </w:p>
        </w:tc>
        <w:tc>
          <w:tcPr>
            <w:tcW w:w="703" w:type="pct"/>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textAlignment w:val="center"/>
              <w:rPr>
                <w:rFonts w:hint="eastAsia" w:ascii="宋体" w:hAnsi="宋体" w:eastAsia="宋体" w:cs="宋体"/>
                <w:b/>
                <w:bCs/>
                <w:color w:val="000000"/>
                <w:kern w:val="0"/>
                <w:sz w:val="22"/>
                <w:szCs w:val="22"/>
                <w:lang w:bidi="ar"/>
              </w:rPr>
            </w:pPr>
            <w:r>
              <w:rPr>
                <w:rFonts w:hint="eastAsia" w:ascii="宋体" w:hAnsi="宋体" w:eastAsia="宋体" w:cs="宋体"/>
                <w:b/>
                <w:bCs/>
                <w:color w:val="000000"/>
                <w:kern w:val="0"/>
                <w:sz w:val="22"/>
                <w:szCs w:val="22"/>
                <w:lang w:bidi="ar"/>
              </w:rPr>
              <w:t>下达指标</w:t>
            </w:r>
            <w:r>
              <w:rPr>
                <w:rFonts w:hint="eastAsia" w:ascii="宋体" w:hAnsi="宋体" w:eastAsia="宋体" w:cs="宋体"/>
                <w:b/>
                <w:bCs/>
                <w:color w:val="000000"/>
                <w:kern w:val="0"/>
                <w:sz w:val="22"/>
                <w:szCs w:val="22"/>
                <w:lang w:bidi="ar"/>
              </w:rPr>
              <w:br w:type="textWrapping"/>
            </w:r>
            <w:r>
              <w:rPr>
                <w:rFonts w:hint="eastAsia" w:ascii="宋体" w:hAnsi="宋体" w:eastAsia="宋体" w:cs="宋体"/>
                <w:b/>
                <w:bCs/>
                <w:color w:val="000000"/>
                <w:kern w:val="0"/>
                <w:sz w:val="22"/>
                <w:szCs w:val="22"/>
                <w:lang w:bidi="ar"/>
              </w:rPr>
              <w:t>金额</w:t>
            </w:r>
          </w:p>
          <w:p>
            <w:pPr>
              <w:widowControl/>
              <w:spacing w:line="240" w:lineRule="auto"/>
              <w:ind w:firstLine="0" w:firstLineChars="0"/>
              <w:jc w:val="center"/>
              <w:textAlignment w:val="center"/>
              <w:rPr>
                <w:rFonts w:hint="eastAsia" w:ascii="宋体" w:hAnsi="宋体" w:eastAsia="宋体" w:cs="宋体"/>
                <w:b/>
                <w:bCs/>
                <w:color w:val="000000"/>
                <w:sz w:val="22"/>
                <w:szCs w:val="22"/>
              </w:rPr>
            </w:pPr>
            <w:r>
              <w:rPr>
                <w:rFonts w:hint="eastAsia" w:ascii="宋体" w:hAnsi="宋体" w:eastAsia="宋体" w:cs="宋体"/>
                <w:b/>
                <w:bCs/>
                <w:color w:val="000000"/>
                <w:kern w:val="0"/>
                <w:sz w:val="22"/>
                <w:szCs w:val="22"/>
                <w:lang w:bidi="ar"/>
              </w:rPr>
              <w:t>（万元）</w:t>
            </w:r>
          </w:p>
        </w:tc>
        <w:tc>
          <w:tcPr>
            <w:tcW w:w="703" w:type="pct"/>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textAlignment w:val="center"/>
              <w:rPr>
                <w:rFonts w:hint="eastAsia" w:ascii="宋体" w:hAnsi="宋体" w:eastAsia="宋体" w:cs="宋体"/>
                <w:b/>
                <w:bCs/>
                <w:color w:val="000000"/>
                <w:sz w:val="22"/>
                <w:szCs w:val="22"/>
              </w:rPr>
            </w:pPr>
            <w:r>
              <w:rPr>
                <w:rFonts w:hint="eastAsia" w:ascii="宋体" w:hAnsi="宋体" w:eastAsia="宋体" w:cs="宋体"/>
                <w:b/>
                <w:bCs/>
                <w:color w:val="000000"/>
                <w:kern w:val="0"/>
                <w:sz w:val="22"/>
                <w:szCs w:val="22"/>
                <w:lang w:bidi="ar"/>
              </w:rPr>
              <w:t>合计金额（万元）</w:t>
            </w:r>
          </w:p>
        </w:tc>
      </w:tr>
      <w:tr>
        <w:tblPrEx>
          <w:tblCellMar>
            <w:top w:w="0" w:type="dxa"/>
            <w:left w:w="108" w:type="dxa"/>
            <w:bottom w:w="0" w:type="dxa"/>
            <w:right w:w="108" w:type="dxa"/>
          </w:tblCellMar>
        </w:tblPrEx>
        <w:trPr>
          <w:trHeight w:val="500" w:hRule="atLeast"/>
        </w:trPr>
        <w:tc>
          <w:tcPr>
            <w:tcW w:w="312" w:type="pct"/>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1</w:t>
            </w:r>
          </w:p>
        </w:tc>
        <w:tc>
          <w:tcPr>
            <w:tcW w:w="642" w:type="pct"/>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中央资金</w:t>
            </w:r>
          </w:p>
        </w:tc>
        <w:tc>
          <w:tcPr>
            <w:tcW w:w="1484"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left"/>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威文财农整﹝2022﹞1号</w:t>
            </w:r>
          </w:p>
        </w:tc>
        <w:tc>
          <w:tcPr>
            <w:tcW w:w="1152"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2022.1.10日</w:t>
            </w:r>
          </w:p>
        </w:tc>
        <w:tc>
          <w:tcPr>
            <w:tcW w:w="703"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7592</w:t>
            </w:r>
          </w:p>
        </w:tc>
        <w:tc>
          <w:tcPr>
            <w:tcW w:w="703" w:type="pct"/>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9917</w:t>
            </w:r>
          </w:p>
        </w:tc>
      </w:tr>
      <w:tr>
        <w:tblPrEx>
          <w:tblCellMar>
            <w:top w:w="0" w:type="dxa"/>
            <w:left w:w="108" w:type="dxa"/>
            <w:bottom w:w="0" w:type="dxa"/>
            <w:right w:w="108" w:type="dxa"/>
          </w:tblCellMar>
        </w:tblPrEx>
        <w:trPr>
          <w:trHeight w:val="500" w:hRule="atLeast"/>
        </w:trPr>
        <w:tc>
          <w:tcPr>
            <w:tcW w:w="312" w:type="pct"/>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rPr>
                <w:rFonts w:hint="eastAsia" w:ascii="宋体" w:hAnsi="宋体" w:eastAsia="宋体" w:cs="宋体"/>
                <w:color w:val="000000"/>
                <w:sz w:val="22"/>
                <w:szCs w:val="22"/>
              </w:rPr>
            </w:pPr>
          </w:p>
        </w:tc>
        <w:tc>
          <w:tcPr>
            <w:tcW w:w="642" w:type="pct"/>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rPr>
                <w:rFonts w:hint="eastAsia" w:ascii="宋体" w:hAnsi="宋体" w:eastAsia="宋体" w:cs="宋体"/>
                <w:color w:val="000000"/>
                <w:sz w:val="22"/>
                <w:szCs w:val="22"/>
              </w:rPr>
            </w:pPr>
          </w:p>
        </w:tc>
        <w:tc>
          <w:tcPr>
            <w:tcW w:w="1484"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left"/>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威文财农整﹝2022﹞17号</w:t>
            </w:r>
          </w:p>
        </w:tc>
        <w:tc>
          <w:tcPr>
            <w:tcW w:w="1152"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2022.5.30日</w:t>
            </w:r>
          </w:p>
        </w:tc>
        <w:tc>
          <w:tcPr>
            <w:tcW w:w="703"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2325</w:t>
            </w:r>
          </w:p>
        </w:tc>
        <w:tc>
          <w:tcPr>
            <w:tcW w:w="703" w:type="pct"/>
            <w:vMerge w:val="continue"/>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rPr>
                <w:rFonts w:hint="eastAsia" w:ascii="宋体" w:hAnsi="宋体" w:eastAsia="宋体" w:cs="宋体"/>
                <w:color w:val="000000"/>
                <w:sz w:val="22"/>
                <w:szCs w:val="22"/>
              </w:rPr>
            </w:pPr>
          </w:p>
        </w:tc>
      </w:tr>
      <w:tr>
        <w:tblPrEx>
          <w:tblCellMar>
            <w:top w:w="0" w:type="dxa"/>
            <w:left w:w="108" w:type="dxa"/>
            <w:bottom w:w="0" w:type="dxa"/>
            <w:right w:w="108" w:type="dxa"/>
          </w:tblCellMar>
        </w:tblPrEx>
        <w:trPr>
          <w:trHeight w:val="500" w:hRule="atLeast"/>
        </w:trPr>
        <w:tc>
          <w:tcPr>
            <w:tcW w:w="312" w:type="pct"/>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2</w:t>
            </w:r>
          </w:p>
        </w:tc>
        <w:tc>
          <w:tcPr>
            <w:tcW w:w="642" w:type="pct"/>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省级资金</w:t>
            </w:r>
          </w:p>
        </w:tc>
        <w:tc>
          <w:tcPr>
            <w:tcW w:w="1484"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left"/>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威文财农整[2023]3号</w:t>
            </w:r>
          </w:p>
        </w:tc>
        <w:tc>
          <w:tcPr>
            <w:tcW w:w="1152"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2023.1.18日</w:t>
            </w:r>
          </w:p>
        </w:tc>
        <w:tc>
          <w:tcPr>
            <w:tcW w:w="703" w:type="pc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747</w:t>
            </w:r>
          </w:p>
        </w:tc>
        <w:tc>
          <w:tcPr>
            <w:tcW w:w="703" w:type="pct"/>
            <w:vMerge w:val="restart"/>
            <w:tcBorders>
              <w:top w:val="single" w:color="auto" w:sz="4" w:space="0"/>
              <w:left w:val="single" w:color="auto" w:sz="4" w:space="0"/>
              <w:bottom w:val="single" w:color="auto" w:sz="4" w:space="0"/>
              <w:right w:val="single" w:color="auto"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4747</w:t>
            </w:r>
          </w:p>
        </w:tc>
      </w:tr>
      <w:tr>
        <w:tblPrEx>
          <w:tblCellMar>
            <w:top w:w="0" w:type="dxa"/>
            <w:left w:w="108" w:type="dxa"/>
            <w:bottom w:w="0" w:type="dxa"/>
            <w:right w:w="108" w:type="dxa"/>
          </w:tblCellMar>
        </w:tblPrEx>
        <w:trPr>
          <w:trHeight w:val="500" w:hRule="atLeast"/>
        </w:trPr>
        <w:tc>
          <w:tcPr>
            <w:tcW w:w="312" w:type="pct"/>
            <w:vMerge w:val="continue"/>
            <w:tcBorders>
              <w:top w:val="single" w:color="auto" w:sz="4" w:space="0"/>
              <w:left w:val="single" w:color="auto"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2"/>
                <w:szCs w:val="22"/>
              </w:rPr>
            </w:pPr>
          </w:p>
        </w:tc>
        <w:tc>
          <w:tcPr>
            <w:tcW w:w="642" w:type="pct"/>
            <w:vMerge w:val="continue"/>
            <w:tcBorders>
              <w:top w:val="single" w:color="auto" w:sz="4" w:space="0"/>
              <w:left w:val="nil"/>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2"/>
                <w:szCs w:val="22"/>
              </w:rPr>
            </w:pPr>
          </w:p>
        </w:tc>
        <w:tc>
          <w:tcPr>
            <w:tcW w:w="1484" w:type="pct"/>
            <w:tcBorders>
              <w:top w:val="single" w:color="auto"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left"/>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威文财农整﹝2022﹞10号</w:t>
            </w:r>
          </w:p>
        </w:tc>
        <w:tc>
          <w:tcPr>
            <w:tcW w:w="1152" w:type="pct"/>
            <w:tcBorders>
              <w:top w:val="single" w:color="auto" w:sz="4" w:space="0"/>
              <w:left w:val="nil"/>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2022.4.22日</w:t>
            </w:r>
          </w:p>
        </w:tc>
        <w:tc>
          <w:tcPr>
            <w:tcW w:w="703" w:type="pct"/>
            <w:tcBorders>
              <w:top w:val="single" w:color="auto"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4000</w:t>
            </w:r>
          </w:p>
        </w:tc>
        <w:tc>
          <w:tcPr>
            <w:tcW w:w="703" w:type="pct"/>
            <w:vMerge w:val="continue"/>
            <w:tcBorders>
              <w:top w:val="single" w:color="auto" w:sz="4" w:space="0"/>
              <w:left w:val="single" w:color="000000" w:sz="4" w:space="0"/>
              <w:bottom w:val="single" w:color="000000" w:sz="4" w:space="0"/>
              <w:right w:val="single" w:color="auto" w:sz="4" w:space="0"/>
            </w:tcBorders>
            <w:noWrap/>
            <w:vAlign w:val="center"/>
          </w:tcPr>
          <w:p>
            <w:pPr>
              <w:widowControl/>
              <w:spacing w:line="240" w:lineRule="auto"/>
              <w:ind w:firstLine="0" w:firstLineChars="0"/>
              <w:jc w:val="center"/>
              <w:rPr>
                <w:rFonts w:hint="eastAsia" w:ascii="宋体" w:hAnsi="宋体" w:eastAsia="宋体" w:cs="宋体"/>
                <w:color w:val="000000"/>
                <w:sz w:val="22"/>
                <w:szCs w:val="22"/>
              </w:rPr>
            </w:pPr>
          </w:p>
        </w:tc>
      </w:tr>
      <w:tr>
        <w:tblPrEx>
          <w:tblCellMar>
            <w:top w:w="0" w:type="dxa"/>
            <w:left w:w="108" w:type="dxa"/>
            <w:bottom w:w="0" w:type="dxa"/>
            <w:right w:w="108" w:type="dxa"/>
          </w:tblCellMar>
        </w:tblPrEx>
        <w:trPr>
          <w:trHeight w:val="500" w:hRule="atLeast"/>
        </w:trPr>
        <w:tc>
          <w:tcPr>
            <w:tcW w:w="312"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w:t>
            </w:r>
          </w:p>
        </w:tc>
        <w:tc>
          <w:tcPr>
            <w:tcW w:w="642" w:type="pct"/>
            <w:tcBorders>
              <w:top w:val="single" w:color="000000" w:sz="4" w:space="0"/>
              <w:left w:val="nil"/>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市级资金</w:t>
            </w:r>
          </w:p>
        </w:tc>
        <w:tc>
          <w:tcPr>
            <w:tcW w:w="1484"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left"/>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威文财预指﹝2022﹞15号</w:t>
            </w:r>
          </w:p>
        </w:tc>
        <w:tc>
          <w:tcPr>
            <w:tcW w:w="1152" w:type="pct"/>
            <w:tcBorders>
              <w:top w:val="single" w:color="000000" w:sz="4" w:space="0"/>
              <w:left w:val="nil"/>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2022.4.22日</w:t>
            </w:r>
          </w:p>
        </w:tc>
        <w:tc>
          <w:tcPr>
            <w:tcW w:w="703"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500</w:t>
            </w:r>
          </w:p>
        </w:tc>
        <w:tc>
          <w:tcPr>
            <w:tcW w:w="703"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500</w:t>
            </w:r>
          </w:p>
        </w:tc>
      </w:tr>
      <w:tr>
        <w:tblPrEx>
          <w:tblCellMar>
            <w:top w:w="0" w:type="dxa"/>
            <w:left w:w="108" w:type="dxa"/>
            <w:bottom w:w="0" w:type="dxa"/>
            <w:right w:w="108" w:type="dxa"/>
          </w:tblCellMar>
        </w:tblPrEx>
        <w:trPr>
          <w:trHeight w:val="500" w:hRule="atLeast"/>
        </w:trPr>
        <w:tc>
          <w:tcPr>
            <w:tcW w:w="312"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4</w:t>
            </w:r>
          </w:p>
        </w:tc>
        <w:tc>
          <w:tcPr>
            <w:tcW w:w="642" w:type="pct"/>
            <w:tcBorders>
              <w:top w:val="single" w:color="000000" w:sz="4" w:space="0"/>
              <w:left w:val="nil"/>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区级资金</w:t>
            </w:r>
          </w:p>
        </w:tc>
        <w:tc>
          <w:tcPr>
            <w:tcW w:w="1484"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left"/>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威文财农﹝2022﹞4号</w:t>
            </w:r>
          </w:p>
        </w:tc>
        <w:tc>
          <w:tcPr>
            <w:tcW w:w="1152" w:type="pct"/>
            <w:tcBorders>
              <w:top w:val="single" w:color="000000" w:sz="4" w:space="0"/>
              <w:left w:val="nil"/>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2022.7.1日</w:t>
            </w:r>
          </w:p>
        </w:tc>
        <w:tc>
          <w:tcPr>
            <w:tcW w:w="703"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336</w:t>
            </w:r>
          </w:p>
        </w:tc>
        <w:tc>
          <w:tcPr>
            <w:tcW w:w="703"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336</w:t>
            </w:r>
          </w:p>
        </w:tc>
      </w:tr>
      <w:tr>
        <w:tblPrEx>
          <w:tblCellMar>
            <w:top w:w="0" w:type="dxa"/>
            <w:left w:w="108" w:type="dxa"/>
            <w:bottom w:w="0" w:type="dxa"/>
            <w:right w:w="108" w:type="dxa"/>
          </w:tblCellMar>
        </w:tblPrEx>
        <w:trPr>
          <w:trHeight w:val="500" w:hRule="atLeast"/>
        </w:trPr>
        <w:tc>
          <w:tcPr>
            <w:tcW w:w="312"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2"/>
                <w:szCs w:val="22"/>
              </w:rPr>
            </w:pPr>
          </w:p>
        </w:tc>
        <w:tc>
          <w:tcPr>
            <w:tcW w:w="642" w:type="pct"/>
            <w:tcBorders>
              <w:top w:val="single" w:color="000000" w:sz="4" w:space="0"/>
              <w:left w:val="nil"/>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总计</w:t>
            </w:r>
          </w:p>
        </w:tc>
        <w:tc>
          <w:tcPr>
            <w:tcW w:w="1484" w:type="pct"/>
            <w:tcBorders>
              <w:top w:val="nil"/>
              <w:left w:val="single" w:color="000000" w:sz="4" w:space="0"/>
              <w:bottom w:val="single" w:color="000000" w:sz="4" w:space="0"/>
              <w:right w:val="single" w:color="000000" w:sz="4" w:space="0"/>
            </w:tcBorders>
            <w:noWrap/>
            <w:vAlign w:val="center"/>
          </w:tcPr>
          <w:p>
            <w:pPr>
              <w:widowControl/>
              <w:spacing w:line="240" w:lineRule="auto"/>
              <w:ind w:firstLine="0" w:firstLineChars="0"/>
              <w:rPr>
                <w:rFonts w:hint="eastAsia" w:ascii="宋体" w:hAnsi="宋体" w:eastAsia="宋体" w:cs="宋体"/>
                <w:color w:val="000000"/>
                <w:sz w:val="22"/>
                <w:szCs w:val="22"/>
              </w:rPr>
            </w:pPr>
          </w:p>
        </w:tc>
        <w:tc>
          <w:tcPr>
            <w:tcW w:w="1152" w:type="pct"/>
            <w:tcBorders>
              <w:top w:val="single" w:color="000000" w:sz="4" w:space="0"/>
              <w:left w:val="nil"/>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2"/>
                <w:szCs w:val="22"/>
              </w:rPr>
            </w:pPr>
          </w:p>
        </w:tc>
        <w:tc>
          <w:tcPr>
            <w:tcW w:w="703"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15500</w:t>
            </w:r>
          </w:p>
        </w:tc>
        <w:tc>
          <w:tcPr>
            <w:tcW w:w="703" w:type="pct"/>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2"/>
                <w:szCs w:val="22"/>
              </w:rPr>
            </w:pPr>
            <w:r>
              <w:rPr>
                <w:rFonts w:hint="eastAsia" w:ascii="宋体" w:hAnsi="宋体" w:eastAsia="宋体" w:cs="宋体"/>
                <w:color w:val="000000"/>
                <w:kern w:val="0"/>
                <w:sz w:val="22"/>
                <w:szCs w:val="22"/>
                <w:lang w:bidi="ar"/>
              </w:rPr>
              <w:t>15500</w:t>
            </w:r>
          </w:p>
        </w:tc>
      </w:tr>
    </w:tbl>
    <w:p>
      <w:pPr>
        <w:pStyle w:val="54"/>
        <w:ind w:firstLine="0" w:firstLineChars="0"/>
        <w:jc w:val="center"/>
        <w:rPr>
          <w:rFonts w:cs="仿宋_GB2312"/>
          <w:color w:val="000000"/>
          <w:szCs w:val="32"/>
        </w:rPr>
      </w:pPr>
    </w:p>
    <w:p>
      <w:pPr>
        <w:pStyle w:val="54"/>
        <w:ind w:firstLine="0" w:firstLineChars="0"/>
        <w:jc w:val="center"/>
        <w:rPr>
          <w:rFonts w:cs="仿宋_GB2312"/>
          <w:color w:val="000000"/>
          <w:szCs w:val="32"/>
        </w:rPr>
      </w:pPr>
      <w:r>
        <w:rPr>
          <w:rFonts w:cs="仿宋_GB2312"/>
          <w:color w:val="000000"/>
          <w:szCs w:val="32"/>
        </w:rPr>
        <w:t>2022年高</w:t>
      </w:r>
      <w:r>
        <w:rPr>
          <w:rFonts w:hint="eastAsia" w:cs="仿宋_GB2312"/>
          <w:color w:val="000000"/>
          <w:szCs w:val="32"/>
        </w:rPr>
        <w:t>标准农田</w:t>
      </w:r>
      <w:r>
        <w:rPr>
          <w:rFonts w:cs="仿宋_GB2312"/>
          <w:color w:val="000000"/>
          <w:szCs w:val="32"/>
        </w:rPr>
        <w:t>项目预算资金</w:t>
      </w:r>
      <w:r>
        <w:rPr>
          <w:rFonts w:hint="eastAsia" w:cs="仿宋_GB2312"/>
          <w:color w:val="000000"/>
          <w:szCs w:val="32"/>
        </w:rPr>
        <w:t>实际</w:t>
      </w:r>
      <w:r>
        <w:rPr>
          <w:rFonts w:cs="仿宋_GB2312"/>
          <w:color w:val="000000"/>
          <w:szCs w:val="32"/>
        </w:rPr>
        <w:t>执行情况表</w:t>
      </w:r>
    </w:p>
    <w:tbl>
      <w:tblPr>
        <w:tblStyle w:val="18"/>
        <w:tblW w:w="9074" w:type="dxa"/>
        <w:tblInd w:w="96" w:type="dxa"/>
        <w:tblLayout w:type="autofit"/>
        <w:tblCellMar>
          <w:top w:w="0" w:type="dxa"/>
          <w:left w:w="108" w:type="dxa"/>
          <w:bottom w:w="0" w:type="dxa"/>
          <w:right w:w="108" w:type="dxa"/>
        </w:tblCellMar>
      </w:tblPr>
      <w:tblGrid>
        <w:gridCol w:w="618"/>
        <w:gridCol w:w="1799"/>
        <w:gridCol w:w="3036"/>
        <w:gridCol w:w="1221"/>
        <w:gridCol w:w="1302"/>
        <w:gridCol w:w="1098"/>
      </w:tblGrid>
      <w:tr>
        <w:tblPrEx>
          <w:tblCellMar>
            <w:top w:w="0" w:type="dxa"/>
            <w:left w:w="108" w:type="dxa"/>
            <w:bottom w:w="0" w:type="dxa"/>
            <w:right w:w="108" w:type="dxa"/>
          </w:tblCellMar>
        </w:tblPrEx>
        <w:trPr>
          <w:trHeight w:val="740" w:hRule="atLeast"/>
          <w:tblHeader/>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b/>
                <w:bCs/>
                <w:color w:val="000000"/>
                <w:sz w:val="20"/>
                <w:szCs w:val="20"/>
              </w:rPr>
            </w:pPr>
            <w:r>
              <w:rPr>
                <w:rFonts w:hint="eastAsia" w:ascii="宋体" w:hAnsi="宋体" w:eastAsia="宋体" w:cs="宋体"/>
                <w:b/>
                <w:bCs/>
                <w:color w:val="000000"/>
                <w:kern w:val="0"/>
                <w:sz w:val="20"/>
                <w:szCs w:val="20"/>
                <w:lang w:bidi="ar"/>
              </w:rPr>
              <w:t>序号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b/>
                <w:bCs/>
                <w:color w:val="000000"/>
                <w:sz w:val="20"/>
                <w:szCs w:val="20"/>
              </w:rPr>
            </w:pPr>
            <w:r>
              <w:rPr>
                <w:rFonts w:hint="eastAsia" w:ascii="宋体" w:hAnsi="宋体" w:eastAsia="宋体" w:cs="宋体"/>
                <w:b/>
                <w:bCs/>
                <w:color w:val="000000"/>
                <w:kern w:val="0"/>
                <w:sz w:val="20"/>
                <w:szCs w:val="20"/>
                <w:lang w:bidi="ar"/>
              </w:rPr>
              <w:t>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b/>
                <w:bCs/>
                <w:color w:val="000000"/>
                <w:sz w:val="20"/>
                <w:szCs w:val="20"/>
              </w:rPr>
            </w:pPr>
            <w:r>
              <w:rPr>
                <w:rFonts w:hint="eastAsia" w:ascii="宋体" w:hAnsi="宋体" w:eastAsia="宋体" w:cs="宋体"/>
                <w:b/>
                <w:bCs/>
                <w:color w:val="000000"/>
                <w:kern w:val="0"/>
                <w:sz w:val="20"/>
                <w:szCs w:val="20"/>
                <w:lang w:bidi="ar"/>
              </w:rPr>
              <w:t>实施单位</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b/>
                <w:bCs/>
                <w:color w:val="000000"/>
                <w:sz w:val="20"/>
                <w:szCs w:val="20"/>
              </w:rPr>
            </w:pPr>
            <w:r>
              <w:rPr>
                <w:rFonts w:hint="eastAsia" w:ascii="宋体" w:hAnsi="宋体" w:eastAsia="宋体" w:cs="宋体"/>
                <w:b/>
                <w:bCs/>
                <w:color w:val="000000"/>
                <w:kern w:val="0"/>
                <w:sz w:val="20"/>
                <w:szCs w:val="20"/>
                <w:lang w:bidi="ar"/>
              </w:rPr>
              <w:t>合同价(万)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b/>
                <w:bCs/>
                <w:color w:val="000000"/>
                <w:sz w:val="20"/>
                <w:szCs w:val="20"/>
              </w:rPr>
            </w:pPr>
            <w:r>
              <w:rPr>
                <w:rFonts w:hint="eastAsia" w:ascii="宋体" w:hAnsi="宋体" w:eastAsia="宋体" w:cs="宋体"/>
                <w:b/>
                <w:bCs/>
                <w:color w:val="000000"/>
                <w:kern w:val="0"/>
                <w:sz w:val="20"/>
                <w:szCs w:val="20"/>
                <w:lang w:bidi="ar"/>
              </w:rPr>
              <w:t>收款日期</w:t>
            </w:r>
          </w:p>
        </w:tc>
        <w:tc>
          <w:tcPr>
            <w:tcW w:w="109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b/>
                <w:bCs/>
                <w:color w:val="000000"/>
                <w:sz w:val="20"/>
                <w:szCs w:val="20"/>
              </w:rPr>
            </w:pPr>
            <w:r>
              <w:rPr>
                <w:rFonts w:hint="eastAsia" w:ascii="宋体" w:hAnsi="宋体" w:eastAsia="宋体" w:cs="宋体"/>
                <w:b/>
                <w:bCs/>
                <w:color w:val="000000"/>
                <w:kern w:val="0"/>
                <w:sz w:val="20"/>
                <w:szCs w:val="20"/>
                <w:lang w:bidi="ar"/>
              </w:rPr>
              <w:t>收款金额</w:t>
            </w:r>
            <w:r>
              <w:rPr>
                <w:rFonts w:hint="eastAsia" w:ascii="宋体" w:hAnsi="宋体" w:eastAsia="宋体" w:cs="宋体"/>
                <w:b/>
                <w:bCs/>
                <w:color w:val="000000"/>
                <w:kern w:val="0"/>
                <w:sz w:val="20"/>
                <w:szCs w:val="20"/>
                <w:lang w:bidi="ar"/>
              </w:rPr>
              <w:br w:type="textWrapping"/>
            </w:r>
            <w:r>
              <w:rPr>
                <w:rFonts w:hint="eastAsia" w:ascii="宋体" w:hAnsi="宋体" w:eastAsia="宋体" w:cs="宋体"/>
                <w:b/>
                <w:bCs/>
                <w:color w:val="000000"/>
                <w:kern w:val="0"/>
                <w:sz w:val="20"/>
                <w:szCs w:val="20"/>
                <w:lang w:bidi="ar"/>
              </w:rPr>
              <w:t>（万元）</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一标段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威海市恒发建设工程有限公司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1660.0269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二标段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威海水利工程集团有限公司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747.281679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三标段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威海市文登区永利建筑工程有限公司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1168.3799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31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四标段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山东润康水务有限公司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527.64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五标段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文登市程翔建筑工程有限公司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343.49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31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六标段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威海市德源建设有限公司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1130.26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七标段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荣成市诚安基础工程有限公司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890.37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八标段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山东荣城建筑集团有限公司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680.39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rPr>
                <w:rFonts w:hint="eastAsia" w:ascii="宋体" w:hAnsi="宋体" w:eastAsia="宋体" w:cs="宋体"/>
                <w:color w:val="000000"/>
                <w:sz w:val="20"/>
                <w:szCs w:val="20"/>
              </w:rPr>
            </w:pP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九标段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山东聚成水电建设集团有限公司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779.78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31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十标段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文登市通海安装有限公司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523.11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十一标段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荣成市迎福基础工程有限公司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398.11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十二标段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文登市寰发建筑工程有限公司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366.10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十三标段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荣成市辉景建筑工程有限公司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405.93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十四标段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威海文兴建设工程有限公司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784.06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10</w:t>
            </w:r>
          </w:p>
        </w:tc>
      </w:tr>
      <w:tr>
        <w:tblPrEx>
          <w:tblCellMar>
            <w:top w:w="0" w:type="dxa"/>
            <w:left w:w="108" w:type="dxa"/>
            <w:bottom w:w="0" w:type="dxa"/>
            <w:right w:w="108" w:type="dxa"/>
          </w:tblCellMar>
        </w:tblPrEx>
        <w:trPr>
          <w:trHeight w:val="624"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十五标段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威海市凯达建筑有限公司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1046.23 </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2022.11.21 </w:t>
            </w:r>
            <w:r>
              <w:rPr>
                <w:rFonts w:hint="eastAsia" w:ascii="宋体" w:hAnsi="宋体" w:eastAsia="宋体" w:cs="宋体"/>
                <w:color w:val="000000"/>
                <w:kern w:val="0"/>
                <w:sz w:val="20"/>
                <w:szCs w:val="20"/>
                <w:lang w:bidi="ar"/>
              </w:rPr>
              <w:br w:type="textWrapping"/>
            </w:r>
            <w:r>
              <w:rPr>
                <w:rFonts w:hint="eastAsia" w:ascii="宋体" w:hAnsi="宋体" w:eastAsia="宋体" w:cs="宋体"/>
                <w:color w:val="000000"/>
                <w:kern w:val="0"/>
                <w:sz w:val="20"/>
                <w:szCs w:val="20"/>
                <w:lang w:bidi="ar"/>
              </w:rPr>
              <w:t xml:space="preserve"> 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26.16</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十六标段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威海宏阔建筑工程有限公司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718.55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110</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监理一标段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山东新时代工程管理有限公司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9.39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rPr>
                <w:rFonts w:hint="eastAsia" w:ascii="宋体" w:hAnsi="宋体" w:eastAsia="宋体" w:cs="宋体"/>
                <w:color w:val="000000"/>
                <w:sz w:val="20"/>
                <w:szCs w:val="20"/>
              </w:rPr>
            </w:pP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监理二标段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山东鼎晟工程项目管理有限公司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9.20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rPr>
                <w:rFonts w:hint="eastAsia" w:ascii="宋体" w:hAnsi="宋体" w:eastAsia="宋体" w:cs="宋体"/>
                <w:color w:val="000000"/>
                <w:sz w:val="20"/>
                <w:szCs w:val="20"/>
              </w:rPr>
            </w:pPr>
          </w:p>
        </w:tc>
      </w:tr>
      <w:tr>
        <w:tblPrEx>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监理三标段</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威海广厦监理工程有限公司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8.70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rPr>
                <w:rFonts w:hint="eastAsia" w:ascii="宋体" w:hAnsi="宋体" w:eastAsia="宋体" w:cs="宋体"/>
                <w:color w:val="000000"/>
                <w:sz w:val="20"/>
                <w:szCs w:val="20"/>
              </w:rPr>
            </w:pPr>
          </w:p>
        </w:tc>
      </w:tr>
      <w:tr>
        <w:tblPrEx>
          <w:tblCellMar>
            <w:top w:w="0" w:type="dxa"/>
            <w:left w:w="108" w:type="dxa"/>
            <w:bottom w:w="0" w:type="dxa"/>
            <w:right w:w="108" w:type="dxa"/>
          </w:tblCellMar>
        </w:tblPrEx>
        <w:trPr>
          <w:trHeight w:val="59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勘察设计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山东庆禹工程设计有限公司</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288.63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rPr>
                <w:rFonts w:hint="eastAsia" w:ascii="宋体" w:hAnsi="宋体" w:eastAsia="宋体" w:cs="宋体"/>
                <w:color w:val="000000"/>
                <w:sz w:val="20"/>
                <w:szCs w:val="20"/>
              </w:rPr>
            </w:pP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耕地质量检测项目</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山东融洽检测技术有限公司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90.89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rPr>
                <w:rFonts w:hint="eastAsia" w:ascii="宋体" w:hAnsi="宋体" w:eastAsia="宋体" w:cs="宋体"/>
                <w:color w:val="000000"/>
                <w:sz w:val="20"/>
                <w:szCs w:val="20"/>
              </w:rPr>
            </w:pPr>
          </w:p>
        </w:tc>
      </w:tr>
      <w:tr>
        <w:tblPrEx>
          <w:tblCellMar>
            <w:top w:w="0" w:type="dxa"/>
            <w:left w:w="108" w:type="dxa"/>
            <w:bottom w:w="0" w:type="dxa"/>
            <w:right w:w="108" w:type="dxa"/>
          </w:tblCellMar>
        </w:tblPrEx>
        <w:trPr>
          <w:trHeight w:val="57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生物有机肥采购项目</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青岛海大生物集团股份有限公司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520.00 </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r>
              <w:rPr>
                <w:rFonts w:hint="eastAsia" w:ascii="宋体" w:hAnsi="宋体" w:eastAsia="宋体" w:cs="宋体"/>
                <w:color w:val="000000"/>
                <w:kern w:val="0"/>
                <w:sz w:val="20"/>
                <w:szCs w:val="20"/>
                <w:lang w:bidi="ar"/>
              </w:rPr>
              <w:br w:type="textWrapping"/>
            </w:r>
            <w:r>
              <w:rPr>
                <w:rFonts w:hint="eastAsia" w:ascii="宋体" w:hAnsi="宋体" w:eastAsia="宋体" w:cs="宋体"/>
                <w:color w:val="000000"/>
                <w:kern w:val="0"/>
                <w:sz w:val="20"/>
                <w:szCs w:val="20"/>
                <w:lang w:bidi="ar"/>
              </w:rPr>
              <w:t>2023.2.1</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95</w:t>
            </w:r>
          </w:p>
        </w:tc>
      </w:tr>
      <w:tr>
        <w:tblPrEx>
          <w:tblCellMar>
            <w:top w:w="0" w:type="dxa"/>
            <w:left w:w="108" w:type="dxa"/>
            <w:bottom w:w="0" w:type="dxa"/>
            <w:right w:w="108" w:type="dxa"/>
          </w:tblCellMar>
        </w:tblPrEx>
        <w:trPr>
          <w:trHeight w:val="57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生物有机肥采购项目</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元和生物科技（德州）有限公司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480.00 </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2023.1.19</w:t>
            </w:r>
            <w:r>
              <w:rPr>
                <w:rFonts w:hint="eastAsia" w:ascii="宋体" w:hAnsi="宋体" w:eastAsia="宋体" w:cs="宋体"/>
                <w:color w:val="000000"/>
                <w:kern w:val="0"/>
                <w:sz w:val="20"/>
                <w:szCs w:val="20"/>
                <w:lang w:bidi="ar"/>
              </w:rPr>
              <w:br w:type="textWrapping"/>
            </w:r>
            <w:r>
              <w:rPr>
                <w:rFonts w:hint="eastAsia" w:ascii="宋体" w:hAnsi="宋体" w:eastAsia="宋体" w:cs="宋体"/>
                <w:color w:val="000000"/>
                <w:kern w:val="0"/>
                <w:sz w:val="20"/>
                <w:szCs w:val="20"/>
                <w:lang w:bidi="ar"/>
              </w:rPr>
              <w:t>2023.2.1</w:t>
            </w: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95.9</w:t>
            </w:r>
          </w:p>
        </w:tc>
      </w:tr>
      <w:tr>
        <w:tblPrEx>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24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智慧平台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山东辰阳电子科技有限公司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 xml:space="preserve">187.96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rPr>
                <w:rFonts w:hint="eastAsia" w:ascii="宋体" w:hAnsi="宋体" w:eastAsia="宋体" w:cs="宋体"/>
                <w:color w:val="000000"/>
                <w:sz w:val="20"/>
                <w:szCs w:val="20"/>
              </w:rPr>
            </w:pPr>
          </w:p>
        </w:tc>
      </w:tr>
      <w:tr>
        <w:tblPrEx>
          <w:tblCellMar>
            <w:top w:w="0" w:type="dxa"/>
            <w:left w:w="108" w:type="dxa"/>
            <w:bottom w:w="0" w:type="dxa"/>
            <w:right w:w="108" w:type="dxa"/>
          </w:tblCellMar>
        </w:tblPrEx>
        <w:trPr>
          <w:trHeight w:val="28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auto"/>
              <w:ind w:firstLine="0" w:firstLineChars="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合计</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r>
              <w:rPr>
                <w:rFonts w:hint="eastAsia" w:ascii="宋体" w:hAnsi="宋体" w:eastAsia="宋体" w:cs="宋体"/>
                <w:color w:val="000000"/>
                <w:sz w:val="20"/>
                <w:szCs w:val="20"/>
              </w:rPr>
              <w:t>13764.47</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center"/>
              <w:rPr>
                <w:rFonts w:hint="eastAsia" w:ascii="宋体" w:hAnsi="宋体" w:eastAsia="宋体" w:cs="宋体"/>
                <w:color w:val="000000"/>
                <w:sz w:val="20"/>
                <w:szCs w:val="20"/>
              </w:rPr>
            </w:pPr>
          </w:p>
        </w:tc>
        <w:tc>
          <w:tcPr>
            <w:tcW w:w="1098" w:type="dxa"/>
            <w:tcBorders>
              <w:top w:val="single" w:color="000000" w:sz="4" w:space="0"/>
              <w:left w:val="single" w:color="000000" w:sz="4" w:space="0"/>
              <w:bottom w:val="single" w:color="000000" w:sz="4" w:space="0"/>
              <w:right w:val="single" w:color="000000" w:sz="4" w:space="0"/>
            </w:tcBorders>
            <w:noWrap/>
            <w:vAlign w:val="center"/>
          </w:tcPr>
          <w:p>
            <w:pPr>
              <w:widowControl/>
              <w:spacing w:line="240" w:lineRule="auto"/>
              <w:ind w:firstLine="0" w:firstLineChars="0"/>
              <w:jc w:val="right"/>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457.06</w:t>
            </w:r>
          </w:p>
        </w:tc>
      </w:tr>
    </w:tbl>
    <w:p>
      <w:pPr>
        <w:pStyle w:val="54"/>
        <w:numPr>
          <w:ilvl w:val="0"/>
          <w:numId w:val="2"/>
        </w:numPr>
        <w:spacing w:line="560" w:lineRule="exact"/>
        <w:ind w:firstLineChars="0"/>
        <w:outlineLvl w:val="3"/>
        <w:rPr>
          <w:rFonts w:hint="eastAsia" w:cs="Times New Roman"/>
          <w:szCs w:val="32"/>
        </w:rPr>
      </w:pPr>
      <w:r>
        <w:rPr>
          <w:rFonts w:hint="eastAsia" w:ascii="楷体_GB2312" w:hAnsi="楷体_GB2312" w:eastAsia="楷体_GB2312" w:cs="楷体_GB2312"/>
          <w:szCs w:val="32"/>
        </w:rPr>
        <w:t>取得的主要成效</w:t>
      </w:r>
    </w:p>
    <w:p>
      <w:pPr>
        <w:pStyle w:val="54"/>
        <w:spacing w:line="560" w:lineRule="exact"/>
        <w:ind w:firstLine="640"/>
        <w:rPr>
          <w:rFonts w:hint="eastAsia" w:ascii="仿宋_GB2312" w:eastAsia="仿宋_GB2312" w:cs="仿宋_GB2312" w:hAnsiTheme="minorHAnsi"/>
          <w:color w:val="auto"/>
          <w:kern w:val="2"/>
          <w:sz w:val="32"/>
          <w:szCs w:val="32"/>
          <w:lang w:val="en-US" w:eastAsia="zh-CN" w:bidi="ar-SA"/>
        </w:rPr>
      </w:pPr>
      <w:r>
        <w:rPr>
          <w:rFonts w:hint="eastAsia" w:ascii="仿宋_GB2312" w:eastAsia="仿宋_GB2312" w:cs="仿宋_GB2312" w:hAnsiTheme="minorHAnsi"/>
          <w:color w:val="auto"/>
          <w:kern w:val="2"/>
          <w:sz w:val="32"/>
          <w:szCs w:val="32"/>
          <w:lang w:val="en-US" w:eastAsia="zh-CN" w:bidi="ar-SA"/>
        </w:rPr>
        <w:t>威海市文登区农业农村局围绕农业增效、农民增收、农村发展目标的总体目标,精心组织高标准农田建设项目。重点支持种粮大户,提高粮食产能;增加了农户施肥情况调查、项目区耕地质量等级评价工作和对农户施肥情况的调查,提高了施肥建议报告使用价值。通过科学规划和规范管理,较好地完成了省市下达的高标准农田建设任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二、绩效评价综合结论</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rPr>
          <w:rFonts w:hint="eastAsia" w:ascii="仿宋_GB2312" w:eastAsia="仿宋_GB2312" w:cs="仿宋_GB2312" w:hAnsiTheme="minorHAnsi"/>
          <w:color w:val="auto"/>
          <w:kern w:val="2"/>
          <w:sz w:val="32"/>
          <w:szCs w:val="32"/>
          <w:lang w:val="en-US" w:eastAsia="zh-CN" w:bidi="ar-SA"/>
        </w:rPr>
      </w:pPr>
      <w:r>
        <w:rPr>
          <w:rFonts w:hint="eastAsia" w:ascii="仿宋_GB2312" w:eastAsia="仿宋_GB2312" w:cs="仿宋_GB2312" w:hAnsiTheme="minorHAnsi"/>
          <w:color w:val="auto"/>
          <w:kern w:val="2"/>
          <w:sz w:val="32"/>
          <w:szCs w:val="32"/>
          <w:lang w:val="en-US" w:eastAsia="zh-CN" w:bidi="ar-SA"/>
        </w:rPr>
        <w:t>根据绩效评价指标体系，对2022年高标准农田建设项目各项指标进行评价，通过综合评价客观分析，本项目绩效评价最终综合评分结果为：总分80.19分，综合绩效评价等级为“良”。项目综合绩效评价得分情况见下表：</w:t>
      </w:r>
    </w:p>
    <w:p>
      <w:pPr>
        <w:ind w:firstLine="0" w:firstLineChars="0"/>
        <w:jc w:val="center"/>
        <w:rPr>
          <w:rFonts w:hint="eastAsia" w:ascii="宋体" w:hAnsi="宋体" w:cs="仿宋_GB2312"/>
          <w:b/>
          <w:bCs/>
          <w:color w:val="000000"/>
          <w:kern w:val="0"/>
          <w:sz w:val="30"/>
          <w:szCs w:val="30"/>
          <w:lang w:bidi="ar"/>
        </w:rPr>
      </w:pPr>
      <w:r>
        <w:rPr>
          <w:rFonts w:hint="eastAsia" w:ascii="宋体" w:hAnsi="宋体" w:cs="仿宋_GB2312"/>
          <w:b/>
          <w:bCs/>
          <w:color w:val="000000"/>
          <w:kern w:val="0"/>
          <w:sz w:val="30"/>
          <w:szCs w:val="30"/>
          <w:lang w:bidi="ar"/>
        </w:rPr>
        <w:t>项目综合绩效评价得分情况表</w:t>
      </w:r>
    </w:p>
    <w:tbl>
      <w:tblPr>
        <w:tblStyle w:val="18"/>
        <w:tblW w:w="8940" w:type="dxa"/>
        <w:tblInd w:w="96" w:type="dxa"/>
        <w:tblLayout w:type="autofit"/>
        <w:tblCellMar>
          <w:top w:w="0" w:type="dxa"/>
          <w:left w:w="108" w:type="dxa"/>
          <w:bottom w:w="0" w:type="dxa"/>
          <w:right w:w="108" w:type="dxa"/>
        </w:tblCellMar>
      </w:tblPr>
      <w:tblGrid>
        <w:gridCol w:w="1716"/>
        <w:gridCol w:w="2484"/>
        <w:gridCol w:w="2604"/>
        <w:gridCol w:w="2136"/>
      </w:tblGrid>
      <w:tr>
        <w:tblPrEx>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widowControl/>
              <w:ind w:firstLine="422"/>
              <w:jc w:val="center"/>
              <w:textAlignment w:val="center"/>
              <w:rPr>
                <w:rFonts w:hint="eastAsia" w:ascii="宋体" w:hAnsi="宋体" w:eastAsia="宋体" w:cs="宋体"/>
                <w:b/>
                <w:bCs/>
                <w:color w:val="000000"/>
                <w:sz w:val="21"/>
                <w:szCs w:val="21"/>
              </w:rPr>
            </w:pPr>
            <w:r>
              <w:rPr>
                <w:rFonts w:hint="eastAsia" w:ascii="宋体" w:hAnsi="宋体" w:eastAsia="宋体" w:cs="宋体"/>
                <w:b/>
                <w:bCs/>
                <w:color w:val="000000"/>
                <w:kern w:val="0"/>
                <w:sz w:val="21"/>
                <w:szCs w:val="21"/>
                <w:lang w:bidi="ar"/>
              </w:rPr>
              <w:t>评价指标</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权重（%）</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评价得分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评价分值占比</w:t>
            </w:r>
          </w:p>
        </w:tc>
      </w:tr>
      <w:tr>
        <w:tblPrEx>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widowControl/>
              <w:ind w:firstLine="422"/>
              <w:jc w:val="center"/>
              <w:textAlignment w:val="center"/>
              <w:rPr>
                <w:rFonts w:hint="eastAsia" w:ascii="宋体" w:hAnsi="宋体" w:eastAsia="宋体" w:cs="宋体"/>
                <w:b/>
                <w:bCs/>
                <w:color w:val="000000"/>
                <w:sz w:val="21"/>
                <w:szCs w:val="21"/>
              </w:rPr>
            </w:pPr>
            <w:r>
              <w:rPr>
                <w:rFonts w:hint="eastAsia" w:ascii="宋体" w:hAnsi="宋体" w:eastAsia="宋体" w:cs="宋体"/>
                <w:b/>
                <w:bCs/>
                <w:color w:val="000000"/>
                <w:kern w:val="0"/>
                <w:sz w:val="21"/>
                <w:szCs w:val="21"/>
                <w:lang w:bidi="ar"/>
              </w:rPr>
              <w:t>项目决策</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20</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ascii="宋体" w:hAnsi="宋体" w:eastAsia="宋体" w:cs="宋体"/>
                <w:color w:val="000000"/>
                <w:sz w:val="21"/>
                <w:szCs w:val="21"/>
                <w:highlight w:val="none"/>
              </w:rPr>
            </w:pPr>
            <w:r>
              <w:rPr>
                <w:rFonts w:hint="eastAsia" w:ascii="宋体" w:hAnsi="宋体" w:eastAsia="宋体" w:cs="宋体"/>
                <w:color w:val="000000"/>
                <w:kern w:val="0"/>
                <w:sz w:val="21"/>
                <w:szCs w:val="21"/>
                <w:highlight w:val="none"/>
                <w:lang w:bidi="ar"/>
              </w:rPr>
              <w:t xml:space="preserve">17.33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86.6</w:t>
            </w:r>
            <w:r>
              <w:rPr>
                <w:rFonts w:hint="eastAsia" w:ascii="宋体" w:hAnsi="宋体" w:eastAsia="宋体" w:cs="宋体"/>
                <w:color w:val="000000"/>
                <w:kern w:val="0"/>
                <w:sz w:val="21"/>
                <w:szCs w:val="21"/>
                <w:lang w:val="en-US" w:eastAsia="zh-CN" w:bidi="ar"/>
              </w:rPr>
              <w:t>5</w:t>
            </w:r>
            <w:r>
              <w:rPr>
                <w:rFonts w:hint="eastAsia" w:ascii="宋体" w:hAnsi="宋体" w:eastAsia="宋体" w:cs="宋体"/>
                <w:color w:val="000000"/>
                <w:kern w:val="0"/>
                <w:sz w:val="21"/>
                <w:szCs w:val="21"/>
                <w:lang w:bidi="ar"/>
              </w:rPr>
              <w:t>%</w:t>
            </w:r>
          </w:p>
        </w:tc>
      </w:tr>
      <w:tr>
        <w:tblPrEx>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widowControl/>
              <w:ind w:firstLine="422"/>
              <w:jc w:val="center"/>
              <w:textAlignment w:val="center"/>
              <w:rPr>
                <w:rFonts w:hint="eastAsia" w:ascii="宋体" w:hAnsi="宋体" w:eastAsia="宋体" w:cs="宋体"/>
                <w:b/>
                <w:bCs/>
                <w:color w:val="000000"/>
                <w:sz w:val="21"/>
                <w:szCs w:val="21"/>
              </w:rPr>
            </w:pPr>
            <w:r>
              <w:rPr>
                <w:rFonts w:hint="eastAsia" w:ascii="宋体" w:hAnsi="宋体" w:eastAsia="宋体" w:cs="宋体"/>
                <w:b/>
                <w:bCs/>
                <w:color w:val="000000"/>
                <w:kern w:val="0"/>
                <w:sz w:val="21"/>
                <w:szCs w:val="21"/>
                <w:lang w:bidi="ar"/>
              </w:rPr>
              <w:t>项目过程</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20</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ascii="宋体" w:hAnsi="宋体" w:eastAsia="宋体" w:cs="宋体"/>
                <w:color w:val="000000"/>
                <w:sz w:val="21"/>
                <w:szCs w:val="21"/>
                <w:highlight w:val="none"/>
              </w:rPr>
            </w:pPr>
            <w:r>
              <w:rPr>
                <w:rFonts w:hint="eastAsia" w:ascii="宋体" w:hAnsi="宋体" w:eastAsia="宋体" w:cs="宋体"/>
                <w:color w:val="000000"/>
                <w:kern w:val="0"/>
                <w:sz w:val="21"/>
                <w:szCs w:val="21"/>
                <w:highlight w:val="none"/>
                <w:lang w:bidi="ar"/>
              </w:rPr>
              <w:t xml:space="preserve">13.25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66.25%</w:t>
            </w:r>
          </w:p>
        </w:tc>
      </w:tr>
      <w:tr>
        <w:tblPrEx>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widowControl/>
              <w:ind w:firstLine="422"/>
              <w:jc w:val="center"/>
              <w:textAlignment w:val="center"/>
              <w:rPr>
                <w:rFonts w:hint="eastAsia" w:ascii="宋体" w:hAnsi="宋体" w:eastAsia="宋体" w:cs="宋体"/>
                <w:b/>
                <w:bCs/>
                <w:color w:val="000000"/>
                <w:sz w:val="21"/>
                <w:szCs w:val="21"/>
              </w:rPr>
            </w:pPr>
            <w:r>
              <w:rPr>
                <w:rFonts w:hint="eastAsia" w:ascii="宋体" w:hAnsi="宋体" w:eastAsia="宋体" w:cs="宋体"/>
                <w:b/>
                <w:bCs/>
                <w:color w:val="000000"/>
                <w:kern w:val="0"/>
                <w:sz w:val="21"/>
                <w:szCs w:val="21"/>
                <w:lang w:bidi="ar"/>
              </w:rPr>
              <w:t>项目产出</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40</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ascii="宋体" w:hAnsi="宋体" w:eastAsia="宋体" w:cs="宋体"/>
                <w:color w:val="000000"/>
                <w:sz w:val="21"/>
                <w:szCs w:val="21"/>
                <w:highlight w:val="none"/>
              </w:rPr>
            </w:pPr>
            <w:r>
              <w:rPr>
                <w:rFonts w:hint="eastAsia" w:ascii="宋体" w:hAnsi="宋体" w:eastAsia="宋体" w:cs="宋体"/>
                <w:color w:val="000000"/>
                <w:kern w:val="0"/>
                <w:sz w:val="21"/>
                <w:szCs w:val="21"/>
                <w:highlight w:val="none"/>
                <w:lang w:bidi="ar"/>
              </w:rPr>
              <w:t xml:space="preserve">31.64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79.10%</w:t>
            </w:r>
          </w:p>
        </w:tc>
      </w:tr>
      <w:tr>
        <w:tblPrEx>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widowControl/>
              <w:ind w:firstLine="422"/>
              <w:jc w:val="center"/>
              <w:textAlignment w:val="center"/>
              <w:rPr>
                <w:rFonts w:hint="eastAsia" w:ascii="宋体" w:hAnsi="宋体" w:eastAsia="宋体" w:cs="宋体"/>
                <w:b/>
                <w:bCs/>
                <w:color w:val="000000"/>
                <w:sz w:val="21"/>
                <w:szCs w:val="21"/>
              </w:rPr>
            </w:pPr>
            <w:r>
              <w:rPr>
                <w:rFonts w:hint="eastAsia" w:ascii="宋体" w:hAnsi="宋体" w:eastAsia="宋体" w:cs="宋体"/>
                <w:b/>
                <w:bCs/>
                <w:color w:val="000000"/>
                <w:kern w:val="0"/>
                <w:sz w:val="21"/>
                <w:szCs w:val="21"/>
                <w:lang w:bidi="ar"/>
              </w:rPr>
              <w:t>项目效益</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20</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ascii="宋体" w:hAnsi="宋体" w:eastAsia="宋体" w:cs="宋体"/>
                <w:color w:val="000000"/>
                <w:sz w:val="21"/>
                <w:szCs w:val="21"/>
                <w:highlight w:val="none"/>
              </w:rPr>
            </w:pPr>
            <w:r>
              <w:rPr>
                <w:rFonts w:hint="eastAsia" w:ascii="宋体" w:hAnsi="宋体" w:eastAsia="宋体" w:cs="宋体"/>
                <w:color w:val="000000"/>
                <w:kern w:val="0"/>
                <w:sz w:val="21"/>
                <w:szCs w:val="21"/>
                <w:highlight w:val="none"/>
                <w:lang w:bidi="ar"/>
              </w:rPr>
              <w:t xml:space="preserve">17.97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89.8</w:t>
            </w:r>
            <w:r>
              <w:rPr>
                <w:rFonts w:hint="eastAsia" w:ascii="宋体" w:hAnsi="宋体" w:eastAsia="宋体" w:cs="宋体"/>
                <w:color w:val="000000"/>
                <w:kern w:val="0"/>
                <w:sz w:val="21"/>
                <w:szCs w:val="21"/>
                <w:lang w:val="en-US" w:eastAsia="zh-CN" w:bidi="ar"/>
              </w:rPr>
              <w:t>5</w:t>
            </w:r>
            <w:r>
              <w:rPr>
                <w:rFonts w:hint="eastAsia" w:ascii="宋体" w:hAnsi="宋体" w:eastAsia="宋体" w:cs="宋体"/>
                <w:color w:val="000000"/>
                <w:kern w:val="0"/>
                <w:sz w:val="21"/>
                <w:szCs w:val="21"/>
                <w:lang w:bidi="ar"/>
              </w:rPr>
              <w:t>%</w:t>
            </w:r>
          </w:p>
        </w:tc>
      </w:tr>
      <w:tr>
        <w:tblPrEx>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widowControl/>
              <w:ind w:firstLine="422"/>
              <w:jc w:val="center"/>
              <w:textAlignment w:val="center"/>
              <w:rPr>
                <w:rFonts w:ascii="宋体" w:hAnsi="宋体" w:eastAsia="宋体" w:cs="宋体"/>
                <w:b/>
                <w:bCs/>
                <w:color w:val="000000"/>
                <w:sz w:val="21"/>
                <w:szCs w:val="21"/>
              </w:rPr>
            </w:pPr>
            <w:r>
              <w:rPr>
                <w:rFonts w:hint="eastAsia" w:ascii="宋体" w:hAnsi="宋体" w:eastAsia="宋体" w:cs="宋体"/>
                <w:b/>
                <w:bCs/>
                <w:color w:val="000000"/>
                <w:kern w:val="0"/>
                <w:sz w:val="21"/>
                <w:szCs w:val="21"/>
                <w:lang w:bidi="ar"/>
              </w:rPr>
              <w:t>综合绩效</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100</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ascii="宋体" w:hAnsi="宋体" w:eastAsia="宋体" w:cs="宋体"/>
                <w:color w:val="000000"/>
                <w:sz w:val="21"/>
                <w:szCs w:val="21"/>
                <w:highlight w:val="none"/>
              </w:rPr>
            </w:pPr>
            <w:r>
              <w:rPr>
                <w:rFonts w:hint="eastAsia" w:ascii="宋体" w:hAnsi="宋体" w:eastAsia="宋体" w:cs="宋体"/>
                <w:color w:val="000000"/>
                <w:kern w:val="0"/>
                <w:sz w:val="21"/>
                <w:szCs w:val="21"/>
                <w:highlight w:val="none"/>
                <w:lang w:bidi="ar"/>
              </w:rPr>
              <w:t>80.</w:t>
            </w:r>
            <w:r>
              <w:rPr>
                <w:rFonts w:hint="eastAsia" w:ascii="宋体" w:hAnsi="宋体" w:eastAsia="宋体" w:cs="宋体"/>
                <w:color w:val="000000"/>
                <w:kern w:val="0"/>
                <w:sz w:val="21"/>
                <w:szCs w:val="21"/>
                <w:highlight w:val="none"/>
                <w:lang w:val="en-US" w:eastAsia="zh-CN" w:bidi="ar"/>
              </w:rPr>
              <w:t>19</w:t>
            </w:r>
            <w:r>
              <w:rPr>
                <w:rFonts w:hint="eastAsia" w:ascii="宋体" w:hAnsi="宋体" w:eastAsia="宋体" w:cs="宋体"/>
                <w:color w:val="000000"/>
                <w:kern w:val="0"/>
                <w:sz w:val="21"/>
                <w:szCs w:val="21"/>
                <w:highlight w:val="none"/>
                <w:lang w:bidi="ar"/>
              </w:rPr>
              <w:t xml:space="preserve">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widowControl/>
              <w:ind w:firstLine="42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80.</w:t>
            </w:r>
            <w:r>
              <w:rPr>
                <w:rFonts w:hint="eastAsia" w:ascii="宋体" w:hAnsi="宋体" w:eastAsia="宋体" w:cs="宋体"/>
                <w:color w:val="000000"/>
                <w:kern w:val="0"/>
                <w:sz w:val="21"/>
                <w:szCs w:val="21"/>
                <w:lang w:val="en-US" w:eastAsia="zh-CN" w:bidi="ar"/>
              </w:rPr>
              <w:t>19</w:t>
            </w:r>
            <w:r>
              <w:rPr>
                <w:rFonts w:hint="eastAsia" w:ascii="宋体" w:hAnsi="宋体" w:eastAsia="宋体" w:cs="宋体"/>
                <w:color w:val="000000"/>
                <w:kern w:val="0"/>
                <w:sz w:val="21"/>
                <w:szCs w:val="21"/>
                <w:lang w:bidi="ar"/>
              </w:rPr>
              <w:t>%</w:t>
            </w:r>
          </w:p>
        </w:tc>
      </w:tr>
    </w:tbl>
    <w:p>
      <w:pPr>
        <w:adjustRightInd w:val="0"/>
        <w:snapToGrid w:val="0"/>
        <w:spacing w:line="560" w:lineRule="exact"/>
        <w:ind w:firstLine="640" w:firstLineChars="200"/>
        <w:rPr>
          <w:rFonts w:hint="eastAsia" w:ascii="仿宋_GB2312" w:eastAsia="仿宋_GB2312"/>
          <w:sz w:val="32"/>
          <w:szCs w:val="32"/>
        </w:rPr>
      </w:pPr>
    </w:p>
    <w:p>
      <w:pPr>
        <w:adjustRightInd w:val="0"/>
        <w:snapToGrid w:val="0"/>
        <w:spacing w:line="560" w:lineRule="exact"/>
        <w:ind w:firstLine="640" w:firstLineChars="200"/>
        <w:rPr>
          <w:rFonts w:hint="eastAsia" w:ascii="黑体" w:hAnsi="黑体" w:eastAsia="黑体"/>
          <w:sz w:val="32"/>
          <w:szCs w:val="32"/>
        </w:rPr>
      </w:pPr>
      <w:bookmarkStart w:id="0" w:name="_Toc30854"/>
      <w:bookmarkStart w:id="1" w:name="_Toc6088"/>
      <w:bookmarkStart w:id="2" w:name="_Toc31275"/>
      <w:r>
        <w:rPr>
          <w:rFonts w:hint="eastAsia" w:ascii="黑体" w:hAnsi="黑体" w:eastAsia="黑体"/>
          <w:sz w:val="32"/>
          <w:szCs w:val="32"/>
          <w:lang w:eastAsia="zh-CN"/>
        </w:rPr>
        <w:t>三、</w:t>
      </w:r>
      <w:r>
        <w:rPr>
          <w:rFonts w:hint="eastAsia" w:ascii="黑体" w:hAnsi="黑体" w:eastAsia="黑体"/>
          <w:sz w:val="32"/>
          <w:szCs w:val="32"/>
        </w:rPr>
        <w:t>存在的主要问题及原因分析</w:t>
      </w:r>
      <w:bookmarkEnd w:id="0"/>
      <w:bookmarkEnd w:id="1"/>
      <w:bookmarkEnd w:id="2"/>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eastAsia="zh-CN"/>
        </w:rPr>
        <w:t>（一）</w:t>
      </w:r>
      <w:r>
        <w:rPr>
          <w:rFonts w:hint="eastAsia" w:ascii="仿宋_GB2312" w:eastAsia="仿宋_GB2312"/>
          <w:sz w:val="32"/>
          <w:szCs w:val="32"/>
        </w:rPr>
        <w:t>高标准农田部分工程存在质量瑕疵。施工单位存在未按设计图施工情况，监理单位监督和巡查力度不足，未及时发现修正问题，不利于高标准农田高质量建设。</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eastAsia="zh-CN"/>
        </w:rPr>
        <w:t>（二）</w:t>
      </w:r>
      <w:r>
        <w:rPr>
          <w:rFonts w:hint="eastAsia" w:ascii="仿宋_GB2312" w:eastAsia="仿宋_GB2312"/>
          <w:sz w:val="32"/>
          <w:szCs w:val="32"/>
        </w:rPr>
        <w:t>工程变更流程不规范。需变更设计的工程未按文件要求程序报批，没有工程规划设计变更表、工程变更投资预算对比表。</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eastAsia="zh-CN"/>
        </w:rPr>
        <w:t>（三）</w:t>
      </w:r>
      <w:r>
        <w:rPr>
          <w:rFonts w:hint="eastAsia" w:ascii="仿宋_GB2312" w:eastAsia="仿宋_GB2312"/>
          <w:sz w:val="32"/>
          <w:szCs w:val="32"/>
        </w:rPr>
        <w:t>项目竣工移交后管护不到位。项目通过验收签定固定资产移交管护协议后，管护单位管护工作重视不足，对出现问题的工程未及时开展维护工作。</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eastAsia="zh-CN"/>
        </w:rPr>
        <w:t>（四）</w:t>
      </w:r>
      <w:r>
        <w:rPr>
          <w:rFonts w:hint="eastAsia" w:ascii="仿宋_GB2312" w:eastAsia="仿宋_GB2312"/>
          <w:sz w:val="32"/>
          <w:szCs w:val="32"/>
        </w:rPr>
        <w:t>发现问题未及时解决，影响使用及移交。验收移交时，对于使用村提出的意见未及时沟通解决或给与整改，影响移交工作及后期的使用。</w:t>
      </w:r>
    </w:p>
    <w:p>
      <w:pPr>
        <w:pStyle w:val="4"/>
        <w:numPr>
          <w:ilvl w:val="0"/>
          <w:numId w:val="0"/>
        </w:numPr>
        <w:adjustRightInd w:val="0"/>
        <w:snapToGrid w:val="0"/>
        <w:spacing w:before="0" w:after="0" w:line="560" w:lineRule="exact"/>
        <w:ind w:left="0" w:leftChars="0" w:firstLine="640" w:firstLineChars="200"/>
        <w:rPr>
          <w:rFonts w:hint="eastAsia" w:ascii="黑体" w:hAnsi="黑体" w:eastAsia="黑体" w:cs="仿宋_GB2312"/>
          <w:bCs w:val="0"/>
          <w:color w:val="auto"/>
          <w:kern w:val="2"/>
          <w:sz w:val="32"/>
          <w:szCs w:val="32"/>
          <w:lang w:val="en-US" w:eastAsia="zh-CN" w:bidi="ar-SA"/>
        </w:rPr>
      </w:pPr>
      <w:bookmarkStart w:id="3" w:name="_Toc32668"/>
      <w:bookmarkStart w:id="4" w:name="_Toc14706"/>
      <w:bookmarkStart w:id="5" w:name="_Toc24748"/>
      <w:r>
        <w:rPr>
          <w:rFonts w:hint="eastAsia" w:ascii="黑体" w:hAnsi="黑体" w:eastAsia="黑体" w:cs="仿宋_GB2312"/>
          <w:bCs w:val="0"/>
          <w:color w:val="auto"/>
          <w:kern w:val="2"/>
          <w:sz w:val="32"/>
          <w:szCs w:val="32"/>
          <w:lang w:val="en-US" w:eastAsia="zh-CN" w:bidi="ar-SA"/>
        </w:rPr>
        <w:t>四、建议和对策</w:t>
      </w:r>
      <w:bookmarkEnd w:id="3"/>
      <w:bookmarkEnd w:id="4"/>
      <w:bookmarkEnd w:id="5"/>
    </w:p>
    <w:p>
      <w:pPr>
        <w:adjustRightInd w:val="0"/>
        <w:snapToGrid w:val="0"/>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对于文登区2022年高标准农田建设项目绩效评价发现的问题，评价工作组提出如下建议和对策：</w:t>
      </w:r>
    </w:p>
    <w:p>
      <w:pPr>
        <w:adjustRightInd w:val="0"/>
        <w:snapToGrid w:val="0"/>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（一）建议今后要加强高标准农田建设工程质量管理工作，严格按照设计施工，高质量推进项目建设。健全完善项目工程质量监管体系，强化项目建设全过程工程质量管理，加强对工程质量的过程监督检查。</w:t>
      </w:r>
    </w:p>
    <w:p>
      <w:pPr>
        <w:adjustRightInd w:val="0"/>
        <w:snapToGrid w:val="0"/>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（二）建议规范工程变更管理，规范农田建设项目工程设计变更和项目调整管理工作。需变更设计的工程严格按《威海市农业农村局高标准农田建设项目工程设计变更和项目调整管理办法》规定执行。</w:t>
      </w:r>
    </w:p>
    <w:p>
      <w:pPr>
        <w:adjustRightInd w:val="0"/>
        <w:snapToGrid w:val="0"/>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（三）建议加强对项目的管护工作，督促管护单位建立健全高标准农田项目运行管理方案，组织好项目运行管护队伍，并对项目实行常态化运行管护，发现损坏情况及时组织维修。</w:t>
      </w:r>
    </w:p>
    <w:p>
      <w:pPr>
        <w:adjustRightInd w:val="0"/>
        <w:snapToGrid w:val="0"/>
        <w:spacing w:line="560" w:lineRule="exact"/>
        <w:ind w:firstLine="640" w:firstLineChars="200"/>
        <w:rPr>
          <w:rFonts w:hint="eastAsia" w:ascii="仿宋_GB2312" w:eastAsia="仿宋_GB2312"/>
          <w:sz w:val="32"/>
          <w:szCs w:val="32"/>
          <w:lang w:eastAsia="zh-CN"/>
        </w:rPr>
        <w:sectPr>
          <w:footerReference r:id="rId9" w:type="default"/>
          <w:pgSz w:w="11906" w:h="16838"/>
          <w:pgMar w:top="2098" w:right="1474" w:bottom="1871" w:left="1587" w:header="737" w:footer="851" w:gutter="0"/>
          <w:pgNumType w:fmt="upperRoman" w:start="1"/>
          <w:cols w:space="720" w:num="1"/>
          <w:docGrid w:type="lines" w:linePitch="408" w:charSpace="0"/>
        </w:sectPr>
      </w:pPr>
      <w:r>
        <w:rPr>
          <w:rFonts w:hint="eastAsia" w:ascii="仿宋_GB2312" w:eastAsia="仿宋_GB2312"/>
          <w:sz w:val="32"/>
          <w:szCs w:val="32"/>
          <w:lang w:eastAsia="zh-CN"/>
        </w:rPr>
        <w:t>（四）建议对高标准农田发现的问题及时解决，督促施工单位、监理单位对高标准农田建设工程存在的尾工及使用用户反馈的质量瑕疵及时进行整改，杜绝因为施工单位与村之间沟通无果而影响村民使用或造成</w:t>
      </w:r>
      <w:r>
        <w:rPr>
          <w:rFonts w:hint="eastAsia" w:ascii="仿宋_GB2312" w:eastAsia="仿宋_GB2312"/>
          <w:sz w:val="32"/>
          <w:szCs w:val="32"/>
          <w:lang w:val="en-US" w:eastAsia="zh-CN"/>
        </w:rPr>
        <w:t>移交</w:t>
      </w:r>
      <w:r>
        <w:rPr>
          <w:rFonts w:hint="eastAsia" w:ascii="仿宋_GB2312" w:eastAsia="仿宋_GB2312"/>
          <w:sz w:val="32"/>
          <w:szCs w:val="32"/>
          <w:lang w:eastAsia="zh-CN"/>
        </w:rPr>
        <w:t>延迟问题。</w:t>
      </w:r>
    </w:p>
    <w:p>
      <w:pPr>
        <w:spacing w:line="590" w:lineRule="exact"/>
        <w:ind w:firstLine="0" w:firstLineChars="0"/>
        <w:jc w:val="right"/>
        <w:rPr>
          <w:rFonts w:ascii="仿宋" w:hAnsi="仿宋" w:eastAsia="仿宋" w:cs="仿宋"/>
          <w:b/>
          <w:bCs/>
          <w:sz w:val="36"/>
          <w:szCs w:val="36"/>
        </w:rPr>
      </w:pPr>
    </w:p>
    <w:p>
      <w:pPr>
        <w:spacing w:line="590" w:lineRule="exact"/>
        <w:ind w:firstLine="723"/>
        <w:jc w:val="center"/>
        <w:rPr>
          <w:rFonts w:ascii="仿宋" w:hAnsi="仿宋" w:eastAsia="仿宋" w:cs="仿宋"/>
          <w:b/>
          <w:bCs/>
          <w:sz w:val="36"/>
          <w:szCs w:val="36"/>
        </w:rPr>
      </w:pPr>
    </w:p>
    <w:p>
      <w:pPr>
        <w:spacing w:line="590" w:lineRule="exact"/>
        <w:ind w:firstLine="723"/>
        <w:jc w:val="center"/>
        <w:rPr>
          <w:rFonts w:ascii="仿宋" w:hAnsi="仿宋" w:eastAsia="仿宋" w:cs="仿宋"/>
          <w:b/>
          <w:bCs/>
          <w:sz w:val="36"/>
          <w:szCs w:val="36"/>
        </w:rPr>
      </w:pPr>
    </w:p>
    <w:p>
      <w:pPr>
        <w:spacing w:line="590" w:lineRule="exact"/>
        <w:ind w:firstLine="803"/>
        <w:jc w:val="center"/>
        <w:rPr>
          <w:rFonts w:ascii="仿宋" w:hAnsi="仿宋" w:eastAsia="仿宋" w:cs="仿宋"/>
          <w:b/>
          <w:bCs/>
          <w:sz w:val="40"/>
          <w:szCs w:val="40"/>
        </w:rPr>
      </w:pP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4"/>
          <w:szCs w:val="44"/>
        </w:rPr>
      </w:pPr>
      <w:r>
        <w:rPr>
          <w:rFonts w:hint="eastAsia" w:ascii="方正小标宋简体" w:hAnsi="方正小标宋简体" w:eastAsia="方正小标宋简体" w:cs="方正小标宋简体"/>
          <w:b/>
          <w:bCs/>
          <w:color w:val="000000"/>
          <w:kern w:val="0"/>
          <w:sz w:val="44"/>
          <w:szCs w:val="44"/>
          <w:lang w:val="en-US" w:eastAsia="zh-CN"/>
        </w:rPr>
        <w:t>2022年</w:t>
      </w:r>
      <w:r>
        <w:rPr>
          <w:rFonts w:hint="eastAsia" w:ascii="方正小标宋简体" w:hAnsi="方正小标宋简体" w:eastAsia="方正小标宋简体" w:cs="方正小标宋简体"/>
          <w:b/>
          <w:bCs/>
          <w:color w:val="000000"/>
          <w:kern w:val="0"/>
          <w:sz w:val="44"/>
          <w:szCs w:val="44"/>
        </w:rPr>
        <w:t>公共文化服务体系建设项目</w:t>
      </w: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4"/>
          <w:szCs w:val="44"/>
        </w:rPr>
      </w:pPr>
      <w:r>
        <w:rPr>
          <w:rFonts w:hint="eastAsia" w:ascii="方正小标宋简体" w:hAnsi="方正小标宋简体" w:eastAsia="方正小标宋简体" w:cs="方正小标宋简体"/>
          <w:b/>
          <w:bCs/>
          <w:color w:val="000000"/>
          <w:kern w:val="0"/>
          <w:sz w:val="44"/>
          <w:szCs w:val="44"/>
        </w:rPr>
        <w:t>绩效评价报告</w:t>
      </w:r>
    </w:p>
    <w:p>
      <w:pPr>
        <w:autoSpaceDE w:val="0"/>
        <w:autoSpaceDN w:val="0"/>
        <w:adjustRightInd w:val="0"/>
        <w:spacing w:line="590" w:lineRule="exact"/>
        <w:ind w:firstLine="0" w:firstLineChars="0"/>
        <w:jc w:val="center"/>
        <w:rPr>
          <w:rFonts w:ascii="仿宋" w:hAnsi="仿宋" w:eastAsia="仿宋" w:cs="仿宋"/>
          <w:b/>
          <w:bCs/>
          <w:color w:val="000000"/>
          <w:kern w:val="0"/>
          <w:sz w:val="52"/>
          <w:szCs w:val="52"/>
        </w:rPr>
      </w:pPr>
    </w:p>
    <w:p>
      <w:pPr>
        <w:spacing w:line="590" w:lineRule="exact"/>
        <w:ind w:left="680"/>
        <w:rPr>
          <w:rFonts w:ascii="仿宋" w:hAnsi="仿宋" w:eastAsia="仿宋" w:cs="仿宋"/>
          <w:sz w:val="32"/>
        </w:rPr>
      </w:pPr>
    </w:p>
    <w:p>
      <w:pPr>
        <w:spacing w:line="590" w:lineRule="exact"/>
        <w:rPr>
          <w:rFonts w:ascii="仿宋" w:hAnsi="仿宋" w:eastAsia="仿宋" w:cs="仿宋"/>
          <w:sz w:val="32"/>
        </w:rPr>
      </w:pPr>
    </w:p>
    <w:p>
      <w:pPr>
        <w:spacing w:line="590" w:lineRule="exact"/>
        <w:ind w:firstLine="0" w:firstLineChars="0"/>
        <w:rPr>
          <w:rFonts w:ascii="仿宋" w:hAnsi="仿宋" w:eastAsia="仿宋" w:cs="仿宋"/>
          <w:sz w:val="32"/>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jc w:val="center"/>
        <w:rPr>
          <w:rFonts w:ascii="仿宋" w:hAnsi="仿宋" w:eastAsia="仿宋" w:cs="仿宋"/>
          <w:b/>
          <w:bCs/>
          <w:sz w:val="32"/>
          <w:szCs w:val="24"/>
        </w:rPr>
      </w:pPr>
      <w:r>
        <w:rPr>
          <w:rFonts w:hint="eastAsia" w:ascii="仿宋" w:hAnsi="仿宋" w:eastAsia="仿宋" w:cs="仿宋"/>
          <w:b/>
          <w:bCs/>
          <w:sz w:val="32"/>
          <w:szCs w:val="24"/>
        </w:rPr>
        <w:t>威海市文登区财政局</w:t>
      </w:r>
    </w:p>
    <w:p>
      <w:pPr>
        <w:spacing w:line="590" w:lineRule="exact"/>
        <w:jc w:val="center"/>
        <w:rPr>
          <w:rFonts w:ascii="仿宋" w:hAnsi="仿宋" w:eastAsia="仿宋" w:cs="仿宋"/>
          <w:b/>
          <w:bCs/>
          <w:sz w:val="32"/>
          <w:szCs w:val="24"/>
        </w:rPr>
        <w:sectPr>
          <w:headerReference r:id="rId12" w:type="first"/>
          <w:footerReference r:id="rId15" w:type="first"/>
          <w:headerReference r:id="rId10" w:type="default"/>
          <w:footerReference r:id="rId13" w:type="default"/>
          <w:headerReference r:id="rId11" w:type="even"/>
          <w:footerReference r:id="rId14" w:type="even"/>
          <w:pgSz w:w="11850" w:h="16783"/>
          <w:pgMar w:top="1440" w:right="1440" w:bottom="1440" w:left="1440" w:header="737" w:footer="1077" w:gutter="0"/>
          <w:cols w:equalWidth="0" w:num="1">
            <w:col w:w="9026"/>
          </w:cols>
          <w:docGrid w:linePitch="360" w:charSpace="0"/>
        </w:sectPr>
      </w:pPr>
      <w:r>
        <w:rPr>
          <w:rFonts w:hint="eastAsia" w:ascii="仿宋" w:hAnsi="仿宋" w:eastAsia="仿宋" w:cs="仿宋"/>
          <w:b/>
          <w:bCs/>
          <w:sz w:val="32"/>
          <w:szCs w:val="24"/>
        </w:rPr>
        <w:t>评价时间：202</w:t>
      </w:r>
      <w:r>
        <w:rPr>
          <w:rFonts w:hint="eastAsia" w:ascii="仿宋" w:hAnsi="仿宋" w:eastAsia="仿宋" w:cs="仿宋"/>
          <w:b/>
          <w:bCs/>
          <w:sz w:val="32"/>
          <w:szCs w:val="24"/>
          <w:lang w:val="en-US" w:eastAsia="zh-CN"/>
        </w:rPr>
        <w:t>3</w:t>
      </w:r>
      <w:r>
        <w:rPr>
          <w:rFonts w:hint="eastAsia" w:ascii="仿宋" w:hAnsi="仿宋" w:eastAsia="仿宋" w:cs="仿宋"/>
          <w:b/>
          <w:bCs/>
          <w:sz w:val="32"/>
          <w:szCs w:val="24"/>
        </w:rPr>
        <w:t xml:space="preserve"> 年 </w:t>
      </w:r>
      <w:r>
        <w:rPr>
          <w:rFonts w:hint="eastAsia" w:ascii="仿宋" w:hAnsi="仿宋" w:eastAsia="仿宋" w:cs="仿宋"/>
          <w:b/>
          <w:bCs/>
          <w:sz w:val="32"/>
          <w:szCs w:val="24"/>
          <w:lang w:val="en-US" w:eastAsia="zh-CN"/>
        </w:rPr>
        <w:t>7</w:t>
      </w:r>
      <w:r>
        <w:rPr>
          <w:rFonts w:hint="eastAsia" w:ascii="仿宋" w:hAnsi="仿宋" w:eastAsia="仿宋" w:cs="仿宋"/>
          <w:b/>
          <w:bCs/>
          <w:sz w:val="32"/>
          <w:szCs w:val="24"/>
        </w:rPr>
        <w:t xml:space="preserve"> 月</w:t>
      </w:r>
    </w:p>
    <w:p>
      <w:pPr>
        <w:pStyle w:val="3"/>
        <w:pageBreakBefore w:val="0"/>
        <w:widowControl w:val="0"/>
        <w:numPr>
          <w:ilvl w:val="0"/>
          <w:numId w:val="3"/>
        </w:numPr>
        <w:kinsoku/>
        <w:wordWrap/>
        <w:overflowPunct/>
        <w:topLinePunct w:val="0"/>
        <w:bidi w:val="0"/>
        <w:adjustRightInd/>
        <w:snapToGrid/>
        <w:spacing w:line="560" w:lineRule="exact"/>
        <w:ind w:firstLine="640" w:firstLineChars="200"/>
        <w:textAlignment w:val="auto"/>
        <w:rPr>
          <w:rFonts w:ascii="Times New Roman" w:hAnsi="Times New Roman" w:eastAsia="黑体" w:cs="Times New Roman"/>
        </w:rPr>
      </w:pPr>
      <w:r>
        <w:rPr>
          <w:rFonts w:ascii="Times New Roman" w:hAnsi="Times New Roman" w:eastAsia="黑体" w:cs="Times New Roman"/>
        </w:rPr>
        <w:t>项目概况</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（一）项目概况</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加快构建现代公共文化服务体系，提升基层公共服务文化水平，有助于满足人民群众日益增长的文化需求。国务院办公厅2015年1月14日印发的《关于加快构建现代公共文化服务体系的意见》和《国家基本公共服务标准（2021年版）》等文件要求：建成覆盖城乡、便捷高效、保基本、促公平的现代公共文化服务体系，主要包括为城乡居民免费开放公共图书馆等公共文化设施、为农村群众提供数字电影放映服务、为农村乡镇提供每年送戏曲等文艺演出，从而保障群众基本文化权益。</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2022年本项目安排预算资金570万元，全部由区本级财政负担，提款方式为报账提款。2022年实际收到财政资金274.11万元，其中2021年度项目资金252.58万元，2022年度项目资金21.53万元。</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（二）绩效目标</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该项目年度总体目标为满足广大人民群众精神文化需求，预计为</w:t>
      </w:r>
      <w:r>
        <w:rPr>
          <w:rFonts w:hint="eastAsia" w:ascii="Times New Roman" w:hAnsi="Times New Roman" w:eastAsia="仿宋_GB2312" w:cs="Times New Roman"/>
          <w:sz w:val="32"/>
          <w:szCs w:val="32"/>
        </w:rPr>
        <w:t>628个村免费送戏、送电影3270场，实现一年一村五场戏，每村每月一场电影，建设2处乡村书房，有利于</w:t>
      </w:r>
      <w:r>
        <w:rPr>
          <w:rFonts w:ascii="Times New Roman" w:hAnsi="Times New Roman" w:eastAsia="仿宋_GB2312" w:cs="Times New Roman"/>
          <w:sz w:val="32"/>
          <w:szCs w:val="32"/>
        </w:rPr>
        <w:t>提升群众幸福感，弘扬精神文化。</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（三）取得的主要成效</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1、项目招标采购环节程序规范</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项目单位在采购管理过程中，严格按照《政府采购需求管理办法》，启用专业的采购代理机构，按规定在指定网站上公开采购公告、中标（成交）公告、采购合同公告等，评审环节依照客观、公正、审慎的原则邀请评审专家独立评审，采购实施计划规范有效，采购合同签订严密，验收手续严格客观并按规定时间公示验收结果。</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2、城市书房运营规范，有利于优秀文化传播</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书房主要承担免费借阅书籍、办借书证的功能，同时凭借其安静优雅的环境为群众提供适合阅读和学习的场地。此外城市书房作为社区与人民群众的纽带，充分发挥其公益作用，多次开展阅读推广、书画展览、传播国学等主题活动，让公众能够在日常生活中有更多的途径来进行文化学习和精神文明获取。</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（四）评价结论</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评价工作组通过对公共文化服务体系建设项目进行综合评价</w:t>
      </w:r>
      <w:r>
        <w:rPr>
          <w:rFonts w:ascii="Times New Roman" w:hAnsi="Times New Roman" w:eastAsia="仿宋_GB2312" w:cs="Times New Roman"/>
          <w:color w:val="000000" w:themeColor="text1"/>
          <w:sz w:val="32"/>
          <w:szCs w:val="32"/>
          <w14:textFill>
            <w14:solidFill>
              <w14:schemeClr w14:val="tx1"/>
            </w14:solidFill>
          </w14:textFill>
        </w:rPr>
        <w:t>，认为该项目政府采购流程完整规范</w:t>
      </w:r>
      <w:r>
        <w:rPr>
          <w:rFonts w:ascii="Times New Roman" w:hAnsi="Times New Roman" w:eastAsia="仿宋_GB2312" w:cs="Times New Roman"/>
          <w:color w:val="000000" w:themeColor="text1"/>
          <w:kern w:val="0"/>
          <w:sz w:val="32"/>
          <w:szCs w:val="32"/>
          <w14:textFill>
            <w14:solidFill>
              <w14:schemeClr w14:val="tx1"/>
            </w14:solidFill>
          </w14:textFill>
        </w:rPr>
        <w:t>，项目预算资金分配依据充分</w:t>
      </w:r>
      <w:r>
        <w:rPr>
          <w:rFonts w:ascii="Times New Roman" w:hAnsi="Times New Roman" w:eastAsia="仿宋_GB2312" w:cs="Times New Roman"/>
          <w:color w:val="000000" w:themeColor="text1"/>
          <w:sz w:val="32"/>
          <w:szCs w:val="32"/>
          <w14:textFill>
            <w14:solidFill>
              <w14:schemeClr w14:val="tx1"/>
            </w14:solidFill>
          </w14:textFill>
        </w:rPr>
        <w:t>，资金使用合规合法，有助于保障人民群众的文化权益</w:t>
      </w:r>
      <w:r>
        <w:rPr>
          <w:rFonts w:ascii="Times New Roman" w:hAnsi="Times New Roman" w:eastAsia="仿宋_GB2312" w:cs="Times New Roman"/>
          <w:color w:val="000000" w:themeColor="text1"/>
          <w:kern w:val="0"/>
          <w:sz w:val="32"/>
          <w:szCs w:val="32"/>
          <w14:textFill>
            <w14:solidFill>
              <w14:schemeClr w14:val="tx1"/>
            </w14:solidFill>
          </w14:textFill>
        </w:rPr>
        <w:t>，提升满意度</w:t>
      </w:r>
      <w:r>
        <w:rPr>
          <w:rFonts w:ascii="Times New Roman" w:hAnsi="Times New Roman" w:eastAsia="仿宋_GB2312" w:cs="Times New Roman"/>
          <w:color w:val="000000" w:themeColor="text1"/>
          <w:sz w:val="32"/>
          <w:szCs w:val="32"/>
          <w14:textFill>
            <w14:solidFill>
              <w14:schemeClr w14:val="tx1"/>
            </w14:solidFill>
          </w14:textFill>
        </w:rPr>
        <w:t>，但项目在在免费送戏质量、农村电影播放质量和完成时间合理性等方面仍存在问题，最后综合评价得分为</w:t>
      </w:r>
      <w:r>
        <w:rPr>
          <w:rFonts w:hint="eastAsia" w:ascii="Times New Roman" w:hAnsi="Times New Roman" w:eastAsia="仿宋_GB2312" w:cs="Times New Roman"/>
          <w:color w:val="000000" w:themeColor="text1"/>
          <w:sz w:val="32"/>
          <w:szCs w:val="32"/>
          <w14:textFill>
            <w14:solidFill>
              <w14:schemeClr w14:val="tx1"/>
            </w14:solidFill>
          </w14:textFill>
        </w:rPr>
        <w:t>83.43</w:t>
      </w:r>
      <w:r>
        <w:rPr>
          <w:rFonts w:ascii="Times New Roman" w:hAnsi="Times New Roman" w:eastAsia="仿宋_GB2312" w:cs="Times New Roman"/>
          <w:color w:val="000000" w:themeColor="text1"/>
          <w:sz w:val="32"/>
          <w:szCs w:val="32"/>
          <w14:textFill>
            <w14:solidFill>
              <w14:schemeClr w14:val="tx1"/>
            </w14:solidFill>
          </w14:textFill>
        </w:rPr>
        <w:t>分，评价等级为“良”</w:t>
      </w:r>
      <w:r>
        <w:rPr>
          <w:rFonts w:ascii="Times New Roman" w:hAnsi="Times New Roman" w:eastAsia="仿宋_GB2312" w:cs="Times New Roman"/>
          <w:sz w:val="32"/>
          <w:szCs w:val="32"/>
        </w:rPr>
        <w:t>。</w:t>
      </w:r>
    </w:p>
    <w:p>
      <w:pPr>
        <w:spacing w:line="56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二、存在的主要问题及原因分析</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（一）免费送戏工程存在的问题</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1、扎堆演出现象突出，实际演出场次存疑</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查看送戏演出记录和记录监督表发现存在明显的扎堆演出现象，各场送戏间隔时间较短，甚至部分演出安排为一天三场。如米山镇长山村8月15日、8月16日、8月17日连续三天都有演出；米山镇下铺子村8月25日一天安排三场演出。同时发现部分同一演出单位不同场次的演出照片虽不一样，但细节（包括幕布摆放、观众位置、光影变化等）高度相似，演出场次的真实数量有待考量。</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2、送戏演出总体质量不高，演出档案资料混乱 </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我们抽查9个乡镇共270个村、1350条记录发现11场送戏无质量监督表；部分质量监督表信息填写不完整、不准确，如大水泊镇前土埠岭村一场演出盖章单位为大水泊镇埠前头村，艺术团演出没有附节目单；部分演出照片不能与节目单、演出场地对应，如有的照片为萨克斯演奏但节目单没有独奏节目，有的实际演出地址为泽头镇但演出照片显示为葛家镇，有的照片在多次、各地演出中反复使用；节目单无更新，演出节目一成不变，在同一个村（居）反复演出，如米山镇大山前村</w:t>
      </w:r>
      <w:r>
        <w:rPr>
          <w:rFonts w:hint="eastAsia" w:ascii="Times New Roman" w:hAnsi="Times New Roman" w:eastAsia="仿宋_GB2312" w:cs="Times New Roman"/>
          <w:sz w:val="32"/>
          <w:szCs w:val="32"/>
        </w:rPr>
        <w:t>8月14日至8月26日期间由金声艺术团完成三场演出，三场节目单一模一样</w:t>
      </w:r>
      <w:r>
        <w:rPr>
          <w:rFonts w:ascii="Times New Roman" w:hAnsi="Times New Roman" w:eastAsia="仿宋_GB2312" w:cs="Times New Roman"/>
          <w:sz w:val="32"/>
          <w:szCs w:val="32"/>
        </w:rPr>
        <w:t>。</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（二）农村免费送电影工程存在的问题</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电影观影人次较少，影片质量有待提高。通过抽查电影管理平台229条实时播放记录，发现48场电影观影人次不足5人；同时通过实地走访村户，村民表示出门的主要目的是乘凉，顺便看电影，且到晚上8点半以后，观影人数直线下降。</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通过发放电子问卷调查和实地走访了解，人民群众喜好影片类型前三类为：喜剧片、科幻片和爱国主旋律片，然而实际播放影片多为红色主旋律片，喜剧片占比很小，无科幻片。</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（三）公益创投项目存在的问题</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1、项目资料不完整，个别资料错误明显 </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各实施单位按要求按时提交月结资料、中期评价和结项自评报告，但个别单位月结资料不完整，如文登区蓝天救援队2022年开展16次活动，但月结资料只有1份活动签到表，威海天朝电子有限公司无活动签到表。</w:t>
      </w:r>
      <w:r>
        <w:rPr>
          <w:rFonts w:ascii="Times New Roman" w:hAnsi="Times New Roman" w:eastAsia="仿宋_GB2312" w:cs="Times New Roman"/>
          <w:sz w:val="32"/>
          <w:szCs w:val="32"/>
        </w:rPr>
        <w:t>同时监督评估单位的结项报告出现明显错误，</w:t>
      </w:r>
      <w:r>
        <w:rPr>
          <w:rFonts w:hint="eastAsia" w:ascii="Times New Roman" w:hAnsi="Times New Roman" w:eastAsia="仿宋_GB2312" w:cs="Times New Roman"/>
          <w:sz w:val="32"/>
          <w:szCs w:val="32"/>
        </w:rPr>
        <w:t>部分群众满意度调查表上存在地点标注错误的问题，如6项公益创投活动中只有文登区蓝天救援队组织的活动受益范围隶属环山街道,但在</w:t>
      </w:r>
      <w:r>
        <w:rPr>
          <w:rFonts w:ascii="Times New Roman" w:hAnsi="Times New Roman" w:eastAsia="仿宋_GB2312" w:cs="Times New Roman"/>
          <w:sz w:val="32"/>
          <w:szCs w:val="32"/>
        </w:rPr>
        <w:t>群众满意度调查表上由其他镇街开展的活动依然标注为环山街道</w:t>
      </w:r>
      <w:r>
        <w:rPr>
          <w:rFonts w:ascii="Times New Roman" w:hAnsi="Times New Roman" w:eastAsia="仿宋_GB2312" w:cs="Times New Roman"/>
          <w:bCs/>
          <w:sz w:val="32"/>
          <w:szCs w:val="32"/>
        </w:rPr>
        <w:t>。</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2、个别项目开展意义较小，传播面受限</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威海天朝电子有限公司开展了昆阳书院文化挖掘、遗址保护项目，经咨询相关专业人员，该项目属于课题性质，但立意较小，传播文化的作用有限，且其开展的部分实施活动如去烟台博物馆等地查阅资料属于非必要行为，因昆阳书院已于2013年成为威海市级文物，昆阳书院的缘由等基本信息早已被挖掘，因此上述行为属于无效活动。</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（四）乡村书房建设存在的问题</w:t>
      </w:r>
    </w:p>
    <w:p>
      <w:pPr>
        <w:spacing w:line="560" w:lineRule="exact"/>
        <w:ind w:firstLine="640" w:firstLineChars="200"/>
        <w:rPr>
          <w:rFonts w:hint="eastAsia" w:ascii="Times New Roman" w:hAnsi="Times New Roman" w:eastAsia="仿宋_GB2312" w:cs="Times New Roman"/>
          <w:sz w:val="32"/>
          <w:szCs w:val="32"/>
        </w:rPr>
      </w:pPr>
      <w:r>
        <w:rPr>
          <w:rFonts w:ascii="Times New Roman" w:hAnsi="Times New Roman" w:eastAsia="仿宋_GB2312" w:cs="Times New Roman"/>
          <w:sz w:val="32"/>
          <w:szCs w:val="32"/>
        </w:rPr>
        <w:t>周边环境嘈杂，未设置单独入口</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经实地查看，2处乡村书房皆置身于其他经营性场所中的一处空间，独立成区。其中西铺头乡村书房紧邻室内儿童乐园且无单独入口；慈口观乡村书房位于一所餐馆内，设置了单独出入口但在走访日当天为锁着的状态，</w:t>
      </w:r>
      <w:r>
        <w:rPr>
          <w:rFonts w:hint="eastAsia" w:ascii="Times New Roman" w:hAnsi="Times New Roman" w:eastAsia="仿宋_GB2312" w:cs="Times New Roman"/>
          <w:sz w:val="32"/>
          <w:szCs w:val="32"/>
        </w:rPr>
        <w:t>2处书房的</w:t>
      </w:r>
      <w:r>
        <w:rPr>
          <w:rFonts w:ascii="Times New Roman" w:hAnsi="Times New Roman" w:eastAsia="仿宋_GB2312" w:cs="Times New Roman"/>
          <w:sz w:val="32"/>
          <w:szCs w:val="32"/>
        </w:rPr>
        <w:t>周边环境都较为嘈杂。</w:t>
      </w:r>
    </w:p>
    <w:p>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另</w:t>
      </w:r>
      <w:r>
        <w:rPr>
          <w:rFonts w:ascii="Times New Roman" w:hAnsi="Times New Roman" w:eastAsia="仿宋_GB2312" w:cs="Times New Roman"/>
          <w:sz w:val="32"/>
          <w:szCs w:val="32"/>
        </w:rPr>
        <w:t>经图书馆后台查询，慈口观乡村书房的</w:t>
      </w:r>
      <w:r>
        <w:rPr>
          <w:rFonts w:hint="eastAsia" w:ascii="Times New Roman" w:hAnsi="Times New Roman" w:eastAsia="仿宋_GB2312" w:cs="Times New Roman"/>
          <w:sz w:val="32"/>
          <w:szCs w:val="32"/>
        </w:rPr>
        <w:t>借阅机使用率较低，7月份该处的图书借还次数总计为零，</w:t>
      </w:r>
      <w:r>
        <w:rPr>
          <w:rFonts w:ascii="Times New Roman" w:hAnsi="Times New Roman" w:eastAsia="仿宋_GB2312" w:cs="Times New Roman"/>
          <w:sz w:val="32"/>
          <w:szCs w:val="32"/>
        </w:rPr>
        <w:t xml:space="preserve"> 走访日当天为关机状态。</w:t>
      </w:r>
    </w:p>
    <w:p>
      <w:pPr>
        <w:spacing w:line="56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三、建议和对策</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（一）合理安排演出时间，加强演出监督和检查</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建议各演出单位向各乡镇（街道）及时上报演出计划，妥善协商、合理安排演出时间，结合天气等变量因素，因地制宜。同时也要追求实事求是的演出态度，避免为了完成演出任务而忽视真实性。</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议区文旅局加大监督与检查力度，开展定期抽查活动，发现不妥及时要求整改，融入考核元素，整改结果与补贴挂钩。演出单位也要采取有效措施如添加时间水印等形式留下演出“证据”，并与实际演出一一对应；同时提高创新能力，多倾听群众心声，创作出人民群众喜闻乐见、与时俱进的节目。</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（二）适应观众需求，提高影片质量</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建议电影公司适当调整影片类型比例，与上级影片公司沟通，引进更多群众喜欢的优秀电影，与时代看齐。同时加强映前宣传力度，让群众及时了解公益电影放映动态，调动起群众观影的兴趣和积极性。</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（三）加大项目督导力度，提高审核水平</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议区文旅局督促项目实施单位档案管理规范化，必要时可开展相关培训活动；提高检查水平，减少工作失误。同时加强对项目方案及实施计划的审核力度，多方面、深入了解项目背景信息，确保财政资金发挥最大效用。</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（四）规范乡村书房建设，加大验收严格力度</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建议区文旅局严格按照威海市乡村书房验收评价表的要求建设乡村书房，合理规划位置，综合考虑周边各种影响因素，因地制宜；加大验收力度，提高验收质量，对不符合要求的事项及时整改。</w:t>
      </w:r>
    </w:p>
    <w:p>
      <w:pPr>
        <w:spacing w:line="56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四、需要说明的事项</w:t>
      </w:r>
    </w:p>
    <w:p>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城市书房需关注经营风险。评价组到5处城市书房了解其财务管理方面，发现普遍存在经营成本高于运营补助的情况。经营成本主要包括房屋资金、人工成本、水电暖支出及其他零星支出。5处城市书房自开业以来一直入不敷出，平均超支1-2万元/年，业主反映缺口部分由自身补贴。建议主管部门关注经营风险，防止业主因入不敷出而出现关闭的可能性。</w:t>
      </w:r>
    </w:p>
    <w:p>
      <w:pPr>
        <w:adjustRightInd/>
        <w:snapToGrid/>
        <w:spacing w:line="590" w:lineRule="exact"/>
        <w:ind w:firstLine="0" w:firstLineChars="0"/>
        <w:jc w:val="right"/>
        <w:rPr>
          <w:rFonts w:ascii="仿宋" w:hAnsi="仿宋" w:eastAsia="仿宋" w:cs="仿宋"/>
          <w:b/>
          <w:bCs/>
          <w:sz w:val="36"/>
          <w:szCs w:val="36"/>
        </w:rPr>
      </w:pPr>
    </w:p>
    <w:p>
      <w:pPr>
        <w:adjustRightInd/>
        <w:snapToGrid/>
        <w:spacing w:line="590" w:lineRule="exact"/>
        <w:ind w:firstLine="723"/>
        <w:jc w:val="center"/>
        <w:rPr>
          <w:rFonts w:ascii="仿宋" w:hAnsi="仿宋" w:eastAsia="仿宋" w:cs="仿宋"/>
          <w:b/>
          <w:bCs/>
          <w:sz w:val="36"/>
          <w:szCs w:val="36"/>
        </w:rPr>
      </w:pPr>
    </w:p>
    <w:p/>
    <w:p>
      <w:pPr>
        <w:pStyle w:val="2"/>
      </w:pPr>
    </w:p>
    <w:p/>
    <w:p>
      <w:pPr>
        <w:pStyle w:val="2"/>
      </w:pPr>
    </w:p>
    <w:p/>
    <w:p>
      <w:pPr>
        <w:pStyle w:val="2"/>
      </w:pPr>
    </w:p>
    <w:p/>
    <w:p>
      <w:pPr>
        <w:pStyle w:val="54"/>
      </w:pPr>
    </w:p>
    <w:p>
      <w:pPr>
        <w:spacing w:line="590" w:lineRule="exact"/>
        <w:ind w:firstLine="0" w:firstLineChars="0"/>
        <w:jc w:val="right"/>
        <w:rPr>
          <w:rFonts w:ascii="仿宋" w:hAnsi="仿宋" w:eastAsia="仿宋" w:cs="仿宋"/>
          <w:b/>
          <w:bCs/>
          <w:sz w:val="36"/>
          <w:szCs w:val="36"/>
        </w:rPr>
      </w:pPr>
    </w:p>
    <w:p>
      <w:pPr>
        <w:spacing w:line="590" w:lineRule="exact"/>
        <w:ind w:firstLine="723"/>
        <w:jc w:val="center"/>
        <w:rPr>
          <w:rFonts w:ascii="仿宋" w:hAnsi="仿宋" w:eastAsia="仿宋" w:cs="仿宋"/>
          <w:b/>
          <w:bCs/>
          <w:sz w:val="36"/>
          <w:szCs w:val="36"/>
        </w:rPr>
      </w:pPr>
    </w:p>
    <w:p>
      <w:pPr>
        <w:spacing w:line="590" w:lineRule="exact"/>
        <w:ind w:firstLine="723"/>
        <w:jc w:val="center"/>
        <w:rPr>
          <w:rFonts w:ascii="仿宋" w:hAnsi="仿宋" w:eastAsia="仿宋" w:cs="仿宋"/>
          <w:b/>
          <w:bCs/>
          <w:sz w:val="36"/>
          <w:szCs w:val="36"/>
        </w:rPr>
      </w:pPr>
    </w:p>
    <w:p>
      <w:pPr>
        <w:spacing w:line="590" w:lineRule="exact"/>
        <w:ind w:firstLine="803"/>
        <w:jc w:val="center"/>
        <w:rPr>
          <w:rFonts w:ascii="仿宋" w:hAnsi="仿宋" w:eastAsia="仿宋" w:cs="仿宋"/>
          <w:b/>
          <w:bCs/>
          <w:sz w:val="40"/>
          <w:szCs w:val="40"/>
        </w:rPr>
      </w:pPr>
    </w:p>
    <w:p>
      <w:pPr>
        <w:pStyle w:val="54"/>
        <w:rPr>
          <w:rFonts w:ascii="仿宋" w:hAnsi="仿宋" w:eastAsia="仿宋" w:cs="仿宋"/>
          <w:b/>
          <w:bCs/>
          <w:sz w:val="40"/>
          <w:szCs w:val="40"/>
        </w:rPr>
      </w:pPr>
    </w:p>
    <w:p>
      <w:pPr>
        <w:pStyle w:val="54"/>
        <w:rPr>
          <w:rFonts w:ascii="仿宋" w:hAnsi="仿宋" w:eastAsia="仿宋" w:cs="仿宋"/>
          <w:b/>
          <w:bCs/>
          <w:sz w:val="40"/>
          <w:szCs w:val="40"/>
        </w:rPr>
      </w:pPr>
    </w:p>
    <w:p>
      <w:pPr>
        <w:pStyle w:val="54"/>
        <w:rPr>
          <w:rFonts w:ascii="仿宋" w:hAnsi="仿宋" w:eastAsia="仿宋" w:cs="仿宋"/>
          <w:b/>
          <w:bCs/>
          <w:sz w:val="40"/>
          <w:szCs w:val="40"/>
        </w:rPr>
      </w:pPr>
    </w:p>
    <w:p>
      <w:pPr>
        <w:pStyle w:val="54"/>
        <w:rPr>
          <w:rFonts w:ascii="仿宋" w:hAnsi="仿宋" w:eastAsia="仿宋" w:cs="仿宋"/>
          <w:b/>
          <w:bCs/>
          <w:sz w:val="40"/>
          <w:szCs w:val="40"/>
        </w:rPr>
      </w:pPr>
    </w:p>
    <w:p>
      <w:pPr>
        <w:pStyle w:val="54"/>
        <w:ind w:left="0" w:leftChars="0" w:firstLine="0" w:firstLineChars="0"/>
        <w:rPr>
          <w:rFonts w:ascii="仿宋" w:hAnsi="仿宋" w:eastAsia="仿宋" w:cs="仿宋"/>
          <w:b/>
          <w:bCs/>
          <w:sz w:val="40"/>
          <w:szCs w:val="40"/>
        </w:rPr>
      </w:pPr>
    </w:p>
    <w:p>
      <w:pPr>
        <w:pStyle w:val="54"/>
        <w:ind w:left="0" w:leftChars="0" w:firstLine="0" w:firstLineChars="0"/>
        <w:rPr>
          <w:rFonts w:ascii="仿宋" w:hAnsi="仿宋" w:eastAsia="仿宋" w:cs="仿宋"/>
          <w:b/>
          <w:bCs/>
          <w:sz w:val="40"/>
          <w:szCs w:val="40"/>
        </w:rPr>
      </w:pPr>
    </w:p>
    <w:p>
      <w:pPr>
        <w:pStyle w:val="54"/>
        <w:ind w:left="0" w:leftChars="0" w:firstLine="0" w:firstLineChars="0"/>
        <w:rPr>
          <w:rFonts w:ascii="仿宋" w:hAnsi="仿宋" w:eastAsia="仿宋" w:cs="仿宋"/>
          <w:b/>
          <w:bCs/>
          <w:sz w:val="40"/>
          <w:szCs w:val="40"/>
        </w:rPr>
      </w:pPr>
    </w:p>
    <w:p>
      <w:pPr>
        <w:pStyle w:val="54"/>
        <w:ind w:left="0" w:leftChars="0" w:firstLine="0" w:firstLineChars="0"/>
        <w:rPr>
          <w:rFonts w:ascii="仿宋" w:hAnsi="仿宋" w:eastAsia="仿宋" w:cs="仿宋"/>
          <w:b/>
          <w:bCs/>
          <w:sz w:val="40"/>
          <w:szCs w:val="40"/>
        </w:rPr>
      </w:pP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48"/>
          <w:szCs w:val="48"/>
        </w:rPr>
      </w:pPr>
      <w:r>
        <w:rPr>
          <w:rFonts w:hint="eastAsia" w:ascii="方正小标宋简体" w:hAnsi="方正小标宋简体" w:eastAsia="方正小标宋简体" w:cs="方正小标宋简体"/>
          <w:b w:val="0"/>
          <w:bCs/>
          <w:color w:val="000000"/>
          <w:kern w:val="0"/>
          <w:sz w:val="48"/>
          <w:szCs w:val="48"/>
          <w:lang w:val="en-US" w:eastAsia="zh-CN"/>
        </w:rPr>
        <w:t>2022年</w:t>
      </w:r>
      <w:r>
        <w:rPr>
          <w:rFonts w:hint="eastAsia" w:ascii="方正小标宋简体" w:hAnsi="方正小标宋简体" w:eastAsia="方正小标宋简体" w:cs="方正小标宋简体"/>
          <w:b w:val="0"/>
          <w:bCs/>
          <w:color w:val="000000"/>
          <w:kern w:val="0"/>
          <w:sz w:val="48"/>
          <w:szCs w:val="48"/>
        </w:rPr>
        <w:t>数字校园项目</w:t>
      </w: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48"/>
          <w:szCs w:val="48"/>
        </w:rPr>
      </w:pPr>
      <w:r>
        <w:rPr>
          <w:rFonts w:hint="eastAsia" w:ascii="方正小标宋简体" w:hAnsi="方正小标宋简体" w:eastAsia="方正小标宋简体" w:cs="方正小标宋简体"/>
          <w:b w:val="0"/>
          <w:bCs/>
          <w:color w:val="000000"/>
          <w:kern w:val="0"/>
          <w:sz w:val="48"/>
          <w:szCs w:val="48"/>
        </w:rPr>
        <w:t>绩效评价报告</w:t>
      </w: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8"/>
          <w:szCs w:val="48"/>
        </w:rPr>
      </w:pPr>
    </w:p>
    <w:p>
      <w:pPr>
        <w:spacing w:line="590" w:lineRule="exact"/>
        <w:ind w:left="680"/>
        <w:rPr>
          <w:rFonts w:ascii="仿宋" w:hAnsi="仿宋" w:eastAsia="仿宋" w:cs="仿宋"/>
          <w:sz w:val="32"/>
        </w:rPr>
      </w:pPr>
    </w:p>
    <w:p>
      <w:pPr>
        <w:spacing w:line="590" w:lineRule="exact"/>
        <w:rPr>
          <w:rFonts w:ascii="仿宋" w:hAnsi="仿宋" w:eastAsia="仿宋" w:cs="仿宋"/>
          <w:sz w:val="32"/>
        </w:rPr>
      </w:pPr>
    </w:p>
    <w:p>
      <w:pPr>
        <w:spacing w:line="590" w:lineRule="exact"/>
        <w:ind w:firstLine="0" w:firstLineChars="0"/>
        <w:rPr>
          <w:rFonts w:ascii="仿宋" w:hAnsi="仿宋" w:eastAsia="仿宋" w:cs="仿宋"/>
          <w:sz w:val="32"/>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jc w:val="center"/>
        <w:rPr>
          <w:rFonts w:ascii="仿宋" w:hAnsi="仿宋" w:eastAsia="仿宋" w:cs="仿宋"/>
          <w:b/>
          <w:bCs/>
          <w:sz w:val="32"/>
          <w:szCs w:val="24"/>
        </w:rPr>
      </w:pPr>
      <w:r>
        <w:rPr>
          <w:rFonts w:hint="eastAsia" w:ascii="仿宋" w:hAnsi="仿宋" w:eastAsia="仿宋" w:cs="仿宋"/>
          <w:b/>
          <w:bCs/>
          <w:sz w:val="32"/>
          <w:szCs w:val="24"/>
        </w:rPr>
        <w:t>威海市文登区财政局</w:t>
      </w:r>
    </w:p>
    <w:p>
      <w:pPr>
        <w:spacing w:line="590" w:lineRule="exact"/>
        <w:jc w:val="center"/>
        <w:rPr>
          <w:rFonts w:ascii="仿宋" w:hAnsi="仿宋" w:eastAsia="仿宋" w:cs="仿宋"/>
          <w:b/>
          <w:bCs/>
          <w:sz w:val="32"/>
          <w:szCs w:val="24"/>
        </w:rPr>
        <w:sectPr>
          <w:headerReference r:id="rId18" w:type="first"/>
          <w:footerReference r:id="rId21" w:type="first"/>
          <w:headerReference r:id="rId16" w:type="default"/>
          <w:footerReference r:id="rId19" w:type="default"/>
          <w:headerReference r:id="rId17" w:type="even"/>
          <w:footerReference r:id="rId20" w:type="even"/>
          <w:pgSz w:w="11850" w:h="16783"/>
          <w:pgMar w:top="1440" w:right="1440" w:bottom="1440" w:left="1440" w:header="737" w:footer="1077" w:gutter="0"/>
          <w:cols w:equalWidth="0" w:num="1">
            <w:col w:w="9026"/>
          </w:cols>
          <w:docGrid w:linePitch="360" w:charSpace="0"/>
        </w:sectPr>
      </w:pPr>
      <w:r>
        <w:rPr>
          <w:rFonts w:hint="eastAsia" w:ascii="仿宋" w:hAnsi="仿宋" w:eastAsia="仿宋" w:cs="仿宋"/>
          <w:b/>
          <w:bCs/>
          <w:sz w:val="32"/>
          <w:szCs w:val="24"/>
        </w:rPr>
        <w:t>评价时间：202</w:t>
      </w:r>
      <w:r>
        <w:rPr>
          <w:rFonts w:hint="eastAsia" w:ascii="仿宋" w:hAnsi="仿宋" w:eastAsia="仿宋" w:cs="仿宋"/>
          <w:b/>
          <w:bCs/>
          <w:sz w:val="32"/>
          <w:szCs w:val="24"/>
          <w:lang w:val="en-US" w:eastAsia="zh-CN"/>
        </w:rPr>
        <w:t>3</w:t>
      </w:r>
      <w:r>
        <w:rPr>
          <w:rFonts w:hint="eastAsia" w:ascii="仿宋" w:hAnsi="仿宋" w:eastAsia="仿宋" w:cs="仿宋"/>
          <w:b/>
          <w:bCs/>
          <w:sz w:val="32"/>
          <w:szCs w:val="24"/>
        </w:rPr>
        <w:t xml:space="preserve"> 年 </w:t>
      </w:r>
      <w:r>
        <w:rPr>
          <w:rFonts w:hint="eastAsia" w:ascii="仿宋" w:hAnsi="仿宋" w:eastAsia="仿宋" w:cs="仿宋"/>
          <w:b/>
          <w:bCs/>
          <w:sz w:val="32"/>
          <w:szCs w:val="24"/>
          <w:lang w:val="en-US" w:eastAsia="zh-CN"/>
        </w:rPr>
        <w:t>7</w:t>
      </w:r>
      <w:r>
        <w:rPr>
          <w:rFonts w:hint="eastAsia" w:ascii="仿宋" w:hAnsi="仿宋" w:eastAsia="仿宋" w:cs="仿宋"/>
          <w:b/>
          <w:bCs/>
          <w:sz w:val="32"/>
          <w:szCs w:val="24"/>
        </w:rPr>
        <w:t xml:space="preserve"> 月</w:t>
      </w:r>
    </w:p>
    <w:p>
      <w:pPr>
        <w:pStyle w:val="3"/>
        <w:ind w:firstLine="640" w:firstLineChars="200"/>
        <w:rPr>
          <w:rFonts w:ascii="Times New Roman" w:hAnsi="黑体" w:eastAsia="黑体" w:cs="Times New Roman"/>
          <w:bCs w:val="0"/>
          <w:color w:val="auto"/>
          <w:kern w:val="2"/>
          <w:sz w:val="32"/>
          <w:szCs w:val="32"/>
          <w:lang w:val="en-US" w:eastAsia="zh-CN" w:bidi="ar-SA"/>
        </w:rPr>
      </w:pPr>
      <w:bookmarkStart w:id="6" w:name="_Toc141515719"/>
      <w:r>
        <w:rPr>
          <w:rFonts w:ascii="Times New Roman" w:hAnsi="黑体" w:eastAsia="黑体" w:cs="Times New Roman"/>
          <w:bCs w:val="0"/>
          <w:color w:val="auto"/>
          <w:kern w:val="2"/>
          <w:sz w:val="32"/>
          <w:szCs w:val="32"/>
          <w:lang w:val="en-US" w:eastAsia="zh-CN" w:bidi="ar-SA"/>
        </w:rPr>
        <w:t>一、项目概况</w:t>
      </w:r>
      <w:bookmarkEnd w:id="6"/>
    </w:p>
    <w:p>
      <w:pPr>
        <w:spacing w:line="560" w:lineRule="exact"/>
        <w:ind w:firstLine="640" w:firstLineChars="200"/>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1、立项背景</w:t>
      </w:r>
    </w:p>
    <w:p>
      <w:pPr>
        <w:spacing w:line="560" w:lineRule="exact"/>
        <w:ind w:firstLine="640" w:firstLineChars="200"/>
        <w:rPr>
          <w:rFonts w:ascii="Times New Roman" w:hAnsi="Times New Roman" w:eastAsia="仿宋_GB2312" w:cs="Times New Roman"/>
          <w:sz w:val="32"/>
          <w:szCs w:val="32"/>
          <w:lang w:val="en-US" w:eastAsia="zh-CN"/>
        </w:rPr>
      </w:pPr>
      <w:r>
        <w:rPr>
          <w:rFonts w:ascii="Times New Roman" w:hAnsi="Times New Roman" w:eastAsia="仿宋_GB2312" w:cs="Times New Roman"/>
          <w:sz w:val="32"/>
          <w:szCs w:val="32"/>
          <w:lang w:val="en-US" w:eastAsia="zh-CN"/>
        </w:rPr>
        <w:t>为深入贯彻落实党的十九大精神，积极推进“互联网+”行动，提升中小学校信息化建设与应用水平，推动信息技术与教育教学的深度融合，切实加快全国教育信息化进程，以教育信息化支撑和引领教育现代化，服务教育强国建设，</w:t>
      </w:r>
      <w:bookmarkStart w:id="10" w:name="_GoBack"/>
      <w:bookmarkEnd w:id="10"/>
      <w:r>
        <w:rPr>
          <w:rFonts w:ascii="Times New Roman" w:hAnsi="Times New Roman" w:eastAsia="仿宋_GB2312" w:cs="Times New Roman"/>
          <w:sz w:val="32"/>
          <w:szCs w:val="32"/>
          <w:lang w:val="en-US" w:eastAsia="zh-CN"/>
        </w:rPr>
        <w:t>教育部先后下发了《中小学数字校园建设规范（试行）》和《教育信息化 2.0 行动计划》等文件，要求坚持“深化应用，融合创新”的基本思想，促进区域教育的均衡发展和学校教育的质量提升。要到 2022 年基本实现“三全两高一大”的发展目标。</w:t>
      </w:r>
    </w:p>
    <w:p>
      <w:pPr>
        <w:spacing w:line="560" w:lineRule="exact"/>
        <w:ind w:firstLine="640" w:firstLineChars="200"/>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2、项目依据及内容</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中小学数字校园建设规范（试行）》、《山东省教育信息化2.0行动计划(2019-2022)》、《山东省教育厅关于加快中小学数字校园建设全覆盖工作的通知》（鲁教科函〔2020〕23号）、《威海市教育局关于转发和落实《山东省教育厅关于加快中小学数字校园建设全覆盖工作的通知》的通知》（威教办字〔2020〕4号）等文件规定，教体局开展数字校园项目，包括数字校园管理平台、网络安全建设、多媒体教学设备、计算机设备四部分。</w:t>
      </w:r>
    </w:p>
    <w:p>
      <w:pPr>
        <w:spacing w:line="560" w:lineRule="exact"/>
        <w:ind w:firstLine="640" w:firstLineChars="200"/>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3、资金投入及使用情况</w:t>
      </w:r>
    </w:p>
    <w:p>
      <w:pPr>
        <w:spacing w:line="560" w:lineRule="exact"/>
        <w:ind w:firstLine="640" w:firstLineChars="200"/>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本项目预算总金额2,983.70万元，通过公开招标的方式对项目施工及监理进行政府采购，项目施工中标单位为山东捷讯通信技术有限公司，中标金额为2,955.20万元；项目监理中标单位为湖南万恒工程项目管理有限公司，中标金额为10.58万元。根据合同约定的付款方式，2022年安排预算资金1,492.00万元。</w:t>
      </w:r>
    </w:p>
    <w:p>
      <w:pPr>
        <w:spacing w:line="560" w:lineRule="exact"/>
        <w:ind w:firstLine="640" w:firstLineChars="200"/>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项目最终结算金额为2,942.52万元，其中捷讯公司2,931.94万元，万恒公司10.58万元。按照合同约定的付款进度，2022年应付款50%即1,471.26万元。2022年财政共拨付本项目预算资金1,471.26万元，威海市文登区教育和体育局对外支付1,471.26万元（2022年支付1,000.00万元，2023年支付471.26万元），其中支付给捷讯公司1,465.97万元，万恒公司5.29万元。</w:t>
      </w:r>
    </w:p>
    <w:p>
      <w:pPr>
        <w:spacing w:line="560" w:lineRule="exact"/>
        <w:ind w:firstLine="800" w:firstLineChars="250"/>
        <w:rPr>
          <w:rFonts w:ascii="Times New Roman" w:hAnsi="Times New Roman" w:cs="Times New Roman"/>
          <w:szCs w:val="32"/>
        </w:rPr>
      </w:pPr>
      <w:r>
        <w:rPr>
          <w:rFonts w:ascii="Times New Roman" w:hAnsi="Times New Roman" w:cs="Times New Roman"/>
          <w:szCs w:val="32"/>
        </w:rPr>
        <w:t>4、评价得分</w:t>
      </w:r>
    </w:p>
    <w:p>
      <w:pPr>
        <w:pStyle w:val="53"/>
        <w:spacing w:line="560" w:lineRule="exact"/>
        <w:ind w:right="108" w:firstLine="640" w:firstLineChars="200"/>
        <w:rPr>
          <w:rFonts w:hAnsi="Times New Roman" w:eastAsia="仿宋_GB2312" w:cs="Times New Roman"/>
          <w:color w:val="auto"/>
          <w:kern w:val="0"/>
          <w:sz w:val="32"/>
          <w:szCs w:val="32"/>
        </w:rPr>
      </w:pPr>
      <w:r>
        <w:rPr>
          <w:rFonts w:hAnsi="Times New Roman" w:eastAsia="仿宋_GB2312" w:cs="Times New Roman"/>
          <w:color w:val="auto"/>
          <w:kern w:val="0"/>
          <w:sz w:val="32"/>
          <w:szCs w:val="32"/>
        </w:rPr>
        <w:t>项目总体评分结果为8</w:t>
      </w:r>
      <w:r>
        <w:rPr>
          <w:rFonts w:hint="eastAsia" w:hAnsi="Times New Roman" w:eastAsia="仿宋_GB2312" w:cs="Times New Roman"/>
          <w:color w:val="auto"/>
          <w:kern w:val="0"/>
          <w:sz w:val="32"/>
          <w:szCs w:val="32"/>
        </w:rPr>
        <w:t>9.12</w:t>
      </w:r>
      <w:r>
        <w:rPr>
          <w:rFonts w:hAnsi="Times New Roman" w:eastAsia="仿宋_GB2312" w:cs="Times New Roman"/>
          <w:color w:val="auto"/>
          <w:kern w:val="0"/>
          <w:sz w:val="32"/>
          <w:szCs w:val="32"/>
        </w:rPr>
        <w:t>分，评价等级为良。综合评分表如下：</w:t>
      </w:r>
    </w:p>
    <w:p>
      <w:pPr>
        <w:pStyle w:val="53"/>
        <w:spacing w:line="560" w:lineRule="exact"/>
        <w:ind w:right="108" w:firstLine="3360" w:firstLineChars="1600"/>
        <w:rPr>
          <w:rFonts w:hAnsi="Times New Roman" w:eastAsia="黑体" w:cs="Times New Roman"/>
          <w:color w:val="auto"/>
          <w:kern w:val="0"/>
        </w:rPr>
      </w:pPr>
      <w:r>
        <w:rPr>
          <w:rFonts w:hAnsi="Times New Roman" w:eastAsia="黑体" w:cs="Times New Roman"/>
          <w:color w:val="auto"/>
          <w:kern w:val="0"/>
        </w:rPr>
        <w:t>绩效评价综合得分情况表</w:t>
      </w:r>
    </w:p>
    <w:tbl>
      <w:tblPr>
        <w:tblStyle w:val="19"/>
        <w:tblW w:w="0" w:type="auto"/>
        <w:tblInd w:w="675"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77"/>
        <w:gridCol w:w="1401"/>
        <w:gridCol w:w="1265"/>
        <w:gridCol w:w="1265"/>
        <w:gridCol w:w="1401"/>
        <w:gridCol w:w="1538"/>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blHeader/>
        </w:trPr>
        <w:tc>
          <w:tcPr>
            <w:tcW w:w="993"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指标</w:t>
            </w:r>
          </w:p>
        </w:tc>
        <w:tc>
          <w:tcPr>
            <w:tcW w:w="1417"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决策</w:t>
            </w:r>
          </w:p>
        </w:tc>
        <w:tc>
          <w:tcPr>
            <w:tcW w:w="1276"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过程</w:t>
            </w:r>
          </w:p>
        </w:tc>
        <w:tc>
          <w:tcPr>
            <w:tcW w:w="1276" w:type="dxa"/>
            <w:tcBorders>
              <w:right w:val="single" w:color="auto" w:sz="4" w:space="0"/>
            </w:tcBorders>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产出</w:t>
            </w:r>
          </w:p>
        </w:tc>
        <w:tc>
          <w:tcPr>
            <w:tcW w:w="1417" w:type="dxa"/>
            <w:tcBorders>
              <w:left w:val="single" w:color="auto" w:sz="4" w:space="0"/>
            </w:tcBorders>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效益</w:t>
            </w:r>
          </w:p>
        </w:tc>
        <w:tc>
          <w:tcPr>
            <w:tcW w:w="1559"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合计</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blHeader/>
        </w:trPr>
        <w:tc>
          <w:tcPr>
            <w:tcW w:w="993"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分值</w:t>
            </w:r>
          </w:p>
        </w:tc>
        <w:tc>
          <w:tcPr>
            <w:tcW w:w="1417"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16</w:t>
            </w:r>
          </w:p>
        </w:tc>
        <w:tc>
          <w:tcPr>
            <w:tcW w:w="1276"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24</w:t>
            </w:r>
          </w:p>
        </w:tc>
        <w:tc>
          <w:tcPr>
            <w:tcW w:w="1276" w:type="dxa"/>
            <w:tcBorders>
              <w:right w:val="single" w:color="auto" w:sz="4" w:space="0"/>
            </w:tcBorders>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36</w:t>
            </w:r>
          </w:p>
        </w:tc>
        <w:tc>
          <w:tcPr>
            <w:tcW w:w="1417" w:type="dxa"/>
            <w:tcBorders>
              <w:left w:val="single" w:color="auto" w:sz="4" w:space="0"/>
            </w:tcBorders>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24</w:t>
            </w:r>
          </w:p>
        </w:tc>
        <w:tc>
          <w:tcPr>
            <w:tcW w:w="1559"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100.00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blHeader/>
        </w:trPr>
        <w:tc>
          <w:tcPr>
            <w:tcW w:w="993"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得分</w:t>
            </w:r>
          </w:p>
        </w:tc>
        <w:tc>
          <w:tcPr>
            <w:tcW w:w="1417"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15.5</w:t>
            </w:r>
          </w:p>
        </w:tc>
        <w:tc>
          <w:tcPr>
            <w:tcW w:w="1276" w:type="dxa"/>
            <w:vAlign w:val="center"/>
          </w:tcPr>
          <w:p>
            <w:pPr>
              <w:pStyle w:val="53"/>
              <w:spacing w:line="560" w:lineRule="exact"/>
              <w:ind w:right="108"/>
              <w:jc w:val="center"/>
              <w:rPr>
                <w:rFonts w:hAnsi="Times New Roman" w:cs="Times New Roman" w:eastAsiaTheme="minorEastAsia"/>
                <w:color w:val="auto"/>
                <w:kern w:val="0"/>
              </w:rPr>
            </w:pPr>
            <w:r>
              <w:rPr>
                <w:rFonts w:hint="eastAsia" w:hAnsi="Times New Roman" w:cs="Times New Roman" w:eastAsiaTheme="minorEastAsia"/>
                <w:color w:val="auto"/>
                <w:kern w:val="0"/>
              </w:rPr>
              <w:t>20</w:t>
            </w:r>
            <w:r>
              <w:rPr>
                <w:rFonts w:hAnsi="Times New Roman" w:cs="Times New Roman" w:eastAsiaTheme="minorEastAsia"/>
                <w:color w:val="auto"/>
                <w:kern w:val="0"/>
              </w:rPr>
              <w:t>.96</w:t>
            </w:r>
          </w:p>
        </w:tc>
        <w:tc>
          <w:tcPr>
            <w:tcW w:w="1276" w:type="dxa"/>
            <w:tcBorders>
              <w:right w:val="single" w:color="auto" w:sz="4" w:space="0"/>
            </w:tcBorders>
            <w:vAlign w:val="center"/>
          </w:tcPr>
          <w:p>
            <w:pPr>
              <w:pStyle w:val="53"/>
              <w:spacing w:line="560" w:lineRule="exact"/>
              <w:ind w:right="108"/>
              <w:jc w:val="center"/>
              <w:rPr>
                <w:rFonts w:hAnsi="Times New Roman" w:cs="Times New Roman" w:eastAsiaTheme="minorEastAsia"/>
                <w:color w:val="auto"/>
                <w:kern w:val="0"/>
              </w:rPr>
            </w:pPr>
            <w:r>
              <w:rPr>
                <w:rFonts w:hint="eastAsia" w:hAnsi="Times New Roman" w:cs="Times New Roman" w:eastAsiaTheme="minorEastAsia"/>
                <w:color w:val="auto"/>
                <w:kern w:val="0"/>
              </w:rPr>
              <w:t>30.39</w:t>
            </w:r>
          </w:p>
        </w:tc>
        <w:tc>
          <w:tcPr>
            <w:tcW w:w="1417" w:type="dxa"/>
            <w:tcBorders>
              <w:left w:val="single" w:color="auto" w:sz="4" w:space="0"/>
            </w:tcBorders>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2</w:t>
            </w:r>
            <w:r>
              <w:rPr>
                <w:rFonts w:hint="eastAsia" w:hAnsi="Times New Roman" w:cs="Times New Roman" w:eastAsiaTheme="minorEastAsia"/>
                <w:color w:val="auto"/>
                <w:kern w:val="0"/>
              </w:rPr>
              <w:t>2.2</w:t>
            </w:r>
            <w:r>
              <w:rPr>
                <w:rFonts w:hAnsi="Times New Roman" w:cs="Times New Roman" w:eastAsiaTheme="minorEastAsia"/>
                <w:color w:val="auto"/>
                <w:kern w:val="0"/>
              </w:rPr>
              <w:t>7</w:t>
            </w:r>
          </w:p>
        </w:tc>
        <w:tc>
          <w:tcPr>
            <w:tcW w:w="1559" w:type="dxa"/>
            <w:vAlign w:val="center"/>
          </w:tcPr>
          <w:p>
            <w:pPr>
              <w:pStyle w:val="53"/>
              <w:spacing w:line="560" w:lineRule="exact"/>
              <w:ind w:right="108"/>
              <w:jc w:val="center"/>
              <w:rPr>
                <w:rFonts w:hAnsi="Times New Roman" w:cs="Times New Roman" w:eastAsiaTheme="minorEastAsia"/>
                <w:color w:val="auto"/>
                <w:kern w:val="0"/>
              </w:rPr>
            </w:pPr>
            <w:r>
              <w:rPr>
                <w:rFonts w:hint="eastAsia" w:hAnsi="Times New Roman" w:cs="Times New Roman" w:eastAsiaTheme="minorEastAsia"/>
                <w:color w:val="auto"/>
                <w:kern w:val="0"/>
              </w:rPr>
              <w:t>89.12</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blHeader/>
        </w:trPr>
        <w:tc>
          <w:tcPr>
            <w:tcW w:w="993"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得分率</w:t>
            </w:r>
          </w:p>
        </w:tc>
        <w:tc>
          <w:tcPr>
            <w:tcW w:w="1417" w:type="dxa"/>
            <w:vAlign w:val="center"/>
          </w:tcPr>
          <w:p>
            <w:pPr>
              <w:pStyle w:val="53"/>
              <w:spacing w:line="560" w:lineRule="exact"/>
              <w:ind w:right="108"/>
              <w:jc w:val="center"/>
              <w:rPr>
                <w:rFonts w:hAnsi="Times New Roman" w:cs="Times New Roman" w:eastAsiaTheme="minorEastAsia"/>
                <w:color w:val="auto"/>
                <w:kern w:val="0"/>
              </w:rPr>
            </w:pPr>
            <w:r>
              <w:rPr>
                <w:rFonts w:hAnsi="Times New Roman" w:cs="Times New Roman" w:eastAsiaTheme="minorEastAsia"/>
                <w:color w:val="auto"/>
                <w:kern w:val="0"/>
              </w:rPr>
              <w:t>96.88%</w:t>
            </w:r>
          </w:p>
        </w:tc>
        <w:tc>
          <w:tcPr>
            <w:tcW w:w="1276" w:type="dxa"/>
            <w:vAlign w:val="center"/>
          </w:tcPr>
          <w:p>
            <w:pPr>
              <w:pStyle w:val="53"/>
              <w:spacing w:line="560" w:lineRule="exact"/>
              <w:ind w:right="108"/>
              <w:jc w:val="center"/>
              <w:rPr>
                <w:rFonts w:hAnsi="Times New Roman" w:cs="Times New Roman" w:eastAsiaTheme="minorEastAsia"/>
                <w:color w:val="auto"/>
                <w:kern w:val="0"/>
              </w:rPr>
            </w:pPr>
            <w:r>
              <w:rPr>
                <w:rFonts w:hint="eastAsia" w:hAnsi="Times New Roman" w:cs="Times New Roman" w:eastAsiaTheme="minorEastAsia"/>
                <w:color w:val="auto"/>
                <w:kern w:val="0"/>
              </w:rPr>
              <w:t>87.33</w:t>
            </w:r>
            <w:r>
              <w:rPr>
                <w:rFonts w:hAnsi="Times New Roman" w:cs="Times New Roman" w:eastAsiaTheme="minorEastAsia"/>
                <w:color w:val="auto"/>
                <w:kern w:val="0"/>
              </w:rPr>
              <w:t>%</w:t>
            </w:r>
          </w:p>
        </w:tc>
        <w:tc>
          <w:tcPr>
            <w:tcW w:w="1276" w:type="dxa"/>
            <w:tcBorders>
              <w:right w:val="single" w:color="auto" w:sz="4" w:space="0"/>
            </w:tcBorders>
            <w:vAlign w:val="center"/>
          </w:tcPr>
          <w:p>
            <w:pPr>
              <w:pStyle w:val="53"/>
              <w:spacing w:line="560" w:lineRule="exact"/>
              <w:ind w:right="108"/>
              <w:jc w:val="center"/>
              <w:rPr>
                <w:rFonts w:hAnsi="Times New Roman" w:cs="Times New Roman" w:eastAsiaTheme="minorEastAsia"/>
                <w:color w:val="auto"/>
                <w:kern w:val="0"/>
              </w:rPr>
            </w:pPr>
            <w:r>
              <w:rPr>
                <w:rFonts w:hint="eastAsia" w:hAnsi="Times New Roman" w:cs="Times New Roman" w:eastAsiaTheme="minorEastAsia"/>
                <w:color w:val="auto"/>
                <w:kern w:val="0"/>
              </w:rPr>
              <w:t>84.42</w:t>
            </w:r>
            <w:r>
              <w:rPr>
                <w:rFonts w:hAnsi="Times New Roman" w:cs="Times New Roman" w:eastAsiaTheme="minorEastAsia"/>
                <w:color w:val="auto"/>
                <w:kern w:val="0"/>
              </w:rPr>
              <w:t>%</w:t>
            </w:r>
          </w:p>
        </w:tc>
        <w:tc>
          <w:tcPr>
            <w:tcW w:w="1417" w:type="dxa"/>
            <w:tcBorders>
              <w:left w:val="single" w:color="auto" w:sz="4" w:space="0"/>
            </w:tcBorders>
            <w:vAlign w:val="center"/>
          </w:tcPr>
          <w:p>
            <w:pPr>
              <w:pStyle w:val="53"/>
              <w:spacing w:line="560" w:lineRule="exact"/>
              <w:ind w:right="108"/>
              <w:jc w:val="center"/>
              <w:rPr>
                <w:rFonts w:hAnsi="Times New Roman" w:cs="Times New Roman" w:eastAsiaTheme="minorEastAsia"/>
                <w:color w:val="auto"/>
                <w:kern w:val="0"/>
              </w:rPr>
            </w:pPr>
            <w:r>
              <w:rPr>
                <w:rFonts w:hint="eastAsia" w:hAnsi="Times New Roman" w:cs="Times New Roman" w:eastAsiaTheme="minorEastAsia"/>
                <w:color w:val="auto"/>
                <w:kern w:val="0"/>
              </w:rPr>
              <w:t>92.79</w:t>
            </w:r>
            <w:r>
              <w:rPr>
                <w:rFonts w:hAnsi="Times New Roman" w:cs="Times New Roman" w:eastAsiaTheme="minorEastAsia"/>
                <w:color w:val="auto"/>
                <w:kern w:val="0"/>
              </w:rPr>
              <w:t>%</w:t>
            </w:r>
          </w:p>
        </w:tc>
        <w:tc>
          <w:tcPr>
            <w:tcW w:w="1559" w:type="dxa"/>
            <w:vAlign w:val="center"/>
          </w:tcPr>
          <w:p>
            <w:pPr>
              <w:pStyle w:val="53"/>
              <w:spacing w:line="560" w:lineRule="exact"/>
              <w:ind w:right="108"/>
              <w:jc w:val="center"/>
              <w:rPr>
                <w:rFonts w:hAnsi="Times New Roman" w:cs="Times New Roman" w:eastAsiaTheme="minorEastAsia"/>
                <w:color w:val="auto"/>
                <w:kern w:val="0"/>
              </w:rPr>
            </w:pPr>
            <w:r>
              <w:rPr>
                <w:rFonts w:hint="eastAsia" w:hAnsi="Times New Roman" w:cs="Times New Roman" w:eastAsiaTheme="minorEastAsia"/>
                <w:color w:val="auto"/>
                <w:kern w:val="0"/>
              </w:rPr>
              <w:t>89.12</w:t>
            </w:r>
            <w:r>
              <w:rPr>
                <w:rFonts w:hAnsi="Times New Roman" w:cs="Times New Roman" w:eastAsiaTheme="minorEastAsia"/>
                <w:color w:val="auto"/>
                <w:kern w:val="0"/>
              </w:rPr>
              <w:t>%</w:t>
            </w:r>
          </w:p>
        </w:tc>
      </w:tr>
    </w:tbl>
    <w:p>
      <w:pPr>
        <w:pStyle w:val="3"/>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黑体" w:eastAsia="黑体" w:cs="Times New Roman"/>
          <w:bCs w:val="0"/>
          <w:color w:val="auto"/>
          <w:kern w:val="2"/>
          <w:sz w:val="32"/>
          <w:szCs w:val="32"/>
          <w:lang w:val="en-US" w:eastAsia="zh-CN" w:bidi="ar-SA"/>
        </w:rPr>
      </w:pPr>
      <w:bookmarkStart w:id="7" w:name="_Toc141515720"/>
    </w:p>
    <w:p>
      <w:pPr>
        <w:pStyle w:val="3"/>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黑体" w:eastAsia="黑体" w:cs="Times New Roman"/>
          <w:bCs w:val="0"/>
          <w:color w:val="auto"/>
          <w:kern w:val="2"/>
          <w:sz w:val="32"/>
          <w:szCs w:val="32"/>
          <w:lang w:val="en-US" w:eastAsia="zh-CN" w:bidi="ar-SA"/>
        </w:rPr>
      </w:pPr>
      <w:r>
        <w:rPr>
          <w:rFonts w:ascii="Times New Roman" w:hAnsi="黑体" w:eastAsia="黑体" w:cs="Times New Roman"/>
          <w:bCs w:val="0"/>
          <w:color w:val="auto"/>
          <w:kern w:val="2"/>
          <w:sz w:val="32"/>
          <w:szCs w:val="32"/>
          <w:lang w:val="en-US" w:eastAsia="zh-CN" w:bidi="ar-SA"/>
        </w:rPr>
        <w:t>二、主要经验及做法</w:t>
      </w:r>
      <w:bookmarkEnd w:id="7"/>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区教体局立足我区教育信息化实际，开展数字校园项目，建设覆盖全区的数字校园管理平台、部署新型网络防火墙和负载均衡、更新触控一体机和智慧黑板、新建计算机教室、更新计算机等，以教育信息化带动教育现代化，不断提升教育信息化建设水平。主要经验做法如下：</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1、方案多方反复论证，避免盲目性。</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2、专业监理公司监督，严把质量关。</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3、组织多轮培训，确保能用会用愿用。</w:t>
      </w:r>
    </w:p>
    <w:p>
      <w:pPr>
        <w:pStyle w:val="2"/>
        <w:pageBreakBefore w:val="0"/>
        <w:widowControl w:val="0"/>
        <w:kinsoku/>
        <w:wordWrap/>
        <w:overflowPunct/>
        <w:topLinePunct w:val="0"/>
        <w:autoSpaceDE/>
        <w:autoSpaceDN/>
        <w:bidi w:val="0"/>
        <w:adjustRightInd/>
        <w:snapToGrid/>
        <w:spacing w:line="560" w:lineRule="exact"/>
        <w:textAlignment w:val="auto"/>
      </w:pPr>
    </w:p>
    <w:p>
      <w:pPr>
        <w:pStyle w:val="3"/>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黑体" w:eastAsia="黑体" w:cs="Times New Roman"/>
          <w:bCs w:val="0"/>
          <w:color w:val="auto"/>
          <w:kern w:val="2"/>
          <w:sz w:val="32"/>
          <w:szCs w:val="32"/>
          <w:lang w:val="en-US" w:eastAsia="zh-CN" w:bidi="ar-SA"/>
        </w:rPr>
      </w:pPr>
      <w:bookmarkStart w:id="8" w:name="_Toc141515721"/>
      <w:r>
        <w:rPr>
          <w:rFonts w:ascii="Times New Roman" w:hAnsi="黑体" w:eastAsia="黑体" w:cs="Times New Roman"/>
          <w:bCs w:val="0"/>
          <w:color w:val="auto"/>
          <w:kern w:val="2"/>
          <w:sz w:val="32"/>
          <w:szCs w:val="32"/>
          <w:lang w:val="en-US" w:eastAsia="zh-CN" w:bidi="ar-SA"/>
        </w:rPr>
        <w:t>三、存在的问题</w:t>
      </w:r>
      <w:bookmarkEnd w:id="8"/>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eastAsia="楷体_GB2312"/>
        </w:rPr>
      </w:pPr>
      <w:r>
        <w:rPr>
          <w:rFonts w:hint="eastAsia" w:ascii="楷体_GB2312" w:eastAsia="楷体_GB2312"/>
        </w:rPr>
        <w:t>（一）个别验收存档资料与实际不符</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cs="Times New Roman"/>
        </w:rPr>
      </w:pPr>
      <w:r>
        <w:rPr>
          <w:rFonts w:ascii="Times New Roman" w:hAnsi="Times New Roman" w:cs="Times New Roman"/>
        </w:rPr>
        <w:t>个别项目验收资料与实际情况不符，如</w:t>
      </w:r>
      <w:r>
        <w:rPr>
          <w:rFonts w:hint="eastAsia" w:ascii="Times New Roman" w:hAnsi="Times New Roman" w:cs="Times New Roman"/>
        </w:rPr>
        <w:t>侯家小学高拍仪配备数量不符</w:t>
      </w:r>
      <w:r>
        <w:rPr>
          <w:rFonts w:ascii="Times New Roman" w:hAnsi="Times New Roman" w:cs="Times New Roman"/>
        </w:rPr>
        <w:t>；三里河小学2台一体机未拆封</w:t>
      </w:r>
      <w:r>
        <w:rPr>
          <w:rFonts w:hint="eastAsia" w:ascii="Times New Roman" w:hAnsi="Times New Roman" w:cs="Times New Roman"/>
        </w:rPr>
        <w:t>安装</w:t>
      </w:r>
      <w:r>
        <w:rPr>
          <w:rFonts w:ascii="Times New Roman" w:hAnsi="Times New Roman" w:cs="Times New Roman"/>
        </w:rPr>
        <w:t>，</w:t>
      </w:r>
      <w:r>
        <w:rPr>
          <w:rFonts w:hint="eastAsia" w:ascii="Times New Roman" w:hAnsi="Times New Roman" w:cs="Times New Roman"/>
        </w:rPr>
        <w:t>与存档记录情况不符</w:t>
      </w:r>
      <w:r>
        <w:rPr>
          <w:rFonts w:ascii="Times New Roman" w:hAnsi="Times New Roman" w:cs="Times New Roman"/>
        </w:rPr>
        <w:t>。</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eastAsia="楷体_GB2312"/>
        </w:rPr>
      </w:pPr>
      <w:r>
        <w:rPr>
          <w:rFonts w:hint="eastAsia" w:ascii="楷体_GB2312" w:eastAsia="楷体_GB2312"/>
        </w:rPr>
        <w:t>（二）资产管理不规范</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1、私自将设备外借。如葛家幼儿园</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lang w:eastAsia="zh-CN"/>
        </w:rPr>
        <w:t>界石幼儿园</w:t>
      </w:r>
      <w:r>
        <w:rPr>
          <w:rFonts w:hint="eastAsia" w:ascii="Times New Roman" w:hAnsi="Times New Roman" w:eastAsia="仿宋_GB2312" w:cs="Times New Roman"/>
          <w:sz w:val="32"/>
          <w:szCs w:val="32"/>
          <w:lang w:eastAsia="zh-CN"/>
        </w:rPr>
        <w:t>将设备借予他校</w:t>
      </w:r>
      <w:r>
        <w:rPr>
          <w:rFonts w:ascii="Times New Roman" w:hAnsi="Times New Roman" w:eastAsia="仿宋_GB2312" w:cs="Times New Roman"/>
          <w:sz w:val="32"/>
          <w:szCs w:val="32"/>
          <w:lang w:eastAsia="zh-CN"/>
        </w:rPr>
        <w:t>。</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2、资产入账不及时。我们走访的41所学校均于2023年2月之后将本项目购买的资产入账，部分学校在我们现场调查之后入账。</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3、随意挪用设备。如柳林小学将3台学生机挪作教师机使用。</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eastAsia="楷体_GB2312"/>
        </w:rPr>
      </w:pPr>
      <w:r>
        <w:rPr>
          <w:rFonts w:ascii="楷体_GB2312" w:eastAsia="楷体_GB2312"/>
        </w:rPr>
        <w:t>（</w:t>
      </w:r>
      <w:r>
        <w:rPr>
          <w:rFonts w:hint="eastAsia" w:ascii="楷体_GB2312" w:eastAsia="楷体_GB2312"/>
        </w:rPr>
        <w:t>三</w:t>
      </w:r>
      <w:r>
        <w:rPr>
          <w:rFonts w:ascii="楷体_GB2312" w:eastAsia="楷体_GB2312"/>
        </w:rPr>
        <w:t>）</w:t>
      </w:r>
      <w:r>
        <w:rPr>
          <w:rFonts w:hint="eastAsia" w:ascii="楷体_GB2312" w:eastAsia="楷体_GB2312"/>
        </w:rPr>
        <w:t xml:space="preserve">资产配置结构不合理，导致部分资产使用率低、分配不均衡 </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1、平台及部分</w:t>
      </w:r>
      <w:r>
        <w:rPr>
          <w:rFonts w:ascii="Times New Roman" w:hAnsi="Times New Roman" w:eastAsia="仿宋_GB2312" w:cs="Times New Roman"/>
          <w:sz w:val="32"/>
          <w:szCs w:val="32"/>
          <w:lang w:eastAsia="zh-CN"/>
        </w:rPr>
        <w:t>设备</w:t>
      </w:r>
      <w:r>
        <w:rPr>
          <w:rFonts w:hint="eastAsia" w:ascii="Times New Roman" w:hAnsi="Times New Roman" w:eastAsia="仿宋_GB2312" w:cs="Times New Roman"/>
          <w:sz w:val="32"/>
          <w:szCs w:val="32"/>
          <w:lang w:eastAsia="zh-CN"/>
        </w:rPr>
        <w:t>暂未使用或使用率极低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（1）管理平台完工半年多尚未全面推广使用。</w:t>
      </w:r>
      <w:r>
        <w:rPr>
          <w:rFonts w:ascii="Times New Roman" w:hAnsi="Times New Roman" w:eastAsia="仿宋_GB2312" w:cs="Times New Roman"/>
          <w:sz w:val="32"/>
          <w:szCs w:val="32"/>
          <w:lang w:eastAsia="zh-CN"/>
        </w:rPr>
        <w:t>截至评价日，该平台</w:t>
      </w:r>
      <w:r>
        <w:rPr>
          <w:rFonts w:hint="eastAsia" w:ascii="Times New Roman" w:hAnsi="Times New Roman" w:eastAsia="仿宋_GB2312" w:cs="Times New Roman"/>
          <w:sz w:val="32"/>
          <w:szCs w:val="32"/>
          <w:lang w:eastAsia="zh-CN"/>
        </w:rPr>
        <w:t>仅在小范围测试使用，</w:t>
      </w:r>
      <w:r>
        <w:rPr>
          <w:rFonts w:ascii="Times New Roman" w:hAnsi="Times New Roman" w:eastAsia="仿宋_GB2312" w:cs="Times New Roman"/>
          <w:sz w:val="32"/>
          <w:szCs w:val="32"/>
          <w:lang w:eastAsia="zh-CN"/>
        </w:rPr>
        <w:t>尚未</w:t>
      </w:r>
      <w:r>
        <w:rPr>
          <w:rFonts w:hint="eastAsia" w:ascii="Times New Roman" w:hAnsi="Times New Roman" w:eastAsia="仿宋_GB2312" w:cs="Times New Roman"/>
          <w:sz w:val="32"/>
          <w:szCs w:val="32"/>
          <w:lang w:eastAsia="zh-CN"/>
        </w:rPr>
        <w:t>全面推广</w:t>
      </w:r>
      <w:r>
        <w:rPr>
          <w:rFonts w:ascii="Times New Roman" w:hAnsi="Times New Roman" w:eastAsia="仿宋_GB2312" w:cs="Times New Roman"/>
          <w:sz w:val="32"/>
          <w:szCs w:val="32"/>
          <w:lang w:eastAsia="zh-CN"/>
        </w:rPr>
        <w:t>，预计2023年</w:t>
      </w:r>
      <w:r>
        <w:rPr>
          <w:rFonts w:hint="eastAsia" w:ascii="Times New Roman" w:hAnsi="Times New Roman" w:eastAsia="仿宋_GB2312" w:cs="Times New Roman"/>
          <w:sz w:val="32"/>
          <w:szCs w:val="32"/>
          <w:lang w:eastAsia="zh-CN"/>
        </w:rPr>
        <w:t>9月</w:t>
      </w:r>
      <w:r>
        <w:rPr>
          <w:rFonts w:ascii="Times New Roman" w:hAnsi="Times New Roman" w:eastAsia="仿宋_GB2312" w:cs="Times New Roman"/>
          <w:sz w:val="32"/>
          <w:szCs w:val="32"/>
          <w:lang w:eastAsia="zh-CN"/>
        </w:rPr>
        <w:t>新学年投入使用。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（2）部分学校存在设备暂未使用或使用率极低的问题。</w:t>
      </w:r>
      <w:r>
        <w:rPr>
          <w:rFonts w:ascii="Times New Roman" w:hAnsi="Times New Roman" w:eastAsia="仿宋_GB2312" w:cs="Times New Roman"/>
          <w:sz w:val="32"/>
          <w:szCs w:val="32"/>
          <w:lang w:eastAsia="zh-CN"/>
        </w:rPr>
        <w:t>我们走访了41所学校，有17所学校存在设备</w:t>
      </w:r>
      <w:r>
        <w:rPr>
          <w:rFonts w:hint="eastAsia" w:ascii="Times New Roman" w:hAnsi="Times New Roman" w:eastAsia="仿宋_GB2312" w:cs="Times New Roman"/>
          <w:sz w:val="32"/>
          <w:szCs w:val="32"/>
          <w:lang w:eastAsia="zh-CN"/>
        </w:rPr>
        <w:t>暂未使用或使用率极低</w:t>
      </w:r>
      <w:r>
        <w:rPr>
          <w:rFonts w:ascii="Times New Roman" w:hAnsi="Times New Roman" w:eastAsia="仿宋_GB2312" w:cs="Times New Roman"/>
          <w:sz w:val="32"/>
          <w:szCs w:val="32"/>
          <w:lang w:eastAsia="zh-CN"/>
        </w:rPr>
        <w:t>问题，造成</w:t>
      </w:r>
      <w:r>
        <w:rPr>
          <w:rFonts w:hint="eastAsia" w:ascii="Times New Roman" w:hAnsi="Times New Roman" w:eastAsia="仿宋_GB2312" w:cs="Times New Roman"/>
          <w:sz w:val="32"/>
          <w:szCs w:val="32"/>
          <w:lang w:eastAsia="zh-CN"/>
        </w:rPr>
        <w:t>上述问题</w:t>
      </w:r>
      <w:r>
        <w:rPr>
          <w:rFonts w:ascii="Times New Roman" w:hAnsi="Times New Roman" w:eastAsia="仿宋_GB2312" w:cs="Times New Roman"/>
          <w:sz w:val="32"/>
          <w:szCs w:val="32"/>
          <w:lang w:eastAsia="zh-CN"/>
        </w:rPr>
        <w:t>的主要原因有：</w:t>
      </w:r>
      <w:r>
        <w:rPr>
          <w:rFonts w:hint="eastAsia" w:ascii="Times New Roman" w:hAnsi="Times New Roman" w:eastAsia="仿宋_GB2312" w:cs="Times New Roman"/>
          <w:sz w:val="32"/>
          <w:szCs w:val="32"/>
          <w:lang w:eastAsia="zh-CN"/>
        </w:rPr>
        <w:t>为扩班准备但暂未实现；</w:t>
      </w:r>
      <w:r>
        <w:rPr>
          <w:rFonts w:ascii="Times New Roman" w:hAnsi="Times New Roman" w:eastAsia="仿宋_GB2312" w:cs="Times New Roman"/>
          <w:sz w:val="32"/>
          <w:szCs w:val="32"/>
          <w:lang w:eastAsia="zh-CN"/>
        </w:rPr>
        <w:t>生源减少导致班额缩减</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lang w:eastAsia="zh-CN"/>
        </w:rPr>
        <w:t>预算超出现实需求</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lang w:eastAsia="zh-CN"/>
        </w:rPr>
        <w:t>新建校班额未满</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2、</w:t>
      </w:r>
      <w:r>
        <w:rPr>
          <w:rFonts w:ascii="Times New Roman" w:hAnsi="Times New Roman" w:eastAsia="仿宋_GB2312" w:cs="Times New Roman"/>
          <w:sz w:val="32"/>
          <w:szCs w:val="32"/>
          <w:lang w:eastAsia="zh-CN"/>
        </w:rPr>
        <w:t>各学校</w:t>
      </w:r>
      <w:r>
        <w:rPr>
          <w:rFonts w:hint="eastAsia" w:ascii="Times New Roman" w:hAnsi="Times New Roman" w:eastAsia="仿宋_GB2312" w:cs="Times New Roman"/>
          <w:sz w:val="32"/>
          <w:szCs w:val="32"/>
          <w:lang w:eastAsia="zh-CN"/>
        </w:rPr>
        <w:t>一体机</w:t>
      </w:r>
      <w:r>
        <w:rPr>
          <w:rFonts w:ascii="Times New Roman" w:hAnsi="Times New Roman" w:eastAsia="仿宋_GB2312" w:cs="Times New Roman"/>
          <w:sz w:val="32"/>
          <w:szCs w:val="32"/>
          <w:lang w:eastAsia="zh-CN"/>
        </w:rPr>
        <w:t>设备分配不均衡，部分超过</w:t>
      </w:r>
      <w:r>
        <w:rPr>
          <w:rFonts w:hint="eastAsia" w:ascii="Times New Roman" w:hAnsi="Times New Roman" w:eastAsia="仿宋_GB2312" w:cs="Times New Roman"/>
          <w:sz w:val="32"/>
          <w:szCs w:val="32"/>
          <w:lang w:eastAsia="zh-CN"/>
        </w:rPr>
        <w:t>区统一</w:t>
      </w:r>
      <w:r>
        <w:rPr>
          <w:rFonts w:ascii="Times New Roman" w:hAnsi="Times New Roman" w:eastAsia="仿宋_GB2312" w:cs="Times New Roman"/>
          <w:sz w:val="32"/>
          <w:szCs w:val="32"/>
          <w:lang w:eastAsia="zh-CN"/>
        </w:rPr>
        <w:t>标准</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区</w:t>
      </w:r>
      <w:r>
        <w:rPr>
          <w:rFonts w:ascii="Times New Roman" w:hAnsi="Times New Roman" w:eastAsia="仿宋_GB2312" w:cs="Times New Roman"/>
          <w:sz w:val="32"/>
          <w:szCs w:val="32"/>
          <w:lang w:eastAsia="zh-CN"/>
        </w:rPr>
        <w:t>教体局《关于做好数字校园建设需求确认工作的通知》</w:t>
      </w:r>
      <w:r>
        <w:rPr>
          <w:rFonts w:hint="eastAsia" w:ascii="Times New Roman" w:hAnsi="Times New Roman" w:eastAsia="仿宋_GB2312" w:cs="Times New Roman"/>
          <w:sz w:val="32"/>
          <w:szCs w:val="32"/>
          <w:lang w:eastAsia="zh-CN"/>
        </w:rPr>
        <w:t>规定了本项目各学校配备标准为</w:t>
      </w:r>
      <w:r>
        <w:rPr>
          <w:rFonts w:ascii="Times New Roman" w:hAnsi="Times New Roman" w:eastAsia="仿宋_GB2312" w:cs="Times New Roman"/>
          <w:sz w:val="32"/>
          <w:szCs w:val="32"/>
          <w:lang w:eastAsia="zh-CN"/>
        </w:rPr>
        <w:t>“多媒体建设标准：全部普通教室（包括高中走班教室）、录播教室和计算机教室（最多两套）”，我们现场抽查的41所学校中大部分学校</w:t>
      </w:r>
      <w:r>
        <w:rPr>
          <w:rFonts w:hint="eastAsia" w:ascii="Times New Roman" w:hAnsi="Times New Roman" w:eastAsia="仿宋_GB2312" w:cs="Times New Roman"/>
          <w:sz w:val="32"/>
          <w:szCs w:val="32"/>
          <w:lang w:eastAsia="zh-CN"/>
        </w:rPr>
        <w:t>均</w:t>
      </w:r>
      <w:r>
        <w:rPr>
          <w:rFonts w:ascii="Times New Roman" w:hAnsi="Times New Roman" w:eastAsia="仿宋_GB2312" w:cs="Times New Roman"/>
          <w:sz w:val="32"/>
          <w:szCs w:val="32"/>
          <w:lang w:eastAsia="zh-CN"/>
        </w:rPr>
        <w:t>按照该标准申请配备，但有</w:t>
      </w:r>
      <w:r>
        <w:rPr>
          <w:rFonts w:hint="eastAsia" w:ascii="Times New Roman" w:hAnsi="Times New Roman" w:eastAsia="仿宋_GB2312" w:cs="Times New Roman"/>
          <w:sz w:val="32"/>
          <w:szCs w:val="32"/>
          <w:lang w:eastAsia="zh-CN"/>
        </w:rPr>
        <w:t>7</w:t>
      </w:r>
      <w:r>
        <w:rPr>
          <w:rFonts w:ascii="Times New Roman" w:hAnsi="Times New Roman" w:eastAsia="仿宋_GB2312" w:cs="Times New Roman"/>
          <w:sz w:val="32"/>
          <w:szCs w:val="32"/>
          <w:lang w:eastAsia="zh-CN"/>
        </w:rPr>
        <w:t>所学校</w:t>
      </w:r>
      <w:r>
        <w:rPr>
          <w:rFonts w:hint="eastAsia" w:ascii="Times New Roman" w:hAnsi="Times New Roman" w:eastAsia="仿宋_GB2312" w:cs="Times New Roman"/>
          <w:sz w:val="32"/>
          <w:szCs w:val="32"/>
          <w:lang w:eastAsia="zh-CN"/>
        </w:rPr>
        <w:t>9台一体机</w:t>
      </w:r>
      <w:r>
        <w:rPr>
          <w:rFonts w:ascii="Times New Roman" w:hAnsi="Times New Roman" w:eastAsia="仿宋_GB2312" w:cs="Times New Roman"/>
          <w:sz w:val="32"/>
          <w:szCs w:val="32"/>
          <w:lang w:eastAsia="zh-CN"/>
        </w:rPr>
        <w:t>设备配备超过该标准，造成全区教育资源分配的不均衡。</w:t>
      </w:r>
      <w:r>
        <w:rPr>
          <w:rFonts w:hint="eastAsia" w:ascii="Times New Roman" w:hAnsi="Times New Roman" w:eastAsia="仿宋_GB2312" w:cs="Times New Roman"/>
          <w:sz w:val="32"/>
          <w:szCs w:val="32"/>
          <w:lang w:eastAsia="zh-CN"/>
        </w:rPr>
        <w:t>如</w:t>
      </w:r>
      <w:r>
        <w:rPr>
          <w:rFonts w:ascii="Times New Roman" w:hAnsi="Times New Roman" w:eastAsia="仿宋_GB2312" w:cs="Times New Roman"/>
          <w:sz w:val="32"/>
          <w:szCs w:val="32"/>
          <w:lang w:eastAsia="zh-CN"/>
        </w:rPr>
        <w:t>部分学校为活动室、会议室等配备</w:t>
      </w:r>
      <w:r>
        <w:rPr>
          <w:rFonts w:hint="eastAsia" w:ascii="Times New Roman" w:hAnsi="Times New Roman" w:eastAsia="仿宋_GB2312" w:cs="Times New Roman"/>
          <w:sz w:val="32"/>
          <w:szCs w:val="32"/>
          <w:lang w:eastAsia="zh-CN"/>
        </w:rPr>
        <w:t>一体机；</w:t>
      </w:r>
      <w:r>
        <w:rPr>
          <w:rFonts w:ascii="Times New Roman" w:hAnsi="Times New Roman" w:eastAsia="仿宋_GB2312" w:cs="Times New Roman"/>
          <w:sz w:val="32"/>
          <w:szCs w:val="32"/>
          <w:lang w:eastAsia="zh-CN"/>
        </w:rPr>
        <w:t>部分学校计算机教室</w:t>
      </w:r>
      <w:r>
        <w:rPr>
          <w:rFonts w:hint="eastAsia" w:ascii="Times New Roman" w:hAnsi="Times New Roman" w:eastAsia="仿宋_GB2312" w:cs="Times New Roman"/>
          <w:sz w:val="32"/>
          <w:szCs w:val="32"/>
          <w:lang w:eastAsia="zh-CN"/>
        </w:rPr>
        <w:t>一体机</w:t>
      </w:r>
      <w:r>
        <w:rPr>
          <w:rFonts w:ascii="Times New Roman" w:hAnsi="Times New Roman" w:eastAsia="仿宋_GB2312" w:cs="Times New Roman"/>
          <w:sz w:val="32"/>
          <w:szCs w:val="32"/>
          <w:lang w:eastAsia="zh-CN"/>
        </w:rPr>
        <w:t>配备数量</w:t>
      </w:r>
      <w:r>
        <w:rPr>
          <w:rFonts w:hint="eastAsia" w:ascii="Times New Roman" w:hAnsi="Times New Roman" w:eastAsia="仿宋_GB2312" w:cs="Times New Roman"/>
          <w:sz w:val="32"/>
          <w:szCs w:val="32"/>
          <w:lang w:eastAsia="zh-CN"/>
        </w:rPr>
        <w:t>超过区统一标准</w:t>
      </w:r>
      <w:r>
        <w:rPr>
          <w:rFonts w:ascii="Times New Roman" w:hAnsi="Times New Roman" w:eastAsia="仿宋_GB2312" w:cs="Times New Roman"/>
          <w:sz w:val="32"/>
          <w:szCs w:val="32"/>
          <w:lang w:eastAsia="zh-CN"/>
        </w:rPr>
        <w:t>。</w:t>
      </w:r>
    </w:p>
    <w:p>
      <w:pPr>
        <w:pageBreakBefore w:val="0"/>
        <w:widowControl w:val="0"/>
        <w:kinsoku/>
        <w:wordWrap/>
        <w:overflowPunct/>
        <w:topLinePunct w:val="0"/>
        <w:autoSpaceDE/>
        <w:autoSpaceDN/>
        <w:bidi w:val="0"/>
        <w:adjustRightInd/>
        <w:snapToGrid/>
        <w:spacing w:line="560" w:lineRule="exact"/>
        <w:ind w:firstLine="630"/>
        <w:textAlignment w:val="auto"/>
        <w:rPr>
          <w:rFonts w:ascii="楷体_GB2312" w:hAnsi="Times New Roman" w:eastAsia="楷体_GB2312" w:cs="Times New Roman"/>
        </w:rPr>
      </w:pPr>
      <w:r>
        <w:rPr>
          <w:rFonts w:hint="eastAsia" w:ascii="楷体_GB2312" w:hAnsi="Times New Roman" w:eastAsia="楷体_GB2312" w:cs="Times New Roman"/>
        </w:rPr>
        <w:t>（四）项目完工不及时</w:t>
      </w:r>
    </w:p>
    <w:p>
      <w:pPr>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_GB2312" w:cs="Times New Roman"/>
          <w:sz w:val="32"/>
          <w:szCs w:val="32"/>
          <w:lang w:eastAsia="zh-CN"/>
        </w:rPr>
      </w:pPr>
      <w:r>
        <w:rPr>
          <w:rFonts w:ascii="Times New Roman" w:hAnsi="Times New Roman" w:cs="Times New Roman"/>
        </w:rPr>
        <w:t xml:space="preserve">   </w:t>
      </w:r>
      <w:r>
        <w:rPr>
          <w:rFonts w:hint="eastAsia" w:ascii="Times New Roman" w:hAnsi="Times New Roman" w:cs="Times New Roman"/>
        </w:rPr>
        <w:t xml:space="preserve"> </w:t>
      </w:r>
      <w:r>
        <w:rPr>
          <w:rFonts w:hint="eastAsia" w:ascii="Times New Roman" w:hAnsi="Times New Roman" w:eastAsia="仿宋_GB2312" w:cs="Times New Roman"/>
          <w:sz w:val="32"/>
          <w:szCs w:val="32"/>
          <w:lang w:eastAsia="zh-CN"/>
        </w:rPr>
        <w:t>由于疫情、考试等原因施工推迟，捷讯公司实际完工比计划延迟2个月。</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eastAsia="楷体_GB2312"/>
        </w:rPr>
      </w:pPr>
      <w:r>
        <w:rPr>
          <w:rFonts w:hint="eastAsia" w:ascii="楷体_GB2312" w:eastAsia="楷体_GB2312"/>
        </w:rPr>
        <w:t>（五）供需矛盾依然存在</w:t>
      </w:r>
    </w:p>
    <w:p>
      <w:pPr>
        <w:pageBreakBefore w:val="0"/>
        <w:widowControl w:val="0"/>
        <w:kinsoku/>
        <w:wordWrap/>
        <w:overflowPunct/>
        <w:topLinePunct w:val="0"/>
        <w:autoSpaceDE/>
        <w:autoSpaceDN/>
        <w:bidi w:val="0"/>
        <w:adjustRightInd/>
        <w:snapToGrid/>
        <w:spacing w:line="560" w:lineRule="exact"/>
        <w:ind w:firstLine="640"/>
        <w:textAlignment w:val="auto"/>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lang w:eastAsia="zh-CN"/>
        </w:rPr>
        <w:t>虽然数字校园项目投入了大量的物力财力，但仍然不能满足现实需求，供需矛盾依然存在，主要表现为：</w:t>
      </w:r>
      <w:r>
        <w:rPr>
          <w:rFonts w:hint="eastAsia" w:ascii="Times New Roman" w:hAnsi="Times New Roman" w:eastAsia="仿宋_GB2312" w:cs="Times New Roman"/>
          <w:sz w:val="32"/>
          <w:szCs w:val="32"/>
          <w:lang w:eastAsia="zh-CN"/>
        </w:rPr>
        <w:t>新旧一体机体验感存在差距；部分教师对原有教师电脑配备不满意。</w:t>
      </w:r>
    </w:p>
    <w:p>
      <w:pPr>
        <w:pStyle w:val="3"/>
        <w:keepNext/>
        <w:keepLines/>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ascii="Times New Roman" w:hAnsi="黑体" w:eastAsia="黑体" w:cs="Times New Roman"/>
          <w:bCs w:val="0"/>
          <w:color w:val="auto"/>
          <w:kern w:val="2"/>
          <w:sz w:val="32"/>
          <w:szCs w:val="32"/>
          <w:lang w:val="en-US" w:eastAsia="zh-CN" w:bidi="ar-SA"/>
        </w:rPr>
      </w:pPr>
      <w:bookmarkStart w:id="9" w:name="_Toc141515722"/>
      <w:r>
        <w:rPr>
          <w:rFonts w:ascii="Times New Roman" w:hAnsi="黑体" w:eastAsia="黑体" w:cs="Times New Roman"/>
          <w:bCs w:val="0"/>
          <w:color w:val="auto"/>
          <w:kern w:val="2"/>
          <w:sz w:val="32"/>
          <w:szCs w:val="32"/>
          <w:lang w:val="en-US" w:eastAsia="zh-CN" w:bidi="ar-SA"/>
        </w:rPr>
        <w:t>四、意见及建议</w:t>
      </w:r>
      <w:bookmarkEnd w:id="9"/>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rPr>
      </w:pPr>
      <w:r>
        <w:rPr>
          <w:rFonts w:ascii="Times New Roman" w:hAnsi="Times New Roman" w:eastAsia="楷体_GB2312" w:cs="Times New Roman"/>
        </w:rPr>
        <w:t>（</w:t>
      </w:r>
      <w:r>
        <w:rPr>
          <w:rFonts w:hint="eastAsia" w:ascii="Times New Roman" w:hAnsi="Times New Roman" w:eastAsia="楷体_GB2312" w:cs="Times New Roman"/>
        </w:rPr>
        <w:t>一</w:t>
      </w:r>
      <w:r>
        <w:rPr>
          <w:rFonts w:ascii="Times New Roman" w:hAnsi="Times New Roman" w:eastAsia="楷体_GB2312" w:cs="Times New Roman"/>
        </w:rPr>
        <w:t>）加强存档资料审核，确保资料准确性。</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rPr>
      </w:pPr>
      <w:r>
        <w:rPr>
          <w:rFonts w:ascii="Times New Roman" w:hAnsi="Times New Roman" w:eastAsia="楷体_GB2312" w:cs="Times New Roman"/>
        </w:rPr>
        <w:t>（</w:t>
      </w:r>
      <w:r>
        <w:rPr>
          <w:rFonts w:hint="eastAsia" w:ascii="Times New Roman" w:hAnsi="Times New Roman" w:eastAsia="楷体_GB2312" w:cs="Times New Roman"/>
        </w:rPr>
        <w:t>二</w:t>
      </w:r>
      <w:r>
        <w:rPr>
          <w:rFonts w:ascii="Times New Roman" w:hAnsi="Times New Roman" w:eastAsia="楷体_GB2312" w:cs="Times New Roman"/>
        </w:rPr>
        <w:t>）加强资产管理，确保入账及时、账实相符。</w:t>
      </w:r>
    </w:p>
    <w:p>
      <w:pPr>
        <w:pageBreakBefore w:val="0"/>
        <w:widowControl w:val="0"/>
        <w:kinsoku/>
        <w:wordWrap/>
        <w:overflowPunct/>
        <w:topLinePunct w:val="0"/>
        <w:autoSpaceDE/>
        <w:autoSpaceDN/>
        <w:bidi w:val="0"/>
        <w:adjustRightInd/>
        <w:snapToGrid/>
        <w:spacing w:line="560" w:lineRule="exact"/>
        <w:textAlignment w:val="auto"/>
        <w:rPr>
          <w:rFonts w:ascii="Times New Roman" w:hAnsi="Times New Roman" w:eastAsia="楷体_GB2312" w:cs="Times New Roman"/>
        </w:rPr>
      </w:pPr>
      <w:r>
        <w:rPr>
          <w:rFonts w:ascii="Times New Roman" w:hAnsi="Times New Roman" w:eastAsia="楷体_GB2312" w:cs="Times New Roman"/>
        </w:rPr>
        <w:t xml:space="preserve">    （</w:t>
      </w:r>
      <w:r>
        <w:rPr>
          <w:rFonts w:hint="eastAsia" w:ascii="Times New Roman" w:hAnsi="Times New Roman" w:eastAsia="楷体_GB2312" w:cs="Times New Roman"/>
        </w:rPr>
        <w:t>三</w:t>
      </w:r>
      <w:r>
        <w:rPr>
          <w:rFonts w:ascii="Times New Roman" w:hAnsi="Times New Roman" w:eastAsia="楷体_GB2312" w:cs="Times New Roman"/>
        </w:rPr>
        <w:t>）优化资产配置结构，提高资产使用效率，促进教育均衡发展。</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eastAsia="楷体_GB2312"/>
        </w:rPr>
      </w:pPr>
      <w:r>
        <w:rPr>
          <w:rFonts w:hint="eastAsia" w:ascii="楷体_GB2312" w:hAnsi="Times New Roman" w:eastAsia="楷体_GB2312" w:cs="Times New Roman"/>
        </w:rPr>
        <w:t>（四）</w:t>
      </w:r>
      <w:r>
        <w:rPr>
          <w:rFonts w:hint="eastAsia" w:ascii="楷体_GB2312" w:eastAsia="楷体_GB2312"/>
        </w:rPr>
        <w:t>合理安排施工进度，确保项目按时完工。</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rPr>
      </w:pPr>
      <w:r>
        <w:rPr>
          <w:rFonts w:ascii="Times New Roman" w:hAnsi="Times New Roman" w:eastAsia="楷体_GB2312" w:cs="Times New Roman"/>
        </w:rPr>
        <w:t>（</w:t>
      </w:r>
      <w:r>
        <w:rPr>
          <w:rFonts w:hint="eastAsia" w:ascii="Times New Roman" w:hAnsi="Times New Roman" w:eastAsia="楷体_GB2312" w:cs="Times New Roman"/>
        </w:rPr>
        <w:t>五</w:t>
      </w:r>
      <w:r>
        <w:rPr>
          <w:rFonts w:ascii="Times New Roman" w:hAnsi="Times New Roman" w:eastAsia="楷体_GB2312" w:cs="Times New Roman"/>
        </w:rPr>
        <w:t>）软硬件配合，缓解供需矛盾。</w:t>
      </w:r>
    </w:p>
    <w:p>
      <w:pPr>
        <w:pStyle w:val="2"/>
        <w:rPr>
          <w:rFonts w:ascii="Times New Roman" w:hAnsi="Times New Roman" w:eastAsia="楷体_GB2312" w:cs="Times New Roman"/>
        </w:rPr>
      </w:pPr>
    </w:p>
    <w:p>
      <w:pPr>
        <w:rPr>
          <w:rFonts w:ascii="Times New Roman" w:hAnsi="Times New Roman" w:eastAsia="楷体_GB2312" w:cs="Times New Roman"/>
        </w:rPr>
      </w:pPr>
    </w:p>
    <w:p>
      <w:pPr>
        <w:pStyle w:val="2"/>
        <w:rPr>
          <w:rFonts w:ascii="Times New Roman" w:hAnsi="Times New Roman" w:eastAsia="楷体_GB2312" w:cs="Times New Roman"/>
        </w:rPr>
      </w:pPr>
    </w:p>
    <w:p>
      <w:pPr>
        <w:rPr>
          <w:rFonts w:ascii="Times New Roman" w:hAnsi="Times New Roman" w:eastAsia="楷体_GB2312" w:cs="Times New Roman"/>
        </w:rPr>
      </w:pPr>
    </w:p>
    <w:p>
      <w:pPr>
        <w:pStyle w:val="2"/>
        <w:rPr>
          <w:rFonts w:ascii="Times New Roman" w:hAnsi="Times New Roman" w:eastAsia="楷体_GB2312" w:cs="Times New Roman"/>
        </w:rPr>
      </w:pPr>
    </w:p>
    <w:p>
      <w:pPr>
        <w:rPr>
          <w:rFonts w:ascii="Times New Roman" w:hAnsi="Times New Roman" w:eastAsia="楷体_GB2312" w:cs="Times New Roman"/>
        </w:rPr>
      </w:pPr>
    </w:p>
    <w:p>
      <w:pPr>
        <w:pStyle w:val="2"/>
        <w:rPr>
          <w:rFonts w:ascii="Times New Roman" w:hAnsi="Times New Roman" w:eastAsia="楷体_GB2312" w:cs="Times New Roman"/>
        </w:rPr>
      </w:pPr>
    </w:p>
    <w:p>
      <w:pPr>
        <w:rPr>
          <w:rFonts w:ascii="Times New Roman" w:hAnsi="Times New Roman" w:eastAsia="楷体_GB2312" w:cs="Times New Roman"/>
        </w:rPr>
      </w:pPr>
    </w:p>
    <w:p>
      <w:pPr>
        <w:pStyle w:val="2"/>
        <w:rPr>
          <w:rFonts w:ascii="Times New Roman" w:hAnsi="Times New Roman" w:eastAsia="楷体_GB2312" w:cs="Times New Roman"/>
        </w:rPr>
      </w:pPr>
    </w:p>
    <w:p>
      <w:pPr>
        <w:rPr>
          <w:rFonts w:ascii="Times New Roman" w:hAnsi="Times New Roman" w:eastAsia="楷体_GB2312" w:cs="Times New Roman"/>
        </w:rPr>
      </w:pPr>
    </w:p>
    <w:p>
      <w:pPr>
        <w:pStyle w:val="2"/>
        <w:rPr>
          <w:rFonts w:ascii="Times New Roman" w:hAnsi="Times New Roman" w:eastAsia="楷体_GB2312" w:cs="Times New Roman"/>
        </w:rPr>
      </w:pPr>
    </w:p>
    <w:p>
      <w:pPr>
        <w:rPr>
          <w:rFonts w:ascii="Times New Roman" w:hAnsi="Times New Roman" w:eastAsia="楷体_GB2312" w:cs="Times New Roman"/>
        </w:rPr>
      </w:pPr>
    </w:p>
    <w:p>
      <w:pPr>
        <w:pStyle w:val="2"/>
        <w:rPr>
          <w:rFonts w:ascii="Times New Roman" w:hAnsi="Times New Roman" w:eastAsia="楷体_GB2312" w:cs="Times New Roman"/>
        </w:rPr>
      </w:pPr>
    </w:p>
    <w:p>
      <w:pPr>
        <w:rPr>
          <w:rFonts w:ascii="Times New Roman" w:hAnsi="Times New Roman" w:eastAsia="楷体_GB2312" w:cs="Times New Roman"/>
        </w:rPr>
      </w:pPr>
    </w:p>
    <w:p>
      <w:pPr>
        <w:pStyle w:val="2"/>
        <w:rPr>
          <w:rFonts w:ascii="Times New Roman" w:hAnsi="Times New Roman" w:eastAsia="楷体_GB2312" w:cs="Times New Roman"/>
        </w:rPr>
      </w:pPr>
    </w:p>
    <w:p>
      <w:pPr>
        <w:rPr>
          <w:rFonts w:ascii="Times New Roman" w:hAnsi="Times New Roman" w:eastAsia="楷体_GB2312" w:cs="Times New Roman"/>
        </w:rPr>
      </w:pPr>
    </w:p>
    <w:p>
      <w:pPr>
        <w:pStyle w:val="2"/>
        <w:rPr>
          <w:rFonts w:ascii="Times New Roman" w:hAnsi="Times New Roman" w:eastAsia="楷体_GB2312" w:cs="Times New Roman"/>
        </w:rPr>
      </w:pPr>
    </w:p>
    <w:p/>
    <w:p>
      <w:pPr>
        <w:pageBreakBefore w:val="0"/>
        <w:kinsoku/>
        <w:wordWrap/>
        <w:overflowPunct/>
        <w:topLinePunct w:val="0"/>
        <w:bidi w:val="0"/>
        <w:snapToGrid/>
        <w:spacing w:line="560" w:lineRule="exact"/>
        <w:jc w:val="both"/>
        <w:textAlignment w:val="auto"/>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eastAsia="zh-CN"/>
        </w:rPr>
        <w:t>附件</w:t>
      </w:r>
      <w:r>
        <w:rPr>
          <w:rFonts w:hint="eastAsia" w:ascii="仿宋_GB2312" w:hAnsi="仿宋_GB2312" w:eastAsia="仿宋_GB2312" w:cs="仿宋_GB2312"/>
          <w:b/>
          <w:bCs/>
          <w:sz w:val="24"/>
          <w:szCs w:val="24"/>
          <w:highlight w:val="none"/>
          <w:lang w:val="en-US" w:eastAsia="zh-CN"/>
        </w:rPr>
        <w:t>2</w:t>
      </w:r>
    </w:p>
    <w:p>
      <w:pPr>
        <w:pStyle w:val="2"/>
        <w:rPr>
          <w:rFonts w:hint="eastAsia"/>
          <w:lang w:val="en-US" w:eastAsia="zh-CN"/>
        </w:rPr>
      </w:pPr>
    </w:p>
    <w:p>
      <w:pPr>
        <w:pageBreakBefore w:val="0"/>
        <w:kinsoku/>
        <w:wordWrap/>
        <w:overflowPunct/>
        <w:topLinePunct w:val="0"/>
        <w:bidi w:val="0"/>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20</w:t>
      </w:r>
      <w:r>
        <w:rPr>
          <w:rFonts w:hint="eastAsia" w:ascii="方正小标宋简体" w:hAnsi="方正小标宋简体" w:eastAsia="方正小标宋简体" w:cs="方正小标宋简体"/>
          <w:sz w:val="44"/>
          <w:szCs w:val="44"/>
          <w:highlight w:val="none"/>
          <w:lang w:val="en-US" w:eastAsia="zh-CN"/>
        </w:rPr>
        <w:t>22</w:t>
      </w:r>
      <w:r>
        <w:rPr>
          <w:rFonts w:hint="eastAsia" w:ascii="方正小标宋简体" w:hAnsi="方正小标宋简体" w:eastAsia="方正小标宋简体" w:cs="方正小标宋简体"/>
          <w:sz w:val="44"/>
          <w:szCs w:val="44"/>
          <w:highlight w:val="none"/>
        </w:rPr>
        <w:t>年一般公共预算转移支付情况</w:t>
      </w:r>
    </w:p>
    <w:p>
      <w:pPr>
        <w:pageBreakBefore w:val="0"/>
        <w:kinsoku/>
        <w:wordWrap/>
        <w:overflowPunct/>
        <w:topLinePunct w:val="0"/>
        <w:bidi w:val="0"/>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安排的说明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22</w:t>
      </w:r>
      <w:r>
        <w:rPr>
          <w:rFonts w:hint="eastAsia" w:ascii="仿宋_GB2312" w:hAnsi="仿宋_GB2312" w:eastAsia="仿宋_GB2312" w:cs="仿宋_GB2312"/>
          <w:sz w:val="32"/>
          <w:szCs w:val="32"/>
          <w:highlight w:val="none"/>
        </w:rPr>
        <w:t>年，我</w:t>
      </w:r>
      <w:r>
        <w:rPr>
          <w:rFonts w:hint="eastAsia" w:ascii="仿宋_GB2312" w:hAnsi="仿宋_GB2312" w:eastAsia="仿宋_GB2312" w:cs="仿宋_GB2312"/>
          <w:sz w:val="32"/>
          <w:szCs w:val="32"/>
          <w:highlight w:val="none"/>
          <w:lang w:eastAsia="zh-CN"/>
        </w:rPr>
        <w:t>区</w:t>
      </w:r>
      <w:r>
        <w:rPr>
          <w:rFonts w:hint="eastAsia" w:ascii="仿宋_GB2312" w:hAnsi="仿宋_GB2312" w:eastAsia="仿宋_GB2312" w:cs="仿宋_GB2312"/>
          <w:sz w:val="32"/>
          <w:szCs w:val="32"/>
          <w:highlight w:val="none"/>
        </w:rPr>
        <w:t>共收到中央、省、市三级转移支付补助资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金</w:t>
      </w:r>
      <w:r>
        <w:rPr>
          <w:rFonts w:hint="eastAsia" w:ascii="仿宋_GB2312" w:hAnsi="仿宋_GB2312" w:eastAsia="仿宋_GB2312" w:cs="仿宋_GB2312"/>
          <w:sz w:val="32"/>
          <w:szCs w:val="32"/>
          <w:highlight w:val="none"/>
          <w:lang w:val="en-US" w:eastAsia="zh-CN"/>
        </w:rPr>
        <w:t>204396</w:t>
      </w:r>
      <w:r>
        <w:rPr>
          <w:rFonts w:hint="eastAsia" w:ascii="仿宋_GB2312" w:hAnsi="仿宋_GB2312" w:eastAsia="仿宋_GB2312" w:cs="仿宋_GB2312"/>
          <w:sz w:val="32"/>
          <w:szCs w:val="32"/>
          <w:highlight w:val="none"/>
        </w:rPr>
        <w:t>万元，具体情况如下：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lang w:eastAsia="zh-CN"/>
        </w:rPr>
        <w:t>一、</w:t>
      </w:r>
      <w:r>
        <w:rPr>
          <w:rFonts w:hint="eastAsia" w:ascii="黑体" w:hAnsi="黑体" w:eastAsia="黑体" w:cs="黑体"/>
          <w:sz w:val="32"/>
          <w:szCs w:val="32"/>
          <w:highlight w:val="none"/>
        </w:rPr>
        <w:t>20</w:t>
      </w:r>
      <w:r>
        <w:rPr>
          <w:rFonts w:hint="eastAsia" w:ascii="黑体" w:hAnsi="黑体" w:eastAsia="黑体" w:cs="黑体"/>
          <w:sz w:val="32"/>
          <w:szCs w:val="32"/>
          <w:highlight w:val="none"/>
          <w:lang w:val="en-US" w:eastAsia="zh-CN"/>
        </w:rPr>
        <w:t>22</w:t>
      </w:r>
      <w:r>
        <w:rPr>
          <w:rFonts w:hint="eastAsia" w:ascii="黑体" w:hAnsi="黑体" w:eastAsia="黑体" w:cs="黑体"/>
          <w:sz w:val="32"/>
          <w:szCs w:val="32"/>
          <w:highlight w:val="none"/>
        </w:rPr>
        <w:t>年一般性转移支付执行数为</w:t>
      </w:r>
      <w:r>
        <w:rPr>
          <w:rFonts w:hint="eastAsia" w:ascii="黑体" w:hAnsi="黑体" w:eastAsia="黑体" w:cs="黑体"/>
          <w:sz w:val="32"/>
          <w:szCs w:val="32"/>
          <w:highlight w:val="none"/>
          <w:lang w:val="en-US" w:eastAsia="zh-CN"/>
        </w:rPr>
        <w:t>179460</w:t>
      </w:r>
      <w:r>
        <w:rPr>
          <w:rFonts w:hint="eastAsia" w:ascii="黑体" w:hAnsi="黑体" w:eastAsia="黑体" w:cs="黑体"/>
          <w:sz w:val="32"/>
          <w:szCs w:val="32"/>
          <w:highlight w:val="none"/>
        </w:rPr>
        <w:t>万元</w:t>
      </w:r>
      <w:r>
        <w:rPr>
          <w:rFonts w:hint="eastAsia" w:ascii="黑体" w:hAnsi="黑体" w:eastAsia="黑体" w:cs="黑体"/>
          <w:sz w:val="32"/>
          <w:szCs w:val="32"/>
          <w:lang w:val="en-US" w:eastAsia="zh-CN"/>
        </w:rPr>
        <w:t>(</w:t>
      </w:r>
      <w:r>
        <w:rPr>
          <w:rFonts w:hint="eastAsia" w:ascii="黑体" w:hAnsi="黑体" w:eastAsia="黑体" w:cs="黑体"/>
          <w:sz w:val="32"/>
          <w:szCs w:val="32"/>
        </w:rPr>
        <w:t>因体制原因，我区对乡镇按照部门进行管理，因此没有</w:t>
      </w:r>
      <w:r>
        <w:rPr>
          <w:rFonts w:hint="eastAsia" w:ascii="黑体" w:hAnsi="黑体" w:eastAsia="黑体" w:cs="黑体"/>
          <w:sz w:val="32"/>
          <w:szCs w:val="32"/>
          <w:lang w:eastAsia="zh-CN"/>
        </w:rPr>
        <w:t>对乡镇</w:t>
      </w:r>
      <w:r>
        <w:rPr>
          <w:rFonts w:hint="eastAsia" w:ascii="黑体" w:hAnsi="黑体" w:eastAsia="黑体" w:cs="黑体"/>
          <w:sz w:val="32"/>
          <w:szCs w:val="32"/>
        </w:rPr>
        <w:t>一般性转移支付</w:t>
      </w:r>
      <w:r>
        <w:rPr>
          <w:rFonts w:hint="eastAsia" w:ascii="黑体" w:hAnsi="黑体" w:eastAsia="黑体" w:cs="黑体"/>
          <w:sz w:val="32"/>
          <w:szCs w:val="32"/>
          <w:lang w:eastAsia="zh-CN"/>
        </w:rPr>
        <w:t>情况</w:t>
      </w:r>
      <w:r>
        <w:rPr>
          <w:rFonts w:hint="eastAsia" w:ascii="黑体" w:hAnsi="黑体" w:eastAsia="黑体" w:cs="黑体"/>
          <w:sz w:val="32"/>
          <w:szCs w:val="32"/>
          <w:lang w:val="en-US" w:eastAsia="zh-CN"/>
        </w:rPr>
        <w:t>)</w:t>
      </w:r>
      <w:r>
        <w:rPr>
          <w:rFonts w:hint="eastAsia" w:ascii="黑体" w:hAnsi="黑体" w:eastAsia="黑体" w:cs="黑体"/>
          <w:sz w:val="32"/>
          <w:szCs w:val="32"/>
          <w:highlight w:val="none"/>
        </w:rPr>
        <w:t>，其中：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（一）</w:t>
      </w:r>
      <w:r>
        <w:rPr>
          <w:rFonts w:hint="eastAsia" w:ascii="仿宋_GB2312" w:hAnsi="仿宋_GB2312" w:eastAsia="仿宋_GB2312" w:cs="仿宋_GB2312"/>
          <w:color w:val="auto"/>
          <w:sz w:val="32"/>
          <w:szCs w:val="32"/>
          <w:highlight w:val="none"/>
        </w:rPr>
        <w:t>均衡性转移支付</w:t>
      </w:r>
      <w:r>
        <w:rPr>
          <w:rFonts w:hint="eastAsia" w:ascii="仿宋_GB2312" w:hAnsi="仿宋_GB2312" w:eastAsia="仿宋_GB2312" w:cs="仿宋_GB2312"/>
          <w:color w:val="auto"/>
          <w:sz w:val="32"/>
          <w:szCs w:val="32"/>
          <w:highlight w:val="none"/>
          <w:lang w:val="en-US" w:eastAsia="zh-CN"/>
        </w:rPr>
        <w:t>1720</w:t>
      </w:r>
      <w:r>
        <w:rPr>
          <w:rFonts w:hint="eastAsia" w:ascii="仿宋_GB2312" w:hAnsi="仿宋_GB2312" w:eastAsia="仿宋_GB2312" w:cs="仿宋_GB2312"/>
          <w:color w:val="auto"/>
          <w:sz w:val="32"/>
          <w:szCs w:val="32"/>
          <w:highlight w:val="none"/>
        </w:rPr>
        <w:t>万元，主要用于均衡各地方政府财力差异，推进区域间基本公共服务均等化。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（二）</w:t>
      </w:r>
      <w:r>
        <w:rPr>
          <w:rFonts w:hint="eastAsia" w:ascii="仿宋_GB2312" w:hAnsi="仿宋_GB2312" w:eastAsia="仿宋_GB2312" w:cs="仿宋_GB2312"/>
          <w:color w:val="auto"/>
          <w:sz w:val="32"/>
          <w:szCs w:val="32"/>
          <w:highlight w:val="none"/>
        </w:rPr>
        <w:t>县级基本财力保障机制奖补资金</w:t>
      </w:r>
      <w:r>
        <w:rPr>
          <w:rFonts w:hint="eastAsia" w:ascii="仿宋_GB2312" w:hAnsi="仿宋_GB2312" w:eastAsia="仿宋_GB2312" w:cs="仿宋_GB2312"/>
          <w:color w:val="auto"/>
          <w:sz w:val="32"/>
          <w:szCs w:val="32"/>
          <w:highlight w:val="none"/>
          <w:lang w:val="en-US" w:eastAsia="zh-CN"/>
        </w:rPr>
        <w:t>13072</w:t>
      </w:r>
      <w:r>
        <w:rPr>
          <w:rFonts w:hint="eastAsia" w:ascii="仿宋_GB2312" w:hAnsi="仿宋_GB2312" w:eastAsia="仿宋_GB2312" w:cs="仿宋_GB2312"/>
          <w:color w:val="auto"/>
          <w:sz w:val="32"/>
          <w:szCs w:val="32"/>
          <w:highlight w:val="none"/>
        </w:rPr>
        <w:t>万元，主要用于增强基层政府“保工资、保运转、保基本民生”能力，保障基层政府实施公共管理、提供基本公共服务以及落实各项民生政策基本财力需要。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（三）产粮（油）大县奖励资金1166万元，主要用于缓解产粮（油）大县财政困难，调动政府抓好粮食生产的积极性，巩固粮食安全基础。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（四）重点生态功能区转移支付606万元。主要用于对国家级重点生态县、国家自然保护区以及重要水源保护地财力补助，帮助其生态保护和民生改善。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rPr>
        <w:t>农林水共同财政事权转移支付收入</w:t>
      </w:r>
      <w:r>
        <w:rPr>
          <w:rFonts w:hint="eastAsia" w:ascii="仿宋_GB2312" w:hAnsi="仿宋_GB2312" w:eastAsia="仿宋_GB2312" w:cs="仿宋_GB2312"/>
          <w:color w:val="auto"/>
          <w:sz w:val="32"/>
          <w:szCs w:val="32"/>
          <w:highlight w:val="none"/>
          <w:lang w:val="en-US" w:eastAsia="zh-CN"/>
        </w:rPr>
        <w:t>22780</w:t>
      </w:r>
      <w:r>
        <w:rPr>
          <w:rFonts w:hint="eastAsia" w:ascii="仿宋_GB2312" w:hAnsi="仿宋_GB2312" w:eastAsia="仿宋_GB2312" w:cs="仿宋_GB2312"/>
          <w:color w:val="auto"/>
          <w:sz w:val="32"/>
          <w:szCs w:val="32"/>
          <w:highlight w:val="none"/>
        </w:rPr>
        <w:t>万元，主要用于支持乡村振兴专项支出。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（六）</w:t>
      </w:r>
      <w:r>
        <w:rPr>
          <w:rFonts w:hint="eastAsia" w:ascii="仿宋_GB2312" w:hAnsi="仿宋_GB2312" w:eastAsia="仿宋_GB2312" w:cs="仿宋_GB2312"/>
          <w:color w:val="auto"/>
          <w:sz w:val="32"/>
          <w:szCs w:val="32"/>
          <w:highlight w:val="none"/>
        </w:rPr>
        <w:t>社会保障和就业共同财政事权转移支付收入</w:t>
      </w:r>
      <w:r>
        <w:rPr>
          <w:rFonts w:hint="eastAsia" w:ascii="仿宋_GB2312" w:hAnsi="仿宋_GB2312" w:eastAsia="仿宋_GB2312" w:cs="仿宋_GB2312"/>
          <w:color w:val="auto"/>
          <w:sz w:val="32"/>
          <w:szCs w:val="32"/>
          <w:highlight w:val="none"/>
          <w:lang w:val="en-US" w:eastAsia="zh-CN"/>
        </w:rPr>
        <w:t>25916</w:t>
      </w:r>
      <w:r>
        <w:rPr>
          <w:rFonts w:hint="eastAsia" w:ascii="仿宋_GB2312" w:hAnsi="仿宋_GB2312" w:eastAsia="仿宋_GB2312" w:cs="仿宋_GB2312"/>
          <w:color w:val="auto"/>
          <w:sz w:val="32"/>
          <w:szCs w:val="32"/>
          <w:highlight w:val="none"/>
        </w:rPr>
        <w:t>万元，主要用于保障居民基本养老保险基础养老金发放、对城乡低保对象等低收入群体进行补助。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（七）医疗卫生</w:t>
      </w:r>
      <w:r>
        <w:rPr>
          <w:rFonts w:hint="eastAsia" w:ascii="仿宋_GB2312" w:hAnsi="仿宋_GB2312" w:eastAsia="仿宋_GB2312" w:cs="仿宋_GB2312"/>
          <w:color w:val="auto"/>
          <w:sz w:val="32"/>
          <w:szCs w:val="32"/>
          <w:highlight w:val="none"/>
        </w:rPr>
        <w:t>共同财政事权转移支付收入</w:t>
      </w:r>
      <w:r>
        <w:rPr>
          <w:rFonts w:hint="eastAsia" w:ascii="仿宋_GB2312" w:hAnsi="仿宋_GB2312" w:eastAsia="仿宋_GB2312" w:cs="仿宋_GB2312"/>
          <w:color w:val="auto"/>
          <w:sz w:val="32"/>
          <w:szCs w:val="32"/>
          <w:highlight w:val="none"/>
          <w:lang w:val="en-US" w:eastAsia="zh-CN"/>
        </w:rPr>
        <w:t>10045</w:t>
      </w:r>
      <w:r>
        <w:rPr>
          <w:rFonts w:hint="eastAsia" w:ascii="仿宋_GB2312" w:hAnsi="仿宋_GB2312" w:eastAsia="仿宋_GB2312" w:cs="仿宋_GB2312"/>
          <w:color w:val="auto"/>
          <w:sz w:val="32"/>
          <w:szCs w:val="32"/>
          <w:highlight w:val="none"/>
        </w:rPr>
        <w:t>万元，主要用于计划生育服务、城乡医疗救助、医保能力提升等方面支出。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（八）</w:t>
      </w:r>
      <w:r>
        <w:rPr>
          <w:rFonts w:hint="eastAsia" w:ascii="仿宋_GB2312" w:hAnsi="仿宋_GB2312" w:eastAsia="仿宋_GB2312" w:cs="仿宋_GB2312"/>
          <w:color w:val="auto"/>
          <w:sz w:val="32"/>
          <w:szCs w:val="32"/>
          <w:highlight w:val="none"/>
        </w:rPr>
        <w:t>教育共同财政事权转移支付收入</w:t>
      </w:r>
      <w:r>
        <w:rPr>
          <w:rFonts w:hint="eastAsia" w:ascii="仿宋_GB2312" w:hAnsi="仿宋_GB2312" w:eastAsia="仿宋_GB2312" w:cs="仿宋_GB2312"/>
          <w:color w:val="auto"/>
          <w:sz w:val="32"/>
          <w:szCs w:val="32"/>
          <w:highlight w:val="none"/>
          <w:lang w:val="en-US" w:eastAsia="zh-CN"/>
        </w:rPr>
        <w:t>5785</w:t>
      </w:r>
      <w:r>
        <w:rPr>
          <w:rFonts w:hint="eastAsia" w:ascii="仿宋_GB2312" w:hAnsi="仿宋_GB2312" w:eastAsia="仿宋_GB2312" w:cs="仿宋_GB2312"/>
          <w:color w:val="auto"/>
          <w:sz w:val="32"/>
          <w:szCs w:val="32"/>
          <w:highlight w:val="none"/>
        </w:rPr>
        <w:t>万元，主要用于完善城乡义务教育经费保障机制、改善薄弱地区基础教育办学条件，推动教育资源均衡配置。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（九）</w:t>
      </w:r>
      <w:r>
        <w:rPr>
          <w:rFonts w:hint="eastAsia" w:ascii="仿宋_GB2312" w:hAnsi="仿宋_GB2312" w:eastAsia="仿宋_GB2312" w:cs="仿宋_GB2312"/>
          <w:color w:val="auto"/>
          <w:sz w:val="32"/>
          <w:szCs w:val="32"/>
          <w:highlight w:val="none"/>
        </w:rPr>
        <w:t>其他一般性转移支付</w:t>
      </w:r>
      <w:r>
        <w:rPr>
          <w:rFonts w:hint="eastAsia" w:ascii="仿宋_GB2312" w:hAnsi="仿宋_GB2312" w:eastAsia="仿宋_GB2312" w:cs="仿宋_GB2312"/>
          <w:color w:val="auto"/>
          <w:sz w:val="32"/>
          <w:szCs w:val="32"/>
          <w:highlight w:val="none"/>
          <w:lang w:val="en-US" w:eastAsia="zh-CN"/>
        </w:rPr>
        <w:t>98370</w:t>
      </w:r>
      <w:r>
        <w:rPr>
          <w:rFonts w:hint="eastAsia" w:ascii="仿宋_GB2312" w:hAnsi="仿宋_GB2312" w:eastAsia="仿宋_GB2312" w:cs="仿宋_GB2312"/>
          <w:color w:val="auto"/>
          <w:sz w:val="32"/>
          <w:szCs w:val="32"/>
          <w:highlight w:val="none"/>
        </w:rPr>
        <w:t>万元，主要包括公共安全、节能环保、交通运输等共同财政事权转移支付以及企事业单位划转补助等，重点用于公共安全、节能环保、交通运输等公共服务和社会管理领域，增强基本公共服务保障能力。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lang w:eastAsia="zh-CN"/>
        </w:rPr>
        <w:t>二、</w:t>
      </w:r>
      <w:r>
        <w:rPr>
          <w:rFonts w:hint="eastAsia" w:ascii="黑体" w:hAnsi="黑体" w:eastAsia="黑体" w:cs="黑体"/>
          <w:sz w:val="32"/>
          <w:szCs w:val="32"/>
          <w:highlight w:val="none"/>
        </w:rPr>
        <w:t>20</w:t>
      </w:r>
      <w:r>
        <w:rPr>
          <w:rFonts w:hint="eastAsia" w:ascii="黑体" w:hAnsi="黑体" w:eastAsia="黑体" w:cs="黑体"/>
          <w:sz w:val="32"/>
          <w:szCs w:val="32"/>
          <w:highlight w:val="none"/>
          <w:lang w:val="en-US" w:eastAsia="zh-CN"/>
        </w:rPr>
        <w:t>22</w:t>
      </w:r>
      <w:r>
        <w:rPr>
          <w:rFonts w:hint="eastAsia" w:ascii="黑体" w:hAnsi="黑体" w:eastAsia="黑体" w:cs="黑体"/>
          <w:sz w:val="32"/>
          <w:szCs w:val="32"/>
          <w:highlight w:val="none"/>
        </w:rPr>
        <w:t>年专项转移支付执行数为</w:t>
      </w:r>
      <w:r>
        <w:rPr>
          <w:rFonts w:hint="eastAsia" w:ascii="黑体" w:hAnsi="黑体" w:eastAsia="黑体" w:cs="黑体"/>
          <w:sz w:val="32"/>
          <w:szCs w:val="32"/>
          <w:highlight w:val="none"/>
          <w:lang w:val="en-US" w:eastAsia="zh-CN"/>
        </w:rPr>
        <w:t>24936</w:t>
      </w:r>
      <w:r>
        <w:rPr>
          <w:rFonts w:hint="eastAsia" w:ascii="黑体" w:hAnsi="黑体" w:eastAsia="黑体" w:cs="黑体"/>
          <w:sz w:val="32"/>
          <w:szCs w:val="32"/>
          <w:highlight w:val="none"/>
        </w:rPr>
        <w:t>万元</w:t>
      </w:r>
      <w:r>
        <w:rPr>
          <w:rFonts w:hint="eastAsia" w:ascii="黑体" w:hAnsi="黑体" w:eastAsia="黑体" w:cs="黑体"/>
          <w:sz w:val="32"/>
          <w:szCs w:val="32"/>
          <w:lang w:val="en-US" w:eastAsia="zh-CN"/>
        </w:rPr>
        <w:t>(</w:t>
      </w:r>
      <w:r>
        <w:rPr>
          <w:rFonts w:hint="eastAsia" w:ascii="黑体" w:hAnsi="黑体" w:eastAsia="黑体" w:cs="黑体"/>
          <w:sz w:val="32"/>
          <w:szCs w:val="32"/>
        </w:rPr>
        <w:t>因体制原因，我区对乡镇按照部门进行管理，因此没有</w:t>
      </w:r>
      <w:r>
        <w:rPr>
          <w:rFonts w:hint="eastAsia" w:ascii="黑体" w:hAnsi="黑体" w:eastAsia="黑体" w:cs="黑体"/>
          <w:sz w:val="32"/>
          <w:szCs w:val="32"/>
          <w:lang w:eastAsia="zh-CN"/>
        </w:rPr>
        <w:t>对乡镇</w:t>
      </w:r>
      <w:r>
        <w:rPr>
          <w:rFonts w:hint="eastAsia" w:ascii="黑体" w:hAnsi="黑体" w:eastAsia="黑体" w:cs="黑体"/>
          <w:sz w:val="32"/>
          <w:szCs w:val="32"/>
        </w:rPr>
        <w:t>转移支付</w:t>
      </w:r>
      <w:r>
        <w:rPr>
          <w:rFonts w:hint="eastAsia" w:ascii="黑体" w:hAnsi="黑体" w:eastAsia="黑体" w:cs="黑体"/>
          <w:sz w:val="32"/>
          <w:szCs w:val="32"/>
          <w:lang w:eastAsia="zh-CN"/>
        </w:rPr>
        <w:t>情况</w:t>
      </w:r>
      <w:r>
        <w:rPr>
          <w:rFonts w:hint="eastAsia" w:ascii="黑体" w:hAnsi="黑体" w:eastAsia="黑体" w:cs="黑体"/>
          <w:sz w:val="32"/>
          <w:szCs w:val="32"/>
          <w:lang w:val="en-US" w:eastAsia="zh-CN"/>
        </w:rPr>
        <w:t>)</w:t>
      </w:r>
      <w:r>
        <w:rPr>
          <w:rFonts w:hint="eastAsia" w:ascii="黑体" w:hAnsi="黑体" w:eastAsia="黑体" w:cs="黑体"/>
          <w:sz w:val="32"/>
          <w:szCs w:val="32"/>
          <w:highlight w:val="none"/>
        </w:rPr>
        <w:t>，其中：</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（一）节能环保方面7178万元。主要用于支持环境污染防治、节能减排和清洁取暖等相关方面支出。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rPr>
        <w:t>农林水方面</w:t>
      </w:r>
      <w:r>
        <w:rPr>
          <w:rFonts w:hint="eastAsia" w:ascii="仿宋_GB2312" w:hAnsi="仿宋_GB2312" w:eastAsia="仿宋_GB2312" w:cs="仿宋_GB2312"/>
          <w:sz w:val="32"/>
          <w:szCs w:val="32"/>
          <w:highlight w:val="none"/>
          <w:lang w:val="en-US" w:eastAsia="zh-CN"/>
        </w:rPr>
        <w:t>1968</w:t>
      </w:r>
      <w:r>
        <w:rPr>
          <w:rFonts w:hint="eastAsia" w:ascii="仿宋_GB2312" w:hAnsi="仿宋_GB2312" w:eastAsia="仿宋_GB2312" w:cs="仿宋_GB2312"/>
          <w:sz w:val="32"/>
          <w:szCs w:val="32"/>
          <w:highlight w:val="none"/>
        </w:rPr>
        <w:t>万元，主要用于支持农业科技和现代农业生产发展、重大动植物病虫害防治、耕地质量提升、植树造林和森林资源保护管理、水利发展等方面支出。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auto"/>
          <w:sz w:val="32"/>
          <w:szCs w:val="32"/>
          <w:highlight w:val="none"/>
          <w:lang w:val="en-US" w:eastAsia="zh-CN"/>
        </w:rPr>
        <w:t>（三）</w:t>
      </w:r>
      <w:r>
        <w:rPr>
          <w:rFonts w:hint="eastAsia" w:ascii="仿宋_GB2312" w:hAnsi="仿宋_GB2312" w:eastAsia="仿宋_GB2312" w:cs="仿宋_GB2312"/>
          <w:sz w:val="32"/>
          <w:szCs w:val="32"/>
          <w:highlight w:val="none"/>
        </w:rPr>
        <w:t>资源勘探信息等方面</w:t>
      </w:r>
      <w:r>
        <w:rPr>
          <w:rFonts w:hint="eastAsia" w:ascii="仿宋_GB2312" w:hAnsi="仿宋_GB2312" w:eastAsia="仿宋_GB2312" w:cs="仿宋_GB2312"/>
          <w:sz w:val="32"/>
          <w:szCs w:val="32"/>
          <w:highlight w:val="none"/>
          <w:lang w:val="en-US" w:eastAsia="zh-CN"/>
        </w:rPr>
        <w:t>2703</w:t>
      </w:r>
      <w:r>
        <w:rPr>
          <w:rFonts w:hint="eastAsia" w:ascii="仿宋_GB2312" w:hAnsi="仿宋_GB2312" w:eastAsia="仿宋_GB2312" w:cs="仿宋_GB2312"/>
          <w:sz w:val="32"/>
          <w:szCs w:val="32"/>
          <w:highlight w:val="none"/>
        </w:rPr>
        <w:t>万元，主要用于支持工业提质增效和军民融合发展、安全生产、中小企业创业补助及创新奖励等方面支出。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auto"/>
          <w:sz w:val="32"/>
          <w:szCs w:val="32"/>
          <w:highlight w:val="none"/>
          <w:lang w:val="en-US" w:eastAsia="zh-CN"/>
        </w:rPr>
        <w:t>（四）</w:t>
      </w:r>
      <w:r>
        <w:rPr>
          <w:rFonts w:hint="eastAsia" w:ascii="仿宋_GB2312" w:hAnsi="仿宋_GB2312" w:eastAsia="仿宋_GB2312" w:cs="仿宋_GB2312"/>
          <w:sz w:val="32"/>
          <w:szCs w:val="32"/>
          <w:highlight w:val="none"/>
        </w:rPr>
        <w:t>住房保障方面</w:t>
      </w:r>
      <w:r>
        <w:rPr>
          <w:rFonts w:hint="eastAsia" w:ascii="仿宋_GB2312" w:hAnsi="仿宋_GB2312" w:eastAsia="仿宋_GB2312" w:cs="仿宋_GB2312"/>
          <w:sz w:val="32"/>
          <w:szCs w:val="32"/>
          <w:highlight w:val="none"/>
          <w:lang w:val="en-US" w:eastAsia="zh-CN"/>
        </w:rPr>
        <w:t>6974万</w:t>
      </w:r>
      <w:r>
        <w:rPr>
          <w:rFonts w:hint="eastAsia" w:ascii="仿宋_GB2312" w:hAnsi="仿宋_GB2312" w:eastAsia="仿宋_GB2312" w:cs="仿宋_GB2312"/>
          <w:sz w:val="32"/>
          <w:szCs w:val="32"/>
          <w:highlight w:val="none"/>
        </w:rPr>
        <w:t>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主要用于支持城镇保障性安居工程、农村危房改造等方面支出。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小标宋简体" w:hAnsi="方正小标宋简体" w:eastAsia="方正小标宋简体" w:cs="方正小标宋简体"/>
          <w:sz w:val="44"/>
          <w:szCs w:val="44"/>
          <w:highlight w:val="none"/>
        </w:rPr>
      </w:pPr>
      <w:r>
        <w:rPr>
          <w:rFonts w:hint="eastAsia" w:ascii="仿宋_GB2312" w:hAnsi="仿宋_GB2312" w:eastAsia="仿宋_GB2312" w:cs="仿宋_GB2312"/>
          <w:sz w:val="32"/>
          <w:szCs w:val="32"/>
          <w:highlight w:val="none"/>
          <w:lang w:val="en-US" w:eastAsia="zh-CN"/>
        </w:rPr>
        <w:t>（五）</w:t>
      </w:r>
      <w:r>
        <w:rPr>
          <w:rFonts w:hint="eastAsia" w:ascii="仿宋_GB2312" w:hAnsi="仿宋_GB2312" w:eastAsia="仿宋_GB2312" w:cs="仿宋_GB2312"/>
          <w:sz w:val="32"/>
          <w:szCs w:val="32"/>
          <w:highlight w:val="none"/>
        </w:rPr>
        <w:t>其他方面</w:t>
      </w:r>
      <w:r>
        <w:rPr>
          <w:rFonts w:hint="eastAsia" w:ascii="仿宋_GB2312" w:hAnsi="仿宋_GB2312" w:eastAsia="仿宋_GB2312" w:cs="仿宋_GB2312"/>
          <w:sz w:val="32"/>
          <w:szCs w:val="32"/>
          <w:highlight w:val="none"/>
          <w:lang w:val="en-US" w:eastAsia="zh-CN"/>
        </w:rPr>
        <w:t>6113万元，主要用于支持文化旅游体育与传媒、社会保障等项目建设等方面支出。</w:t>
      </w:r>
    </w:p>
    <w:p>
      <w:pPr>
        <w:pStyle w:val="54"/>
        <w:rPr>
          <w:rFonts w:hint="eastAsia" w:ascii="方正小标宋简体" w:hAnsi="方正小标宋简体" w:eastAsia="方正小标宋简体" w:cs="方正小标宋简体"/>
          <w:sz w:val="44"/>
          <w:szCs w:val="44"/>
          <w:highlight w:val="none"/>
        </w:rPr>
      </w:pPr>
    </w:p>
    <w:p>
      <w:pPr>
        <w:pStyle w:val="54"/>
        <w:rPr>
          <w:rFonts w:hint="eastAsia" w:ascii="方正小标宋简体" w:hAnsi="方正小标宋简体" w:eastAsia="方正小标宋简体" w:cs="方正小标宋简体"/>
          <w:sz w:val="44"/>
          <w:szCs w:val="44"/>
          <w:highlight w:val="none"/>
        </w:rPr>
      </w:pPr>
    </w:p>
    <w:p>
      <w:pPr>
        <w:pStyle w:val="54"/>
        <w:rPr>
          <w:rFonts w:hint="eastAsia" w:ascii="方正小标宋简体" w:hAnsi="方正小标宋简体" w:eastAsia="方正小标宋简体" w:cs="方正小标宋简体"/>
          <w:sz w:val="44"/>
          <w:szCs w:val="44"/>
          <w:highlight w:val="none"/>
        </w:rPr>
      </w:pPr>
    </w:p>
    <w:p>
      <w:pPr>
        <w:pStyle w:val="54"/>
        <w:rPr>
          <w:rFonts w:hint="eastAsia" w:ascii="方正小标宋简体" w:hAnsi="方正小标宋简体" w:eastAsia="方正小标宋简体" w:cs="方正小标宋简体"/>
          <w:sz w:val="44"/>
          <w:szCs w:val="44"/>
          <w:highlight w:val="none"/>
        </w:rPr>
      </w:pPr>
    </w:p>
    <w:p>
      <w:pPr>
        <w:pStyle w:val="54"/>
        <w:rPr>
          <w:rFonts w:hint="eastAsia" w:ascii="方正小标宋简体" w:hAnsi="方正小标宋简体" w:eastAsia="方正小标宋简体" w:cs="方正小标宋简体"/>
          <w:sz w:val="44"/>
          <w:szCs w:val="44"/>
          <w:highlight w:val="none"/>
        </w:rPr>
      </w:pPr>
    </w:p>
    <w:p>
      <w:pPr>
        <w:pStyle w:val="54"/>
        <w:rPr>
          <w:rFonts w:hint="eastAsia" w:ascii="方正小标宋简体" w:hAnsi="方正小标宋简体" w:eastAsia="方正小标宋简体" w:cs="方正小标宋简体"/>
          <w:sz w:val="44"/>
          <w:szCs w:val="44"/>
          <w:highlight w:val="none"/>
        </w:rPr>
      </w:pPr>
    </w:p>
    <w:p>
      <w:pPr>
        <w:pStyle w:val="54"/>
        <w:rPr>
          <w:rFonts w:hint="eastAsia" w:ascii="方正小标宋简体" w:hAnsi="方正小标宋简体" w:eastAsia="方正小标宋简体" w:cs="方正小标宋简体"/>
          <w:sz w:val="44"/>
          <w:szCs w:val="44"/>
          <w:highlight w:val="none"/>
        </w:rPr>
      </w:pPr>
    </w:p>
    <w:p>
      <w:pPr>
        <w:pStyle w:val="54"/>
        <w:rPr>
          <w:rFonts w:hint="eastAsia" w:ascii="方正小标宋简体" w:hAnsi="方正小标宋简体" w:eastAsia="方正小标宋简体" w:cs="方正小标宋简体"/>
          <w:sz w:val="44"/>
          <w:szCs w:val="44"/>
          <w:highlight w:val="none"/>
        </w:rPr>
      </w:pPr>
    </w:p>
    <w:p>
      <w:pPr>
        <w:pStyle w:val="54"/>
        <w:rPr>
          <w:rFonts w:hint="eastAsia" w:ascii="方正小标宋简体" w:hAnsi="方正小标宋简体" w:eastAsia="方正小标宋简体" w:cs="方正小标宋简体"/>
          <w:sz w:val="44"/>
          <w:szCs w:val="44"/>
          <w:highlight w:val="none"/>
        </w:rPr>
      </w:pPr>
    </w:p>
    <w:p>
      <w:pPr>
        <w:pStyle w:val="54"/>
        <w:rPr>
          <w:rFonts w:hint="eastAsia" w:ascii="方正小标宋简体" w:hAnsi="方正小标宋简体" w:eastAsia="方正小标宋简体" w:cs="方正小标宋简体"/>
          <w:sz w:val="44"/>
          <w:szCs w:val="44"/>
          <w:highlight w:val="none"/>
        </w:rPr>
      </w:pPr>
    </w:p>
    <w:p>
      <w:pPr>
        <w:pStyle w:val="54"/>
        <w:ind w:left="0" w:leftChars="0" w:firstLine="0" w:firstLineChars="0"/>
        <w:rPr>
          <w:rFonts w:hint="eastAsia" w:ascii="方正小标宋简体" w:hAnsi="方正小标宋简体" w:eastAsia="方正小标宋简体" w:cs="方正小标宋简体"/>
          <w:sz w:val="44"/>
          <w:szCs w:val="44"/>
          <w:highlight w:val="none"/>
        </w:rPr>
      </w:pPr>
    </w:p>
    <w:p>
      <w:pPr>
        <w:pStyle w:val="54"/>
        <w:ind w:left="0" w:leftChars="0" w:firstLine="0" w:firstLineChars="0"/>
        <w:rPr>
          <w:rFonts w:hint="eastAsia" w:ascii="方正小标宋简体" w:hAnsi="方正小标宋简体" w:eastAsia="方正小标宋简体" w:cs="方正小标宋简体"/>
          <w:sz w:val="44"/>
          <w:szCs w:val="44"/>
          <w:highlight w:val="none"/>
        </w:rPr>
      </w:pPr>
    </w:p>
    <w:p>
      <w:pPr>
        <w:jc w:val="center"/>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20</w:t>
      </w:r>
      <w:r>
        <w:rPr>
          <w:rFonts w:hint="eastAsia" w:ascii="方正小标宋简体" w:hAnsi="方正小标宋简体" w:eastAsia="方正小标宋简体" w:cs="方正小标宋简体"/>
          <w:sz w:val="44"/>
          <w:szCs w:val="44"/>
          <w:highlight w:val="none"/>
          <w:lang w:val="en-US" w:eastAsia="zh-CN"/>
        </w:rPr>
        <w:t>22</w:t>
      </w:r>
      <w:r>
        <w:rPr>
          <w:rFonts w:hint="eastAsia" w:ascii="方正小标宋简体" w:hAnsi="方正小标宋简体" w:eastAsia="方正小标宋简体" w:cs="方正小标宋简体"/>
          <w:sz w:val="44"/>
          <w:szCs w:val="44"/>
          <w:highlight w:val="none"/>
        </w:rPr>
        <w:t>年政府性基金转移支付情况</w:t>
      </w:r>
    </w:p>
    <w:p>
      <w:pPr>
        <w:jc w:val="center"/>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安排的说明</w:t>
      </w:r>
    </w:p>
    <w:p>
      <w:pPr>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22</w:t>
      </w:r>
      <w:r>
        <w:rPr>
          <w:rFonts w:hint="eastAsia" w:ascii="仿宋_GB2312" w:hAnsi="仿宋_GB2312" w:eastAsia="仿宋_GB2312" w:cs="仿宋_GB2312"/>
          <w:sz w:val="32"/>
          <w:szCs w:val="32"/>
          <w:highlight w:val="none"/>
        </w:rPr>
        <w:t>年，我</w:t>
      </w:r>
      <w:r>
        <w:rPr>
          <w:rFonts w:hint="eastAsia" w:ascii="仿宋_GB2312" w:hAnsi="仿宋_GB2312" w:eastAsia="仿宋_GB2312" w:cs="仿宋_GB2312"/>
          <w:sz w:val="32"/>
          <w:szCs w:val="32"/>
          <w:highlight w:val="none"/>
          <w:lang w:eastAsia="zh-CN"/>
        </w:rPr>
        <w:t>区</w:t>
      </w:r>
      <w:r>
        <w:rPr>
          <w:rFonts w:hint="eastAsia" w:ascii="仿宋_GB2312" w:hAnsi="仿宋_GB2312" w:eastAsia="仿宋_GB2312" w:cs="仿宋_GB2312"/>
          <w:sz w:val="32"/>
          <w:szCs w:val="32"/>
          <w:highlight w:val="none"/>
        </w:rPr>
        <w:t>共收到省、市</w:t>
      </w:r>
      <w:r>
        <w:rPr>
          <w:rFonts w:hint="eastAsia" w:ascii="仿宋_GB2312" w:hAnsi="仿宋_GB2312" w:eastAsia="仿宋_GB2312" w:cs="仿宋_GB2312"/>
          <w:sz w:val="32"/>
          <w:szCs w:val="32"/>
          <w:highlight w:val="none"/>
          <w:lang w:eastAsia="zh-CN"/>
        </w:rPr>
        <w:t>两</w:t>
      </w:r>
      <w:r>
        <w:rPr>
          <w:rFonts w:hint="eastAsia" w:ascii="仿宋_GB2312" w:hAnsi="仿宋_GB2312" w:eastAsia="仿宋_GB2312" w:cs="仿宋_GB2312"/>
          <w:sz w:val="32"/>
          <w:szCs w:val="32"/>
          <w:highlight w:val="none"/>
        </w:rPr>
        <w:t>级转移支付补助资金</w:t>
      </w:r>
      <w:r>
        <w:rPr>
          <w:rFonts w:hint="eastAsia" w:ascii="仿宋_GB2312" w:hAnsi="仿宋_GB2312" w:eastAsia="仿宋_GB2312" w:cs="仿宋_GB2312"/>
          <w:sz w:val="32"/>
          <w:szCs w:val="32"/>
          <w:highlight w:val="none"/>
          <w:lang w:val="en-US" w:eastAsia="zh-CN"/>
        </w:rPr>
        <w:t>7686</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因体制原因，我区对乡镇按照部门进行管理，因此没有</w:t>
      </w:r>
      <w:r>
        <w:rPr>
          <w:rFonts w:hint="eastAsia" w:ascii="仿宋_GB2312" w:hAnsi="仿宋_GB2312" w:eastAsia="仿宋_GB2312" w:cs="仿宋_GB2312"/>
          <w:sz w:val="32"/>
          <w:szCs w:val="32"/>
          <w:highlight w:val="none"/>
          <w:lang w:eastAsia="zh-CN"/>
        </w:rPr>
        <w:t>对乡镇</w:t>
      </w:r>
      <w:r>
        <w:rPr>
          <w:rFonts w:hint="eastAsia" w:ascii="仿宋_GB2312" w:hAnsi="仿宋_GB2312" w:eastAsia="仿宋_GB2312" w:cs="仿宋_GB2312"/>
          <w:sz w:val="32"/>
          <w:szCs w:val="32"/>
          <w:highlight w:val="none"/>
        </w:rPr>
        <w:t>转移支付</w:t>
      </w:r>
      <w:r>
        <w:rPr>
          <w:rFonts w:hint="eastAsia" w:ascii="仿宋_GB2312" w:hAnsi="仿宋_GB2312" w:eastAsia="仿宋_GB2312" w:cs="仿宋_GB2312"/>
          <w:sz w:val="32"/>
          <w:szCs w:val="32"/>
          <w:highlight w:val="none"/>
          <w:lang w:eastAsia="zh-CN"/>
        </w:rPr>
        <w:t>情况</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，具体情况如下：</w:t>
      </w:r>
    </w:p>
    <w:p>
      <w:pPr>
        <w:numPr>
          <w:ilvl w:val="0"/>
          <w:numId w:val="4"/>
        </w:numPr>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国有土地使用权出让</w:t>
      </w:r>
      <w:r>
        <w:rPr>
          <w:rFonts w:hint="eastAsia" w:ascii="仿宋_GB2312" w:hAnsi="仿宋_GB2312" w:eastAsia="仿宋_GB2312" w:cs="仿宋_GB2312"/>
          <w:color w:val="auto"/>
          <w:sz w:val="32"/>
          <w:szCs w:val="32"/>
          <w:highlight w:val="none"/>
          <w:lang w:val="en-US" w:eastAsia="zh-CN"/>
        </w:rPr>
        <w:t>2251</w:t>
      </w:r>
      <w:r>
        <w:rPr>
          <w:rFonts w:hint="eastAsia" w:ascii="仿宋_GB2312" w:hAnsi="仿宋_GB2312" w:eastAsia="仿宋_GB2312" w:cs="仿宋_GB2312"/>
          <w:color w:val="auto"/>
          <w:sz w:val="32"/>
          <w:szCs w:val="32"/>
          <w:highlight w:val="none"/>
        </w:rPr>
        <w:t>万元，主要用于征地和拆迁补偿、土地开发、城市建设及加快保障性安居工程建设等方面支出</w:t>
      </w:r>
      <w:r>
        <w:rPr>
          <w:rFonts w:hint="eastAsia" w:ascii="仿宋_GB2312" w:hAnsi="仿宋_GB2312" w:eastAsia="仿宋_GB2312" w:cs="仿宋_GB2312"/>
          <w:color w:val="auto"/>
          <w:sz w:val="32"/>
          <w:szCs w:val="32"/>
          <w:highlight w:val="none"/>
          <w:lang w:eastAsia="zh-CN"/>
        </w:rPr>
        <w:t>。</w:t>
      </w:r>
    </w:p>
    <w:p>
      <w:pPr>
        <w:numPr>
          <w:ilvl w:val="0"/>
          <w:numId w:val="0"/>
        </w:numPr>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二、</w:t>
      </w:r>
      <w:r>
        <w:rPr>
          <w:rFonts w:hint="eastAsia" w:ascii="仿宋_GB2312" w:hAnsi="仿宋_GB2312" w:eastAsia="仿宋_GB2312" w:cs="仿宋_GB2312"/>
          <w:color w:val="auto"/>
          <w:sz w:val="32"/>
          <w:szCs w:val="32"/>
          <w:highlight w:val="none"/>
        </w:rPr>
        <w:t>国家电影事业发展专项资金相关收入</w:t>
      </w:r>
      <w:r>
        <w:rPr>
          <w:rFonts w:hint="eastAsia" w:ascii="仿宋_GB2312" w:hAnsi="仿宋_GB2312" w:eastAsia="仿宋_GB2312" w:cs="仿宋_GB2312"/>
          <w:color w:val="auto"/>
          <w:sz w:val="32"/>
          <w:szCs w:val="32"/>
          <w:highlight w:val="none"/>
          <w:lang w:val="en-US" w:eastAsia="zh-CN"/>
        </w:rPr>
        <w:t>279</w:t>
      </w:r>
      <w:r>
        <w:rPr>
          <w:rFonts w:hint="eastAsia" w:ascii="仿宋_GB2312" w:hAnsi="仿宋_GB2312" w:eastAsia="仿宋_GB2312" w:cs="仿宋_GB2312"/>
          <w:color w:val="auto"/>
          <w:sz w:val="32"/>
          <w:szCs w:val="32"/>
          <w:highlight w:val="none"/>
        </w:rPr>
        <w:t>万元，主要用于支持影院建设和设备更新改造、重点制片基地建设发展等方面支出</w:t>
      </w:r>
      <w:r>
        <w:rPr>
          <w:rFonts w:hint="eastAsia" w:ascii="仿宋_GB2312" w:hAnsi="仿宋_GB2312" w:eastAsia="仿宋_GB2312" w:cs="仿宋_GB2312"/>
          <w:color w:val="auto"/>
          <w:sz w:val="32"/>
          <w:szCs w:val="32"/>
          <w:highlight w:val="none"/>
          <w:lang w:eastAsia="zh-CN"/>
        </w:rPr>
        <w:t>。</w:t>
      </w:r>
    </w:p>
    <w:p>
      <w:pPr>
        <w:ind w:firstLine="640" w:firstLineChars="200"/>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三、大中型水库移民后期扶持基金收入2113万元，主要用于解决水库移民安置后生产生活问题，促进库区和移民安置区经济社会发展等方面支出。</w:t>
      </w:r>
    </w:p>
    <w:p>
      <w:pPr>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四、</w:t>
      </w:r>
      <w:r>
        <w:rPr>
          <w:rFonts w:hint="eastAsia" w:ascii="仿宋_GB2312" w:hAnsi="仿宋_GB2312" w:eastAsia="仿宋_GB2312" w:cs="仿宋_GB2312"/>
          <w:color w:val="auto"/>
          <w:sz w:val="32"/>
          <w:szCs w:val="32"/>
          <w:highlight w:val="none"/>
        </w:rPr>
        <w:t>彩票公益金收入</w:t>
      </w:r>
      <w:r>
        <w:rPr>
          <w:rFonts w:hint="eastAsia" w:ascii="仿宋_GB2312" w:hAnsi="仿宋_GB2312" w:eastAsia="仿宋_GB2312" w:cs="仿宋_GB2312"/>
          <w:color w:val="auto"/>
          <w:sz w:val="32"/>
          <w:szCs w:val="32"/>
          <w:highlight w:val="none"/>
          <w:lang w:val="en-US" w:eastAsia="zh-CN"/>
        </w:rPr>
        <w:t>2933</w:t>
      </w:r>
      <w:r>
        <w:rPr>
          <w:rFonts w:hint="eastAsia" w:ascii="仿宋_GB2312" w:hAnsi="仿宋_GB2312" w:eastAsia="仿宋_GB2312" w:cs="仿宋_GB2312"/>
          <w:color w:val="auto"/>
          <w:sz w:val="32"/>
          <w:szCs w:val="32"/>
          <w:highlight w:val="none"/>
        </w:rPr>
        <w:t>万元，主要用于支持市县养老、扶贫、体育、教育、残疾人、城乡医疗救助等社会公益事业发展，对彩票发行销售机构业务开展给予补助。</w:t>
      </w:r>
    </w:p>
    <w:p>
      <w:pPr>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lang w:eastAsia="zh-CN"/>
        </w:rPr>
        <w:t>重大水利工程建设基金收入</w:t>
      </w:r>
      <w:r>
        <w:rPr>
          <w:rFonts w:hint="eastAsia" w:ascii="仿宋_GB2312" w:hAnsi="仿宋_GB2312" w:eastAsia="仿宋_GB2312" w:cs="仿宋_GB2312"/>
          <w:color w:val="auto"/>
          <w:sz w:val="32"/>
          <w:szCs w:val="32"/>
          <w:highlight w:val="none"/>
          <w:lang w:val="en-US" w:eastAsia="zh-CN"/>
        </w:rPr>
        <w:t>110</w:t>
      </w:r>
      <w:r>
        <w:rPr>
          <w:rFonts w:hint="eastAsia" w:ascii="仿宋_GB2312" w:hAnsi="仿宋_GB2312" w:eastAsia="仿宋_GB2312" w:cs="仿宋_GB2312"/>
          <w:color w:val="auto"/>
          <w:sz w:val="32"/>
          <w:szCs w:val="32"/>
          <w:highlight w:val="none"/>
        </w:rPr>
        <w:t>万元，主要用于</w:t>
      </w:r>
      <w:r>
        <w:rPr>
          <w:rFonts w:hint="eastAsia" w:ascii="仿宋_GB2312" w:hAnsi="仿宋_GB2312" w:eastAsia="仿宋_GB2312" w:cs="仿宋_GB2312"/>
          <w:color w:val="auto"/>
          <w:sz w:val="32"/>
          <w:szCs w:val="32"/>
          <w:highlight w:val="none"/>
          <w:lang w:eastAsia="zh-CN"/>
        </w:rPr>
        <w:t>重点水利工程</w:t>
      </w:r>
      <w:r>
        <w:rPr>
          <w:rFonts w:hint="eastAsia" w:ascii="仿宋_GB2312" w:hAnsi="仿宋_GB2312" w:eastAsia="仿宋_GB2312" w:cs="仿宋_GB2312"/>
          <w:color w:val="auto"/>
          <w:sz w:val="32"/>
          <w:szCs w:val="32"/>
          <w:highlight w:val="none"/>
        </w:rPr>
        <w:t>等</w:t>
      </w:r>
      <w:r>
        <w:rPr>
          <w:rFonts w:hint="eastAsia" w:ascii="仿宋_GB2312" w:hAnsi="仿宋_GB2312" w:eastAsia="仿宋_GB2312" w:cs="仿宋_GB2312"/>
          <w:color w:val="auto"/>
          <w:sz w:val="32"/>
          <w:szCs w:val="32"/>
          <w:highlight w:val="none"/>
          <w:lang w:eastAsia="zh-CN"/>
        </w:rPr>
        <w:t>领域。</w:t>
      </w:r>
    </w:p>
    <w:p>
      <w:pPr>
        <w:rPr>
          <w:rFonts w:hint="eastAsia"/>
          <w:lang w:val="en-US" w:eastAsia="zh-CN"/>
        </w:rPr>
      </w:pPr>
    </w:p>
    <w:p>
      <w:pPr>
        <w:pStyle w:val="2"/>
        <w:rPr>
          <w:rFonts w:hint="eastAsia"/>
          <w:lang w:val="en-US" w:eastAsia="zh-CN"/>
        </w:rPr>
      </w:pPr>
    </w:p>
    <w:p>
      <w:pPr>
        <w:jc w:val="both"/>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附件3</w:t>
      </w:r>
    </w:p>
    <w:p>
      <w:pPr>
        <w:jc w:val="both"/>
        <w:rPr>
          <w:rFonts w:hint="eastAsia" w:ascii="仿宋_GB2312" w:hAnsi="仿宋_GB2312" w:eastAsia="仿宋_GB2312" w:cs="仿宋_GB2312"/>
          <w:b/>
          <w:bCs/>
          <w:sz w:val="24"/>
          <w:szCs w:val="24"/>
          <w:highlight w:val="none"/>
          <w:lang w:val="en-US" w:eastAsia="zh-CN"/>
        </w:rPr>
      </w:pPr>
    </w:p>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2</w:t>
      </w:r>
      <w:r>
        <w:rPr>
          <w:rFonts w:hint="eastAsia" w:ascii="方正小标宋简体" w:hAnsi="方正小标宋简体" w:eastAsia="方正小标宋简体" w:cs="方正小标宋简体"/>
          <w:sz w:val="44"/>
          <w:szCs w:val="44"/>
        </w:rPr>
        <w:t>年文登区政府债务决算的说明</w:t>
      </w:r>
    </w:p>
    <w:p>
      <w:pPr>
        <w:pStyle w:val="25"/>
        <w:adjustRightInd/>
        <w:spacing w:line="560" w:lineRule="exact"/>
        <w:ind w:firstLine="640" w:firstLineChars="200"/>
        <w:jc w:val="left"/>
        <w:rPr>
          <w:rFonts w:hint="eastAsia" w:ascii="黑体" w:hAnsi="黑体" w:eastAsia="黑体" w:cs="黑体"/>
          <w:szCs w:val="32"/>
        </w:rPr>
      </w:pPr>
      <w:r>
        <w:rPr>
          <w:rFonts w:hint="eastAsia" w:ascii="黑体" w:hAnsi="黑体" w:eastAsia="黑体" w:cs="黑体"/>
          <w:szCs w:val="32"/>
        </w:rPr>
        <w:t>一、202</w:t>
      </w:r>
      <w:r>
        <w:rPr>
          <w:rFonts w:hint="eastAsia" w:ascii="黑体" w:hAnsi="黑体" w:eastAsia="黑体" w:cs="黑体"/>
          <w:szCs w:val="32"/>
          <w:lang w:val="en-US" w:eastAsia="zh-CN"/>
        </w:rPr>
        <w:t>2</w:t>
      </w:r>
      <w:r>
        <w:rPr>
          <w:rFonts w:hint="eastAsia" w:ascii="黑体" w:hAnsi="黑体" w:eastAsia="黑体" w:cs="黑体"/>
          <w:szCs w:val="32"/>
        </w:rPr>
        <w:t xml:space="preserve">年文登区地方政府债务限额情况 </w:t>
      </w:r>
    </w:p>
    <w:p>
      <w:pPr>
        <w:pStyle w:val="25"/>
        <w:adjustRightInd/>
        <w:spacing w:line="560" w:lineRule="exact"/>
        <w:ind w:firstLine="640" w:firstLineChars="200"/>
        <w:jc w:val="left"/>
        <w:rPr>
          <w:rFonts w:hint="eastAsia" w:ascii="仿宋_GB2312" w:hAnsi="仿宋_GB2312" w:cs="仿宋_GB2312"/>
          <w:szCs w:val="32"/>
        </w:rPr>
      </w:pPr>
      <w:r>
        <w:rPr>
          <w:rFonts w:hint="eastAsia" w:ascii="仿宋_GB2312" w:hAnsi="仿宋_GB2312" w:cs="仿宋_GB2312"/>
          <w:szCs w:val="32"/>
        </w:rPr>
        <w:t>经国务院批准，财政厅核定我区202</w:t>
      </w:r>
      <w:r>
        <w:rPr>
          <w:rFonts w:hint="eastAsia" w:ascii="仿宋_GB2312" w:hAnsi="仿宋_GB2312" w:cs="仿宋_GB2312"/>
          <w:szCs w:val="32"/>
          <w:lang w:val="en-US" w:eastAsia="zh-CN"/>
        </w:rPr>
        <w:t>2</w:t>
      </w:r>
      <w:r>
        <w:rPr>
          <w:rFonts w:hint="eastAsia" w:ascii="仿宋_GB2312" w:hAnsi="仿宋_GB2312" w:cs="仿宋_GB2312"/>
          <w:szCs w:val="32"/>
        </w:rPr>
        <w:t>年地方政府债务限额</w:t>
      </w:r>
      <w:r>
        <w:rPr>
          <w:rFonts w:hint="eastAsia" w:ascii="仿宋_GB2312" w:hAnsi="仿宋_GB2312" w:cs="仿宋_GB2312"/>
          <w:szCs w:val="32"/>
          <w:lang w:val="en-US" w:eastAsia="zh-CN"/>
        </w:rPr>
        <w:t>206.39</w:t>
      </w:r>
      <w:r>
        <w:rPr>
          <w:rFonts w:hint="eastAsia" w:ascii="仿宋_GB2312" w:hAnsi="仿宋_GB2312" w:cs="仿宋_GB2312"/>
          <w:szCs w:val="32"/>
        </w:rPr>
        <w:t>亿元。其中新增债务限额</w:t>
      </w:r>
      <w:r>
        <w:rPr>
          <w:rFonts w:hint="eastAsia" w:ascii="仿宋_GB2312" w:hAnsi="仿宋_GB2312" w:cs="仿宋_GB2312"/>
          <w:szCs w:val="32"/>
          <w:lang w:val="en-US" w:eastAsia="zh-CN"/>
        </w:rPr>
        <w:t>19.3</w:t>
      </w:r>
      <w:r>
        <w:rPr>
          <w:rFonts w:hint="eastAsia" w:ascii="仿宋_GB2312" w:hAnsi="仿宋_GB2312" w:cs="仿宋_GB2312"/>
          <w:szCs w:val="32"/>
        </w:rPr>
        <w:t>亿元。</w:t>
      </w:r>
    </w:p>
    <w:p>
      <w:pPr>
        <w:pStyle w:val="25"/>
        <w:adjustRightInd/>
        <w:spacing w:line="560" w:lineRule="exact"/>
        <w:ind w:firstLine="640" w:firstLineChars="200"/>
        <w:jc w:val="left"/>
        <w:rPr>
          <w:rFonts w:hint="eastAsia" w:ascii="仿宋_GB2312" w:hAnsi="仿宋_GB2312" w:cs="仿宋_GB2312"/>
          <w:szCs w:val="32"/>
        </w:rPr>
      </w:pPr>
      <w:r>
        <w:rPr>
          <w:rFonts w:hint="eastAsia" w:ascii="黑体" w:hAnsi="黑体" w:eastAsia="黑体" w:cs="黑体"/>
          <w:szCs w:val="32"/>
        </w:rPr>
        <w:t xml:space="preserve"> 二、202</w:t>
      </w:r>
      <w:r>
        <w:rPr>
          <w:rFonts w:hint="eastAsia" w:ascii="黑体" w:hAnsi="黑体" w:eastAsia="黑体" w:cs="黑体"/>
          <w:szCs w:val="32"/>
          <w:lang w:val="en-US" w:eastAsia="zh-CN"/>
        </w:rPr>
        <w:t>2</w:t>
      </w:r>
      <w:r>
        <w:rPr>
          <w:rFonts w:hint="eastAsia" w:ascii="黑体" w:hAnsi="黑体" w:eastAsia="黑体" w:cs="黑体"/>
          <w:szCs w:val="32"/>
        </w:rPr>
        <w:t>年文登区地方政府债务举借情况</w:t>
      </w:r>
      <w:r>
        <w:rPr>
          <w:rFonts w:hint="eastAsia" w:ascii="仿宋_GB2312" w:hAnsi="仿宋_GB2312" w:cs="仿宋_GB2312"/>
          <w:szCs w:val="32"/>
        </w:rPr>
        <w:t xml:space="preserve"> </w:t>
      </w:r>
    </w:p>
    <w:p>
      <w:pPr>
        <w:pStyle w:val="25"/>
        <w:adjustRightInd/>
        <w:spacing w:line="560" w:lineRule="exact"/>
        <w:ind w:firstLine="640" w:firstLineChars="200"/>
        <w:jc w:val="left"/>
        <w:rPr>
          <w:rFonts w:hint="eastAsia" w:ascii="仿宋_GB2312" w:hAnsi="仿宋_GB2312" w:cs="仿宋_GB2312"/>
          <w:szCs w:val="32"/>
        </w:rPr>
      </w:pPr>
      <w:r>
        <w:rPr>
          <w:rFonts w:hint="eastAsia" w:ascii="仿宋_GB2312" w:hAnsi="仿宋_GB2312" w:cs="仿宋_GB2312"/>
          <w:szCs w:val="32"/>
        </w:rPr>
        <w:t>202</w:t>
      </w:r>
      <w:r>
        <w:rPr>
          <w:rFonts w:hint="eastAsia" w:ascii="仿宋_GB2312" w:hAnsi="仿宋_GB2312" w:cs="仿宋_GB2312"/>
          <w:szCs w:val="32"/>
          <w:lang w:val="en-US" w:eastAsia="zh-CN"/>
        </w:rPr>
        <w:t>2</w:t>
      </w:r>
      <w:r>
        <w:rPr>
          <w:rFonts w:hint="eastAsia" w:ascii="仿宋_GB2312" w:hAnsi="仿宋_GB2312" w:cs="仿宋_GB2312"/>
          <w:szCs w:val="32"/>
        </w:rPr>
        <w:t>年文登区共发行政府债券</w:t>
      </w:r>
      <w:r>
        <w:rPr>
          <w:rFonts w:hint="eastAsia" w:ascii="仿宋_GB2312" w:hAnsi="仿宋_GB2312" w:cs="仿宋_GB2312"/>
          <w:szCs w:val="32"/>
          <w:lang w:val="en-US" w:eastAsia="zh-CN"/>
        </w:rPr>
        <w:t>38.46</w:t>
      </w:r>
      <w:r>
        <w:rPr>
          <w:rFonts w:hint="eastAsia" w:ascii="仿宋_GB2312" w:hAnsi="仿宋_GB2312" w:cs="仿宋_GB2312"/>
          <w:szCs w:val="32"/>
        </w:rPr>
        <w:t>亿元，其中：新增债券</w:t>
      </w:r>
      <w:r>
        <w:rPr>
          <w:rFonts w:hint="eastAsia" w:ascii="仿宋_GB2312" w:hAnsi="仿宋_GB2312" w:cs="仿宋_GB2312"/>
          <w:szCs w:val="32"/>
          <w:lang w:val="en-US" w:eastAsia="zh-CN"/>
        </w:rPr>
        <w:t>19.3</w:t>
      </w:r>
      <w:r>
        <w:rPr>
          <w:rFonts w:hint="eastAsia" w:ascii="仿宋_GB2312" w:hAnsi="仿宋_GB2312" w:cs="仿宋_GB2312"/>
          <w:szCs w:val="32"/>
        </w:rPr>
        <w:t>亿元，再融资债券</w:t>
      </w:r>
      <w:r>
        <w:rPr>
          <w:rFonts w:hint="eastAsia" w:ascii="仿宋_GB2312" w:hAnsi="仿宋_GB2312" w:cs="仿宋_GB2312"/>
          <w:szCs w:val="32"/>
          <w:lang w:val="en-US" w:eastAsia="zh-CN"/>
        </w:rPr>
        <w:t>19.16</w:t>
      </w:r>
      <w:r>
        <w:rPr>
          <w:rFonts w:hint="eastAsia" w:ascii="仿宋_GB2312" w:hAnsi="仿宋_GB2312" w:cs="仿宋_GB2312"/>
          <w:szCs w:val="32"/>
        </w:rPr>
        <w:t>亿元（用于偿还到期政府债券，不增加政府债务余额）。截至202</w:t>
      </w:r>
      <w:r>
        <w:rPr>
          <w:rFonts w:hint="eastAsia" w:ascii="仿宋_GB2312" w:hAnsi="仿宋_GB2312" w:cs="仿宋_GB2312"/>
          <w:szCs w:val="32"/>
          <w:lang w:val="en-US" w:eastAsia="zh-CN"/>
        </w:rPr>
        <w:t>2</w:t>
      </w:r>
      <w:r>
        <w:rPr>
          <w:rFonts w:hint="eastAsia" w:ascii="仿宋_GB2312" w:hAnsi="仿宋_GB2312" w:cs="仿宋_GB2312"/>
          <w:szCs w:val="32"/>
        </w:rPr>
        <w:t>年底，全区政府债务余额</w:t>
      </w:r>
      <w:r>
        <w:rPr>
          <w:rFonts w:hint="eastAsia" w:ascii="仿宋_GB2312" w:hAnsi="仿宋_GB2312" w:cs="仿宋_GB2312"/>
          <w:szCs w:val="32"/>
          <w:lang w:val="en-US" w:eastAsia="zh-CN"/>
        </w:rPr>
        <w:t>202.98</w:t>
      </w:r>
      <w:r>
        <w:rPr>
          <w:rFonts w:hint="eastAsia" w:ascii="仿宋_GB2312" w:hAnsi="仿宋_GB2312" w:cs="仿宋_GB2312"/>
          <w:szCs w:val="32"/>
        </w:rPr>
        <w:t>亿元，严格控制在财政部核定限额之内。</w:t>
      </w:r>
    </w:p>
    <w:p>
      <w:pPr>
        <w:pStyle w:val="25"/>
        <w:adjustRightInd/>
        <w:spacing w:line="560" w:lineRule="exact"/>
        <w:ind w:firstLine="640" w:firstLineChars="200"/>
        <w:jc w:val="left"/>
        <w:rPr>
          <w:rFonts w:hint="eastAsia" w:ascii="仿宋_GB2312" w:hAnsi="仿宋_GB2312" w:cs="仿宋_GB2312"/>
          <w:szCs w:val="32"/>
        </w:rPr>
      </w:pPr>
      <w:r>
        <w:rPr>
          <w:rFonts w:hint="eastAsia" w:ascii="仿宋_GB2312" w:hAnsi="仿宋_GB2312" w:cs="仿宋_GB2312"/>
          <w:szCs w:val="32"/>
        </w:rPr>
        <w:t>按照《国务院关于加强地方政府性债务管理的意见》（国发〔2014〕43号）、《财政部关于对地方政府债务实行限额管理的实施意见》（财预〔2015〕225号）和《财政部关于印发&lt;地方政府债务信息公开办法（试行）&gt;的通知》（财预〔2018〕209号）等规定，2018年历次发行政府债券举借政府债务的相关信息，均已按规定向社会公开。</w:t>
      </w:r>
    </w:p>
    <w:p>
      <w:pPr>
        <w:spacing w:line="560" w:lineRule="exact"/>
        <w:ind w:firstLine="640" w:firstLineChars="200"/>
        <w:jc w:val="left"/>
        <w:rPr>
          <w:rFonts w:hint="eastAsia" w:ascii="Times New Roman" w:hAnsi="Times New Roman" w:eastAsia="黑体" w:cs="Times New Roman"/>
        </w:rPr>
      </w:pPr>
      <w:r>
        <w:rPr>
          <w:rFonts w:hint="eastAsia" w:ascii="Times New Roman" w:hAnsi="Times New Roman" w:eastAsia="黑体" w:cs="Times New Roman"/>
        </w:rPr>
        <w:t>三、债券资金使用安排情况的说明</w:t>
      </w:r>
    </w:p>
    <w:p>
      <w:pPr>
        <w:spacing w:line="560" w:lineRule="exact"/>
        <w:ind w:firstLine="640" w:firstLineChars="200"/>
        <w:rPr>
          <w:rFonts w:ascii="仿宋_GB2312" w:hAnsi="仿宋_GB2312" w:eastAsia="仿宋_GB2312"/>
        </w:rPr>
      </w:pPr>
      <w:r>
        <w:rPr>
          <w:rFonts w:hint="eastAsia" w:ascii="仿宋_GB2312" w:hAnsi="仿宋_GB2312" w:eastAsia="仿宋_GB2312"/>
        </w:rPr>
        <w:t>将政府债务收支全面纳入预算管理，强化资金监管，提高债券资金效益。在新增债券资金使用方面，全部用于重点民生项目和在建公益性项目后续融资，其中农林水利建设支出5.89亿元、市政建设</w:t>
      </w:r>
      <w:r>
        <w:rPr>
          <w:rFonts w:hint="eastAsia" w:ascii="仿宋_GB2312" w:hAnsi="仿宋_GB2312" w:eastAsia="仿宋_GB2312"/>
          <w:lang w:val="en-US" w:eastAsia="zh-CN"/>
        </w:rPr>
        <w:t>6.6</w:t>
      </w:r>
      <w:r>
        <w:rPr>
          <w:rFonts w:hint="eastAsia" w:ascii="仿宋_GB2312" w:hAnsi="仿宋_GB2312" w:eastAsia="仿宋_GB2312"/>
        </w:rPr>
        <w:t>亿元、保障性住房</w:t>
      </w:r>
      <w:r>
        <w:rPr>
          <w:rFonts w:hint="eastAsia" w:ascii="仿宋_GB2312" w:hAnsi="仿宋_GB2312" w:eastAsia="仿宋_GB2312"/>
          <w:lang w:val="en-US" w:eastAsia="zh-CN"/>
        </w:rPr>
        <w:t>5.71</w:t>
      </w:r>
      <w:r>
        <w:rPr>
          <w:rFonts w:hint="eastAsia" w:ascii="仿宋_GB2312" w:hAnsi="仿宋_GB2312" w:eastAsia="仿宋_GB2312"/>
        </w:rPr>
        <w:t>亿元、教科文卫</w:t>
      </w:r>
      <w:r>
        <w:rPr>
          <w:rFonts w:hint="eastAsia" w:ascii="仿宋_GB2312" w:hAnsi="仿宋_GB2312" w:eastAsia="仿宋_GB2312"/>
          <w:lang w:val="en-US" w:eastAsia="zh-CN"/>
        </w:rPr>
        <w:t>1.1</w:t>
      </w:r>
      <w:r>
        <w:rPr>
          <w:rFonts w:hint="eastAsia" w:ascii="仿宋_GB2312" w:hAnsi="仿宋_GB2312" w:eastAsia="仿宋_GB2312"/>
        </w:rPr>
        <w:t>亿元。</w:t>
      </w:r>
    </w:p>
    <w:p/>
    <w:p>
      <w:pPr>
        <w:jc w:val="both"/>
        <w:rPr>
          <w:rFonts w:hint="eastAsia" w:ascii="仿宋_GB2312" w:hAnsi="仿宋_GB2312" w:eastAsia="仿宋_GB2312" w:cs="仿宋_GB2312"/>
          <w:b/>
          <w:bCs/>
          <w:sz w:val="24"/>
          <w:szCs w:val="24"/>
          <w:highlight w:val="none"/>
          <w:lang w:val="en-US" w:eastAsia="zh-CN"/>
        </w:rPr>
      </w:pPr>
    </w:p>
    <w:p>
      <w:pPr>
        <w:jc w:val="both"/>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附件4</w:t>
      </w:r>
    </w:p>
    <w:p>
      <w:pPr>
        <w:jc w:val="both"/>
        <w:rPr>
          <w:rFonts w:hint="eastAsia" w:ascii="仿宋_GB2312" w:hAnsi="仿宋_GB2312" w:eastAsia="仿宋_GB2312" w:cs="仿宋_GB2312"/>
          <w:b/>
          <w:bCs/>
          <w:sz w:val="24"/>
          <w:szCs w:val="24"/>
          <w:highlight w:val="none"/>
          <w:lang w:val="en-US" w:eastAsia="zh-CN"/>
        </w:rPr>
      </w:pPr>
    </w:p>
    <w:p>
      <w:pPr>
        <w:jc w:val="both"/>
        <w:rPr>
          <w:rFonts w:hint="eastAsia" w:ascii="仿宋_GB2312" w:hAnsi="仿宋_GB2312" w:eastAsia="仿宋_GB2312" w:cs="仿宋_GB2312"/>
          <w:sz w:val="32"/>
          <w:szCs w:val="32"/>
          <w:highlight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2022年三公经费分项数据及增减变化说明</w:t>
      </w:r>
    </w:p>
    <w:p>
      <w:pPr>
        <w:ind w:firstLine="640" w:firstLineChars="200"/>
        <w:jc w:val="both"/>
        <w:rPr>
          <w:rFonts w:hint="eastAsia" w:ascii="仿宋_GB2312" w:hAnsi="仿宋_GB2312" w:eastAsia="仿宋_GB2312"/>
        </w:rPr>
      </w:pPr>
      <w:r>
        <w:rPr>
          <w:rFonts w:hint="eastAsia" w:ascii="仿宋_GB2312" w:hAnsi="仿宋_GB2312" w:eastAsia="仿宋_GB2312"/>
        </w:rPr>
        <w:t>根据《预算法》以及现行相关规定，经</w:t>
      </w:r>
      <w:r>
        <w:rPr>
          <w:rFonts w:hint="eastAsia" w:ascii="仿宋_GB2312" w:hAnsi="仿宋_GB2312" w:eastAsia="仿宋_GB2312"/>
          <w:lang w:eastAsia="zh-CN"/>
        </w:rPr>
        <w:t>区财政局</w:t>
      </w:r>
      <w:r>
        <w:rPr>
          <w:rFonts w:hint="eastAsia" w:ascii="仿宋_GB2312" w:hAnsi="仿宋_GB2312" w:eastAsia="仿宋_GB2312"/>
        </w:rPr>
        <w:t>汇总，20</w:t>
      </w:r>
      <w:r>
        <w:rPr>
          <w:rFonts w:hint="eastAsia" w:ascii="仿宋_GB2312" w:hAnsi="仿宋_GB2312" w:eastAsia="仿宋_GB2312"/>
          <w:lang w:val="en-US" w:eastAsia="zh-CN"/>
        </w:rPr>
        <w:t>22</w:t>
      </w:r>
      <w:r>
        <w:rPr>
          <w:rFonts w:hint="eastAsia" w:ascii="仿宋_GB2312" w:hAnsi="仿宋_GB2312" w:eastAsia="仿宋_GB2312"/>
        </w:rPr>
        <w:t>年</w:t>
      </w:r>
      <w:r>
        <w:rPr>
          <w:rFonts w:hint="eastAsia" w:ascii="仿宋_GB2312" w:hAnsi="仿宋_GB2312" w:eastAsia="仿宋_GB2312"/>
          <w:lang w:eastAsia="zh-CN"/>
        </w:rPr>
        <w:t>区</w:t>
      </w:r>
      <w:r>
        <w:rPr>
          <w:rFonts w:hint="eastAsia" w:ascii="仿宋_GB2312" w:hAnsi="仿宋_GB2312" w:eastAsia="仿宋_GB2312"/>
        </w:rPr>
        <w:t>级决算部门，包括</w:t>
      </w:r>
      <w:r>
        <w:rPr>
          <w:rFonts w:hint="eastAsia" w:ascii="仿宋_GB2312" w:hAnsi="仿宋_GB2312" w:eastAsia="仿宋_GB2312"/>
          <w:lang w:eastAsia="zh-CN"/>
        </w:rPr>
        <w:t>区</w:t>
      </w:r>
      <w:r>
        <w:rPr>
          <w:rFonts w:hint="eastAsia" w:ascii="仿宋_GB2312" w:hAnsi="仿宋_GB2312" w:eastAsia="仿宋_GB2312"/>
        </w:rPr>
        <w:t>级行政单位、事业单位（含参照公务员法管理的事业单位）和其他单位使用当年一般公共预算财政拨款及以前年度结转资金安排的“三公”经费决算数为</w:t>
      </w:r>
      <w:r>
        <w:rPr>
          <w:rFonts w:hint="eastAsia" w:ascii="仿宋_GB2312" w:hAnsi="仿宋_GB2312" w:eastAsia="仿宋_GB2312"/>
          <w:lang w:val="en-US" w:eastAsia="zh-CN"/>
        </w:rPr>
        <w:t>804.39万</w:t>
      </w:r>
      <w:r>
        <w:rPr>
          <w:rFonts w:hint="eastAsia" w:ascii="仿宋_GB2312" w:hAnsi="仿宋_GB2312" w:eastAsia="仿宋_GB2312"/>
        </w:rPr>
        <w:t>元，比年初预算数减少</w:t>
      </w:r>
      <w:r>
        <w:rPr>
          <w:rFonts w:hint="eastAsia" w:ascii="仿宋_GB2312" w:hAnsi="仿宋_GB2312" w:eastAsia="仿宋_GB2312"/>
          <w:lang w:val="en-US" w:eastAsia="zh-CN"/>
        </w:rPr>
        <w:t>342.19万</w:t>
      </w:r>
      <w:r>
        <w:rPr>
          <w:rFonts w:hint="eastAsia" w:ascii="仿宋_GB2312" w:hAnsi="仿宋_GB2312" w:eastAsia="仿宋_GB2312"/>
        </w:rPr>
        <w:t>元，主要是</w:t>
      </w:r>
      <w:r>
        <w:rPr>
          <w:rFonts w:hint="eastAsia" w:ascii="仿宋_GB2312" w:hAnsi="仿宋_GB2312" w:eastAsia="仿宋_GB2312"/>
          <w:lang w:eastAsia="zh-CN"/>
        </w:rPr>
        <w:t>区</w:t>
      </w:r>
      <w:r>
        <w:rPr>
          <w:rFonts w:hint="eastAsia" w:ascii="仿宋_GB2312" w:hAnsi="仿宋_GB2312" w:eastAsia="仿宋_GB2312"/>
        </w:rPr>
        <w:t>级各部门贯彻落实中央八项规定精神，按照过紧日子和厉行勤俭节约的要求，从严控制“三公”经费支出。其中，因公出国（境）费</w:t>
      </w:r>
      <w:r>
        <w:rPr>
          <w:rFonts w:hint="eastAsia" w:ascii="仿宋_GB2312" w:hAnsi="仿宋_GB2312" w:eastAsia="仿宋_GB2312"/>
          <w:lang w:val="en-US" w:eastAsia="zh-CN"/>
        </w:rPr>
        <w:t>10.2万</w:t>
      </w:r>
      <w:r>
        <w:rPr>
          <w:rFonts w:hint="eastAsia" w:ascii="仿宋_GB2312" w:hAnsi="仿宋_GB2312" w:eastAsia="仿宋_GB2312"/>
        </w:rPr>
        <w:t>元，比年初预算数减少</w:t>
      </w:r>
      <w:r>
        <w:rPr>
          <w:rFonts w:hint="eastAsia" w:ascii="仿宋_GB2312" w:hAnsi="仿宋_GB2312" w:eastAsia="仿宋_GB2312"/>
          <w:lang w:val="en-US" w:eastAsia="zh-CN"/>
        </w:rPr>
        <w:t>112.99万</w:t>
      </w:r>
      <w:r>
        <w:rPr>
          <w:rFonts w:hint="eastAsia" w:ascii="仿宋_GB2312" w:hAnsi="仿宋_GB2312" w:eastAsia="仿宋_GB2312"/>
        </w:rPr>
        <w:t>元，主要是</w:t>
      </w:r>
      <w:r>
        <w:rPr>
          <w:rFonts w:hint="eastAsia" w:ascii="仿宋_GB2312" w:hAnsi="仿宋_GB2312" w:eastAsia="仿宋_GB2312"/>
          <w:lang w:eastAsia="zh-CN"/>
        </w:rPr>
        <w:t>区</w:t>
      </w:r>
      <w:r>
        <w:rPr>
          <w:rFonts w:hint="eastAsia" w:ascii="仿宋_GB2312" w:hAnsi="仿宋_GB2312" w:eastAsia="仿宋_GB2312"/>
        </w:rPr>
        <w:t>直有关部门因公出国（境）团组和人数减少；公务用车购置及运行维护费</w:t>
      </w:r>
      <w:r>
        <w:rPr>
          <w:rFonts w:hint="eastAsia" w:ascii="仿宋_GB2312" w:hAnsi="仿宋_GB2312" w:eastAsia="仿宋_GB2312"/>
          <w:lang w:val="en-US" w:eastAsia="zh-CN"/>
        </w:rPr>
        <w:t>650.46万</w:t>
      </w:r>
      <w:r>
        <w:rPr>
          <w:rFonts w:hint="eastAsia" w:ascii="仿宋_GB2312" w:hAnsi="仿宋_GB2312" w:eastAsia="仿宋_GB2312"/>
        </w:rPr>
        <w:t>元（其中公务用车运行维护费</w:t>
      </w:r>
      <w:r>
        <w:rPr>
          <w:rFonts w:hint="eastAsia" w:ascii="仿宋_GB2312" w:hAnsi="仿宋_GB2312" w:eastAsia="仿宋_GB2312"/>
          <w:lang w:val="en-US" w:eastAsia="zh-CN"/>
        </w:rPr>
        <w:t>650.46万</w:t>
      </w:r>
      <w:r>
        <w:rPr>
          <w:rFonts w:hint="eastAsia" w:ascii="仿宋_GB2312" w:hAnsi="仿宋_GB2312" w:eastAsia="仿宋_GB2312"/>
        </w:rPr>
        <w:t>元），比年初预算数减少</w:t>
      </w:r>
      <w:r>
        <w:rPr>
          <w:rFonts w:hint="eastAsia" w:ascii="仿宋_GB2312" w:hAnsi="仿宋_GB2312" w:eastAsia="仿宋_GB2312"/>
          <w:lang w:val="en-US" w:eastAsia="zh-CN"/>
        </w:rPr>
        <w:t>51.86万</w:t>
      </w:r>
      <w:r>
        <w:rPr>
          <w:rFonts w:hint="eastAsia" w:ascii="仿宋_GB2312" w:hAnsi="仿宋_GB2312" w:eastAsia="仿宋_GB2312"/>
        </w:rPr>
        <w:t>元，主要是各部门加强和规范公务用车配备使用管理，公务用车开支下降；公务接待费</w:t>
      </w:r>
      <w:r>
        <w:rPr>
          <w:rFonts w:hint="eastAsia" w:ascii="仿宋_GB2312" w:hAnsi="仿宋_GB2312" w:eastAsia="仿宋_GB2312"/>
          <w:lang w:val="en-US" w:eastAsia="zh-CN"/>
        </w:rPr>
        <w:t>143.73万</w:t>
      </w:r>
      <w:r>
        <w:rPr>
          <w:rFonts w:hint="eastAsia" w:ascii="仿宋_GB2312" w:hAnsi="仿宋_GB2312" w:eastAsia="仿宋_GB2312"/>
        </w:rPr>
        <w:t>元，比年初预算数减少</w:t>
      </w:r>
      <w:r>
        <w:rPr>
          <w:rFonts w:hint="eastAsia" w:ascii="仿宋_GB2312" w:hAnsi="仿宋_GB2312" w:eastAsia="仿宋_GB2312"/>
          <w:lang w:val="en-US" w:eastAsia="zh-CN"/>
        </w:rPr>
        <w:t>177.34万</w:t>
      </w:r>
      <w:r>
        <w:rPr>
          <w:rFonts w:hint="eastAsia" w:ascii="仿宋_GB2312" w:hAnsi="仿宋_GB2312" w:eastAsia="仿宋_GB2312"/>
        </w:rPr>
        <w:t xml:space="preserve">元，主要是各部门认真贯彻落实厉行节约有关规定，严控公务接待范围和开支标准，进一步压减相关支出。 </w:t>
      </w:r>
    </w:p>
    <w:p>
      <w:pPr>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rPr>
        <w:t>——注释与说明： 1、因公出国（境）费反映单位公务</w:t>
      </w:r>
      <w:r>
        <w:rPr>
          <w:rFonts w:hint="eastAsia" w:ascii="仿宋_GB2312" w:hAnsi="仿宋_GB2312" w:eastAsia="仿宋_GB2312" w:cs="仿宋_GB2312"/>
          <w:sz w:val="32"/>
          <w:szCs w:val="32"/>
        </w:rPr>
        <w:t>出国（境）的国际旅费、国外城市间交通费、住宿费、伙食费、培训费、公杂费等支出。 2、</w:t>
      </w:r>
      <w:r>
        <w:rPr>
          <w:rFonts w:hint="eastAsia" w:ascii="仿宋_GB2312" w:hAnsi="仿宋_GB2312" w:eastAsia="仿宋_GB2312" w:cs="仿宋_GB2312"/>
          <w:sz w:val="32"/>
          <w:szCs w:val="32"/>
          <w:lang w:eastAsia="zh-CN"/>
        </w:rPr>
        <w:t>由于</w:t>
      </w:r>
      <w:r>
        <w:rPr>
          <w:rFonts w:hint="eastAsia" w:ascii="仿宋_GB2312" w:hAnsi="仿宋_GB2312" w:eastAsia="仿宋_GB2312" w:cs="仿宋_GB2312"/>
          <w:sz w:val="32"/>
          <w:szCs w:val="32"/>
        </w:rPr>
        <w:t>当前上级不允许</w:t>
      </w:r>
      <w:r>
        <w:rPr>
          <w:rFonts w:hint="eastAsia" w:ascii="仿宋_GB2312" w:hAnsi="仿宋_GB2312" w:eastAsia="仿宋_GB2312" w:cs="仿宋_GB2312"/>
          <w:sz w:val="32"/>
          <w:szCs w:val="32"/>
          <w:lang w:eastAsia="zh-CN"/>
        </w:rPr>
        <w:t>购置</w:t>
      </w:r>
      <w:r>
        <w:rPr>
          <w:rFonts w:hint="eastAsia" w:ascii="仿宋_GB2312" w:hAnsi="仿宋_GB2312" w:eastAsia="仿宋_GB2312" w:cs="仿宋_GB2312"/>
          <w:sz w:val="32"/>
          <w:szCs w:val="32"/>
        </w:rPr>
        <w:t>新车，所以</w:t>
      </w:r>
      <w:r>
        <w:rPr>
          <w:rFonts w:hint="eastAsia" w:ascii="仿宋_GB2312" w:hAnsi="仿宋_GB2312" w:eastAsia="仿宋_GB2312"/>
        </w:rPr>
        <w:t>公务用车购置及运行维护费</w:t>
      </w:r>
      <w:r>
        <w:rPr>
          <w:rFonts w:hint="eastAsia" w:ascii="仿宋_GB2312" w:hAnsi="仿宋_GB2312" w:eastAsia="仿宋_GB2312"/>
          <w:lang w:eastAsia="zh-CN"/>
        </w:rPr>
        <w:t>全部是</w:t>
      </w:r>
      <w:r>
        <w:rPr>
          <w:rFonts w:hint="eastAsia" w:ascii="仿宋_GB2312" w:hAnsi="仿宋_GB2312" w:eastAsia="仿宋_GB2312" w:cs="仿宋_GB2312"/>
          <w:sz w:val="32"/>
          <w:szCs w:val="32"/>
        </w:rPr>
        <w:t>公务用车运行维护费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shd w:val="clear"/>
        </w:rPr>
        <w:t>据统计，20</w:t>
      </w:r>
      <w:r>
        <w:rPr>
          <w:rFonts w:hint="eastAsia" w:ascii="仿宋_GB2312" w:hAnsi="仿宋_GB2312" w:eastAsia="仿宋_GB2312" w:cs="仿宋_GB2312"/>
          <w:sz w:val="32"/>
          <w:szCs w:val="32"/>
          <w:shd w:val="clear"/>
          <w:lang w:val="en-US" w:eastAsia="zh-CN"/>
        </w:rPr>
        <w:t>22</w:t>
      </w:r>
      <w:r>
        <w:rPr>
          <w:rFonts w:hint="eastAsia" w:ascii="仿宋_GB2312" w:hAnsi="仿宋_GB2312" w:eastAsia="仿宋_GB2312" w:cs="仿宋_GB2312"/>
          <w:sz w:val="32"/>
          <w:szCs w:val="32"/>
          <w:shd w:val="clear"/>
        </w:rPr>
        <w:t>年</w:t>
      </w:r>
      <w:r>
        <w:rPr>
          <w:rFonts w:hint="eastAsia" w:ascii="仿宋_GB2312" w:hAnsi="仿宋_GB2312" w:eastAsia="仿宋_GB2312" w:cs="仿宋_GB2312"/>
          <w:sz w:val="32"/>
          <w:szCs w:val="32"/>
          <w:shd w:val="clear"/>
          <w:lang w:eastAsia="zh-CN"/>
        </w:rPr>
        <w:t>区</w:t>
      </w:r>
      <w:r>
        <w:rPr>
          <w:rFonts w:hint="eastAsia" w:ascii="仿宋_GB2312" w:hAnsi="仿宋_GB2312" w:eastAsia="仿宋_GB2312" w:cs="仿宋_GB2312"/>
          <w:sz w:val="32"/>
          <w:szCs w:val="32"/>
          <w:shd w:val="clear"/>
        </w:rPr>
        <w:t>本级使用一般公共预算财政拨款开支运行维护费的公务用车保有量为</w:t>
      </w:r>
      <w:r>
        <w:rPr>
          <w:rFonts w:hint="eastAsia" w:ascii="仿宋_GB2312" w:hAnsi="仿宋_GB2312" w:eastAsia="仿宋_GB2312" w:cs="仿宋_GB2312"/>
          <w:sz w:val="32"/>
          <w:szCs w:val="32"/>
          <w:shd w:val="clear"/>
          <w:lang w:val="en-US" w:eastAsia="zh-CN"/>
        </w:rPr>
        <w:t>441</w:t>
      </w:r>
      <w:r>
        <w:rPr>
          <w:rFonts w:hint="eastAsia" w:ascii="仿宋_GB2312" w:hAnsi="仿宋_GB2312" w:eastAsia="仿宋_GB2312" w:cs="仿宋_GB2312"/>
          <w:sz w:val="32"/>
          <w:szCs w:val="32"/>
          <w:shd w:val="clear"/>
        </w:rPr>
        <w:t>辆。</w:t>
      </w:r>
      <w:r>
        <w:rPr>
          <w:rFonts w:hint="eastAsia" w:ascii="仿宋_GB2312" w:hAnsi="仿宋_GB2312" w:eastAsia="仿宋_GB2312" w:cs="仿宋_GB2312"/>
          <w:sz w:val="32"/>
          <w:szCs w:val="32"/>
        </w:rPr>
        <w:t xml:space="preserve"> 3、公务接待费反映单位按规定开支的各类公务接待（含外宾接待）支出。据统</w:t>
      </w:r>
      <w:r>
        <w:rPr>
          <w:rFonts w:hint="eastAsia" w:ascii="仿宋_GB2312" w:hAnsi="仿宋_GB2312" w:eastAsia="仿宋_GB2312" w:cs="仿宋_GB2312"/>
          <w:sz w:val="32"/>
          <w:szCs w:val="32"/>
          <w:shd w:val="clear"/>
        </w:rPr>
        <w:t>计，20</w:t>
      </w:r>
      <w:r>
        <w:rPr>
          <w:rFonts w:hint="eastAsia" w:ascii="仿宋_GB2312" w:hAnsi="仿宋_GB2312" w:eastAsia="仿宋_GB2312" w:cs="仿宋_GB2312"/>
          <w:sz w:val="32"/>
          <w:szCs w:val="32"/>
          <w:shd w:val="clear"/>
          <w:lang w:val="en-US" w:eastAsia="zh-CN"/>
        </w:rPr>
        <w:t>22</w:t>
      </w:r>
      <w:r>
        <w:rPr>
          <w:rFonts w:hint="eastAsia" w:ascii="仿宋_GB2312" w:hAnsi="仿宋_GB2312" w:eastAsia="仿宋_GB2312" w:cs="仿宋_GB2312"/>
          <w:sz w:val="32"/>
          <w:szCs w:val="32"/>
          <w:shd w:val="clear"/>
        </w:rPr>
        <w:t>年</w:t>
      </w:r>
      <w:r>
        <w:rPr>
          <w:rFonts w:hint="eastAsia" w:ascii="仿宋_GB2312" w:hAnsi="仿宋_GB2312" w:eastAsia="仿宋_GB2312" w:cs="仿宋_GB2312"/>
          <w:sz w:val="32"/>
          <w:szCs w:val="32"/>
          <w:shd w:val="clear"/>
          <w:lang w:eastAsia="zh-CN"/>
        </w:rPr>
        <w:t>区</w:t>
      </w:r>
      <w:r>
        <w:rPr>
          <w:rFonts w:hint="eastAsia" w:ascii="仿宋_GB2312" w:hAnsi="仿宋_GB2312" w:eastAsia="仿宋_GB2312" w:cs="仿宋_GB2312"/>
          <w:sz w:val="32"/>
          <w:szCs w:val="32"/>
          <w:shd w:val="clear"/>
        </w:rPr>
        <w:t>本级公务接待批次与累计人次分别为</w:t>
      </w:r>
      <w:r>
        <w:rPr>
          <w:rFonts w:hint="eastAsia" w:ascii="仿宋_GB2312" w:hAnsi="仿宋_GB2312" w:eastAsia="仿宋_GB2312" w:cs="仿宋_GB2312"/>
          <w:sz w:val="32"/>
          <w:szCs w:val="32"/>
          <w:shd w:val="clear"/>
          <w:lang w:val="en-US" w:eastAsia="zh-CN"/>
        </w:rPr>
        <w:t>867</w:t>
      </w:r>
      <w:r>
        <w:rPr>
          <w:rFonts w:hint="eastAsia" w:ascii="仿宋_GB2312" w:hAnsi="仿宋_GB2312" w:eastAsia="仿宋_GB2312" w:cs="仿宋_GB2312"/>
          <w:sz w:val="32"/>
          <w:szCs w:val="32"/>
          <w:shd w:val="clear"/>
        </w:rPr>
        <w:t>批次、</w:t>
      </w:r>
      <w:r>
        <w:rPr>
          <w:rFonts w:hint="eastAsia" w:ascii="仿宋_GB2312" w:hAnsi="仿宋_GB2312" w:eastAsia="仿宋_GB2312" w:cs="仿宋_GB2312"/>
          <w:sz w:val="32"/>
          <w:szCs w:val="32"/>
          <w:shd w:val="clear"/>
          <w:lang w:val="en-US" w:eastAsia="zh-CN"/>
        </w:rPr>
        <w:t>7411</w:t>
      </w:r>
      <w:r>
        <w:rPr>
          <w:rFonts w:hint="eastAsia" w:ascii="仿宋_GB2312" w:hAnsi="仿宋_GB2312" w:eastAsia="仿宋_GB2312" w:cs="仿宋_GB2312"/>
          <w:sz w:val="32"/>
          <w:szCs w:val="32"/>
          <w:shd w:val="clear"/>
        </w:rPr>
        <w:t>人次。</w:t>
      </w:r>
    </w:p>
    <w:p>
      <w:pPr>
        <w:jc w:val="both"/>
        <w:rPr>
          <w:rFonts w:hint="eastAsia"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br w:type="textWrapping"/>
      </w:r>
    </w:p>
    <w:p>
      <w:pPr>
        <w:jc w:val="both"/>
        <w:rPr>
          <w:rFonts w:hint="eastAsia" w:ascii="仿宋_GB2312" w:hAnsi="仿宋_GB2312" w:eastAsia="仿宋_GB2312" w:cs="仿宋_GB2312"/>
          <w:sz w:val="24"/>
          <w:szCs w:val="24"/>
          <w:highlight w:val="none"/>
          <w:lang w:val="en-US" w:eastAsia="zh-CN"/>
        </w:rPr>
      </w:pPr>
    </w:p>
    <w:p>
      <w:pPr>
        <w:pStyle w:val="2"/>
        <w:rPr>
          <w:rFonts w:hint="eastAsia"/>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p>
    <w:p>
      <w:pPr>
        <w:jc w:val="both"/>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附件5</w:t>
      </w:r>
    </w:p>
    <w:p>
      <w:pPr>
        <w:spacing w:line="700" w:lineRule="exact"/>
        <w:jc w:val="center"/>
        <w:rPr>
          <w:rFonts w:ascii="方正小标宋简体" w:eastAsia="方正小标宋简体"/>
          <w:sz w:val="44"/>
          <w:szCs w:val="44"/>
          <w:highlight w:val="none"/>
        </w:rPr>
      </w:pPr>
      <w:r>
        <w:rPr>
          <w:rFonts w:hint="eastAsia" w:ascii="方正小标宋简体" w:eastAsia="方正小标宋简体"/>
          <w:sz w:val="44"/>
          <w:szCs w:val="44"/>
          <w:highlight w:val="none"/>
        </w:rPr>
        <w:t>20</w:t>
      </w:r>
      <w:r>
        <w:rPr>
          <w:rFonts w:hint="eastAsia" w:ascii="方正小标宋简体" w:eastAsia="方正小标宋简体"/>
          <w:sz w:val="44"/>
          <w:szCs w:val="44"/>
          <w:highlight w:val="none"/>
          <w:lang w:val="en-US" w:eastAsia="zh-CN"/>
        </w:rPr>
        <w:t>22</w:t>
      </w:r>
      <w:r>
        <w:rPr>
          <w:rFonts w:hint="eastAsia" w:ascii="方正小标宋简体" w:eastAsia="方正小标宋简体"/>
          <w:sz w:val="44"/>
          <w:szCs w:val="44"/>
          <w:highlight w:val="none"/>
        </w:rPr>
        <w:t>年预算绩效工作开展情况说明</w:t>
      </w:r>
    </w:p>
    <w:p>
      <w:pPr>
        <w:spacing w:line="560" w:lineRule="exact"/>
        <w:rPr>
          <w:rFonts w:hint="eastAsia" w:ascii="Times New Roman" w:hAnsi="Times New Roman" w:eastAsia="仿宋_GB2312"/>
          <w:sz w:val="32"/>
          <w:szCs w:val="32"/>
        </w:rPr>
      </w:pPr>
    </w:p>
    <w:p>
      <w:pPr>
        <w:pStyle w:val="49"/>
        <w:spacing w:after="0" w:line="560" w:lineRule="exact"/>
        <w:ind w:firstLine="640" w:firstLineChars="200"/>
        <w:rPr>
          <w:rFonts w:hint="eastAsia" w:ascii="楷体_GB2312" w:eastAsia="楷体_GB2312" w:cs="Times New Roman"/>
          <w:b/>
          <w:sz w:val="32"/>
          <w:szCs w:val="32"/>
        </w:rPr>
      </w:pPr>
      <w:r>
        <w:rPr>
          <w:rFonts w:hint="eastAsia" w:ascii="黑体" w:hAnsi="黑体" w:eastAsia="黑体" w:cs="黑体"/>
          <w:color w:val="auto"/>
          <w:spacing w:val="0"/>
          <w:kern w:val="2"/>
          <w:sz w:val="32"/>
          <w:szCs w:val="32"/>
          <w:lang w:val="en-US" w:eastAsia="zh-CN" w:bidi="ar-SA"/>
        </w:rPr>
        <w:t>一、推动预算绩效管理关口前移，对新增政策和项目开展事前绩效评估。</w:t>
      </w:r>
      <w:r>
        <w:rPr>
          <w:rFonts w:hint="eastAsia" w:ascii="Times New Roman" w:hAnsi="Times New Roman" w:eastAsia="仿宋_GB2312" w:cs="仿宋_GB2312"/>
          <w:color w:val="auto"/>
          <w:spacing w:val="0"/>
          <w:kern w:val="2"/>
          <w:sz w:val="32"/>
          <w:szCs w:val="32"/>
          <w:lang w:val="en-US" w:eastAsia="zh-CN" w:bidi="ar-SA"/>
        </w:rPr>
        <w:t>我们将政府过紧日子要求与强化绩效意识紧密结合起来，对申请2022年部门预算的新增政策项目，全部要求做事前绩效评估，并逐一审核，提出审核建议，创新了“纵横比对分析法”，即横向比较其他部门、其他项目申报情况，纵向比较上年度项目审核以及预算执行情况，通过比对分析，确认是否存在交叉申报、重复申报以及低效无效情况，有效提升了预算编制质量。2022年度预算申报中，共评估审核项目（政策）563个，其中建议调整后支持的248个，建议不予支持的248个，共涉及金额24.72亿元，审减13.17亿，审减率53.30%。</w:t>
      </w:r>
    </w:p>
    <w:p>
      <w:pPr>
        <w:pStyle w:val="49"/>
        <w:spacing w:after="0" w:line="560" w:lineRule="exact"/>
        <w:ind w:firstLine="640" w:firstLineChars="200"/>
        <w:rPr>
          <w:rFonts w:hint="eastAsia" w:ascii="仿宋_GB2312" w:eastAsia="仿宋_GB2312"/>
          <w:sz w:val="32"/>
          <w:szCs w:val="32"/>
        </w:rPr>
      </w:pPr>
      <w:r>
        <w:rPr>
          <w:rFonts w:hint="eastAsia" w:ascii="黑体" w:hAnsi="黑体" w:eastAsia="黑体" w:cs="黑体"/>
          <w:color w:val="auto"/>
          <w:spacing w:val="0"/>
          <w:kern w:val="2"/>
          <w:sz w:val="32"/>
          <w:szCs w:val="32"/>
          <w:lang w:val="en-US" w:eastAsia="zh-CN" w:bidi="ar-SA"/>
        </w:rPr>
        <w:t>二、绩效目标全面把关，成绩突出。</w:t>
      </w:r>
      <w:r>
        <w:rPr>
          <w:rFonts w:hint="eastAsia" w:ascii="Times New Roman" w:hAnsi="Times New Roman" w:eastAsia="仿宋_GB2312" w:cs="仿宋_GB2312"/>
          <w:color w:val="auto"/>
          <w:spacing w:val="0"/>
          <w:kern w:val="2"/>
          <w:sz w:val="32"/>
          <w:szCs w:val="32"/>
          <w:lang w:val="en-US" w:eastAsia="zh-CN" w:bidi="ar-SA"/>
        </w:rPr>
        <w:t>按照“谁申请资金，谁设定目标”的原则，对2022年全部预算项目的绩效目标进行逐一审核，重点审核产出指标、效益指标、满意度指标，要求指标尽量细化、量化、准确，2022年预算批复的718个项目全部做了绩效目标，项目绩效目标覆盖率达到100%。</w:t>
      </w:r>
    </w:p>
    <w:p>
      <w:pPr>
        <w:pStyle w:val="2"/>
        <w:ind w:firstLine="675"/>
      </w:pPr>
      <w:r>
        <w:rPr>
          <w:rFonts w:hint="eastAsia" w:ascii="黑体" w:hAnsi="黑体" w:eastAsia="黑体" w:cs="黑体"/>
          <w:color w:val="auto"/>
          <w:spacing w:val="0"/>
          <w:kern w:val="2"/>
          <w:sz w:val="32"/>
          <w:szCs w:val="32"/>
          <w:lang w:val="en-US" w:eastAsia="zh-CN" w:bidi="ar-SA"/>
        </w:rPr>
        <w:t>三、强化督导，推动绩效监控高质量完成。</w:t>
      </w:r>
      <w:r>
        <w:rPr>
          <w:rFonts w:hint="eastAsia" w:ascii="Times New Roman" w:hAnsi="Times New Roman" w:eastAsia="仿宋_GB2312" w:cs="仿宋_GB2312"/>
          <w:color w:val="auto"/>
          <w:spacing w:val="0"/>
          <w:kern w:val="2"/>
          <w:sz w:val="32"/>
          <w:szCs w:val="32"/>
          <w:lang w:val="en-US" w:eastAsia="zh-CN" w:bidi="ar-SA"/>
        </w:rPr>
        <w:t>今年以来，对纳入预算绩效管理范围的项目（政策）绩效目标实现程度和预算执行进度分阶段开展“双监控”，发现问题并及时反馈纠正，确保绩效目标如期保质保量实现，绩效运行监控覆盖率100%。一是开展1-6月绩效运行监控，通过督促预算单位线下填报绩效运行监控表，重点分析绩效目标实现程度，及时发现并纠正绩效目标偏离情况。二是开展1-9月绩效运行监控，通过组织业务科室线上整理政策项目绩效运行监控汇总表，重点分析预算执行进度，及时掌握并反馈预算执行进度偏低情况。</w:t>
      </w:r>
    </w:p>
    <w:p>
      <w:pPr>
        <w:spacing w:line="560" w:lineRule="exact"/>
        <w:ind w:firstLine="645"/>
        <w:rPr>
          <w:rFonts w:hint="eastAsia" w:ascii="仿宋_GB2312" w:hAnsi="Times New Roman" w:eastAsia="仿宋_GB2312"/>
          <w:sz w:val="32"/>
          <w:szCs w:val="32"/>
        </w:rPr>
      </w:pPr>
      <w:r>
        <w:rPr>
          <w:rFonts w:hint="eastAsia" w:ascii="黑体" w:hAnsi="黑体" w:eastAsia="黑体" w:cs="黑体"/>
          <w:color w:val="auto"/>
          <w:spacing w:val="0"/>
          <w:kern w:val="2"/>
          <w:sz w:val="32"/>
          <w:szCs w:val="32"/>
          <w:lang w:val="en-US" w:eastAsia="zh-CN" w:bidi="ar-SA"/>
        </w:rPr>
        <w:t>四、创新财政重点绩效评价机制，建立以满足个性化需求为导向的全应用财政重点绩效评价机制。</w:t>
      </w:r>
      <w:r>
        <w:rPr>
          <w:rFonts w:hint="eastAsia" w:ascii="Times New Roman" w:hAnsi="Times New Roman" w:eastAsia="仿宋_GB2312" w:cs="仿宋_GB2312"/>
          <w:color w:val="auto"/>
          <w:spacing w:val="0"/>
          <w:kern w:val="2"/>
          <w:sz w:val="32"/>
          <w:szCs w:val="32"/>
          <w:lang w:val="en-US" w:eastAsia="zh-CN" w:bidi="ar-SA"/>
        </w:rPr>
        <w:t>对2021年12个项目开展财政重点绩效评价，评价过程中实行第三方签到制度，财政全过程参与绩效评价工作，建立起“个性化、闭环式、全应用” 财政重点绩效评价监管体系，有效地提升绩效评价质量，并将评价结果反馈至财政支出科室与项目预算单位，作为预算安排与改进管理的重要依据。其中通过对“城区物业管理奖补激励资金”项目的绩效评价，建议完善奖补政策，明确奖补范围及面积，取消物业收费标准0.3元/平方米/月以上小区的奖补资金，取消对2010年后建成小区的星级奖补资金，政策修改完善后，每年能节约预算资金约300万元。</w:t>
      </w:r>
    </w:p>
    <w:p>
      <w:pPr>
        <w:spacing w:line="560" w:lineRule="exact"/>
        <w:ind w:firstLine="645"/>
        <w:rPr>
          <w:rFonts w:ascii="Times New Roman" w:hAnsi="Times New Roman" w:eastAsia="仿宋_GB2312"/>
          <w:sz w:val="32"/>
          <w:szCs w:val="32"/>
        </w:rPr>
      </w:pPr>
      <w:r>
        <w:rPr>
          <w:rFonts w:hint="eastAsia" w:ascii="黑体" w:hAnsi="黑体" w:eastAsia="黑体" w:cs="黑体"/>
          <w:color w:val="auto"/>
          <w:spacing w:val="0"/>
          <w:kern w:val="2"/>
          <w:sz w:val="32"/>
          <w:szCs w:val="32"/>
          <w:lang w:val="en-US" w:eastAsia="zh-CN" w:bidi="ar-SA"/>
        </w:rPr>
        <w:t>五、督导预算单位开展2021年度部门预算项目绩效自评工作，提升项目绩效自评质量。</w:t>
      </w:r>
      <w:r>
        <w:rPr>
          <w:rFonts w:hint="eastAsia" w:ascii="Times New Roman" w:hAnsi="Times New Roman" w:eastAsia="仿宋_GB2312" w:cs="仿宋_GB2312"/>
          <w:color w:val="auto"/>
          <w:spacing w:val="0"/>
          <w:kern w:val="2"/>
          <w:sz w:val="32"/>
          <w:szCs w:val="32"/>
          <w:lang w:val="en-US" w:eastAsia="zh-CN" w:bidi="ar-SA"/>
        </w:rPr>
        <w:t>按照“谁支出、谁自评”的要求，通过设置绩效自评表、绩效报告模板，要求所有区直部门对2021年度680个预算项目全面开展绩效自评，单位绩效自评情况作为年度考核与预算安排的重要依据。收集、整理、审核各单位项目绩效自评表与自评报告，对不符合要求的单位提出整改要求并限期改正，确保绩效自评资料准确合规，项目绩效自评率达100%。</w:t>
      </w:r>
    </w:p>
    <w:p>
      <w:pPr>
        <w:autoSpaceDE w:val="0"/>
        <w:autoSpaceDN w:val="0"/>
        <w:adjustRightInd w:val="0"/>
        <w:spacing w:line="560" w:lineRule="exact"/>
        <w:ind w:firstLine="640" w:firstLineChars="200"/>
        <w:rPr>
          <w:rFonts w:hint="eastAsia" w:ascii="Times New Roman" w:hAnsi="Times New Roman" w:eastAsia="仿宋_GB2312" w:cs="仿宋_GB2312"/>
          <w:color w:val="auto"/>
          <w:spacing w:val="0"/>
          <w:kern w:val="2"/>
          <w:sz w:val="32"/>
          <w:szCs w:val="32"/>
          <w:lang w:val="en-US" w:eastAsia="zh-CN" w:bidi="ar-SA"/>
        </w:rPr>
      </w:pPr>
      <w:r>
        <w:rPr>
          <w:rFonts w:hint="eastAsia" w:ascii="黑体" w:hAnsi="黑体" w:eastAsia="黑体" w:cs="黑体"/>
          <w:color w:val="auto"/>
          <w:spacing w:val="0"/>
          <w:kern w:val="2"/>
          <w:sz w:val="32"/>
          <w:szCs w:val="32"/>
          <w:lang w:val="en-US" w:eastAsia="zh-CN" w:bidi="ar-SA"/>
        </w:rPr>
        <w:t>六、全面推进部门整体绩效管理，进一步扩大绩效管理范围。</w:t>
      </w:r>
      <w:r>
        <w:rPr>
          <w:rFonts w:hint="eastAsia" w:ascii="Times New Roman" w:hAnsi="Times New Roman" w:eastAsia="仿宋_GB2312" w:cs="仿宋_GB2312"/>
          <w:color w:val="auto"/>
          <w:spacing w:val="0"/>
          <w:kern w:val="2"/>
          <w:sz w:val="32"/>
          <w:szCs w:val="32"/>
          <w:lang w:val="en-US" w:eastAsia="zh-CN" w:bidi="ar-SA"/>
        </w:rPr>
        <w:t>2022年度出台了《威海市文登区区级预算部门和单位整体绩效管理办法》，举办了针对全体区直单位的部门整体绩效管理培训会。将部门整体绩效管理范围扩展到全部64个区直部门，并选取了8个部门开展财政重点整体绩效评价，从运行成本、管理效率、履职效能、社会效应和服务对象满意度等方面入手，综合衡量部门和单位整体及核心业务实施效果，利用预算约束，强化结果应用”的部门整体绩效管理评价模式，部门整体绩效管理覆盖率达100%。</w:t>
      </w:r>
    </w:p>
    <w:p>
      <w:pPr>
        <w:pStyle w:val="55"/>
        <w:spacing w:after="0" w:line="560" w:lineRule="exact"/>
        <w:ind w:firstLine="643"/>
        <w:rPr>
          <w:rFonts w:hint="eastAsia" w:ascii="仿宋_GB2312" w:hAnsi="Calibri" w:eastAsia="仿宋_GB2312"/>
          <w:color w:val="000000" w:themeColor="text1"/>
          <w:spacing w:val="0"/>
          <w:kern w:val="2"/>
          <w:sz w:val="32"/>
          <w:szCs w:val="32"/>
          <w:lang w:val="en-US" w:eastAsia="zh-CN"/>
          <w14:textFill>
            <w14:solidFill>
              <w14:schemeClr w14:val="tx1"/>
            </w14:solidFill>
          </w14:textFill>
        </w:rPr>
      </w:pPr>
      <w:r>
        <w:rPr>
          <w:rFonts w:hint="eastAsia" w:ascii="黑体" w:hAnsi="黑体" w:eastAsia="黑体" w:cs="黑体"/>
          <w:color w:val="auto"/>
          <w:spacing w:val="0"/>
          <w:kern w:val="2"/>
          <w:sz w:val="32"/>
          <w:szCs w:val="32"/>
          <w:lang w:val="en-US" w:eastAsia="zh-CN" w:bidi="ar-SA"/>
        </w:rPr>
        <w:t>七、创新思路，继续试点财政综合运行绩效评价。</w:t>
      </w:r>
      <w:r>
        <w:rPr>
          <w:rFonts w:hint="eastAsia" w:ascii="Times New Roman" w:hAnsi="Times New Roman" w:eastAsia="仿宋_GB2312" w:cs="仿宋_GB2312"/>
          <w:color w:val="auto"/>
          <w:spacing w:val="0"/>
          <w:kern w:val="2"/>
          <w:sz w:val="32"/>
          <w:szCs w:val="32"/>
          <w:lang w:val="en-US" w:eastAsia="zh-CN" w:bidi="ar-SA"/>
        </w:rPr>
        <w:t xml:space="preserve">选择侯家镇、葛家镇政府开展财政运行综合绩效评价，将镇级政府收支预算全面纳入绩效管理，主要围绕镇政府基本财力、财政运行、预算规范管理、运行成效、风险控制能力、财源建设及可持续发展方面开展综合评价，紧扣履职效能、经济发展、财政管理等重点事项，全面分析镇级财政运行状况，增强财政运行的可持续性。 </w:t>
      </w:r>
      <w:r>
        <w:rPr>
          <w:rFonts w:hint="eastAsia" w:ascii="仿宋_GB2312" w:hAnsi="Calibri" w:eastAsia="仿宋_GB2312"/>
          <w:color w:val="000000" w:themeColor="text1"/>
          <w:spacing w:val="0"/>
          <w:kern w:val="2"/>
          <w:sz w:val="32"/>
          <w:szCs w:val="32"/>
          <w:lang w:val="en-US" w:eastAsia="zh-CN"/>
          <w14:textFill>
            <w14:solidFill>
              <w14:schemeClr w14:val="tx1"/>
            </w14:solidFill>
          </w14:textFill>
        </w:rPr>
        <w:t xml:space="preserve"> </w:t>
      </w:r>
    </w:p>
    <w:p>
      <w:pPr>
        <w:pStyle w:val="55"/>
        <w:spacing w:after="0" w:line="560" w:lineRule="exact"/>
        <w:ind w:firstLine="643"/>
        <w:rPr>
          <w:rFonts w:hint="default" w:ascii="仿宋_GB2312" w:hAnsi="仿宋_GB2312" w:eastAsia="仿宋_GB2312" w:cs="仿宋_GB2312"/>
          <w:sz w:val="24"/>
          <w:szCs w:val="24"/>
          <w:highlight w:val="none"/>
          <w:lang w:val="en-US" w:eastAsia="zh-CN"/>
        </w:rPr>
      </w:pPr>
      <w:r>
        <w:rPr>
          <w:rFonts w:hint="eastAsia" w:ascii="黑体" w:hAnsi="黑体" w:eastAsia="黑体" w:cs="黑体"/>
          <w:color w:val="auto"/>
          <w:spacing w:val="0"/>
          <w:kern w:val="2"/>
          <w:sz w:val="32"/>
          <w:szCs w:val="32"/>
          <w:lang w:val="en-US" w:eastAsia="zh-CN" w:bidi="ar-SA"/>
        </w:rPr>
        <w:t>八、积极开展成本效益分析，实施成本预算绩效管理。</w:t>
      </w:r>
      <w:r>
        <w:rPr>
          <w:rFonts w:hint="eastAsia" w:ascii="Times New Roman" w:hAnsi="Times New Roman" w:eastAsia="仿宋_GB2312" w:cs="仿宋_GB2312"/>
          <w:color w:val="auto"/>
          <w:spacing w:val="0"/>
          <w:kern w:val="2"/>
          <w:sz w:val="32"/>
          <w:szCs w:val="32"/>
          <w:lang w:val="en-US" w:eastAsia="zh-CN" w:bidi="ar-SA"/>
        </w:rPr>
        <w:t>选取了县乡公路保洁服务项目，通过成本绩效分析，核定项目成本，确定支出标准，评价标准，探索建立“成本和效益并重”的预算绩效管理机制。同时，印发了《关于开展成本预算绩效管理试点工作的实施方案》，将成本理念和方法贯穿于预算管理各环节。</w:t>
      </w:r>
    </w:p>
    <w:sectPr>
      <w:headerReference r:id="rId22" w:type="default"/>
      <w:footerReference r:id="rId2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楷体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line="240" w:lineRule="auto"/>
      <w:ind w:firstLine="360" w:firstLineChars="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spacing w:line="240" w:lineRule="auto"/>
                            <w:ind w:firstLine="360" w:firstLineChars="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niKxQ4AgAAbwQAAA4AAABkcnMvZTJvRG9jLnhtbK1UzY7aMBC+V+o7&#10;WL6XABUrhAgruoiqEuquRKuejeOQSP6TbUjoA7Rv0FMvvfe5eI797BC22vawh17C2DP+Zr5vZpjf&#10;tkqSo3C+Njqno8GQEqG5KWq9z+nnT+s3U0p8YLpg0miR05Pw9Hbx+tW8sTMxNpWRhXAEINrPGpvT&#10;KgQ7yzLPK6GYHxgrNJylcYoFHN0+KxxrgK5kNh4Ob7LGuMI6w4X3uF11TnpBdC8BNGVZc7Ey/KCE&#10;Dh2qE5IFUPJVbT1dpGrLUvBwX5ZeBCJzCqYhfZEE9i5+s8WczfaO2armlxLYS0p4xkmxWiPpFWrF&#10;AiMHV/8FpWrujDdlGHCjso5IUgQsRsNn2mwrZkXiAqm9vYru/x8s/3h8cKQucjqhRDOFhp9/fD//&#10;/H3+9Y1MojyN9TNEbS3iQvvOtBia/t7jMrJuS6fiL/gQ+CHu6SquaAPh8dF0PJ0O4eLw9QfgZ0/P&#10;rfPhvTCKRCOnDt1LorLjxocutA+J2bRZ11KmDkpNmpzevJ0M04OrB+BSx1iRZuECEyl1pUcrtLv2&#10;wnNnihNoOtPNibd8XaOUDfPhgTkMBsrH6oR7fEppkNJcLEoq477+6z7Go1/wUtJg0HKqsVeUyA8a&#10;fQRg6A3XG7ve0Ad1ZzC5I6yk5cnEAxdkb5bOqC/Yp2XMARfTHJlyGnrzLnTDjn3kYrlMQQfr6n3V&#10;PcAUWhY2emt5TBOl8nZ5CJA2KR4F6lRBp+IBc5h6dtmZOOh/nlPU0//E4h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OeIrFDgCAABvBAAADgAAAAAAAAABACAAAAAfAQAAZHJzL2Uyb0RvYy54&#10;bWxQSwUGAAAAAAYABgBZAQAAyQUAAAAA&#10;">
              <v:fill on="f" focussize="0,0"/>
              <v:stroke on="f" weight="0.5pt"/>
              <v:imagedata o:title=""/>
              <o:lock v:ext="edit" aspectratio="f"/>
              <v:textbox inset="0mm,0mm,0mm,0mm" style="mso-fit-shape-to-text:t;">
                <w:txbxContent>
                  <w:p>
                    <w:pPr>
                      <w:pStyle w:val="10"/>
                      <w:spacing w:line="240" w:lineRule="auto"/>
                      <w:ind w:firstLine="360" w:firstLineChars="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t xml:space="preserve">— </w:t>
                          </w:r>
                          <w:r>
                            <w:fldChar w:fldCharType="begin"/>
                          </w:r>
                          <w:r>
                            <w:instrText xml:space="preserve"> PAGE  \* MERGEFORMAT </w:instrText>
                          </w:r>
                          <w:r>
                            <w:fldChar w:fldCharType="separate"/>
                          </w:r>
                          <w:r>
                            <w:t>43</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10"/>
                    </w:pPr>
                    <w:r>
                      <w:t xml:space="preserve">— </w:t>
                    </w:r>
                    <w:r>
                      <w:fldChar w:fldCharType="begin"/>
                    </w:r>
                    <w:r>
                      <w:instrText xml:space="preserve"> PAGE  \* MERGEFORMAT </w:instrText>
                    </w:r>
                    <w:r>
                      <w:fldChar w:fldCharType="separate"/>
                    </w:r>
                    <w:r>
                      <w:t>43</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line="240" w:lineRule="auto"/>
      <w:ind w:firstLine="360" w:firstLineChars="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line="240" w:lineRule="auto"/>
      <w:ind w:firstLine="360" w:firstLineChars="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jc w:val="center"/>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ind w:firstLine="56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VI</w:t>
                          </w:r>
                          <w:r>
                            <w:rPr>
                              <w:rFonts w:hint="eastAsia" w:ascii="宋体" w:hAnsi="宋体" w:eastAsia="宋体" w:cs="宋体"/>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pPr>
                      <w:pStyle w:val="10"/>
                      <w:ind w:firstLine="56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VI</w:t>
                    </w:r>
                    <w:r>
                      <w:rPr>
                        <w:rFonts w:hint="eastAsia" w:ascii="宋体" w:hAnsi="宋体" w:eastAsia="宋体" w:cs="宋体"/>
                        <w:sz w:val="28"/>
                        <w:szCs w:val="28"/>
                      </w:rPr>
                      <w:fldChar w:fldCharType="end"/>
                    </w:r>
                  </w:p>
                </w:txbxContent>
              </v:textbox>
            </v:shape>
          </w:pict>
        </mc:Fallback>
      </mc:AlternateContent>
    </w:r>
  </w:p>
  <w:p>
    <w:pPr>
      <w:pStyle w:val="10"/>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ind w:firstLine="36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pPr>
                      <w:pStyle w:val="10"/>
                      <w:ind w:firstLine="36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ind w:firstLine="36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pPr>
                      <w:pStyle w:val="10"/>
                      <w:ind w:firstLine="36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360" w:lineRule="auto"/>
      <w:ind w:left="600" w:firstLine="0" w:firstLineChars="0"/>
      <w:rPr>
        <w:rFonts w:ascii="宋体" w:hAnsi="宋体" w:eastAsia="宋体" w:cs="宋体"/>
        <w:sz w:val="30"/>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240" w:lineRule="auto"/>
      <w:ind w:firstLine="360" w:firstLineChars="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240" w:lineRule="auto"/>
      <w:ind w:firstLine="360" w:firstLineChars="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00" w:firstLine="0" w:firstLineChars="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00" w:firstLine="0" w:firstLineChars="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1A8C2F"/>
    <w:multiLevelType w:val="singleLevel"/>
    <w:tmpl w:val="C21A8C2F"/>
    <w:lvl w:ilvl="0" w:tentative="0">
      <w:start w:val="1"/>
      <w:numFmt w:val="chineseCounting"/>
      <w:suff w:val="nothing"/>
      <w:lvlText w:val="%1、"/>
      <w:lvlJc w:val="left"/>
      <w:rPr>
        <w:rFonts w:hint="eastAsia"/>
      </w:rPr>
    </w:lvl>
  </w:abstractNum>
  <w:abstractNum w:abstractNumId="1">
    <w:nsid w:val="38E013F5"/>
    <w:multiLevelType w:val="singleLevel"/>
    <w:tmpl w:val="38E013F5"/>
    <w:lvl w:ilvl="0" w:tentative="0">
      <w:start w:val="1"/>
      <w:numFmt w:val="chineseCounting"/>
      <w:suff w:val="nothing"/>
      <w:lvlText w:val="%1、"/>
      <w:lvlJc w:val="left"/>
      <w:rPr>
        <w:rFonts w:hint="eastAsia"/>
      </w:rPr>
    </w:lvl>
  </w:abstractNum>
  <w:abstractNum w:abstractNumId="2">
    <w:nsid w:val="610671B8"/>
    <w:multiLevelType w:val="multilevel"/>
    <w:tmpl w:val="610671B8"/>
    <w:lvl w:ilvl="0" w:tentative="0">
      <w:start w:val="1"/>
      <w:numFmt w:val="chineseCountingThousand"/>
      <w:suff w:val="nothing"/>
      <w:lvlText w:val="%1、"/>
      <w:lvlJc w:val="left"/>
      <w:pPr>
        <w:ind w:left="3969" w:firstLine="0"/>
      </w:pPr>
      <w:rPr>
        <w:rFonts w:hint="eastAsia"/>
        <w:b/>
        <w:i w:val="0"/>
      </w:rPr>
    </w:lvl>
    <w:lvl w:ilvl="1" w:tentative="0">
      <w:start w:val="1"/>
      <w:numFmt w:val="chineseCountingThousand"/>
      <w:suff w:val="nothing"/>
      <w:lvlText w:val="（%2）"/>
      <w:lvlJc w:val="left"/>
      <w:pPr>
        <w:ind w:left="425" w:firstLine="0"/>
      </w:pPr>
      <w:rPr>
        <w:rFonts w:hint="default" w:ascii="Times New Roman" w:hAnsi="Times New Roman" w:cs="Times New Roman"/>
        <w:b/>
        <w:bCs w:val="0"/>
        <w:i w:val="0"/>
        <w:iCs w:val="0"/>
        <w:caps w:val="0"/>
        <w:smallCaps w:val="0"/>
        <w:strike w:val="0"/>
        <w:dstrike w:val="0"/>
        <w:vanish w:val="0"/>
        <w:spacing w:val="0"/>
        <w:kern w:val="0"/>
        <w:position w:val="0"/>
        <w:u w:val="none"/>
        <w:vertAlign w:val="baseline"/>
        <w:lang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5"/>
      <w:suff w:val="nothing"/>
      <w:lvlText w:val="%3. "/>
      <w:lvlJc w:val="left"/>
      <w:pPr>
        <w:ind w:left="992" w:hanging="567"/>
      </w:pPr>
      <w:rPr>
        <w:rFonts w:hint="eastAsia"/>
      </w:rPr>
    </w:lvl>
    <w:lvl w:ilvl="3" w:tentative="0">
      <w:start w:val="1"/>
      <w:numFmt w:val="decimal"/>
      <w:suff w:val="nothing"/>
      <w:lvlText w:val="（%4）"/>
      <w:lvlJc w:val="left"/>
      <w:pPr>
        <w:ind w:left="992" w:hanging="425"/>
      </w:pPr>
      <w:rPr>
        <w:rFonts w:hint="eastAsia"/>
      </w:rPr>
    </w:lvl>
    <w:lvl w:ilvl="4" w:tentative="0">
      <w:start w:val="1"/>
      <w:numFmt w:val="decimal"/>
      <w:suff w:val="nothing"/>
      <w:lvlText w:val="%5）"/>
      <w:lvlJc w:val="left"/>
      <w:pPr>
        <w:ind w:left="992" w:hanging="113"/>
      </w:pPr>
      <w:rPr>
        <w:rFonts w:hint="eastAsia"/>
      </w:rPr>
    </w:lvl>
    <w:lvl w:ilvl="5" w:tentative="0">
      <w:start w:val="1"/>
      <w:numFmt w:val="decimal"/>
      <w:pStyle w:val="41"/>
      <w:suff w:val="nothing"/>
      <w:lvlText w:val="附件%6 "/>
      <w:lvlJc w:val="left"/>
      <w:pPr>
        <w:ind w:left="0" w:firstLine="0"/>
      </w:pPr>
      <w:rPr>
        <w:rFonts w:hint="eastAsia"/>
      </w:rPr>
    </w:lvl>
    <w:lvl w:ilvl="6" w:tentative="0">
      <w:start w:val="1"/>
      <w:numFmt w:val="chineseCountingThousand"/>
      <w:suff w:val="nothing"/>
      <w:lvlText w:val="%7、"/>
      <w:lvlJc w:val="left"/>
      <w:pPr>
        <w:ind w:left="992" w:hanging="567"/>
      </w:pPr>
      <w:rPr>
        <w:rFonts w:hint="eastAsia"/>
      </w:rPr>
    </w:lvl>
    <w:lvl w:ilvl="7" w:tentative="0">
      <w:start w:val="1"/>
      <w:numFmt w:val="chineseCountingThousand"/>
      <w:suff w:val="nothing"/>
      <w:lvlText w:val="（%8）"/>
      <w:lvlJc w:val="left"/>
      <w:pPr>
        <w:ind w:left="992" w:hanging="567"/>
      </w:pPr>
      <w:rPr>
        <w:rFonts w:hint="eastAsia"/>
      </w:rPr>
    </w:lvl>
    <w:lvl w:ilvl="8" w:tentative="0">
      <w:start w:val="1"/>
      <w:numFmt w:val="decimal"/>
      <w:suff w:val="nothing"/>
      <w:lvlText w:val="%9. "/>
      <w:lvlJc w:val="left"/>
      <w:pPr>
        <w:ind w:left="992" w:hanging="567"/>
      </w:pPr>
      <w:rPr>
        <w:rFonts w:hint="eastAsia"/>
      </w:rPr>
    </w:lvl>
  </w:abstractNum>
  <w:abstractNum w:abstractNumId="3">
    <w:nsid w:val="6595C08A"/>
    <w:multiLevelType w:val="singleLevel"/>
    <w:tmpl w:val="6595C08A"/>
    <w:lvl w:ilvl="0" w:tentative="0">
      <w:start w:val="1"/>
      <w:numFmt w:val="chineseCounting"/>
      <w:suff w:val="nothing"/>
      <w:lvlText w:val="（%1）"/>
      <w:lvlJc w:val="left"/>
      <w:pPr>
        <w:ind w:left="0" w:firstLine="420"/>
      </w:pPr>
      <w:rPr>
        <w:rFonts w:hint="eastAsia" w:ascii="楷体_GB2312" w:hAnsi="楷体_GB2312" w:eastAsia="楷体_GB2312" w:cs="楷体_GB2312"/>
        <w:sz w:val="32"/>
        <w:szCs w:val="32"/>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Y2OGIwN2I1YjY3MTYyM2ViN2FmNjUwMGRiY2RlMDIifQ=="/>
  </w:docVars>
  <w:rsids>
    <w:rsidRoot w:val="79D00A66"/>
    <w:rsid w:val="04BA3565"/>
    <w:rsid w:val="063B2B4D"/>
    <w:rsid w:val="06DE32DA"/>
    <w:rsid w:val="07E64886"/>
    <w:rsid w:val="0F696B20"/>
    <w:rsid w:val="0FF24D67"/>
    <w:rsid w:val="10040085"/>
    <w:rsid w:val="1055163A"/>
    <w:rsid w:val="11744B2C"/>
    <w:rsid w:val="12C21534"/>
    <w:rsid w:val="13F27FF8"/>
    <w:rsid w:val="14445DAD"/>
    <w:rsid w:val="16247C45"/>
    <w:rsid w:val="162C6AF9"/>
    <w:rsid w:val="17F25957"/>
    <w:rsid w:val="1AE6371B"/>
    <w:rsid w:val="205940A0"/>
    <w:rsid w:val="20C932CD"/>
    <w:rsid w:val="211C2557"/>
    <w:rsid w:val="21D15060"/>
    <w:rsid w:val="228026A7"/>
    <w:rsid w:val="23D866EE"/>
    <w:rsid w:val="27C26BE0"/>
    <w:rsid w:val="2CC34063"/>
    <w:rsid w:val="2CFF39EA"/>
    <w:rsid w:val="2F462582"/>
    <w:rsid w:val="339C380E"/>
    <w:rsid w:val="344828F8"/>
    <w:rsid w:val="36F34D9D"/>
    <w:rsid w:val="37E90A73"/>
    <w:rsid w:val="38AD71CE"/>
    <w:rsid w:val="3C314FB9"/>
    <w:rsid w:val="3C486C5E"/>
    <w:rsid w:val="417C1E33"/>
    <w:rsid w:val="42775BE0"/>
    <w:rsid w:val="42BC2E2F"/>
    <w:rsid w:val="45B807DB"/>
    <w:rsid w:val="49956188"/>
    <w:rsid w:val="4B3F391B"/>
    <w:rsid w:val="4D6E4C0D"/>
    <w:rsid w:val="51FF6894"/>
    <w:rsid w:val="57230E23"/>
    <w:rsid w:val="5AC95C92"/>
    <w:rsid w:val="5B054A3B"/>
    <w:rsid w:val="5EB34C8F"/>
    <w:rsid w:val="5EBA426F"/>
    <w:rsid w:val="5F71563F"/>
    <w:rsid w:val="5FEA0785"/>
    <w:rsid w:val="61E70875"/>
    <w:rsid w:val="6252456C"/>
    <w:rsid w:val="62745086"/>
    <w:rsid w:val="640B615E"/>
    <w:rsid w:val="64A53FA6"/>
    <w:rsid w:val="6582360D"/>
    <w:rsid w:val="66EF76BF"/>
    <w:rsid w:val="69476AFE"/>
    <w:rsid w:val="6C375151"/>
    <w:rsid w:val="6CDA3D2E"/>
    <w:rsid w:val="6F063E1D"/>
    <w:rsid w:val="717F4379"/>
    <w:rsid w:val="72514A93"/>
    <w:rsid w:val="72FF004B"/>
    <w:rsid w:val="767C47E8"/>
    <w:rsid w:val="791F1447"/>
    <w:rsid w:val="79D00A66"/>
    <w:rsid w:val="7B7315D6"/>
    <w:rsid w:val="7CD74885"/>
    <w:rsid w:val="7D9618AD"/>
    <w:rsid w:val="7E3F66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2"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1"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仿宋_GB2312" w:asciiTheme="minorHAnsi" w:hAnsiTheme="minorHAnsi" w:eastAsiaTheme="minorEastAsia"/>
      <w:color w:val="auto"/>
      <w:kern w:val="2"/>
      <w:sz w:val="32"/>
      <w:szCs w:val="32"/>
      <w:lang w:val="en-US" w:eastAsia="zh-CN" w:bidi="ar-SA"/>
    </w:rPr>
  </w:style>
  <w:style w:type="paragraph" w:styleId="3">
    <w:name w:val="heading 1"/>
    <w:basedOn w:val="1"/>
    <w:next w:val="1"/>
    <w:qFormat/>
    <w:uiPriority w:val="9"/>
    <w:pPr>
      <w:keepNext/>
      <w:keepLines/>
      <w:ind w:firstLine="200" w:firstLineChars="200"/>
      <w:outlineLvl w:val="0"/>
    </w:pPr>
    <w:rPr>
      <w:rFonts w:eastAsia="黑体"/>
      <w:bCs/>
      <w:kern w:val="44"/>
      <w:szCs w:val="44"/>
    </w:rPr>
  </w:style>
  <w:style w:type="paragraph" w:styleId="4">
    <w:name w:val="heading 2"/>
    <w:basedOn w:val="1"/>
    <w:next w:val="1"/>
    <w:unhideWhenUsed/>
    <w:qFormat/>
    <w:uiPriority w:val="9"/>
    <w:pPr>
      <w:keepNext/>
      <w:keepLines/>
      <w:ind w:firstLine="200" w:firstLineChars="200"/>
      <w:outlineLvl w:val="1"/>
    </w:pPr>
    <w:rPr>
      <w:rFonts w:eastAsia="楷体_GB2312" w:asciiTheme="majorHAnsi" w:hAnsiTheme="majorHAnsi" w:cstheme="majorBidi"/>
      <w:bCs/>
      <w:szCs w:val="32"/>
    </w:rPr>
  </w:style>
  <w:style w:type="paragraph" w:styleId="5">
    <w:name w:val="heading 3"/>
    <w:basedOn w:val="1"/>
    <w:next w:val="1"/>
    <w:qFormat/>
    <w:uiPriority w:val="2"/>
    <w:pPr>
      <w:keepNext/>
      <w:keepLines/>
      <w:widowControl w:val="0"/>
      <w:numPr>
        <w:ilvl w:val="2"/>
        <w:numId w:val="1"/>
      </w:numPr>
      <w:spacing w:before="120" w:after="60" w:line="500" w:lineRule="exact"/>
      <w:ind w:left="992" w:firstLine="0" w:firstLineChars="0"/>
      <w:jc w:val="both"/>
      <w:outlineLvl w:val="2"/>
    </w:pPr>
    <w:rPr>
      <w:rFonts w:ascii="Times New Roman" w:hAnsi="Times New Roman" w:eastAsia="仿宋_GB2312" w:cs="Times New Roman"/>
      <w:b/>
      <w:bCs/>
      <w:kern w:val="0"/>
      <w:sz w:val="28"/>
      <w:szCs w:val="32"/>
      <w:lang w:val="en-US" w:eastAsia="zh-CN" w:bidi="ar-SA"/>
    </w:rPr>
  </w:style>
  <w:style w:type="paragraph" w:styleId="6">
    <w:name w:val="heading 4"/>
    <w:basedOn w:val="1"/>
    <w:next w:val="1"/>
    <w:unhideWhenUsed/>
    <w:qFormat/>
    <w:uiPriority w:val="9"/>
    <w:pPr>
      <w:keepNext/>
      <w:keepLines/>
      <w:spacing w:line="560" w:lineRule="exact"/>
      <w:ind w:firstLine="200" w:firstLineChars="200"/>
      <w:jc w:val="left"/>
      <w:outlineLvl w:val="3"/>
    </w:pPr>
    <w:rPr>
      <w:rFonts w:eastAsia="楷体_GB2312" w:asciiTheme="majorHAnsi" w:hAnsiTheme="majorHAnsi" w:cstheme="majorBidi"/>
      <w:bCs/>
      <w:szCs w:val="28"/>
    </w:rPr>
  </w:style>
  <w:style w:type="character" w:default="1" w:styleId="20">
    <w:name w:val="Default Paragraph Font"/>
    <w:semiHidden/>
    <w:qFormat/>
    <w:uiPriority w:val="0"/>
  </w:style>
  <w:style w:type="table" w:default="1" w:styleId="18">
    <w:name w:val="Normal Table"/>
    <w:semiHidden/>
    <w:qFormat/>
    <w:uiPriority w:val="0"/>
    <w:tblPr>
      <w:tblCellMar>
        <w:top w:w="0" w:type="dxa"/>
        <w:left w:w="108" w:type="dxa"/>
        <w:bottom w:w="0" w:type="dxa"/>
        <w:right w:w="108" w:type="dxa"/>
      </w:tblCellMar>
    </w:tblPr>
  </w:style>
  <w:style w:type="paragraph" w:styleId="2">
    <w:name w:val="toc 1"/>
    <w:basedOn w:val="1"/>
    <w:next w:val="1"/>
    <w:unhideWhenUsed/>
    <w:qFormat/>
    <w:uiPriority w:val="39"/>
  </w:style>
  <w:style w:type="paragraph" w:styleId="7">
    <w:name w:val="Body Text"/>
    <w:basedOn w:val="1"/>
    <w:next w:val="8"/>
    <w:qFormat/>
    <w:uiPriority w:val="1"/>
    <w:pPr>
      <w:autoSpaceDE w:val="0"/>
      <w:autoSpaceDN w:val="0"/>
      <w:spacing w:before="190"/>
      <w:ind w:left="1333"/>
      <w:jc w:val="left"/>
    </w:pPr>
    <w:rPr>
      <w:rFonts w:eastAsia="宋体"/>
      <w:kern w:val="0"/>
      <w:szCs w:val="32"/>
      <w:lang w:val="zh-CN" w:bidi="zh-CN"/>
    </w:rPr>
  </w:style>
  <w:style w:type="paragraph" w:styleId="8">
    <w:name w:val="Body Text First Indent"/>
    <w:basedOn w:val="7"/>
    <w:qFormat/>
    <w:uiPriority w:val="99"/>
    <w:pPr>
      <w:spacing w:line="360" w:lineRule="auto"/>
      <w:ind w:firstLine="420" w:firstLineChars="100"/>
    </w:pPr>
    <w:rPr>
      <w:rFonts w:ascii="Times New Roman" w:hAnsi="Times New Roman" w:cs="Times New Roman"/>
      <w:sz w:val="24"/>
    </w:rPr>
  </w:style>
  <w:style w:type="paragraph" w:styleId="9">
    <w:name w:val="Body Text Indent"/>
    <w:basedOn w:val="1"/>
    <w:next w:val="1"/>
    <w:qFormat/>
    <w:uiPriority w:val="0"/>
    <w:pPr>
      <w:spacing w:after="120"/>
      <w:ind w:left="420" w:leftChars="200"/>
    </w:pPr>
  </w:style>
  <w:style w:type="paragraph" w:styleId="10">
    <w:name w:val="footer"/>
    <w:basedOn w:val="1"/>
    <w:qFormat/>
    <w:uiPriority w:val="99"/>
    <w:pPr>
      <w:tabs>
        <w:tab w:val="center" w:pos="4153"/>
        <w:tab w:val="right" w:pos="8306"/>
      </w:tabs>
      <w:snapToGrid w:val="0"/>
      <w:spacing w:line="240" w:lineRule="atLeas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12">
    <w:name w:val="footnote text"/>
    <w:qFormat/>
    <w:uiPriority w:val="0"/>
    <w:pPr>
      <w:widowControl w:val="0"/>
      <w:snapToGrid w:val="0"/>
      <w:jc w:val="left"/>
    </w:pPr>
    <w:rPr>
      <w:rFonts w:ascii="Times New Roman" w:hAnsi="Times New Roman" w:eastAsia="仿宋_GB2312" w:cs="Times New Roman"/>
      <w:kern w:val="2"/>
      <w:sz w:val="18"/>
      <w:szCs w:val="18"/>
      <w:lang w:val="en-US" w:eastAsia="zh-CN" w:bidi="ar-SA"/>
    </w:rPr>
  </w:style>
  <w:style w:type="paragraph" w:styleId="13">
    <w:name w:val="toc 2"/>
    <w:basedOn w:val="1"/>
    <w:next w:val="14"/>
    <w:unhideWhenUsed/>
    <w:qFormat/>
    <w:uiPriority w:val="39"/>
  </w:style>
  <w:style w:type="paragraph" w:customStyle="1" w:styleId="14">
    <w:name w:val="闻政正文"/>
    <w:link w:val="40"/>
    <w:qFormat/>
    <w:uiPriority w:val="3"/>
    <w:pPr>
      <w:widowControl w:val="0"/>
      <w:spacing w:line="500" w:lineRule="exact"/>
      <w:ind w:firstLine="200" w:firstLineChars="200"/>
      <w:jc w:val="both"/>
    </w:pPr>
    <w:rPr>
      <w:rFonts w:ascii="Times New Roman" w:hAnsi="Times New Roman" w:eastAsia="仿宋_GB2312" w:cs="Times New Roman"/>
      <w:kern w:val="0"/>
      <w:sz w:val="28"/>
      <w:szCs w:val="28"/>
      <w:lang w:val="en-US" w:eastAsia="zh-CN" w:bidi="ar-SA"/>
    </w:rPr>
  </w:style>
  <w:style w:type="paragraph" w:styleId="15">
    <w:name w:val="Normal (Web)"/>
    <w:basedOn w:val="1"/>
    <w:qFormat/>
    <w:uiPriority w:val="0"/>
    <w:pPr>
      <w:widowControl w:val="0"/>
      <w:spacing w:before="100" w:beforeAutospacing="1" w:after="100" w:afterAutospacing="1" w:line="580" w:lineRule="exact"/>
      <w:ind w:left="0" w:right="0" w:firstLine="640" w:firstLineChars="200"/>
      <w:jc w:val="left"/>
    </w:pPr>
    <w:rPr>
      <w:rFonts w:ascii="仿宋_GB2312" w:hAnsi="Calibri" w:eastAsia="仿宋_GB2312" w:cs="Times New Roman"/>
      <w:kern w:val="0"/>
      <w:sz w:val="24"/>
      <w:szCs w:val="21"/>
      <w:lang w:val="en-US" w:eastAsia="zh-CN" w:bidi="ar"/>
    </w:rPr>
  </w:style>
  <w:style w:type="paragraph" w:styleId="16">
    <w:name w:val="Title"/>
    <w:basedOn w:val="1"/>
    <w:next w:val="1"/>
    <w:qFormat/>
    <w:uiPriority w:val="10"/>
    <w:pPr>
      <w:jc w:val="center"/>
      <w:outlineLvl w:val="0"/>
    </w:pPr>
    <w:rPr>
      <w:rFonts w:eastAsia="方正小标宋简体" w:asciiTheme="majorHAnsi" w:hAnsiTheme="majorHAnsi" w:cstheme="majorBidi"/>
      <w:bCs/>
      <w:sz w:val="44"/>
      <w:szCs w:val="32"/>
    </w:rPr>
  </w:style>
  <w:style w:type="paragraph" w:styleId="17">
    <w:name w:val="Body Text First Indent 2"/>
    <w:basedOn w:val="9"/>
    <w:next w:val="8"/>
    <w:qFormat/>
    <w:uiPriority w:val="0"/>
    <w:pPr>
      <w:widowControl/>
      <w:adjustRightInd w:val="0"/>
      <w:snapToGrid w:val="0"/>
      <w:spacing w:line="360" w:lineRule="auto"/>
      <w:ind w:firstLine="420"/>
      <w:jc w:val="left"/>
    </w:pPr>
    <w:rPr>
      <w:rFonts w:cs="Times New Roman"/>
      <w:kern w:val="0"/>
      <w:sz w:val="30"/>
    </w:rPr>
  </w:style>
  <w:style w:type="table" w:styleId="19">
    <w:name w:val="Table Grid"/>
    <w:qFormat/>
    <w:uiPriority w:val="39"/>
    <w:pPr>
      <w:spacing w:line="300" w:lineRule="exact"/>
      <w:jc w:val="center"/>
    </w:pPr>
    <w:rPr>
      <w:rFonts w:ascii="Times New Roman" w:hAnsi="Times New Roman" w:eastAsia="仿宋_GB231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blHeader/>
    </w:trPr>
    <w:tcPr>
      <w:vAlign w:val="center"/>
    </w:tcPr>
  </w:style>
  <w:style w:type="character" w:styleId="21">
    <w:name w:val="Emphasis"/>
    <w:qFormat/>
    <w:uiPriority w:val="20"/>
    <w:rPr>
      <w:color w:val="CC0000"/>
    </w:rPr>
  </w:style>
  <w:style w:type="character" w:styleId="22">
    <w:name w:val="Hyperlink"/>
    <w:basedOn w:val="20"/>
    <w:unhideWhenUsed/>
    <w:qFormat/>
    <w:uiPriority w:val="99"/>
    <w:rPr>
      <w:color w:val="0000FF"/>
      <w:u w:val="single"/>
    </w:rPr>
  </w:style>
  <w:style w:type="character" w:styleId="23">
    <w:name w:val="annotation reference"/>
    <w:unhideWhenUsed/>
    <w:qFormat/>
    <w:uiPriority w:val="99"/>
    <w:rPr>
      <w:sz w:val="21"/>
      <w:szCs w:val="21"/>
    </w:rPr>
  </w:style>
  <w:style w:type="character" w:styleId="24">
    <w:name w:val="footnote reference"/>
    <w:qFormat/>
    <w:uiPriority w:val="0"/>
    <w:rPr>
      <w:vertAlign w:val="superscript"/>
    </w:rPr>
  </w:style>
  <w:style w:type="paragraph" w:customStyle="1" w:styleId="25">
    <w:name w:val="纯文本1"/>
    <w:basedOn w:val="1"/>
    <w:qFormat/>
    <w:uiPriority w:val="0"/>
    <w:pPr>
      <w:adjustRightInd w:val="0"/>
      <w:textAlignment w:val="baseline"/>
    </w:pPr>
    <w:rPr>
      <w:rFonts w:ascii="宋体" w:hAnsi="Courier New" w:eastAsia="仿宋_GB2312" w:cs="Times New Roman"/>
      <w:sz w:val="32"/>
      <w:szCs w:val="20"/>
    </w:rPr>
  </w:style>
  <w:style w:type="character" w:customStyle="1" w:styleId="26">
    <w:name w:val="font01"/>
    <w:basedOn w:val="20"/>
    <w:qFormat/>
    <w:uiPriority w:val="0"/>
    <w:rPr>
      <w:rFonts w:hint="eastAsia" w:ascii="宋体" w:hAnsi="宋体" w:eastAsia="宋体" w:cs="宋体"/>
      <w:color w:val="000000"/>
      <w:sz w:val="24"/>
      <w:szCs w:val="24"/>
      <w:u w:val="none"/>
    </w:rPr>
  </w:style>
  <w:style w:type="character" w:customStyle="1" w:styleId="27">
    <w:name w:val="font61"/>
    <w:basedOn w:val="20"/>
    <w:qFormat/>
    <w:uiPriority w:val="0"/>
    <w:rPr>
      <w:rFonts w:hint="eastAsia" w:ascii="宋体" w:hAnsi="宋体" w:eastAsia="宋体" w:cs="宋体"/>
      <w:color w:val="000000"/>
      <w:sz w:val="20"/>
      <w:szCs w:val="20"/>
      <w:u w:val="none"/>
    </w:rPr>
  </w:style>
  <w:style w:type="character" w:customStyle="1" w:styleId="28">
    <w:name w:val="font51"/>
    <w:basedOn w:val="20"/>
    <w:qFormat/>
    <w:uiPriority w:val="0"/>
    <w:rPr>
      <w:rFonts w:hint="eastAsia" w:ascii="宋体" w:hAnsi="宋体" w:eastAsia="宋体" w:cs="宋体"/>
      <w:color w:val="000000"/>
      <w:sz w:val="20"/>
      <w:szCs w:val="20"/>
      <w:u w:val="none"/>
    </w:rPr>
  </w:style>
  <w:style w:type="paragraph" w:styleId="29">
    <w:name w:val="No Spacing"/>
    <w:qFormat/>
    <w:uiPriority w:val="1"/>
    <w:pPr>
      <w:widowControl w:val="0"/>
      <w:jc w:val="both"/>
    </w:pPr>
    <w:rPr>
      <w:rFonts w:ascii="Calibri" w:hAnsi="Calibri" w:eastAsia="仿宋_GB2312" w:cs="Times New Roman"/>
      <w:kern w:val="2"/>
      <w:sz w:val="21"/>
      <w:szCs w:val="22"/>
      <w:lang w:val="en-US" w:eastAsia="zh-CN" w:bidi="ar-SA"/>
    </w:rPr>
  </w:style>
  <w:style w:type="paragraph" w:customStyle="1" w:styleId="30">
    <w:name w:val="样式 (中文) 仿宋_GB2312 三号"/>
    <w:qFormat/>
    <w:uiPriority w:val="0"/>
    <w:pPr>
      <w:widowControl w:val="0"/>
      <w:spacing w:before="50" w:after="50" w:line="560" w:lineRule="exact"/>
      <w:ind w:firstLine="600" w:firstLineChars="200"/>
    </w:pPr>
    <w:rPr>
      <w:rFonts w:ascii="仿宋_GB2312" w:hAnsi="宋体" w:eastAsia="仿宋_GB2312" w:cs="Times New Roman"/>
      <w:bCs/>
      <w:color w:val="000000"/>
      <w:kern w:val="2"/>
      <w:sz w:val="30"/>
      <w:szCs w:val="28"/>
      <w:lang w:val="en-US" w:eastAsia="zh-CN" w:bidi="ar-SA"/>
    </w:rPr>
  </w:style>
  <w:style w:type="paragraph" w:customStyle="1" w:styleId="31">
    <w:name w:val="闻政页码"/>
    <w:qFormat/>
    <w:uiPriority w:val="6"/>
    <w:pPr>
      <w:jc w:val="center"/>
    </w:pPr>
    <w:rPr>
      <w:rFonts w:ascii="Times New Roman" w:hAnsi="Times New Roman" w:eastAsia="Times New Roman" w:cs="Times New Roman"/>
      <w:sz w:val="21"/>
      <w:szCs w:val="28"/>
      <w:lang w:val="en-US" w:eastAsia="zh-CN" w:bidi="ar-SA"/>
    </w:rPr>
  </w:style>
  <w:style w:type="paragraph" w:customStyle="1" w:styleId="32">
    <w:name w:val="闻政封面项目信息"/>
    <w:next w:val="33"/>
    <w:qFormat/>
    <w:uiPriority w:val="0"/>
    <w:pPr>
      <w:widowControl w:val="0"/>
      <w:spacing w:before="120"/>
      <w:ind w:left="800" w:leftChars="800"/>
      <w:jc w:val="left"/>
    </w:pPr>
    <w:rPr>
      <w:rFonts w:ascii="Times New Roman" w:hAnsi="Times New Roman" w:eastAsia="黑体" w:cs="Times New Roman"/>
      <w:kern w:val="0"/>
      <w:sz w:val="28"/>
      <w:szCs w:val="28"/>
      <w:lang w:val="en-US" w:eastAsia="zh-CN" w:bidi="ar-SA"/>
    </w:rPr>
  </w:style>
  <w:style w:type="paragraph" w:customStyle="1" w:styleId="33">
    <w:name w:val="闻政封面完成时间"/>
    <w:qFormat/>
    <w:uiPriority w:val="0"/>
    <w:pPr>
      <w:widowControl w:val="0"/>
      <w:spacing w:before="120"/>
      <w:ind w:left="0" w:leftChars="0"/>
      <w:jc w:val="center"/>
    </w:pPr>
    <w:rPr>
      <w:rFonts w:ascii="Times New Roman" w:hAnsi="Times New Roman" w:eastAsia="黑体" w:cs="Times New Roman"/>
      <w:b/>
      <w:kern w:val="0"/>
      <w:sz w:val="28"/>
      <w:szCs w:val="28"/>
      <w:lang w:val="en-US" w:eastAsia="zh-CN" w:bidi="ar-SA"/>
    </w:rPr>
  </w:style>
  <w:style w:type="paragraph" w:customStyle="1" w:styleId="34">
    <w:name w:val="闻政摘要标题"/>
    <w:qFormat/>
    <w:uiPriority w:val="2"/>
    <w:pPr>
      <w:widowControl w:val="0"/>
      <w:spacing w:before="480" w:after="360"/>
      <w:jc w:val="center"/>
      <w:outlineLvl w:val="0"/>
    </w:pPr>
    <w:rPr>
      <w:rFonts w:ascii="Times New Roman" w:hAnsi="Times New Roman" w:eastAsia="黑体" w:cs="Times New Roman"/>
      <w:b/>
      <w:snapToGrid w:val="0"/>
      <w:kern w:val="2"/>
      <w:sz w:val="32"/>
      <w:szCs w:val="24"/>
      <w:lang w:val="en-US" w:eastAsia="zh-CN" w:bidi="ar-SA"/>
    </w:rPr>
  </w:style>
  <w:style w:type="paragraph" w:customStyle="1" w:styleId="35">
    <w:name w:val="正文-闻政"/>
    <w:link w:val="47"/>
    <w:qFormat/>
    <w:uiPriority w:val="0"/>
    <w:pPr>
      <w:spacing w:line="500" w:lineRule="exact"/>
      <w:ind w:firstLine="200" w:firstLineChars="200"/>
    </w:pPr>
    <w:rPr>
      <w:rFonts w:ascii="等线" w:hAnsi="等线" w:eastAsia="仿宋_GB2312" w:cs="Times New Roman"/>
      <w:kern w:val="2"/>
      <w:sz w:val="28"/>
      <w:szCs w:val="22"/>
      <w:lang w:val="en-US" w:eastAsia="zh-CN" w:bidi="ar-SA"/>
    </w:rPr>
  </w:style>
  <w:style w:type="paragraph" w:customStyle="1" w:styleId="36">
    <w:name w:val="闻政封面标题"/>
    <w:next w:val="32"/>
    <w:qFormat/>
    <w:uiPriority w:val="0"/>
    <w:pPr>
      <w:widowControl w:val="0"/>
      <w:spacing w:before="480" w:after="360"/>
      <w:jc w:val="center"/>
    </w:pPr>
    <w:rPr>
      <w:rFonts w:ascii="Times New Roman" w:hAnsi="Times New Roman" w:eastAsia="黑体" w:cs="Times New Roman"/>
      <w:b/>
      <w:snapToGrid w:val="0"/>
      <w:kern w:val="2"/>
      <w:sz w:val="32"/>
      <w:szCs w:val="24"/>
      <w:lang w:val="en-US" w:eastAsia="zh-CN" w:bidi="ar-SA"/>
    </w:rPr>
  </w:style>
  <w:style w:type="paragraph" w:customStyle="1" w:styleId="37">
    <w:name w:val="闻政表"/>
    <w:qFormat/>
    <w:uiPriority w:val="0"/>
    <w:pPr>
      <w:widowControl w:val="0"/>
      <w:spacing w:before="60" w:after="60"/>
      <w:jc w:val="center"/>
    </w:pPr>
    <w:rPr>
      <w:rFonts w:ascii="Times New Roman" w:hAnsi="Times New Roman" w:eastAsia="仿宋_GB2312" w:cs="Times New Roman"/>
      <w:b/>
      <w:kern w:val="2"/>
      <w:sz w:val="24"/>
      <w:szCs w:val="28"/>
      <w:lang w:val="en-US" w:eastAsia="zh-CN" w:bidi="ar-SA"/>
    </w:rPr>
  </w:style>
  <w:style w:type="character" w:customStyle="1" w:styleId="38">
    <w:name w:val="my正文 Char"/>
    <w:link w:val="39"/>
    <w:qFormat/>
    <w:uiPriority w:val="0"/>
    <w:rPr>
      <w:rFonts w:ascii="Times New Roman" w:hAnsi="Times New Roman" w:eastAsia="仿宋" w:cs="Times New Roman"/>
      <w:kern w:val="0"/>
      <w:sz w:val="28"/>
      <w:szCs w:val="24"/>
      <w:lang w:val="en-US" w:eastAsia="zh-CN" w:bidi="ar-SA"/>
    </w:rPr>
  </w:style>
  <w:style w:type="paragraph" w:customStyle="1" w:styleId="39">
    <w:name w:val="my正文"/>
    <w:link w:val="38"/>
    <w:qFormat/>
    <w:uiPriority w:val="0"/>
    <w:pPr>
      <w:widowControl w:val="0"/>
      <w:spacing w:line="360" w:lineRule="auto"/>
      <w:ind w:firstLine="496" w:firstLineChars="177"/>
      <w:jc w:val="both"/>
    </w:pPr>
    <w:rPr>
      <w:rFonts w:ascii="Times New Roman" w:hAnsi="Times New Roman" w:eastAsia="仿宋" w:cs="Times New Roman"/>
      <w:kern w:val="0"/>
      <w:sz w:val="28"/>
      <w:szCs w:val="24"/>
      <w:lang w:val="en-US" w:eastAsia="zh-CN" w:bidi="ar-SA"/>
    </w:rPr>
  </w:style>
  <w:style w:type="character" w:customStyle="1" w:styleId="40">
    <w:name w:val="闻政正文 Char"/>
    <w:link w:val="14"/>
    <w:qFormat/>
    <w:uiPriority w:val="3"/>
    <w:rPr>
      <w:rFonts w:ascii="Times New Roman" w:hAnsi="Times New Roman" w:eastAsia="仿宋_GB2312" w:cs="Times New Roman"/>
      <w:kern w:val="0"/>
      <w:sz w:val="28"/>
      <w:szCs w:val="28"/>
      <w:lang w:val="en-US" w:eastAsia="zh-CN" w:bidi="ar-SA"/>
    </w:rPr>
  </w:style>
  <w:style w:type="paragraph" w:customStyle="1" w:styleId="41">
    <w:name w:val="闻政附件标题"/>
    <w:qFormat/>
    <w:uiPriority w:val="5"/>
    <w:pPr>
      <w:widowControl w:val="0"/>
      <w:numPr>
        <w:ilvl w:val="5"/>
        <w:numId w:val="1"/>
      </w:numPr>
      <w:spacing w:before="120" w:after="60" w:line="240" w:lineRule="auto"/>
      <w:ind w:firstLine="200" w:firstLineChars="0"/>
      <w:jc w:val="both"/>
      <w:outlineLvl w:val="0"/>
    </w:pPr>
    <w:rPr>
      <w:rFonts w:ascii="Times New Roman" w:hAnsi="Times New Roman" w:eastAsia="黑体" w:cs="Times New Roman"/>
      <w:b/>
      <w:kern w:val="0"/>
      <w:sz w:val="32"/>
      <w:szCs w:val="28"/>
      <w:lang w:val="en-US" w:eastAsia="zh-CN" w:bidi="ar-SA"/>
    </w:rPr>
  </w:style>
  <w:style w:type="paragraph" w:customStyle="1" w:styleId="42">
    <w:name w:val="闻政表文字"/>
    <w:autoRedefine/>
    <w:qFormat/>
    <w:uiPriority w:val="5"/>
    <w:pPr>
      <w:widowControl/>
      <w:pBdr>
        <w:between w:val="single" w:color="auto" w:sz="4" w:space="1"/>
      </w:pBdr>
      <w:spacing w:line="320" w:lineRule="exact"/>
      <w:ind w:firstLine="0" w:firstLineChars="0"/>
      <w:jc w:val="center"/>
    </w:pPr>
    <w:rPr>
      <w:rFonts w:ascii="Times New Roman" w:hAnsi="Times New Roman" w:eastAsia="宋体" w:cs="宋体"/>
      <w:bCs/>
      <w:color w:val="000000"/>
      <w:kern w:val="0"/>
      <w:sz w:val="22"/>
      <w:szCs w:val="22"/>
      <w:lang w:val="en-US" w:eastAsia="zh-CN" w:bidi="ar-SA"/>
    </w:rPr>
  </w:style>
  <w:style w:type="paragraph" w:customStyle="1" w:styleId="43">
    <w:name w:val="正文文本样式"/>
    <w:qFormat/>
    <w:uiPriority w:val="0"/>
    <w:pPr>
      <w:spacing w:line="360" w:lineRule="auto"/>
      <w:ind w:firstLine="480" w:firstLineChars="200"/>
    </w:pPr>
    <w:rPr>
      <w:rFonts w:ascii="Arial" w:hAnsi="Arial" w:eastAsia="宋体" w:cs="Times New Roman"/>
      <w:kern w:val="2"/>
      <w:sz w:val="24"/>
      <w:szCs w:val="22"/>
      <w:lang w:val="en-US" w:eastAsia="zh-CN" w:bidi="ar-SA"/>
    </w:rPr>
  </w:style>
  <w:style w:type="paragraph" w:customStyle="1" w:styleId="44">
    <w:name w:val="闻政附件一级标题"/>
    <w:next w:val="45"/>
    <w:qFormat/>
    <w:uiPriority w:val="7"/>
    <w:pPr>
      <w:widowControl w:val="0"/>
      <w:spacing w:before="120" w:after="60" w:line="500" w:lineRule="exact"/>
      <w:ind w:firstLine="0" w:firstLineChars="0"/>
      <w:jc w:val="left"/>
    </w:pPr>
    <w:rPr>
      <w:rFonts w:ascii="Times New Roman" w:hAnsi="Times New Roman" w:eastAsia="仿宋_GB2312" w:cs="宋体"/>
      <w:b/>
      <w:kern w:val="0"/>
      <w:sz w:val="28"/>
      <w:szCs w:val="28"/>
      <w:lang w:val="en-US" w:eastAsia="zh-CN" w:bidi="ar-SA"/>
    </w:rPr>
  </w:style>
  <w:style w:type="paragraph" w:customStyle="1" w:styleId="45">
    <w:name w:val="闻政附件正文"/>
    <w:qFormat/>
    <w:uiPriority w:val="99"/>
    <w:pPr>
      <w:widowControl w:val="0"/>
      <w:spacing w:line="500" w:lineRule="exact"/>
      <w:ind w:firstLine="200" w:firstLineChars="200"/>
      <w:jc w:val="both"/>
    </w:pPr>
    <w:rPr>
      <w:rFonts w:ascii="Times New Roman" w:hAnsi="Times New Roman" w:eastAsia="仿宋_GB2312" w:cs="Times New Roman"/>
      <w:kern w:val="0"/>
      <w:sz w:val="24"/>
      <w:szCs w:val="28"/>
      <w:lang w:val="en-US" w:eastAsia="zh-CN" w:bidi="ar-SA"/>
    </w:rPr>
  </w:style>
  <w:style w:type="paragraph" w:customStyle="1" w:styleId="46">
    <w:name w:val="闻政附件报告名"/>
    <w:autoRedefine/>
    <w:qFormat/>
    <w:uiPriority w:val="9"/>
    <w:pPr>
      <w:widowControl w:val="0"/>
      <w:spacing w:before="120" w:after="60" w:line="500" w:lineRule="exact"/>
      <w:ind w:firstLine="0" w:firstLineChars="0"/>
      <w:jc w:val="center"/>
    </w:pPr>
    <w:rPr>
      <w:rFonts w:ascii="Times New Roman" w:hAnsi="Times New Roman" w:eastAsia="仿宋_GB2312" w:cs="Times New Roman"/>
      <w:b/>
      <w:kern w:val="0"/>
      <w:sz w:val="28"/>
      <w:szCs w:val="28"/>
      <w:lang w:val="en-US" w:eastAsia="zh-CN" w:bidi="ar-SA"/>
    </w:rPr>
  </w:style>
  <w:style w:type="character" w:customStyle="1" w:styleId="47">
    <w:name w:val="正文-闻政 Char"/>
    <w:link w:val="35"/>
    <w:qFormat/>
    <w:uiPriority w:val="0"/>
    <w:rPr>
      <w:rFonts w:ascii="等线" w:hAnsi="等线" w:eastAsia="仿宋_GB2312"/>
      <w:kern w:val="2"/>
      <w:sz w:val="28"/>
      <w:szCs w:val="22"/>
      <w:lang w:val="en-US" w:eastAsia="zh-CN" w:bidi="ar-SA"/>
    </w:rPr>
  </w:style>
  <w:style w:type="paragraph" w:customStyle="1" w:styleId="48">
    <w:name w:val="列出段落1"/>
    <w:qFormat/>
    <w:uiPriority w:val="34"/>
    <w:pPr>
      <w:widowControl w:val="0"/>
      <w:ind w:firstLine="420" w:firstLineChars="200"/>
      <w:jc w:val="both"/>
    </w:pPr>
    <w:rPr>
      <w:rFonts w:ascii="Calibri" w:hAnsi="Calibri" w:eastAsia="宋体" w:cs="Times New Roman"/>
      <w:kern w:val="0"/>
      <w:sz w:val="20"/>
      <w:szCs w:val="20"/>
      <w:lang w:val="en-US" w:eastAsia="zh-CN" w:bidi="ar-SA"/>
    </w:rPr>
  </w:style>
  <w:style w:type="paragraph" w:customStyle="1" w:styleId="49">
    <w:name w:val="正文首行缩进1"/>
    <w:qFormat/>
    <w:uiPriority w:val="0"/>
    <w:pPr>
      <w:spacing w:after="120"/>
      <w:ind w:firstLine="420"/>
    </w:pPr>
    <w:rPr>
      <w:rFonts w:eastAsia="Calibri" w:cs="Calibri" w:asciiTheme="minorHAnsi" w:hAnsiTheme="minorHAnsi"/>
      <w:color w:val="000000"/>
      <w:kern w:val="2"/>
      <w:sz w:val="21"/>
      <w:szCs w:val="21"/>
      <w:lang w:val="en-US" w:eastAsia="zh-CN" w:bidi="ar-SA"/>
    </w:rPr>
  </w:style>
  <w:style w:type="paragraph" w:customStyle="1" w:styleId="50">
    <w:name w:val="BodyText1I2"/>
    <w:basedOn w:val="1"/>
    <w:autoRedefine/>
    <w:qFormat/>
    <w:uiPriority w:val="0"/>
    <w:pPr>
      <w:widowControl/>
      <w:spacing w:after="156"/>
      <w:ind w:left="420" w:leftChars="200" w:firstLine="420"/>
      <w:jc w:val="left"/>
    </w:pPr>
    <w:rPr>
      <w:color w:val="000000"/>
      <w:sz w:val="24"/>
      <w:szCs w:val="20"/>
    </w:rPr>
  </w:style>
  <w:style w:type="character" w:customStyle="1" w:styleId="51">
    <w:name w:val="NormalCharacter"/>
    <w:autoRedefine/>
    <w:semiHidden/>
    <w:qFormat/>
    <w:uiPriority w:val="0"/>
    <w:rPr>
      <w:rFonts w:hint="default" w:ascii="Times New Roman" w:hAnsi="Times New Roman" w:eastAsia="仿宋_GB2312" w:cs="Times New Roman"/>
      <w:kern w:val="2"/>
      <w:sz w:val="30"/>
      <w:szCs w:val="24"/>
      <w:lang w:val="en-US" w:eastAsia="zh-CN" w:bidi="ar-SA"/>
    </w:rPr>
  </w:style>
  <w:style w:type="paragraph" w:customStyle="1" w:styleId="52">
    <w:name w:val="样式11"/>
    <w:basedOn w:val="1"/>
    <w:autoRedefine/>
    <w:qFormat/>
    <w:uiPriority w:val="0"/>
    <w:pPr>
      <w:spacing w:line="600" w:lineRule="exact"/>
      <w:ind w:firstLine="602" w:firstLineChars="200"/>
    </w:pPr>
    <w:rPr>
      <w:rFonts w:ascii="宋体" w:hAnsi="宋体" w:eastAsiaTheme="minorEastAsia" w:cstheme="minorBidi"/>
      <w:b/>
      <w:sz w:val="30"/>
      <w:szCs w:val="30"/>
    </w:rPr>
  </w:style>
  <w:style w:type="paragraph" w:customStyle="1" w:styleId="53">
    <w:name w:val="正文 A"/>
    <w:autoRedefine/>
    <w:qFormat/>
    <w:uiPriority w:val="0"/>
    <w:pPr>
      <w:widowControl w:val="0"/>
      <w:jc w:val="both"/>
    </w:pPr>
    <w:rPr>
      <w:rFonts w:ascii="Times New Roman" w:hAnsi="Arial Unicode MS" w:eastAsia="Arial Unicode MS" w:cs="Arial Unicode MS"/>
      <w:color w:val="000000"/>
      <w:kern w:val="2"/>
      <w:sz w:val="21"/>
      <w:szCs w:val="21"/>
      <w:u w:color="000000"/>
      <w:lang w:val="en-US" w:eastAsia="zh-CN" w:bidi="ar-SA"/>
    </w:rPr>
  </w:style>
  <w:style w:type="paragraph" w:customStyle="1" w:styleId="54">
    <w:name w:val="首行缩进"/>
    <w:basedOn w:val="1"/>
    <w:autoRedefine/>
    <w:qFormat/>
    <w:uiPriority w:val="99"/>
    <w:pPr>
      <w:spacing w:line="360" w:lineRule="auto"/>
      <w:ind w:firstLine="480" w:firstLineChars="200"/>
    </w:pPr>
    <w:rPr>
      <w:rFonts w:ascii="宋体" w:hAnsi="宋体" w:cs="宋体"/>
      <w:kern w:val="0"/>
    </w:rPr>
  </w:style>
  <w:style w:type="paragraph" w:customStyle="1" w:styleId="55">
    <w:name w:val="Style1"/>
    <w:basedOn w:val="1"/>
    <w:autoRedefine/>
    <w:qFormat/>
    <w:uiPriority w:val="0"/>
    <w:pPr>
      <w:widowControl/>
      <w:tabs>
        <w:tab w:val="left" w:pos="-720"/>
      </w:tabs>
      <w:spacing w:after="120" w:line="400" w:lineRule="exact"/>
      <w:ind w:firstLine="200" w:firstLineChars="200"/>
    </w:pPr>
    <w:rPr>
      <w:rFonts w:ascii="Times New Roman" w:hAnsi="Times New Roman"/>
      <w:spacing w:val="-3"/>
      <w:kern w:val="0"/>
      <w:sz w:val="24"/>
      <w:lang w:val="en-AU" w:eastAsia="en-US"/>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theme" Target="theme/theme1.xml"/><Relationship Id="rId23" Type="http://schemas.openxmlformats.org/officeDocument/2006/relationships/footer" Target="footer11.xml"/><Relationship Id="rId22" Type="http://schemas.openxmlformats.org/officeDocument/2006/relationships/header" Target="header10.xml"/><Relationship Id="rId21" Type="http://schemas.openxmlformats.org/officeDocument/2006/relationships/footer" Target="footer10.xml"/><Relationship Id="rId20" Type="http://schemas.openxmlformats.org/officeDocument/2006/relationships/footer" Target="footer9.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header" Target="header7.xml"/><Relationship Id="rId15" Type="http://schemas.openxmlformats.org/officeDocument/2006/relationships/footer" Target="footer7.xml"/><Relationship Id="rId14" Type="http://schemas.openxmlformats.org/officeDocument/2006/relationships/footer" Target="footer6.xml"/><Relationship Id="rId13" Type="http://schemas.openxmlformats.org/officeDocument/2006/relationships/footer" Target="footer5.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51</Pages>
  <Words>18908</Words>
  <Characters>20958</Characters>
  <Lines>0</Lines>
  <Paragraphs>0</Paragraphs>
  <TotalTime>25</TotalTime>
  <ScaleCrop>false</ScaleCrop>
  <LinksUpToDate>false</LinksUpToDate>
  <CharactersWithSpaces>21044</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2021-05-15T08:41:00Z</dcterms:created>
  <dc:creator>刘鹏</dc:creator>
  <cp:lastModifiedBy>Administrator</cp:lastModifiedBy>
  <cp:lastPrinted>2022-11-11T08:34:00Z</cp:lastPrinted>
  <dcterms:modified xsi:type="dcterms:W3CDTF">2024-05-06T09:17:46Z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9B13EB97A2754A32BEE66D4062EB62D0_13</vt:lpwstr>
  </property>
</Properties>
</file>