
<file path=[Content_Types].xml><?xml version="1.0" encoding="utf-8"?>
<Types xmlns="http://schemas.openxmlformats.org/package/2006/content-types">
  <Default Extension="xml" ContentType="application/xml"/>
  <Default Extension="bin" ContentType="application/vnd.openxmlformats-officedocument.oleObject"/>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632" w:firstLineChars="200"/>
        <w:jc w:val="right"/>
        <w:rPr>
          <w:rFonts w:ascii="仿宋_GB2312" w:eastAsia="仿宋_GB2312"/>
        </w:rPr>
      </w:pPr>
      <w:bookmarkStart w:id="1" w:name="_GoBack"/>
      <w:bookmarkEnd w:id="1"/>
    </w:p>
    <w:p>
      <w:pPr>
        <w:jc w:val="center"/>
        <w:rPr>
          <w:rFonts w:ascii="仿宋_GB2312" w:eastAsia="仿宋_GB2312"/>
        </w:rPr>
      </w:pPr>
    </w:p>
    <w:p>
      <w:pPr>
        <w:jc w:val="center"/>
        <w:rPr>
          <w:rFonts w:ascii="仿宋_GB2312" w:eastAsia="仿宋_GB2312"/>
        </w:rPr>
      </w:pPr>
    </w:p>
    <w:p>
      <w:pPr>
        <w:jc w:val="center"/>
        <w:rPr>
          <w:rFonts w:hint="eastAsia" w:ascii="宋体" w:hAnsi="宋体" w:eastAsia="宋体" w:cs="宋体"/>
          <w:spacing w:val="62"/>
          <w:sz w:val="74"/>
        </w:rPr>
      </w:pPr>
      <w:r>
        <w:rPr>
          <w:rFonts w:hint="eastAsia" w:ascii="宋体" w:hAnsi="宋体" w:eastAsia="宋体" w:cs="宋体"/>
          <w:spacing w:val="62"/>
          <w:sz w:val="74"/>
        </w:rPr>
        <w:t>2019年度</w:t>
      </w:r>
    </w:p>
    <w:p>
      <w:pPr>
        <w:jc w:val="center"/>
        <w:rPr>
          <w:rFonts w:hint="eastAsia" w:ascii="宋体" w:hAnsi="宋体" w:eastAsia="宋体" w:cs="宋体"/>
          <w:spacing w:val="60"/>
          <w:sz w:val="74"/>
          <w:lang w:eastAsia="zh-CN"/>
        </w:rPr>
      </w:pPr>
      <w:r>
        <w:rPr>
          <w:rFonts w:hint="eastAsia" w:ascii="宋体" w:hAnsi="宋体" w:eastAsia="宋体" w:cs="宋体"/>
          <w:spacing w:val="60"/>
          <w:sz w:val="74"/>
          <w:lang w:eastAsia="zh-CN"/>
        </w:rPr>
        <w:t>威海市文登区粮食局</w:t>
      </w:r>
    </w:p>
    <w:p>
      <w:pPr>
        <w:jc w:val="center"/>
        <w:rPr>
          <w:rFonts w:ascii="方正小标宋简体"/>
          <w:spacing w:val="62"/>
          <w:sz w:val="74"/>
        </w:rPr>
      </w:pPr>
      <w:r>
        <w:rPr>
          <w:rFonts w:hint="eastAsia" w:ascii="宋体" w:hAnsi="宋体" w:eastAsia="宋体" w:cs="宋体"/>
          <w:spacing w:val="62"/>
          <w:sz w:val="74"/>
        </w:rPr>
        <w:t>部门决算</w:t>
      </w:r>
    </w:p>
    <w:p>
      <w:pPr>
        <w:jc w:val="center"/>
        <w:rPr>
          <w:rFonts w:ascii="楷体_GB2312" w:eastAsia="楷体_GB2312"/>
          <w:b/>
          <w:sz w:val="42"/>
        </w:rPr>
      </w:pPr>
    </w:p>
    <w:p>
      <w:pPr>
        <w:jc w:val="center"/>
        <w:rPr>
          <w:rFonts w:ascii="楷体_GB2312" w:eastAsia="楷体_GB2312"/>
          <w:b/>
          <w:sz w:val="42"/>
        </w:rPr>
      </w:pPr>
    </w:p>
    <w:p>
      <w:pPr>
        <w:rPr>
          <w:rFonts w:ascii="仿宋_GB2312" w:eastAsia="仿宋_GB2312"/>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p>
    <w:p>
      <w:pPr>
        <w:spacing w:afterLines="50" w:line="580" w:lineRule="exact"/>
        <w:jc w:val="center"/>
        <w:rPr>
          <w:rFonts w:ascii="方正小标宋简体" w:eastAsia="方正小标宋简体"/>
          <w:sz w:val="44"/>
          <w:szCs w:val="44"/>
        </w:rPr>
      </w:pPr>
      <w:r>
        <w:rPr>
          <w:rFonts w:hint="eastAsia" w:ascii="方正小标宋简体" w:eastAsia="方正小标宋简体"/>
          <w:sz w:val="44"/>
          <w:szCs w:val="44"/>
        </w:rPr>
        <w:t>目  录</w:t>
      </w:r>
    </w:p>
    <w:p>
      <w:pPr>
        <w:spacing w:line="580" w:lineRule="exact"/>
        <w:ind w:firstLine="316" w:firstLineChars="100"/>
        <w:rPr>
          <w:rFonts w:ascii="黑体" w:hAnsi="黑体" w:eastAsia="黑体"/>
        </w:rPr>
      </w:pPr>
      <w:r>
        <w:rPr>
          <w:rFonts w:hint="eastAsia" w:ascii="黑体" w:hAnsi="黑体" w:eastAsia="黑体"/>
        </w:rPr>
        <w:t>第一部分  部门概况</w:t>
      </w:r>
    </w:p>
    <w:p>
      <w:pPr>
        <w:spacing w:line="580" w:lineRule="exact"/>
        <w:ind w:firstLine="632" w:firstLineChars="200"/>
        <w:rPr>
          <w:rFonts w:ascii="仿宋_GB2312" w:eastAsia="仿宋_GB2312"/>
        </w:rPr>
      </w:pPr>
      <w:r>
        <w:rPr>
          <w:rFonts w:hint="eastAsia" w:ascii="仿宋_GB2312" w:eastAsia="仿宋_GB2312"/>
        </w:rPr>
        <w:t>一、部门职责</w:t>
      </w:r>
    </w:p>
    <w:p>
      <w:pPr>
        <w:spacing w:line="580" w:lineRule="exact"/>
        <w:ind w:firstLine="632" w:firstLineChars="200"/>
        <w:rPr>
          <w:rFonts w:ascii="仿宋_GB2312" w:eastAsia="仿宋_GB2312"/>
        </w:rPr>
      </w:pPr>
      <w:r>
        <w:rPr>
          <w:rFonts w:hint="eastAsia" w:ascii="仿宋_GB2312" w:eastAsia="仿宋_GB2312"/>
        </w:rPr>
        <w:t>二、机构设置</w:t>
      </w:r>
    </w:p>
    <w:p>
      <w:pPr>
        <w:spacing w:line="580" w:lineRule="exact"/>
        <w:ind w:firstLine="316" w:firstLineChars="100"/>
        <w:rPr>
          <w:rFonts w:ascii="黑体" w:hAnsi="黑体" w:eastAsia="黑体"/>
        </w:rPr>
      </w:pPr>
      <w:r>
        <w:rPr>
          <w:rFonts w:hint="eastAsia" w:ascii="黑体" w:hAnsi="黑体" w:eastAsia="黑体"/>
        </w:rPr>
        <w:t>第二部分  2019年度部门决算表</w:t>
      </w:r>
    </w:p>
    <w:p>
      <w:pPr>
        <w:spacing w:line="580" w:lineRule="exact"/>
        <w:ind w:firstLine="632" w:firstLineChars="200"/>
        <w:rPr>
          <w:rFonts w:ascii="仿宋_GB2312" w:eastAsia="仿宋_GB2312"/>
        </w:rPr>
      </w:pPr>
      <w:r>
        <w:rPr>
          <w:rFonts w:hint="eastAsia" w:ascii="仿宋_GB2312" w:eastAsia="仿宋_GB2312"/>
        </w:rPr>
        <w:t>一、收入支出决算总表</w:t>
      </w:r>
    </w:p>
    <w:p>
      <w:pPr>
        <w:spacing w:line="580" w:lineRule="exact"/>
        <w:ind w:firstLine="632" w:firstLineChars="200"/>
        <w:rPr>
          <w:rFonts w:ascii="仿宋_GB2312" w:eastAsia="仿宋_GB2312"/>
        </w:rPr>
      </w:pPr>
      <w:r>
        <w:rPr>
          <w:rFonts w:hint="eastAsia" w:ascii="仿宋_GB2312" w:eastAsia="仿宋_GB2312"/>
        </w:rPr>
        <w:t>二、收入决算表</w:t>
      </w:r>
    </w:p>
    <w:p>
      <w:pPr>
        <w:spacing w:line="580" w:lineRule="exact"/>
        <w:ind w:firstLine="632" w:firstLineChars="200"/>
        <w:rPr>
          <w:rFonts w:ascii="仿宋_GB2312" w:eastAsia="仿宋_GB2312"/>
        </w:rPr>
      </w:pPr>
      <w:r>
        <w:rPr>
          <w:rFonts w:hint="eastAsia" w:ascii="仿宋_GB2312" w:eastAsia="仿宋_GB2312"/>
        </w:rPr>
        <w:t>三、支出决算表</w:t>
      </w:r>
    </w:p>
    <w:p>
      <w:pPr>
        <w:spacing w:line="580" w:lineRule="exact"/>
        <w:ind w:firstLine="632" w:firstLineChars="200"/>
        <w:rPr>
          <w:rFonts w:ascii="仿宋_GB2312" w:eastAsia="仿宋_GB2312"/>
        </w:rPr>
      </w:pPr>
      <w:r>
        <w:rPr>
          <w:rFonts w:hint="eastAsia" w:ascii="仿宋_GB2312" w:eastAsia="仿宋_GB2312"/>
        </w:rPr>
        <w:t>四、财政拨款收入支出决算总表</w:t>
      </w:r>
    </w:p>
    <w:p>
      <w:pPr>
        <w:spacing w:line="580" w:lineRule="exact"/>
        <w:ind w:firstLine="632" w:firstLineChars="200"/>
        <w:rPr>
          <w:rFonts w:ascii="仿宋_GB2312" w:eastAsia="仿宋_GB2312"/>
        </w:rPr>
      </w:pPr>
      <w:r>
        <w:rPr>
          <w:rFonts w:hint="eastAsia" w:ascii="仿宋_GB2312" w:eastAsia="仿宋_GB2312"/>
        </w:rPr>
        <w:t>五、一般公共预算财政拨款支出决算表</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六、一般公共预算财政拨款基本支出决算表</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七、一般公共预算财政拨款“三公”经费支出决算表</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八、政府性基金预算财政拨款收入支出决算表</w:t>
      </w:r>
    </w:p>
    <w:p>
      <w:pPr>
        <w:spacing w:line="580" w:lineRule="exact"/>
        <w:ind w:firstLine="316" w:firstLineChars="100"/>
        <w:rPr>
          <w:rFonts w:ascii="黑体" w:hAnsi="黑体" w:eastAsia="黑体"/>
        </w:rPr>
      </w:pPr>
      <w:r>
        <w:rPr>
          <w:rFonts w:hint="eastAsia" w:ascii="黑体" w:hAnsi="黑体" w:eastAsia="黑体"/>
        </w:rPr>
        <w:t>第三部分  2019年度部门决算情况说明</w:t>
      </w:r>
    </w:p>
    <w:p>
      <w:pPr>
        <w:spacing w:line="580" w:lineRule="exact"/>
        <w:ind w:firstLine="632" w:firstLineChars="200"/>
        <w:rPr>
          <w:rFonts w:ascii="仿宋_GB2312" w:eastAsia="仿宋_GB2312"/>
        </w:rPr>
      </w:pPr>
      <w:r>
        <w:rPr>
          <w:rFonts w:hint="eastAsia" w:ascii="仿宋_GB2312" w:eastAsia="仿宋_GB2312"/>
        </w:rPr>
        <w:t>一、收入支出决算总体情况说明</w:t>
      </w:r>
    </w:p>
    <w:p>
      <w:pPr>
        <w:spacing w:line="580" w:lineRule="exact"/>
        <w:ind w:firstLine="632" w:firstLineChars="200"/>
        <w:rPr>
          <w:rFonts w:ascii="仿宋_GB2312" w:eastAsia="仿宋_GB2312"/>
        </w:rPr>
      </w:pPr>
      <w:r>
        <w:rPr>
          <w:rFonts w:hint="eastAsia" w:ascii="仿宋_GB2312" w:eastAsia="仿宋_GB2312"/>
        </w:rPr>
        <w:t>二、收入决算情况说明</w:t>
      </w:r>
    </w:p>
    <w:p>
      <w:pPr>
        <w:spacing w:line="580" w:lineRule="exact"/>
        <w:ind w:firstLine="632" w:firstLineChars="200"/>
        <w:rPr>
          <w:rFonts w:ascii="仿宋_GB2312" w:eastAsia="仿宋_GB2312"/>
        </w:rPr>
      </w:pPr>
      <w:r>
        <w:rPr>
          <w:rFonts w:hint="eastAsia" w:ascii="仿宋_GB2312" w:eastAsia="仿宋_GB2312"/>
        </w:rPr>
        <w:t>三、支出决算情况说明</w:t>
      </w:r>
    </w:p>
    <w:p>
      <w:pPr>
        <w:spacing w:line="580" w:lineRule="exact"/>
        <w:ind w:firstLine="632" w:firstLineChars="200"/>
        <w:rPr>
          <w:rFonts w:ascii="仿宋_GB2312" w:eastAsia="仿宋_GB2312"/>
        </w:rPr>
      </w:pPr>
      <w:r>
        <w:rPr>
          <w:rFonts w:hint="eastAsia" w:ascii="仿宋_GB2312" w:eastAsia="仿宋_GB2312"/>
        </w:rPr>
        <w:t>四、财政拨款收入支出决算总体情况说明</w:t>
      </w:r>
    </w:p>
    <w:p>
      <w:pPr>
        <w:spacing w:line="580" w:lineRule="exact"/>
        <w:ind w:firstLine="632" w:firstLineChars="200"/>
        <w:rPr>
          <w:rFonts w:ascii="仿宋_GB2312" w:eastAsia="仿宋_GB2312"/>
        </w:rPr>
      </w:pPr>
      <w:r>
        <w:rPr>
          <w:rFonts w:hint="eastAsia" w:ascii="仿宋_GB2312" w:eastAsia="仿宋_GB2312"/>
        </w:rPr>
        <w:t>五、一般公共预算财政拨款支出决算情况说明</w:t>
      </w:r>
    </w:p>
    <w:p>
      <w:pPr>
        <w:spacing w:line="580" w:lineRule="exact"/>
        <w:ind w:firstLine="632" w:firstLineChars="200"/>
        <w:rPr>
          <w:rFonts w:ascii="仿宋_GB2312" w:eastAsia="仿宋_GB2312"/>
        </w:rPr>
      </w:pPr>
      <w:r>
        <w:rPr>
          <w:rFonts w:hint="eastAsia" w:ascii="仿宋_GB2312" w:eastAsia="仿宋_GB2312"/>
        </w:rPr>
        <w:t>六、一般公共预算财政拨款基本支出决算情况说明</w:t>
      </w:r>
    </w:p>
    <w:p>
      <w:pPr>
        <w:spacing w:line="580" w:lineRule="exact"/>
        <w:ind w:firstLine="632" w:firstLineChars="200"/>
        <w:rPr>
          <w:rFonts w:ascii="仿宋_GB2312" w:eastAsia="仿宋_GB2312"/>
        </w:rPr>
      </w:pPr>
      <w:r>
        <w:rPr>
          <w:rFonts w:hint="eastAsia" w:ascii="仿宋_GB2312" w:eastAsia="仿宋_GB2312"/>
        </w:rPr>
        <w:t>七、一般公共预算财政拨款“三公”经费支出决算情况说明</w:t>
      </w:r>
    </w:p>
    <w:p>
      <w:pPr>
        <w:spacing w:line="580" w:lineRule="exact"/>
        <w:ind w:firstLine="632" w:firstLineChars="200"/>
        <w:rPr>
          <w:rFonts w:ascii="仿宋_GB2312" w:eastAsia="仿宋_GB2312"/>
        </w:rPr>
      </w:pPr>
      <w:r>
        <w:rPr>
          <w:rFonts w:hint="eastAsia" w:ascii="仿宋_GB2312" w:eastAsia="仿宋_GB2312"/>
        </w:rPr>
        <w:t>八、政府性基金预算财政拨款收入支出决算情况说明</w:t>
      </w:r>
    </w:p>
    <w:p>
      <w:pPr>
        <w:spacing w:line="580" w:lineRule="exact"/>
        <w:ind w:firstLine="632" w:firstLineChars="200"/>
        <w:rPr>
          <w:rFonts w:ascii="仿宋_GB2312" w:eastAsia="仿宋_GB2312"/>
        </w:rPr>
      </w:pPr>
      <w:r>
        <w:rPr>
          <w:rFonts w:hint="eastAsia" w:ascii="仿宋_GB2312" w:eastAsia="仿宋_GB2312"/>
        </w:rPr>
        <w:t>九、重要事项情况说明</w:t>
      </w:r>
    </w:p>
    <w:p>
      <w:pPr>
        <w:spacing w:line="580" w:lineRule="exact"/>
        <w:ind w:firstLine="316" w:firstLineChars="100"/>
        <w:rPr>
          <w:rFonts w:ascii="黑体" w:hAnsi="黑体" w:eastAsia="黑体"/>
        </w:rPr>
      </w:pPr>
      <w:r>
        <w:rPr>
          <w:rFonts w:hint="eastAsia" w:ascii="黑体" w:hAnsi="黑体" w:eastAsia="黑体"/>
        </w:rPr>
        <w:t>第四部分  名词解释</w:t>
      </w:r>
    </w:p>
    <w:p>
      <w:pPr>
        <w:spacing w:line="580" w:lineRule="exact"/>
        <w:ind w:firstLine="316" w:firstLineChars="100"/>
        <w:rPr>
          <w:rFonts w:ascii="黑体" w:hAnsi="黑体" w:eastAsia="黑体"/>
        </w:rPr>
      </w:pPr>
      <w:r>
        <w:rPr>
          <w:rFonts w:hint="eastAsia" w:ascii="黑体" w:hAnsi="黑体" w:eastAsia="黑体"/>
        </w:rPr>
        <w:t xml:space="preserve">第五部分  附件  </w:t>
      </w: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spacing w:line="580" w:lineRule="exact"/>
        <w:ind w:firstLine="316" w:firstLineChars="100"/>
        <w:rPr>
          <w:rFonts w:ascii="黑体" w:hAnsi="黑体" w:eastAsia="黑体"/>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第一部分</w:t>
      </w:r>
    </w:p>
    <w:p>
      <w:pPr>
        <w:jc w:val="center"/>
        <w:rPr>
          <w:rFonts w:ascii="方正小标宋简体" w:eastAsia="仿宋" w:cs="仿宋"/>
          <w:spacing w:val="60"/>
          <w:sz w:val="42"/>
          <w:szCs w:val="32"/>
        </w:rPr>
      </w:pPr>
    </w:p>
    <w:p>
      <w:pPr>
        <w:jc w:val="center"/>
        <w:rPr>
          <w:rFonts w:ascii="方正小标宋简体" w:eastAsia="仿宋" w:cs="仿宋"/>
          <w:spacing w:val="60"/>
          <w:sz w:val="48"/>
          <w:szCs w:val="32"/>
        </w:rPr>
      </w:pPr>
      <w:r>
        <w:rPr>
          <w:rFonts w:hint="eastAsia" w:ascii="方正小标宋简体" w:eastAsia="仿宋" w:cs="仿宋"/>
          <w:spacing w:val="60"/>
          <w:sz w:val="48"/>
          <w:szCs w:val="32"/>
        </w:rPr>
        <w:t>部门概况</w:t>
      </w:r>
    </w:p>
    <w:p>
      <w:pPr>
        <w:jc w:val="center"/>
        <w:rPr>
          <w:rFonts w:ascii="仿宋_GB2312" w:eastAsia="仿宋" w:cs="仿宋"/>
          <w:szCs w:val="32"/>
        </w:rPr>
        <w:sectPr>
          <w:headerReference r:id="rId3" w:type="default"/>
          <w:footerReference r:id="rId4" w:type="default"/>
          <w:pgSz w:w="11906" w:h="16838"/>
          <w:pgMar w:top="1701" w:right="1531" w:bottom="1701" w:left="1531" w:header="0" w:footer="1418" w:gutter="0"/>
          <w:cols w:space="720" w:num="1"/>
          <w:docGrid w:type="linesAndChars" w:linePitch="610" w:charSpace="-849"/>
        </w:sectPr>
      </w:pPr>
    </w:p>
    <w:p>
      <w:pPr>
        <w:ind w:firstLine="632" w:firstLineChars="200"/>
        <w:rPr>
          <w:rFonts w:hint="eastAsia" w:ascii="黑体" w:hAnsi="黑体" w:eastAsia="黑体"/>
        </w:rPr>
      </w:pPr>
      <w:r>
        <w:rPr>
          <w:rFonts w:hint="eastAsia" w:ascii="黑体" w:hAnsi="黑体" w:eastAsia="黑体"/>
        </w:rPr>
        <w:t>一、部门职责</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（一）提出我区粮食宏观调控、总量平衡及粮食流通的中长期规划、收支存计划和市级储备粮的收储、动用建议并组织实施；提出我区粮食流通产业发展的建议。</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（二）承担粮食监测预警和应急责任，负责我区粮食流通宏观调控的具体工作；指导粮食购销有关工作，保障我区军队和城乡居民的粮食供应。</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（三）拟订我区粮食流通、粮食储备等方面的政策并组织实施。</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（四）负责对我区粮食收购、储存环节及政策性用粮购销活动中的粮食质量安全和原粮卫生进行监督管理。</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（五）承担区级储备粮行政管理责任，提出区级储备粮的规模、总体布局和收购、销售、储存、轮换计划并组织实施；负责区级储备粮库资产管理和我区粮食清仓查库工作；指导我区粮食储备体系建设。</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（六）编制我区粮食流通、仓储、加工设施建设规划，提出有关粮食流通设施市级投资项目的建议，参与有关粮食流通设施区级投资项目的建设管理。</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（七）拟订我区粮食市场体系建设与发展规划并组织实施，指导我区粮食市场建设与管理，协同有关部门共同管好粮食市场，维护正常的粮食流通秩序。</w:t>
      </w:r>
    </w:p>
    <w:p>
      <w:pPr>
        <w:ind w:firstLine="632" w:firstLineChars="200"/>
        <w:rPr>
          <w:rFonts w:hint="eastAsia" w:ascii="仿宋_GB2312" w:eastAsia="仿宋_GB2312"/>
          <w:sz w:val="32"/>
          <w:szCs w:val="32"/>
          <w:lang w:eastAsia="zh-CN"/>
        </w:rPr>
      </w:pPr>
      <w:r>
        <w:rPr>
          <w:rFonts w:hint="eastAsia" w:ascii="仿宋_GB2312" w:eastAsia="仿宋_GB2312"/>
          <w:sz w:val="32"/>
          <w:szCs w:val="32"/>
        </w:rPr>
        <w:t>（八）负责我区粮食统计、流通信息工作；指导、监督我区粮食系统财务工作。</w:t>
      </w:r>
    </w:p>
    <w:p>
      <w:pPr>
        <w:ind w:firstLine="632" w:firstLineChars="200"/>
        <w:rPr>
          <w:rFonts w:hint="eastAsia" w:ascii="仿宋_GB2312" w:eastAsia="仿宋_GB2312"/>
        </w:rPr>
      </w:pPr>
      <w:r>
        <w:rPr>
          <w:rFonts w:hint="eastAsia" w:ascii="仿宋_GB2312" w:eastAsia="仿宋_GB2312"/>
          <w:sz w:val="32"/>
          <w:szCs w:val="32"/>
        </w:rPr>
        <w:t>（九）承办区委、区政府及区发展和改革委员会交办的其他事项。</w:t>
      </w:r>
    </w:p>
    <w:p>
      <w:pPr>
        <w:ind w:firstLine="632" w:firstLineChars="200"/>
        <w:rPr>
          <w:rFonts w:hint="eastAsia" w:ascii="黑体" w:hAnsi="黑体" w:eastAsia="黑体"/>
        </w:rPr>
      </w:pPr>
      <w:r>
        <w:rPr>
          <w:rFonts w:hint="eastAsia" w:ascii="黑体" w:hAnsi="黑体" w:eastAsia="黑体"/>
        </w:rPr>
        <w:t>二、机构设置</w:t>
      </w:r>
    </w:p>
    <w:p>
      <w:pPr>
        <w:spacing w:line="580" w:lineRule="exact"/>
        <w:ind w:firstLine="632" w:firstLineChars="200"/>
        <w:rPr>
          <w:rFonts w:hint="eastAsia" w:ascii="仿宋_GB2312" w:hAnsi="宋体" w:eastAsia="仿宋_GB2312" w:cs="Courier New"/>
          <w:sz w:val="32"/>
          <w:szCs w:val="32"/>
        </w:rPr>
      </w:pPr>
      <w:r>
        <w:rPr>
          <w:rFonts w:hint="eastAsia" w:ascii="仿宋_GB2312" w:hAnsi="宋体" w:eastAsia="仿宋_GB2312" w:cs="Courier New"/>
          <w:sz w:val="32"/>
          <w:szCs w:val="32"/>
        </w:rPr>
        <w:t>从决算单位构成看，</w:t>
      </w:r>
      <w:r>
        <w:rPr>
          <w:rFonts w:hint="eastAsia" w:ascii="仿宋_GB2312" w:hAnsi="宋体" w:eastAsia="仿宋_GB2312" w:cs="Courier New"/>
          <w:sz w:val="32"/>
          <w:szCs w:val="32"/>
          <w:lang w:eastAsia="zh-CN"/>
        </w:rPr>
        <w:t>威海市文登区粮食局</w:t>
      </w:r>
      <w:r>
        <w:rPr>
          <w:rFonts w:hint="eastAsia" w:ascii="仿宋_GB2312" w:hAnsi="宋体" w:eastAsia="仿宋_GB2312" w:cs="Courier New"/>
          <w:sz w:val="32"/>
          <w:szCs w:val="32"/>
        </w:rPr>
        <w:t>部门决算包括：</w:t>
      </w:r>
      <w:r>
        <w:rPr>
          <w:rFonts w:hint="eastAsia" w:ascii="仿宋_GB2312" w:hAnsi="宋体" w:eastAsia="仿宋_GB2312" w:cs="Courier New"/>
          <w:sz w:val="32"/>
          <w:szCs w:val="32"/>
          <w:lang w:eastAsia="zh-CN"/>
        </w:rPr>
        <w:t>威海市文登区粮食局</w:t>
      </w:r>
      <w:r>
        <w:rPr>
          <w:rFonts w:hint="eastAsia" w:ascii="仿宋_GB2312" w:hAnsi="宋体" w:eastAsia="仿宋_GB2312" w:cs="Courier New"/>
          <w:sz w:val="32"/>
          <w:szCs w:val="32"/>
        </w:rPr>
        <w:t>本级决算。</w:t>
      </w:r>
    </w:p>
    <w:p>
      <w:pPr>
        <w:spacing w:line="580" w:lineRule="exact"/>
        <w:ind w:firstLine="632" w:firstLineChars="200"/>
        <w:rPr>
          <w:rFonts w:ascii="仿宋_GB2312" w:eastAsia="仿宋_GB2312"/>
        </w:rPr>
        <w:sectPr>
          <w:pgSz w:w="11906" w:h="16838"/>
          <w:pgMar w:top="1701" w:right="1531" w:bottom="1701" w:left="1531" w:header="0" w:footer="1418" w:gutter="0"/>
          <w:cols w:space="720" w:num="1"/>
          <w:docGrid w:type="linesAndChars" w:linePitch="610" w:charSpace="-849"/>
        </w:sectPr>
      </w:pPr>
      <w:r>
        <w:rPr>
          <w:rFonts w:hint="eastAsia" w:ascii="仿宋_GB2312" w:hAnsi="宋体" w:eastAsia="仿宋_GB2312" w:cs="Courier New"/>
          <w:sz w:val="32"/>
          <w:szCs w:val="32"/>
        </w:rPr>
        <w:t>纳入</w:t>
      </w:r>
      <w:r>
        <w:rPr>
          <w:rFonts w:hint="eastAsia" w:ascii="仿宋_GB2312" w:hAnsi="宋体" w:eastAsia="仿宋_GB2312" w:cs="Courier New"/>
          <w:sz w:val="32"/>
          <w:szCs w:val="32"/>
          <w:lang w:eastAsia="zh-CN"/>
        </w:rPr>
        <w:t>威海市文登区粮食局</w:t>
      </w:r>
      <w:r>
        <w:rPr>
          <w:rFonts w:hint="eastAsia" w:ascii="仿宋_GB2312" w:hAnsi="宋体" w:eastAsia="仿宋_GB2312" w:cs="Courier New"/>
          <w:sz w:val="32"/>
          <w:szCs w:val="32"/>
        </w:rPr>
        <w:t>201</w:t>
      </w:r>
      <w:r>
        <w:rPr>
          <w:rFonts w:hint="eastAsia" w:ascii="仿宋_GB2312" w:hAnsi="宋体" w:eastAsia="仿宋_GB2312" w:cs="Courier New"/>
          <w:sz w:val="32"/>
          <w:szCs w:val="32"/>
          <w:lang w:val="en-US" w:eastAsia="zh-CN"/>
        </w:rPr>
        <w:t>9</w:t>
      </w:r>
      <w:r>
        <w:rPr>
          <w:rFonts w:hint="eastAsia" w:ascii="仿宋_GB2312" w:hAnsi="宋体" w:eastAsia="仿宋_GB2312" w:cs="Courier New"/>
          <w:sz w:val="32"/>
          <w:szCs w:val="32"/>
        </w:rPr>
        <w:t>年度部门决算编制范围的预算单位</w:t>
      </w:r>
      <w:r>
        <w:rPr>
          <w:rFonts w:hint="eastAsia" w:ascii="仿宋_GB2312" w:hAnsi="宋体" w:eastAsia="仿宋_GB2312" w:cs="Courier New"/>
          <w:sz w:val="32"/>
          <w:szCs w:val="32"/>
          <w:lang w:val="en-US" w:eastAsia="zh-CN"/>
        </w:rPr>
        <w:t>1</w:t>
      </w:r>
      <w:r>
        <w:rPr>
          <w:rFonts w:hint="eastAsia" w:ascii="仿宋_GB2312" w:hAnsi="宋体" w:eastAsia="仿宋_GB2312" w:cs="Courier New"/>
          <w:sz w:val="32"/>
          <w:szCs w:val="32"/>
        </w:rPr>
        <w:t>个，包括：</w:t>
      </w:r>
      <w:r>
        <w:rPr>
          <w:rFonts w:hint="eastAsia" w:ascii="仿宋_GB2312" w:hAnsi="宋体" w:eastAsia="仿宋_GB2312" w:cs="Courier New"/>
          <w:sz w:val="32"/>
          <w:szCs w:val="32"/>
          <w:lang w:eastAsia="zh-CN"/>
        </w:rPr>
        <w:t>威海市文登区粮食局</w:t>
      </w:r>
      <w:r>
        <w:rPr>
          <w:rFonts w:hint="eastAsia" w:ascii="仿宋_GB2312" w:hAnsi="宋体" w:eastAsia="仿宋_GB2312" w:cs="Courier New"/>
          <w:sz w:val="32"/>
          <w:szCs w:val="32"/>
        </w:rPr>
        <w:t>本级。</w:t>
      </w:r>
    </w:p>
    <w:p>
      <w:pPr>
        <w:jc w:val="center"/>
        <w:rPr>
          <w:rFonts w:ascii="方正小标宋简体" w:eastAsia="方正小标宋简体"/>
          <w:sz w:val="42"/>
        </w:rPr>
      </w:pPr>
    </w:p>
    <w:p>
      <w:pPr>
        <w:ind w:firstLine="536" w:firstLineChars="100"/>
        <w:rPr>
          <w:rFonts w:ascii="方正小标宋简体" w:eastAsia="仿宋" w:cs="仿宋"/>
          <w:spacing w:val="60"/>
          <w:sz w:val="42"/>
          <w:szCs w:val="32"/>
        </w:rPr>
      </w:pPr>
    </w:p>
    <w:p>
      <w:pPr>
        <w:ind w:firstLine="536" w:firstLineChars="100"/>
        <w:rPr>
          <w:rFonts w:ascii="方正小标宋简体" w:eastAsia="仿宋" w:cs="仿宋"/>
          <w:spacing w:val="60"/>
          <w:sz w:val="42"/>
          <w:szCs w:val="32"/>
        </w:rPr>
      </w:pPr>
      <w:r>
        <w:rPr>
          <w:rFonts w:hint="eastAsia" w:ascii="方正小标宋简体" w:eastAsia="仿宋" w:cs="仿宋"/>
          <w:spacing w:val="60"/>
          <w:sz w:val="42"/>
          <w:szCs w:val="32"/>
        </w:rPr>
        <w:t>第二部分</w:t>
      </w:r>
    </w:p>
    <w:p>
      <w:pPr>
        <w:ind w:firstLine="536" w:firstLineChars="100"/>
        <w:rPr>
          <w:rFonts w:ascii="方正小标宋简体" w:eastAsia="仿宋" w:cs="仿宋"/>
          <w:spacing w:val="60"/>
          <w:sz w:val="42"/>
          <w:szCs w:val="32"/>
        </w:rPr>
      </w:pPr>
    </w:p>
    <w:p>
      <w:pPr>
        <w:ind w:firstLine="536" w:firstLineChars="100"/>
        <w:rPr>
          <w:rFonts w:ascii="方正小标宋简体" w:eastAsia="仿宋" w:cs="仿宋"/>
          <w:spacing w:val="60"/>
          <w:sz w:val="42"/>
          <w:szCs w:val="32"/>
        </w:rPr>
        <w:sectPr>
          <w:pgSz w:w="11906" w:h="16838"/>
          <w:pgMar w:top="1701" w:right="1531" w:bottom="1701" w:left="1531" w:header="0" w:footer="1418" w:gutter="0"/>
          <w:cols w:space="720" w:num="1"/>
          <w:docGrid w:type="linesAndChars" w:linePitch="610" w:charSpace="-849"/>
        </w:sectPr>
      </w:pPr>
      <w:r>
        <w:rPr>
          <w:rFonts w:hint="eastAsia" w:ascii="方正小标宋简体" w:eastAsia="仿宋" w:cs="仿宋"/>
          <w:spacing w:val="60"/>
          <w:sz w:val="42"/>
          <w:szCs w:val="32"/>
        </w:rPr>
        <w:t>2019年度部门决算表</w:t>
      </w:r>
    </w:p>
    <w:p>
      <w:pPr>
        <w:jc w:val="center"/>
        <w:rPr>
          <w:rFonts w:hint="eastAsia" w:ascii="方正小标宋简体" w:eastAsia="方正小标宋简体"/>
          <w:sz w:val="44"/>
          <w:szCs w:val="44"/>
        </w:rPr>
      </w:pPr>
      <w:r>
        <w:rPr>
          <w:rFonts w:hint="eastAsia" w:ascii="方正小标宋简体" w:eastAsia="方正小标宋简体"/>
          <w:sz w:val="44"/>
          <w:szCs w:val="44"/>
        </w:rPr>
        <w:t>收入支出决算总表</w:t>
      </w:r>
    </w:p>
    <w:p>
      <w:pPr>
        <w:spacing w:line="400" w:lineRule="exact"/>
        <w:jc w:val="right"/>
        <w:rPr>
          <w:rFonts w:hint="eastAsia" w:ascii="楷体_GB2312" w:eastAsia="楷体_GB2312"/>
          <w:sz w:val="28"/>
          <w:szCs w:val="28"/>
        </w:rPr>
      </w:pPr>
      <w:r>
        <w:rPr>
          <w:rFonts w:hint="eastAsia" w:ascii="楷体_GB2312" w:eastAsia="楷体_GB2312"/>
          <w:sz w:val="28"/>
          <w:szCs w:val="28"/>
        </w:rPr>
        <w:t>公开01表</w:t>
      </w:r>
    </w:p>
    <w:p>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lang w:val="en-US" w:eastAsia="zh-CN"/>
        </w:rPr>
        <w:t xml:space="preserve">                     </w:t>
      </w:r>
      <w:r>
        <w:rPr>
          <w:rFonts w:hint="eastAsia" w:ascii="楷体_GB2312" w:eastAsia="楷体_GB2312"/>
          <w:sz w:val="28"/>
          <w:szCs w:val="28"/>
        </w:rPr>
        <w:t xml:space="preserve">  金额单位：万元</w:t>
      </w:r>
    </w:p>
    <w:tbl>
      <w:tblPr>
        <w:tblStyle w:val="4"/>
        <w:tblW w:w="0" w:type="auto"/>
        <w:jc w:val="center"/>
        <w:tblLayout w:type="fixed"/>
        <w:tblCellMar>
          <w:top w:w="0" w:type="dxa"/>
          <w:left w:w="108" w:type="dxa"/>
          <w:bottom w:w="0" w:type="dxa"/>
          <w:right w:w="108" w:type="dxa"/>
        </w:tblCellMar>
      </w:tblPr>
      <w:tblGrid>
        <w:gridCol w:w="2879"/>
        <w:gridCol w:w="714"/>
        <w:gridCol w:w="1017"/>
        <w:gridCol w:w="2229"/>
        <w:gridCol w:w="714"/>
        <w:gridCol w:w="1266"/>
      </w:tblGrid>
      <w:tr>
        <w:tblPrEx>
          <w:tblCellMar>
            <w:top w:w="0" w:type="dxa"/>
            <w:left w:w="108" w:type="dxa"/>
            <w:bottom w:w="0" w:type="dxa"/>
            <w:right w:w="108" w:type="dxa"/>
          </w:tblCellMar>
        </w:tblPrEx>
        <w:trPr>
          <w:trHeight w:val="329" w:hRule="exact"/>
          <w:jc w:val="center"/>
        </w:trPr>
        <w:tc>
          <w:tcPr>
            <w:tcW w:w="4610" w:type="dxa"/>
            <w:gridSpan w:val="3"/>
            <w:tcBorders>
              <w:top w:val="single" w:color="auto" w:sz="4" w:space="0"/>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收 入</w:t>
            </w:r>
          </w:p>
        </w:tc>
        <w:tc>
          <w:tcPr>
            <w:tcW w:w="4209" w:type="dxa"/>
            <w:gridSpan w:val="3"/>
            <w:tcBorders>
              <w:top w:val="single" w:color="auto" w:sz="4" w:space="0"/>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支 出</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项 目</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行次</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决算数</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项目（按功能分类）</w:t>
            </w: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行次</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决算数</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栏 次</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栏 次</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一、财政拨款收入</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195.10</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eastAsia="zh-CN"/>
              </w:rPr>
            </w:pPr>
            <w:r>
              <w:rPr>
                <w:rFonts w:hint="eastAsia" w:ascii="仿宋_GB2312" w:eastAsia="仿宋_GB2312"/>
                <w:sz w:val="18"/>
                <w:szCs w:val="18"/>
                <w:lang w:eastAsia="zh-CN"/>
              </w:rPr>
              <w:t>一、社会保障和就业支出</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30</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12.11</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二、上级补助收入</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both"/>
              <w:rPr>
                <w:rFonts w:hint="eastAsia" w:ascii="仿宋_GB2312" w:eastAsia="仿宋_GB2312"/>
                <w:sz w:val="16"/>
                <w:szCs w:val="16"/>
                <w:lang w:eastAsia="zh-CN"/>
              </w:rPr>
            </w:pPr>
            <w:r>
              <w:rPr>
                <w:rFonts w:hint="eastAsia" w:ascii="仿宋_GB2312" w:eastAsia="仿宋_GB2312"/>
                <w:sz w:val="16"/>
                <w:szCs w:val="16"/>
                <w:lang w:eastAsia="zh-CN"/>
              </w:rPr>
              <w:t>二、卫生健康支出</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31</w:t>
            </w:r>
          </w:p>
        </w:tc>
        <w:tc>
          <w:tcPr>
            <w:tcW w:w="1266" w:type="dxa"/>
            <w:tcBorders>
              <w:top w:val="nil"/>
              <w:left w:val="nil"/>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6.57</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三、事业收入</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w:t>
            </w:r>
          </w:p>
        </w:tc>
        <w:tc>
          <w:tcPr>
            <w:tcW w:w="1017"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lang w:eastAsia="zh-CN"/>
              </w:rPr>
            </w:pPr>
            <w:r>
              <w:rPr>
                <w:rFonts w:hint="eastAsia" w:ascii="仿宋_GB2312" w:eastAsia="仿宋_GB2312"/>
                <w:sz w:val="22"/>
                <w:szCs w:val="22"/>
                <w:lang w:eastAsia="zh-CN"/>
              </w:rPr>
              <w:t>三、住房保障支出</w:t>
            </w: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32</w:t>
            </w:r>
          </w:p>
        </w:tc>
        <w:tc>
          <w:tcPr>
            <w:tcW w:w="1266" w:type="dxa"/>
            <w:tcBorders>
              <w:top w:val="nil"/>
              <w:left w:val="single" w:color="auto" w:sz="4" w:space="0"/>
              <w:bottom w:val="single" w:color="auto" w:sz="4" w:space="0"/>
              <w:right w:val="single" w:color="auto" w:sz="4" w:space="0"/>
            </w:tcBorders>
            <w:noWrap/>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14.52</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四、经营收入</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lang w:eastAsia="zh-CN"/>
              </w:rPr>
            </w:pPr>
            <w:r>
              <w:rPr>
                <w:rFonts w:hint="eastAsia" w:ascii="仿宋_GB2312" w:eastAsia="仿宋_GB2312"/>
                <w:sz w:val="18"/>
                <w:szCs w:val="18"/>
                <w:lang w:eastAsia="zh-CN"/>
              </w:rPr>
              <w:t>四、粮油物资储备支出</w:t>
            </w: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33</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161.90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五、附属单位上缴收入</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34</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六、其他收入</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6</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35</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7</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36</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8</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37</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9</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38</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10</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39</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11</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40</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12</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nil"/>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41</w:t>
            </w:r>
          </w:p>
        </w:tc>
        <w:tc>
          <w:tcPr>
            <w:tcW w:w="1266"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13</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42</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14</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43</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15</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44</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16</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45</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17</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46</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18</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47</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19</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48</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20</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49</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21</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50</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22</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51</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23</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52</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24</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53</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本年收入合计</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25</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195.10</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本年支出合计</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54</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195.10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用事业基金弥补收支差额</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26</w:t>
            </w:r>
          </w:p>
        </w:tc>
        <w:tc>
          <w:tcPr>
            <w:tcW w:w="1017" w:type="dxa"/>
            <w:tcBorders>
              <w:top w:val="nil"/>
              <w:left w:val="nil"/>
              <w:bottom w:val="single" w:color="auto" w:sz="4" w:space="0"/>
              <w:right w:val="single" w:color="auto" w:sz="4" w:space="0"/>
            </w:tcBorders>
            <w:noWrap w:val="0"/>
            <w:vAlign w:val="center"/>
          </w:tcPr>
          <w:p>
            <w:pPr>
              <w:spacing w:line="240" w:lineRule="exact"/>
              <w:ind w:firstLine="216" w:firstLineChars="100"/>
              <w:jc w:val="both"/>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结余分配</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55</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年初结转和结余</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27</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c>
          <w:tcPr>
            <w:tcW w:w="2229" w:type="dxa"/>
            <w:tcBorders>
              <w:top w:val="nil"/>
              <w:left w:val="nil"/>
              <w:bottom w:val="single" w:color="auto" w:sz="4" w:space="0"/>
              <w:right w:val="single" w:color="auto" w:sz="4" w:space="0"/>
            </w:tcBorders>
            <w:noWrap/>
            <w:vAlign w:val="center"/>
          </w:tcPr>
          <w:p>
            <w:pPr>
              <w:spacing w:line="240" w:lineRule="exact"/>
              <w:jc w:val="left"/>
              <w:rPr>
                <w:rFonts w:hint="eastAsia" w:ascii="仿宋_GB2312" w:eastAsia="仿宋_GB2312"/>
                <w:sz w:val="22"/>
                <w:szCs w:val="22"/>
              </w:rPr>
            </w:pPr>
            <w:r>
              <w:rPr>
                <w:rFonts w:hint="eastAsia" w:ascii="仿宋_GB2312" w:eastAsia="仿宋_GB2312"/>
                <w:sz w:val="22"/>
                <w:szCs w:val="22"/>
              </w:rPr>
              <w:t>年末结转和结余</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56</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0.00</w:t>
            </w: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28</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57</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p>
        </w:tc>
      </w:tr>
      <w:tr>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总计</w:t>
            </w:r>
          </w:p>
        </w:tc>
        <w:tc>
          <w:tcPr>
            <w:tcW w:w="714" w:type="dxa"/>
            <w:tcBorders>
              <w:top w:val="nil"/>
              <w:left w:val="single" w:color="auto" w:sz="4" w:space="0"/>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29</w:t>
            </w:r>
          </w:p>
        </w:tc>
        <w:tc>
          <w:tcPr>
            <w:tcW w:w="1017"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195.10</w:t>
            </w:r>
          </w:p>
        </w:tc>
        <w:tc>
          <w:tcPr>
            <w:tcW w:w="2229" w:type="dxa"/>
            <w:tcBorders>
              <w:top w:val="nil"/>
              <w:left w:val="nil"/>
              <w:bottom w:val="single" w:color="auto" w:sz="4" w:space="0"/>
              <w:right w:val="single" w:color="auto" w:sz="4" w:space="0"/>
            </w:tcBorders>
            <w:noWrap/>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总计</w:t>
            </w:r>
          </w:p>
        </w:tc>
        <w:tc>
          <w:tcPr>
            <w:tcW w:w="714" w:type="dxa"/>
            <w:tcBorders>
              <w:top w:val="nil"/>
              <w:left w:val="nil"/>
              <w:bottom w:val="single" w:color="auto" w:sz="4" w:space="0"/>
              <w:right w:val="single" w:color="auto" w:sz="4" w:space="0"/>
            </w:tcBorders>
            <w:noWrap w:val="0"/>
            <w:vAlign w:val="center"/>
          </w:tcPr>
          <w:p>
            <w:pPr>
              <w:spacing w:line="240" w:lineRule="exact"/>
              <w:jc w:val="center"/>
              <w:rPr>
                <w:rFonts w:hint="eastAsia" w:ascii="仿宋_GB2312" w:eastAsia="仿宋_GB2312"/>
                <w:sz w:val="22"/>
                <w:szCs w:val="22"/>
              </w:rPr>
            </w:pPr>
            <w:r>
              <w:rPr>
                <w:rFonts w:hint="eastAsia" w:ascii="仿宋_GB2312" w:eastAsia="仿宋_GB2312"/>
                <w:sz w:val="22"/>
                <w:szCs w:val="22"/>
              </w:rPr>
              <w:t>58</w:t>
            </w:r>
          </w:p>
        </w:tc>
        <w:tc>
          <w:tcPr>
            <w:tcW w:w="1266" w:type="dxa"/>
            <w:tcBorders>
              <w:top w:val="nil"/>
              <w:left w:val="nil"/>
              <w:bottom w:val="single" w:color="auto" w:sz="4" w:space="0"/>
              <w:right w:val="single" w:color="auto" w:sz="4" w:space="0"/>
            </w:tcBorders>
            <w:noWrap w:val="0"/>
            <w:vAlign w:val="center"/>
          </w:tcPr>
          <w:p>
            <w:pPr>
              <w:spacing w:line="240" w:lineRule="exact"/>
              <w:jc w:val="center"/>
              <w:rPr>
                <w:rFonts w:hint="default" w:ascii="仿宋_GB2312" w:eastAsia="仿宋_GB2312"/>
                <w:sz w:val="22"/>
                <w:szCs w:val="22"/>
                <w:lang w:val="en-US" w:eastAsia="zh-CN"/>
              </w:rPr>
            </w:pPr>
            <w:r>
              <w:rPr>
                <w:rFonts w:hint="eastAsia" w:ascii="仿宋_GB2312" w:eastAsia="仿宋_GB2312"/>
                <w:sz w:val="22"/>
                <w:szCs w:val="22"/>
                <w:lang w:val="en-US" w:eastAsia="zh-CN"/>
              </w:rPr>
              <w:t>195.10</w:t>
            </w:r>
          </w:p>
        </w:tc>
      </w:tr>
    </w:tbl>
    <w:p>
      <w:pPr>
        <w:ind w:firstLine="108" w:firstLineChars="50"/>
        <w:rPr>
          <w:rFonts w:ascii="楷体_GB2312" w:eastAsia="楷体_GB2312"/>
          <w:sz w:val="22"/>
          <w:szCs w:val="22"/>
        </w:rPr>
      </w:pPr>
      <w:r>
        <w:rPr>
          <w:rFonts w:hint="eastAsia" w:ascii="仿宋_GB2312" w:hAnsi="宋体" w:eastAsia="仿宋_GB2312"/>
          <w:sz w:val="22"/>
          <w:szCs w:val="22"/>
        </w:rPr>
        <w:t>注：本表反映部门本年度的总收支和年末结转结余情况。</w:t>
      </w:r>
    </w:p>
    <w:p>
      <w:pPr>
        <w:rPr>
          <w:rFonts w:ascii="楷体_GB2312" w:eastAsia="楷体_GB2312"/>
          <w:sz w:val="28"/>
          <w:szCs w:val="28"/>
        </w:rPr>
        <w:sectPr>
          <w:pgSz w:w="11906" w:h="16838"/>
          <w:pgMar w:top="1701" w:right="1531" w:bottom="1701" w:left="1531" w:header="0" w:footer="1418" w:gutter="0"/>
          <w:cols w:space="720" w:num="1"/>
          <w:docGrid w:type="linesAndChars" w:linePitch="610" w:charSpace="-849"/>
        </w:sectPr>
      </w:pPr>
    </w:p>
    <w:p>
      <w:pPr>
        <w:jc w:val="center"/>
        <w:rPr>
          <w:rFonts w:hint="eastAsia" w:ascii="方正小标宋简体" w:eastAsia="方正小标宋简体"/>
          <w:sz w:val="44"/>
          <w:szCs w:val="44"/>
        </w:rPr>
      </w:pPr>
      <w:r>
        <w:rPr>
          <w:rFonts w:hint="eastAsia" w:ascii="方正小标宋简体" w:eastAsia="方正小标宋简体"/>
          <w:sz w:val="44"/>
          <w:szCs w:val="44"/>
        </w:rPr>
        <w:t>收入决算表</w:t>
      </w:r>
    </w:p>
    <w:p>
      <w:pPr>
        <w:spacing w:line="400" w:lineRule="exact"/>
        <w:jc w:val="right"/>
        <w:rPr>
          <w:rFonts w:hint="eastAsia" w:ascii="楷体_GB2312" w:eastAsia="楷体_GB2312"/>
          <w:sz w:val="28"/>
          <w:szCs w:val="28"/>
        </w:rPr>
      </w:pPr>
      <w:r>
        <w:rPr>
          <w:rFonts w:hint="eastAsia" w:ascii="楷体_GB2312" w:eastAsia="楷体_GB2312"/>
          <w:sz w:val="28"/>
          <w:szCs w:val="28"/>
        </w:rPr>
        <w:t xml:space="preserve">                                                                                      公开02表</w:t>
      </w:r>
    </w:p>
    <w:p>
      <w:pPr>
        <w:tabs>
          <w:tab w:val="left" w:pos="13467"/>
        </w:tabs>
        <w:wordWrap w:val="0"/>
        <w:spacing w:line="400" w:lineRule="exact"/>
        <w:ind w:right="-31"/>
        <w:jc w:val="both"/>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W w:w="0" w:type="auto"/>
        <w:jc w:val="center"/>
        <w:tblLayout w:type="fixed"/>
        <w:tblCellMar>
          <w:top w:w="0" w:type="dxa"/>
          <w:left w:w="108" w:type="dxa"/>
          <w:bottom w:w="0" w:type="dxa"/>
          <w:right w:w="108" w:type="dxa"/>
        </w:tblCellMar>
      </w:tblPr>
      <w:tblGrid>
        <w:gridCol w:w="972"/>
        <w:gridCol w:w="1841"/>
        <w:gridCol w:w="1517"/>
        <w:gridCol w:w="1517"/>
        <w:gridCol w:w="1517"/>
        <w:gridCol w:w="1517"/>
        <w:gridCol w:w="1517"/>
        <w:gridCol w:w="1517"/>
        <w:gridCol w:w="1518"/>
      </w:tblGrid>
      <w:tr>
        <w:tblPrEx>
          <w:tblCellMar>
            <w:top w:w="0" w:type="dxa"/>
            <w:left w:w="108" w:type="dxa"/>
            <w:bottom w:w="0" w:type="dxa"/>
            <w:right w:w="108" w:type="dxa"/>
          </w:tblCellMar>
        </w:tblPrEx>
        <w:trPr>
          <w:trHeight w:val="458" w:hRule="atLeast"/>
          <w:jc w:val="center"/>
        </w:trPr>
        <w:tc>
          <w:tcPr>
            <w:tcW w:w="2813"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517"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本年收入合计</w:t>
            </w:r>
          </w:p>
        </w:tc>
        <w:tc>
          <w:tcPr>
            <w:tcW w:w="1517"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财政拨款收入</w:t>
            </w:r>
          </w:p>
        </w:tc>
        <w:tc>
          <w:tcPr>
            <w:tcW w:w="1517"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上级补助收入</w:t>
            </w:r>
          </w:p>
        </w:tc>
        <w:tc>
          <w:tcPr>
            <w:tcW w:w="1517" w:type="dxa"/>
            <w:vMerge w:val="restart"/>
            <w:tcBorders>
              <w:top w:val="single" w:color="auto" w:sz="4" w:space="0"/>
              <w:left w:val="single" w:color="auto" w:sz="4" w:space="0"/>
              <w:right w:val="single" w:color="auto" w:sz="4" w:space="0"/>
            </w:tcBorders>
            <w:noWrap w:val="0"/>
            <w:vAlign w:val="center"/>
          </w:tcPr>
          <w:p>
            <w:pPr>
              <w:widowControl/>
              <w:spacing w:line="300" w:lineRule="exact"/>
              <w:ind w:firstLine="216" w:firstLineChars="100"/>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事业收入</w:t>
            </w:r>
          </w:p>
        </w:tc>
        <w:tc>
          <w:tcPr>
            <w:tcW w:w="1517"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经营收入</w:t>
            </w:r>
          </w:p>
        </w:tc>
        <w:tc>
          <w:tcPr>
            <w:tcW w:w="1517" w:type="dxa"/>
            <w:vMerge w:val="restart"/>
            <w:tcBorders>
              <w:top w:val="single" w:color="auto" w:sz="4" w:space="0"/>
              <w:left w:val="single" w:color="auto" w:sz="4" w:space="0"/>
              <w:right w:val="single" w:color="auto" w:sz="4" w:space="0"/>
            </w:tcBorders>
            <w:noWrap w:val="0"/>
            <w:vAlign w:val="center"/>
          </w:tcPr>
          <w:p>
            <w:pPr>
              <w:widowControl/>
              <w:spacing w:line="300" w:lineRule="exact"/>
              <w:ind w:left="648" w:hanging="648" w:hangingChars="300"/>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xml:space="preserve">附属单位    </w:t>
            </w:r>
          </w:p>
          <w:p>
            <w:pPr>
              <w:widowControl/>
              <w:spacing w:line="300" w:lineRule="exact"/>
              <w:ind w:left="648" w:hanging="648" w:hangingChars="300"/>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上缴收入</w:t>
            </w:r>
          </w:p>
        </w:tc>
        <w:tc>
          <w:tcPr>
            <w:tcW w:w="1518"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其他收入</w:t>
            </w:r>
          </w:p>
        </w:tc>
      </w:tr>
      <w:tr>
        <w:tblPrEx>
          <w:tblCellMar>
            <w:top w:w="0" w:type="dxa"/>
            <w:left w:w="108" w:type="dxa"/>
            <w:bottom w:w="0" w:type="dxa"/>
            <w:right w:w="108" w:type="dxa"/>
          </w:tblCellMar>
        </w:tblPrEx>
        <w:trPr>
          <w:trHeight w:val="457" w:hRule="atLeast"/>
          <w:jc w:val="center"/>
        </w:trPr>
        <w:tc>
          <w:tcPr>
            <w:tcW w:w="97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1841"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517" w:type="dxa"/>
            <w:vMerge w:val="continue"/>
            <w:tcBorders>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0"/>
            <w:vAlign w:val="center"/>
          </w:tcPr>
          <w:p>
            <w:pPr>
              <w:widowControl/>
              <w:spacing w:line="300" w:lineRule="exact"/>
              <w:ind w:firstLine="216" w:firstLineChars="100"/>
              <w:rPr>
                <w:rFonts w:hint="eastAsia"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517" w:type="dxa"/>
            <w:vMerge w:val="continue"/>
            <w:tcBorders>
              <w:left w:val="single" w:color="auto" w:sz="4" w:space="0"/>
              <w:right w:val="single" w:color="auto" w:sz="4" w:space="0"/>
            </w:tcBorders>
            <w:noWrap w:val="0"/>
            <w:vAlign w:val="center"/>
          </w:tcPr>
          <w:p>
            <w:pPr>
              <w:widowControl/>
              <w:spacing w:line="300" w:lineRule="exact"/>
              <w:ind w:left="648" w:hanging="648" w:hangingChars="300"/>
              <w:jc w:val="center"/>
              <w:rPr>
                <w:rFonts w:hint="eastAsia" w:ascii="仿宋_GB2312" w:hAnsi="宋体" w:eastAsia="仿宋_GB2312" w:cs="宋体"/>
                <w:kern w:val="0"/>
                <w:sz w:val="22"/>
                <w:szCs w:val="22"/>
              </w:rPr>
            </w:pPr>
          </w:p>
        </w:tc>
        <w:tc>
          <w:tcPr>
            <w:tcW w:w="1518" w:type="dxa"/>
            <w:vMerge w:val="continue"/>
            <w:tcBorders>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397" w:hRule="atLeast"/>
          <w:jc w:val="center"/>
        </w:trPr>
        <w:tc>
          <w:tcPr>
            <w:tcW w:w="2813"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7</w:t>
            </w:r>
          </w:p>
        </w:tc>
      </w:tr>
      <w:tr>
        <w:tblPrEx>
          <w:tblCellMar>
            <w:top w:w="0" w:type="dxa"/>
            <w:left w:w="108" w:type="dxa"/>
            <w:bottom w:w="0" w:type="dxa"/>
            <w:right w:w="108" w:type="dxa"/>
          </w:tblCellMar>
        </w:tblPrEx>
        <w:trPr>
          <w:trHeight w:val="397" w:hRule="atLeast"/>
          <w:jc w:val="center"/>
        </w:trPr>
        <w:tc>
          <w:tcPr>
            <w:tcW w:w="2813"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90" w:hRule="atLeast"/>
          <w:jc w:val="center"/>
        </w:trPr>
        <w:tc>
          <w:tcPr>
            <w:tcW w:w="972"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keepNext w:val="0"/>
              <w:keepLines w:val="0"/>
              <w:widowControl/>
              <w:suppressLineNumbers w:val="0"/>
              <w:jc w:val="left"/>
              <w:textAlignment w:val="center"/>
              <w:rPr>
                <w:rFonts w:hint="default" w:ascii="仿宋_GB2312" w:hAnsi="宋体" w:eastAsia="仿宋_GB2312" w:cs="宋体"/>
                <w:kern w:val="0"/>
                <w:sz w:val="18"/>
                <w:szCs w:val="18"/>
                <w:lang w:val="en-US" w:eastAsia="zh-CN"/>
              </w:rPr>
            </w:pPr>
            <w:r>
              <w:rPr>
                <w:rFonts w:hint="eastAsia" w:ascii="宋体" w:hAnsi="宋体" w:eastAsia="宋体" w:cs="宋体"/>
                <w:i w:val="0"/>
                <w:color w:val="000000"/>
                <w:kern w:val="0"/>
                <w:sz w:val="18"/>
                <w:szCs w:val="18"/>
                <w:u w:val="none"/>
                <w:lang w:val="en-US" w:eastAsia="zh-CN" w:bidi="ar"/>
              </w:rPr>
              <w:t>208</w:t>
            </w:r>
          </w:p>
        </w:tc>
        <w:tc>
          <w:tcPr>
            <w:tcW w:w="18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lang w:eastAsia="zh-CN"/>
              </w:rPr>
            </w:pPr>
            <w:r>
              <w:rPr>
                <w:rFonts w:hint="eastAsia" w:ascii="宋体" w:hAnsi="宋体" w:eastAsia="宋体" w:cs="宋体"/>
                <w:i w:val="0"/>
                <w:color w:val="000000"/>
                <w:kern w:val="0"/>
                <w:sz w:val="18"/>
                <w:szCs w:val="18"/>
                <w:u w:val="none"/>
                <w:lang w:val="en-US" w:eastAsia="zh-CN" w:bidi="ar"/>
              </w:rPr>
              <w:t>社会保障和就业支出</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12.11</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12.11</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325" w:hRule="atLeast"/>
          <w:jc w:val="center"/>
        </w:trPr>
        <w:tc>
          <w:tcPr>
            <w:tcW w:w="972" w:type="dxa"/>
            <w:tcBorders>
              <w:top w:val="nil"/>
              <w:left w:val="single" w:color="auto" w:sz="4" w:space="0"/>
              <w:bottom w:val="single" w:color="auto" w:sz="4" w:space="0"/>
              <w:right w:val="single" w:color="auto" w:sz="4" w:space="0"/>
            </w:tcBorders>
            <w:shd w:val="clear" w:color="auto" w:fill="auto"/>
            <w:noWrap w:val="0"/>
            <w:vAlign w:val="center"/>
          </w:tcPr>
          <w:p>
            <w:pPr>
              <w:keepNext w:val="0"/>
              <w:keepLines w:val="0"/>
              <w:widowControl/>
              <w:suppressLineNumbers w:val="0"/>
              <w:jc w:val="left"/>
              <w:textAlignment w:val="center"/>
              <w:rPr>
                <w:rFonts w:hint="default" w:ascii="仿宋_GB2312" w:hAnsi="宋体" w:eastAsia="仿宋_GB2312" w:cs="宋体"/>
                <w:kern w:val="0"/>
                <w:sz w:val="18"/>
                <w:szCs w:val="18"/>
                <w:lang w:val="en-US" w:eastAsia="zh-CN"/>
              </w:rPr>
            </w:pPr>
            <w:r>
              <w:rPr>
                <w:rFonts w:hint="eastAsia" w:ascii="宋体" w:hAnsi="宋体" w:eastAsia="宋体" w:cs="宋体"/>
                <w:i w:val="0"/>
                <w:color w:val="000000"/>
                <w:kern w:val="0"/>
                <w:sz w:val="18"/>
                <w:szCs w:val="18"/>
                <w:u w:val="none"/>
                <w:lang w:val="en-US" w:eastAsia="zh-CN" w:bidi="ar"/>
              </w:rPr>
              <w:t>20805</w:t>
            </w:r>
          </w:p>
        </w:tc>
        <w:tc>
          <w:tcPr>
            <w:tcW w:w="1841" w:type="dxa"/>
            <w:tcBorders>
              <w:top w:val="nil"/>
              <w:left w:val="nil"/>
              <w:bottom w:val="single" w:color="auto" w:sz="4" w:space="0"/>
              <w:right w:val="single" w:color="auto" w:sz="4" w:space="0"/>
            </w:tcBorders>
            <w:shd w:val="clear" w:color="auto" w:fill="FFFFFF"/>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lang w:eastAsia="zh-CN"/>
              </w:rPr>
            </w:pPr>
            <w:r>
              <w:rPr>
                <w:rFonts w:hint="eastAsia" w:ascii="宋体" w:hAnsi="宋体" w:eastAsia="宋体" w:cs="宋体"/>
                <w:i w:val="0"/>
                <w:color w:val="000000"/>
                <w:kern w:val="0"/>
                <w:sz w:val="18"/>
                <w:szCs w:val="18"/>
                <w:u w:val="none"/>
                <w:lang w:val="en-US" w:eastAsia="zh-CN" w:bidi="ar"/>
              </w:rPr>
              <w:t>行政事业单位离退休</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11.87</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11.87</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c>
          <w:tcPr>
            <w:tcW w:w="1518"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仿宋_GB2312" w:eastAsia="仿宋_GB2312" w:cs="仿宋_GB2312"/>
                <w:i w:val="0"/>
                <w:color w:val="000000"/>
                <w:kern w:val="0"/>
                <w:sz w:val="22"/>
                <w:szCs w:val="22"/>
                <w:u w:val="none"/>
                <w:lang w:val="en-US" w:eastAsia="zh-CN" w:bidi="ar"/>
              </w:rPr>
            </w:pPr>
            <w:r>
              <w:rPr>
                <w:rFonts w:hint="eastAsia" w:ascii="仿宋_GB2312" w:hAnsi="仿宋_GB2312" w:eastAsia="仿宋_GB2312" w:cs="仿宋_GB2312"/>
                <w:i w:val="0"/>
                <w:color w:val="000000"/>
                <w:kern w:val="0"/>
                <w:sz w:val="22"/>
                <w:szCs w:val="22"/>
                <w:u w:val="none"/>
                <w:lang w:val="en-US" w:eastAsia="zh-CN" w:bidi="ar"/>
              </w:rPr>
              <w:t>0.00</w:t>
            </w:r>
          </w:p>
        </w:tc>
      </w:tr>
      <w:tr>
        <w:tblPrEx>
          <w:tblCellMar>
            <w:top w:w="0" w:type="dxa"/>
            <w:left w:w="108" w:type="dxa"/>
            <w:bottom w:w="0" w:type="dxa"/>
            <w:right w:w="108" w:type="dxa"/>
          </w:tblCellMar>
        </w:tblPrEx>
        <w:trPr>
          <w:trHeight w:val="845"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2080505</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仿宋_GB2312" w:hAnsi="宋体" w:eastAsia="仿宋_GB2312" w:cs="宋体"/>
                <w:kern w:val="0"/>
                <w:sz w:val="18"/>
                <w:szCs w:val="18"/>
                <w:lang w:val="en-US" w:eastAsia="zh-CN"/>
              </w:rPr>
            </w:pPr>
            <w:r>
              <w:rPr>
                <w:rFonts w:hint="eastAsia" w:ascii="宋体" w:hAnsi="宋体" w:eastAsia="宋体" w:cs="宋体"/>
                <w:i w:val="0"/>
                <w:color w:val="000000"/>
                <w:kern w:val="0"/>
                <w:sz w:val="18"/>
                <w:szCs w:val="18"/>
                <w:u w:val="none"/>
                <w:lang w:val="en-US" w:eastAsia="zh-CN" w:bidi="ar"/>
              </w:rPr>
              <w:t xml:space="preserve">  机关事业单位基本养老保险缴费支出</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11.87</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11.87</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80"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仿宋_GB2312" w:hAnsi="宋体" w:eastAsia="仿宋_GB2312" w:cs="宋体"/>
                <w:kern w:val="0"/>
                <w:sz w:val="18"/>
                <w:szCs w:val="18"/>
                <w:lang w:val="en-US" w:eastAsia="zh-CN"/>
              </w:rPr>
            </w:pPr>
            <w:r>
              <w:rPr>
                <w:rFonts w:hint="eastAsia" w:ascii="宋体" w:hAnsi="宋体" w:eastAsia="宋体" w:cs="宋体"/>
                <w:i w:val="0"/>
                <w:color w:val="000000"/>
                <w:kern w:val="0"/>
                <w:sz w:val="18"/>
                <w:szCs w:val="18"/>
                <w:u w:val="none"/>
                <w:lang w:val="en-US" w:eastAsia="zh-CN" w:bidi="ar"/>
              </w:rPr>
              <w:t>20899</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其他社会保障和就业支出</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0.23</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0.23</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2089901</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  其他社会保障和就</w:t>
            </w:r>
          </w:p>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业支出</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0.23</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0.23</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210</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卫生健康支出</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6.57</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6.57</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21011</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行政事业单位医疗</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6.57</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6.57</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2101101</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 xml:space="preserve">  行政单位医疗</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eastAsia="zh-CN"/>
              </w:rPr>
            </w:pPr>
            <w:r>
              <w:rPr>
                <w:rFonts w:hint="eastAsia" w:ascii="仿宋_GB2312" w:hAnsi="宋体" w:eastAsia="仿宋_GB2312" w:cs="宋体"/>
                <w:kern w:val="0"/>
                <w:sz w:val="18"/>
                <w:szCs w:val="18"/>
                <w:lang w:val="en-US" w:eastAsia="zh-CN"/>
              </w:rPr>
              <w:t>5.28</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5.28</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2101103</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 xml:space="preserve">  公务员医疗补助</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1.29</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1.29</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221</w:t>
            </w:r>
          </w:p>
        </w:tc>
        <w:tc>
          <w:tcPr>
            <w:tcW w:w="1841" w:type="dxa"/>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住房保障支出</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14.52</w:t>
            </w:r>
          </w:p>
        </w:tc>
        <w:tc>
          <w:tcPr>
            <w:tcW w:w="1517" w:type="dxa"/>
            <w:tcBorders>
              <w:top w:val="nil"/>
              <w:left w:val="nil"/>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18"/>
                <w:szCs w:val="18"/>
                <w:lang w:val="en-US"/>
              </w:rPr>
            </w:pPr>
            <w:r>
              <w:rPr>
                <w:rFonts w:hint="eastAsia" w:ascii="宋体" w:hAnsi="宋体" w:eastAsia="宋体" w:cs="宋体"/>
                <w:i w:val="0"/>
                <w:color w:val="000000"/>
                <w:kern w:val="0"/>
                <w:sz w:val="18"/>
                <w:szCs w:val="18"/>
                <w:u w:val="none"/>
                <w:lang w:val="en-US" w:eastAsia="zh-CN" w:bidi="ar"/>
              </w:rPr>
              <w:t>14.52</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w:t>
            </w:r>
          </w:p>
        </w:tc>
        <w:tc>
          <w:tcPr>
            <w:tcW w:w="18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住房改革支出</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14.52</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14.52</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2210201</w:t>
            </w:r>
          </w:p>
        </w:tc>
        <w:tc>
          <w:tcPr>
            <w:tcW w:w="18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住房公积金</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14.52</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14.52</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222</w:t>
            </w:r>
          </w:p>
        </w:tc>
        <w:tc>
          <w:tcPr>
            <w:tcW w:w="18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粮油物资储备支出</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161.90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161.90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22201</w:t>
            </w:r>
          </w:p>
        </w:tc>
        <w:tc>
          <w:tcPr>
            <w:tcW w:w="18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粮油事务</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161.90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161.90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397" w:hRule="atLeast"/>
          <w:jc w:val="center"/>
        </w:trPr>
        <w:tc>
          <w:tcPr>
            <w:tcW w:w="97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2220101</w:t>
            </w:r>
          </w:p>
        </w:tc>
        <w:tc>
          <w:tcPr>
            <w:tcW w:w="184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行政运行</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161.90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161.90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7"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51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bl>
    <w:p>
      <w:pPr>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注：本表反映部门本年度取得的各项收入情况。</w:t>
      </w:r>
    </w:p>
    <w:p>
      <w:pPr>
        <w:jc w:val="center"/>
        <w:rPr>
          <w:rFonts w:ascii="仿宋" w:hAnsi="仿宋" w:eastAsia="仿宋" w:cs="仿宋"/>
          <w:sz w:val="44"/>
          <w:szCs w:val="44"/>
        </w:rPr>
      </w:pPr>
    </w:p>
    <w:p>
      <w:pPr>
        <w:jc w:val="center"/>
        <w:rPr>
          <w:rFonts w:hint="eastAsia" w:ascii="仿宋" w:hAnsi="仿宋" w:eastAsia="仿宋" w:cs="仿宋"/>
          <w:sz w:val="44"/>
          <w:szCs w:val="44"/>
        </w:rPr>
      </w:pPr>
    </w:p>
    <w:p>
      <w:pPr>
        <w:jc w:val="center"/>
        <w:rPr>
          <w:rFonts w:hint="eastAsia" w:ascii="方正小标宋简体" w:eastAsia="方正小标宋简体"/>
          <w:sz w:val="44"/>
          <w:szCs w:val="44"/>
        </w:rPr>
      </w:pPr>
      <w:r>
        <w:rPr>
          <w:rFonts w:hint="eastAsia" w:ascii="方正小标宋简体" w:eastAsia="方正小标宋简体"/>
          <w:sz w:val="44"/>
          <w:szCs w:val="44"/>
        </w:rPr>
        <w:t>支出决算表</w:t>
      </w:r>
    </w:p>
    <w:p>
      <w:pPr>
        <w:spacing w:line="400" w:lineRule="exact"/>
        <w:jc w:val="left"/>
        <w:rPr>
          <w:rFonts w:hint="eastAsia" w:ascii="楷体_GB2312" w:eastAsia="楷体_GB2312"/>
          <w:sz w:val="28"/>
          <w:szCs w:val="28"/>
        </w:rPr>
      </w:pPr>
      <w:r>
        <w:rPr>
          <w:rFonts w:hint="eastAsia" w:ascii="楷体_GB2312" w:eastAsia="楷体_GB2312"/>
          <w:sz w:val="28"/>
          <w:szCs w:val="28"/>
        </w:rPr>
        <w:t xml:space="preserve">                                                                                      公开03表部门：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W w:w="0" w:type="auto"/>
        <w:jc w:val="center"/>
        <w:tblLayout w:type="fixed"/>
        <w:tblCellMar>
          <w:top w:w="0" w:type="dxa"/>
          <w:left w:w="108" w:type="dxa"/>
          <w:bottom w:w="0" w:type="dxa"/>
          <w:right w:w="108" w:type="dxa"/>
        </w:tblCellMar>
      </w:tblPr>
      <w:tblGrid>
        <w:gridCol w:w="974"/>
        <w:gridCol w:w="427"/>
        <w:gridCol w:w="1553"/>
        <w:gridCol w:w="1610"/>
        <w:gridCol w:w="1763"/>
        <w:gridCol w:w="1763"/>
        <w:gridCol w:w="1762"/>
        <w:gridCol w:w="1763"/>
        <w:gridCol w:w="1763"/>
      </w:tblGrid>
      <w:tr>
        <w:tblPrEx>
          <w:tblCellMar>
            <w:top w:w="0" w:type="dxa"/>
            <w:left w:w="108" w:type="dxa"/>
            <w:bottom w:w="0" w:type="dxa"/>
            <w:right w:w="108" w:type="dxa"/>
          </w:tblCellMar>
        </w:tblPrEx>
        <w:trPr>
          <w:trHeight w:val="458" w:hRule="atLeast"/>
          <w:jc w:val="center"/>
        </w:trPr>
        <w:tc>
          <w:tcPr>
            <w:tcW w:w="2954"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610"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本年支出合计</w:t>
            </w:r>
          </w:p>
        </w:tc>
        <w:tc>
          <w:tcPr>
            <w:tcW w:w="1763"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63"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62"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上缴上级支出</w:t>
            </w:r>
          </w:p>
        </w:tc>
        <w:tc>
          <w:tcPr>
            <w:tcW w:w="1763"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xml:space="preserve">经营支出    </w:t>
            </w:r>
          </w:p>
        </w:tc>
        <w:tc>
          <w:tcPr>
            <w:tcW w:w="1763"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对附属单位</w:t>
            </w:r>
          </w:p>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补助支出</w:t>
            </w:r>
          </w:p>
        </w:tc>
      </w:tr>
      <w:tr>
        <w:tblPrEx>
          <w:tblCellMar>
            <w:top w:w="0" w:type="dxa"/>
            <w:left w:w="108" w:type="dxa"/>
            <w:bottom w:w="0" w:type="dxa"/>
            <w:right w:w="108" w:type="dxa"/>
          </w:tblCellMar>
        </w:tblPrEx>
        <w:trPr>
          <w:trHeight w:val="457" w:hRule="atLeast"/>
          <w:jc w:val="center"/>
        </w:trPr>
        <w:tc>
          <w:tcPr>
            <w:tcW w:w="1401" w:type="dxa"/>
            <w:gridSpan w:val="2"/>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1553"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610"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762"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763"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06" w:hRule="atLeast"/>
          <w:jc w:val="center"/>
        </w:trPr>
        <w:tc>
          <w:tcPr>
            <w:tcW w:w="2954"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610"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62"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06" w:hRule="atLeast"/>
          <w:jc w:val="center"/>
        </w:trPr>
        <w:tc>
          <w:tcPr>
            <w:tcW w:w="2954" w:type="dxa"/>
            <w:gridSpan w:val="3"/>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610"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single" w:color="auto" w:sz="4" w:space="0"/>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社会保障和就业支出</w:t>
            </w:r>
          </w:p>
        </w:tc>
        <w:tc>
          <w:tcPr>
            <w:tcW w:w="1610" w:type="dxa"/>
            <w:tcBorders>
              <w:top w:val="single" w:color="auto" w:sz="4" w:space="0"/>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12.11</w:t>
            </w:r>
          </w:p>
        </w:tc>
        <w:tc>
          <w:tcPr>
            <w:tcW w:w="1763" w:type="dxa"/>
            <w:tcBorders>
              <w:top w:val="single" w:color="auto" w:sz="4" w:space="0"/>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12.11</w:t>
            </w:r>
          </w:p>
        </w:tc>
        <w:tc>
          <w:tcPr>
            <w:tcW w:w="1763"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c>
          <w:tcPr>
            <w:tcW w:w="1762" w:type="dxa"/>
            <w:tcBorders>
              <w:top w:val="single" w:color="auto" w:sz="4" w:space="0"/>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20805</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行政事业单位离退休</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11.87</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11.87</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40"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2080505</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 xml:space="preserve">  机关事业单位基本养老保险缴费支出</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11.87</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11.87</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ind w:right="90"/>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20899</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6"/>
                <w:szCs w:val="16"/>
                <w:u w:val="none"/>
                <w:lang w:val="en-US" w:eastAsia="zh-CN" w:bidi="ar"/>
              </w:rPr>
              <w:t>其他社会保障和就业支出</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90"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2089901</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  其他社会保障和就</w:t>
            </w:r>
          </w:p>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业支出</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815"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210</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left"/>
              <w:textAlignment w:val="center"/>
              <w:rPr>
                <w:rFonts w:hint="eastAsia" w:ascii="仿宋_GB2312" w:hAnsi="宋体" w:eastAsia="仿宋_GB2312" w:cs="宋体"/>
                <w:kern w:val="0"/>
                <w:sz w:val="18"/>
                <w:szCs w:val="18"/>
              </w:rPr>
            </w:pPr>
            <w:r>
              <w:rPr>
                <w:rFonts w:hint="eastAsia" w:ascii="宋体" w:hAnsi="宋体" w:eastAsia="宋体" w:cs="宋体"/>
                <w:i w:val="0"/>
                <w:color w:val="000000"/>
                <w:kern w:val="0"/>
                <w:sz w:val="18"/>
                <w:szCs w:val="18"/>
                <w:u w:val="none"/>
                <w:lang w:val="en-US" w:eastAsia="zh-CN" w:bidi="ar"/>
              </w:rPr>
              <w:t>卫生健康支出</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21011</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行政事业单位医疗</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2101101</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 xml:space="preserve">  行政单位医疗</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18"/>
                <w:szCs w:val="18"/>
                <w:lang w:val="en-US" w:eastAsia="zh-CN"/>
              </w:rPr>
              <w:t>5.28</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5.28</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540" w:hRule="atLeast"/>
          <w:jc w:val="center"/>
        </w:trPr>
        <w:tc>
          <w:tcPr>
            <w:tcW w:w="974" w:type="dxa"/>
            <w:tcBorders>
              <w:top w:val="nil"/>
              <w:left w:val="single" w:color="auto" w:sz="4" w:space="0"/>
              <w:bottom w:val="nil"/>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2101103</w:t>
            </w:r>
          </w:p>
        </w:tc>
        <w:tc>
          <w:tcPr>
            <w:tcW w:w="1980" w:type="dxa"/>
            <w:gridSpan w:val="2"/>
            <w:tcBorders>
              <w:top w:val="nil"/>
              <w:left w:val="single" w:color="auto" w:sz="4" w:space="0"/>
              <w:bottom w:val="nil"/>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 xml:space="preserve">  公务员医疗补助</w:t>
            </w:r>
          </w:p>
        </w:tc>
        <w:tc>
          <w:tcPr>
            <w:tcW w:w="1610" w:type="dxa"/>
            <w:tcBorders>
              <w:top w:val="nil"/>
              <w:left w:val="nil"/>
              <w:bottom w:val="nil"/>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1.29</w:t>
            </w:r>
          </w:p>
        </w:tc>
        <w:tc>
          <w:tcPr>
            <w:tcW w:w="1763" w:type="dxa"/>
            <w:tcBorders>
              <w:top w:val="nil"/>
              <w:left w:val="single" w:color="auto" w:sz="4" w:space="0"/>
              <w:bottom w:val="nil"/>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1.29</w:t>
            </w:r>
          </w:p>
        </w:tc>
        <w:tc>
          <w:tcPr>
            <w:tcW w:w="1763" w:type="dxa"/>
            <w:tcBorders>
              <w:top w:val="nil"/>
              <w:left w:val="single" w:color="auto" w:sz="4" w:space="0"/>
              <w:bottom w:val="nil"/>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nil"/>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nil"/>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nil"/>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nil"/>
              <w:left w:val="single" w:color="auto" w:sz="4" w:space="0"/>
              <w:bottom w:val="single" w:color="auto" w:sz="4" w:space="0"/>
              <w:right w:val="nil"/>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221</w:t>
            </w:r>
          </w:p>
        </w:tc>
        <w:tc>
          <w:tcPr>
            <w:tcW w:w="1980" w:type="dxa"/>
            <w:gridSpan w:val="2"/>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住房保障支出</w:t>
            </w:r>
          </w:p>
        </w:tc>
        <w:tc>
          <w:tcPr>
            <w:tcW w:w="1610" w:type="dxa"/>
            <w:tcBorders>
              <w:top w:val="nil"/>
              <w:left w:val="nil"/>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14.52</w:t>
            </w:r>
          </w:p>
        </w:tc>
        <w:tc>
          <w:tcPr>
            <w:tcW w:w="1763" w:type="dxa"/>
            <w:tcBorders>
              <w:top w:val="nil"/>
              <w:left w:val="single" w:color="auto" w:sz="4" w:space="0"/>
              <w:bottom w:val="single" w:color="auto" w:sz="4" w:space="0"/>
              <w:right w:val="nil"/>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14.52</w:t>
            </w:r>
          </w:p>
        </w:tc>
        <w:tc>
          <w:tcPr>
            <w:tcW w:w="1763" w:type="dxa"/>
            <w:tcBorders>
              <w:top w:val="nil"/>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22102</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住房改革支出</w:t>
            </w:r>
          </w:p>
        </w:tc>
        <w:tc>
          <w:tcPr>
            <w:tcW w:w="16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1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2210201</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住房公积金</w:t>
            </w:r>
          </w:p>
        </w:tc>
        <w:tc>
          <w:tcPr>
            <w:tcW w:w="16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1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222</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粮油物资储备支出</w:t>
            </w:r>
          </w:p>
        </w:tc>
        <w:tc>
          <w:tcPr>
            <w:tcW w:w="16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161.90</w:t>
            </w:r>
          </w:p>
        </w:tc>
        <w:tc>
          <w:tcPr>
            <w:tcW w:w="1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18"/>
                <w:szCs w:val="18"/>
                <w:u w:val="none"/>
                <w:lang w:val="en-US" w:eastAsia="zh-CN" w:bidi="ar"/>
              </w:rPr>
              <w:t>161.90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22201</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粮油事务</w:t>
            </w:r>
          </w:p>
        </w:tc>
        <w:tc>
          <w:tcPr>
            <w:tcW w:w="16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1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18"/>
                <w:szCs w:val="18"/>
                <w:u w:val="none"/>
                <w:lang w:val="en-US" w:eastAsia="zh-CN" w:bidi="ar"/>
              </w:rPr>
              <w:t>161.90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06" w:hRule="atLeast"/>
          <w:jc w:val="center"/>
        </w:trPr>
        <w:tc>
          <w:tcPr>
            <w:tcW w:w="97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2220101</w:t>
            </w:r>
          </w:p>
        </w:tc>
        <w:tc>
          <w:tcPr>
            <w:tcW w:w="1980"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行政运行</w:t>
            </w:r>
          </w:p>
        </w:tc>
        <w:tc>
          <w:tcPr>
            <w:tcW w:w="161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17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eastAsia="zh-CN"/>
              </w:rPr>
            </w:pPr>
            <w:r>
              <w:rPr>
                <w:rFonts w:hint="eastAsia" w:ascii="宋体" w:hAnsi="宋体" w:eastAsia="宋体" w:cs="宋体"/>
                <w:i w:val="0"/>
                <w:color w:val="000000"/>
                <w:kern w:val="0"/>
                <w:sz w:val="18"/>
                <w:szCs w:val="18"/>
                <w:u w:val="none"/>
                <w:lang w:val="en-US" w:eastAsia="zh-CN" w:bidi="ar"/>
              </w:rPr>
              <w:t>161.90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2"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c>
          <w:tcPr>
            <w:tcW w:w="1763"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bl>
    <w:p>
      <w:pPr>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注：本表反映部门本年度各项支出情况。</w:t>
      </w:r>
    </w:p>
    <w:p>
      <w:pPr>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hint="eastAsia" w:ascii="方正小标宋简体" w:eastAsia="方正小标宋简体"/>
          <w:sz w:val="44"/>
          <w:szCs w:val="44"/>
        </w:rPr>
      </w:pPr>
      <w:r>
        <w:rPr>
          <w:rFonts w:hint="eastAsia" w:ascii="方正小标宋简体" w:eastAsia="方正小标宋简体"/>
          <w:sz w:val="44"/>
          <w:szCs w:val="44"/>
        </w:rPr>
        <w:t>财政拨款收入支出决算总表</w:t>
      </w:r>
    </w:p>
    <w:p>
      <w:pPr>
        <w:spacing w:line="400" w:lineRule="exact"/>
        <w:jc w:val="right"/>
        <w:rPr>
          <w:rFonts w:hint="eastAsia" w:ascii="楷体_GB2312" w:eastAsia="楷体_GB2312"/>
          <w:sz w:val="28"/>
          <w:szCs w:val="28"/>
        </w:rPr>
      </w:pPr>
      <w:r>
        <w:rPr>
          <w:rFonts w:hint="eastAsia" w:ascii="楷体_GB2312" w:eastAsia="楷体_GB2312"/>
          <w:sz w:val="28"/>
          <w:szCs w:val="28"/>
        </w:rPr>
        <w:t>公开04表</w:t>
      </w:r>
    </w:p>
    <w:p>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2"/>
        <w:gridCol w:w="540"/>
        <w:gridCol w:w="1512"/>
        <w:gridCol w:w="2628"/>
        <w:gridCol w:w="540"/>
        <w:gridCol w:w="1699"/>
        <w:gridCol w:w="1700"/>
        <w:gridCol w:w="170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jc w:val="center"/>
        </w:trPr>
        <w:tc>
          <w:tcPr>
            <w:tcW w:w="5074" w:type="dxa"/>
            <w:gridSpan w:val="3"/>
            <w:tcBorders>
              <w:top w:val="single" w:color="auto" w:sz="4" w:space="0"/>
              <w:bottom w:val="single" w:color="auto" w:sz="4" w:space="0"/>
              <w:right w:val="nil"/>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收 入</w:t>
            </w:r>
          </w:p>
        </w:tc>
        <w:tc>
          <w:tcPr>
            <w:tcW w:w="8267" w:type="dxa"/>
            <w:gridSpan w:val="5"/>
            <w:tcBorders>
              <w:top w:val="single" w:color="auto" w:sz="4" w:space="0"/>
              <w:left w:val="nil"/>
              <w:bottom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支 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金额</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行次</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一般公共预算</w:t>
            </w:r>
          </w:p>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财政拨款</w:t>
            </w:r>
          </w:p>
        </w:tc>
        <w:tc>
          <w:tcPr>
            <w:tcW w:w="1700" w:type="dxa"/>
            <w:tcBorders>
              <w:top w:val="single" w:color="auto" w:sz="4" w:space="0"/>
              <w:left w:val="single" w:color="auto" w:sz="4" w:space="0"/>
              <w:bottom w:val="single" w:color="auto" w:sz="4"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政府性基金</w:t>
            </w:r>
          </w:p>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预算财政拨款</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ind w:firstLine="1080" w:firstLineChars="500"/>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4</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一、</w:t>
            </w:r>
            <w:r>
              <w:rPr>
                <w:rFonts w:hint="eastAsia" w:ascii="仿宋_GB2312" w:hAnsi="宋体" w:eastAsia="仿宋_GB2312" w:cs="宋体"/>
                <w:kern w:val="0"/>
                <w:sz w:val="22"/>
                <w:szCs w:val="22"/>
                <w:lang w:eastAsia="zh-CN"/>
              </w:rPr>
              <w:t>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12.11</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12.11</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18"/>
                <w:szCs w:val="18"/>
              </w:rPr>
              <w:t>二、</w:t>
            </w:r>
            <w:r>
              <w:rPr>
                <w:rFonts w:hint="eastAsia" w:ascii="仿宋_GB2312" w:hAnsi="宋体" w:eastAsia="仿宋_GB2312" w:cs="宋体"/>
                <w:kern w:val="0"/>
                <w:sz w:val="18"/>
                <w:szCs w:val="18"/>
                <w:lang w:eastAsia="zh-CN"/>
              </w:rPr>
              <w:t>卫生健康支出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6.57</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rPr>
            </w:pPr>
            <w:r>
              <w:rPr>
                <w:rFonts w:hint="eastAsia" w:ascii="仿宋_GB2312" w:hAnsi="宋体" w:eastAsia="仿宋_GB2312" w:cs="宋体"/>
                <w:kern w:val="0"/>
                <w:sz w:val="22"/>
                <w:szCs w:val="22"/>
                <w:lang w:val="en-US" w:eastAsia="zh-CN"/>
              </w:rPr>
              <w:t>6.57</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三、</w:t>
            </w:r>
            <w:r>
              <w:rPr>
                <w:rFonts w:hint="eastAsia" w:ascii="仿宋_GB2312" w:hAnsi="宋体" w:eastAsia="仿宋_GB2312" w:cs="宋体"/>
                <w:kern w:val="0"/>
                <w:sz w:val="22"/>
                <w:szCs w:val="22"/>
                <w:lang w:eastAsia="zh-CN"/>
              </w:rPr>
              <w:t>住房保障支出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rPr>
            </w:pPr>
            <w:r>
              <w:rPr>
                <w:rFonts w:hint="eastAsia" w:ascii="仿宋_GB2312" w:hAnsi="宋体" w:eastAsia="仿宋_GB2312" w:cs="宋体"/>
                <w:kern w:val="0"/>
                <w:sz w:val="22"/>
                <w:szCs w:val="22"/>
                <w:lang w:val="en-US" w:eastAsia="zh-CN"/>
              </w:rPr>
              <w:t>14.52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14.52</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lang w:eastAsia="zh-CN"/>
              </w:rPr>
            </w:pPr>
            <w:r>
              <w:rPr>
                <w:rFonts w:hint="eastAsia" w:ascii="仿宋_GB2312" w:hAnsi="宋体" w:eastAsia="仿宋_GB2312" w:cs="宋体"/>
                <w:kern w:val="0"/>
                <w:sz w:val="22"/>
                <w:szCs w:val="22"/>
              </w:rPr>
              <w:t>四、</w:t>
            </w:r>
            <w:r>
              <w:rPr>
                <w:rFonts w:hint="eastAsia" w:ascii="仿宋_GB2312" w:hAnsi="宋体" w:eastAsia="仿宋_GB2312" w:cs="宋体"/>
                <w:kern w:val="0"/>
                <w:sz w:val="22"/>
                <w:szCs w:val="22"/>
                <w:lang w:eastAsia="zh-CN"/>
              </w:rPr>
              <w:t>粮油物资储备支出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161.90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rPr>
            </w:pPr>
            <w:r>
              <w:rPr>
                <w:rFonts w:hint="eastAsia" w:ascii="仿宋_GB2312" w:hAnsi="宋体" w:eastAsia="仿宋_GB2312" w:cs="宋体"/>
                <w:kern w:val="0"/>
                <w:sz w:val="22"/>
                <w:szCs w:val="22"/>
                <w:lang w:val="en-US" w:eastAsia="zh-CN"/>
              </w:rPr>
              <w:t>161.90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r>
              <w:rPr>
                <w:rFonts w:hint="eastAsia" w:ascii="仿宋_GB2312" w:hAnsi="宋体" w:eastAsia="仿宋_GB2312" w:cs="宋体"/>
                <w:bCs/>
                <w:kern w:val="0"/>
                <w:sz w:val="22"/>
                <w:szCs w:val="22"/>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bCs/>
                <w:kern w:val="0"/>
                <w:sz w:val="22"/>
                <w:szCs w:val="22"/>
              </w:rPr>
            </w:pPr>
            <w:r>
              <w:rPr>
                <w:rFonts w:hint="eastAsia" w:ascii="仿宋_GB2312" w:hAnsi="宋体" w:eastAsia="仿宋_GB2312" w:cs="宋体"/>
                <w:bCs/>
                <w:kern w:val="0"/>
                <w:sz w:val="22"/>
                <w:szCs w:val="22"/>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b/>
                <w:bCs/>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09"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eastAsia"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 xml:space="preserve">  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12</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eastAsia"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13</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p>
        </w:tc>
        <w:tc>
          <w:tcPr>
            <w:tcW w:w="262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left"/>
              <w:rPr>
                <w:rFonts w:hint="eastAsia" w:ascii="仿宋_GB2312" w:hAnsi="宋体" w:eastAsia="仿宋_GB2312" w:cs="宋体"/>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p>
        </w:tc>
        <w:tc>
          <w:tcPr>
            <w:tcW w:w="1700" w:type="dxa"/>
            <w:tcBorders>
              <w:top w:val="single" w:color="auto" w:sz="4" w:space="0"/>
              <w:left w:val="single" w:color="auto" w:sz="4" w:space="0"/>
              <w:bottom w:val="single" w:color="auto" w:sz="4" w:space="0"/>
            </w:tcBorders>
            <w:noWrap/>
            <w:vAlign w:val="center"/>
          </w:tcPr>
          <w:p>
            <w:pPr>
              <w:widowControl/>
              <w:spacing w:line="300" w:lineRule="exact"/>
              <w:jc w:val="left"/>
              <w:rPr>
                <w:rFonts w:hint="eastAsia" w:ascii="仿宋_GB2312" w:hAnsi="宋体" w:eastAsia="仿宋_GB2312" w:cs="宋体"/>
                <w:kern w:val="0"/>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14</w:t>
            </w:r>
          </w:p>
        </w:tc>
        <w:tc>
          <w:tcPr>
            <w:tcW w:w="1512"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00" w:lineRule="exact"/>
              <w:jc w:val="center"/>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bCs/>
                <w:kern w:val="0"/>
                <w:sz w:val="22"/>
                <w:szCs w:val="22"/>
              </w:rPr>
            </w:pPr>
            <w:r>
              <w:rPr>
                <w:rFonts w:hint="eastAsia" w:ascii="仿宋_GB2312" w:hAnsi="宋体" w:eastAsia="仿宋_GB2312" w:cs="宋体"/>
                <w:bCs/>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195.10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1700" w:type="dxa"/>
            <w:tcBorders>
              <w:top w:val="single" w:color="auto" w:sz="4" w:space="0"/>
              <w:left w:val="single" w:color="auto" w:sz="4" w:space="0"/>
              <w:bottom w:val="single" w:color="auto" w:sz="4" w:space="0"/>
            </w:tcBorders>
            <w:noWrap/>
            <w:vAlign w:val="center"/>
          </w:tcPr>
          <w:p>
            <w:pPr>
              <w:widowControl/>
              <w:spacing w:line="300" w:lineRule="exact"/>
              <w:ind w:firstLine="648" w:firstLineChars="300"/>
              <w:jc w:val="left"/>
              <w:rPr>
                <w:rFonts w:hint="eastAsia" w:ascii="仿宋_GB2312" w:hAnsi="宋体" w:eastAsia="仿宋_GB2312" w:cs="宋体"/>
                <w:b/>
                <w:bCs/>
                <w:kern w:val="0"/>
                <w:sz w:val="22"/>
                <w:szCs w:val="22"/>
              </w:rPr>
            </w:pPr>
            <w:r>
              <w:rPr>
                <w:rFonts w:hint="eastAsia" w:ascii="仿宋_GB2312" w:hAnsi="宋体" w:eastAsia="仿宋_GB2312" w:cs="宋体"/>
                <w:kern w:val="0"/>
                <w:sz w:val="22"/>
                <w:szCs w:val="22"/>
                <w:lang w:val="en-US" w:eastAsia="zh-CN"/>
              </w:rPr>
              <w:t>0.00</w:t>
            </w:r>
          </w:p>
        </w:tc>
      </w:tr>
    </w:tbl>
    <w:p>
      <w:pPr>
        <w:ind w:firstLine="108" w:firstLineChars="50"/>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r>
        <w:rPr>
          <w:rFonts w:hint="eastAsia" w:ascii="仿宋_GB2312" w:hAnsi="宋体" w:eastAsia="仿宋_GB2312"/>
          <w:sz w:val="22"/>
          <w:szCs w:val="22"/>
        </w:rPr>
        <w:t>注：本表反映部门本年度一般公共预算财政拨款和政府性基金预算财政拨款的总收支和年末结转结余情况。</w:t>
      </w:r>
    </w:p>
    <w:p>
      <w:pPr>
        <w:jc w:val="center"/>
        <w:rPr>
          <w:rFonts w:hint="eastAsia" w:ascii="方正小标宋简体" w:eastAsia="方正小标宋简体"/>
          <w:sz w:val="44"/>
          <w:szCs w:val="44"/>
        </w:rPr>
      </w:pPr>
      <w:r>
        <w:rPr>
          <w:rFonts w:hint="eastAsia" w:ascii="方正小标宋简体" w:eastAsia="方正小标宋简体"/>
          <w:sz w:val="44"/>
          <w:szCs w:val="44"/>
        </w:rPr>
        <w:t>一般公共预算财政拨款支出决算表</w:t>
      </w:r>
    </w:p>
    <w:p>
      <w:pPr>
        <w:spacing w:line="400" w:lineRule="exact"/>
        <w:jc w:val="right"/>
        <w:rPr>
          <w:rFonts w:hint="eastAsia" w:ascii="楷体_GB2312" w:eastAsia="楷体_GB2312"/>
          <w:sz w:val="28"/>
          <w:szCs w:val="28"/>
        </w:rPr>
      </w:pPr>
      <w:r>
        <w:rPr>
          <w:rFonts w:hint="eastAsia" w:ascii="楷体_GB2312" w:eastAsia="楷体_GB2312"/>
          <w:sz w:val="28"/>
          <w:szCs w:val="28"/>
        </w:rPr>
        <w:t>公开05表</w:t>
      </w:r>
    </w:p>
    <w:p>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W w:w="0" w:type="auto"/>
        <w:jc w:val="center"/>
        <w:tblLayout w:type="fixed"/>
        <w:tblCellMar>
          <w:top w:w="0" w:type="dxa"/>
          <w:left w:w="108" w:type="dxa"/>
          <w:bottom w:w="0" w:type="dxa"/>
          <w:right w:w="108" w:type="dxa"/>
        </w:tblCellMar>
      </w:tblPr>
      <w:tblGrid>
        <w:gridCol w:w="2419"/>
        <w:gridCol w:w="16"/>
        <w:gridCol w:w="2436"/>
        <w:gridCol w:w="2783"/>
        <w:gridCol w:w="2978"/>
        <w:gridCol w:w="2520"/>
      </w:tblGrid>
      <w:tr>
        <w:tblPrEx>
          <w:tblCellMar>
            <w:top w:w="0" w:type="dxa"/>
            <w:left w:w="108" w:type="dxa"/>
            <w:bottom w:w="0" w:type="dxa"/>
            <w:right w:w="108" w:type="dxa"/>
          </w:tblCellMar>
        </w:tblPrEx>
        <w:trPr>
          <w:trHeight w:val="428" w:hRule="atLeast"/>
          <w:jc w:val="center"/>
        </w:trPr>
        <w:tc>
          <w:tcPr>
            <w:tcW w:w="487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828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本年支出</w:t>
            </w:r>
          </w:p>
        </w:tc>
      </w:tr>
      <w:tr>
        <w:tblPrEx>
          <w:tblCellMar>
            <w:top w:w="0" w:type="dxa"/>
            <w:left w:w="108" w:type="dxa"/>
            <w:bottom w:w="0" w:type="dxa"/>
            <w:right w:w="108" w:type="dxa"/>
          </w:tblCellMar>
        </w:tblPrEx>
        <w:trPr>
          <w:trHeight w:val="552" w:hRule="exact"/>
          <w:jc w:val="center"/>
        </w:trPr>
        <w:tc>
          <w:tcPr>
            <w:tcW w:w="2435"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2436"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2783" w:type="dxa"/>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2520"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项目支出</w:t>
            </w:r>
          </w:p>
        </w:tc>
      </w:tr>
      <w:tr>
        <w:tblPrEx>
          <w:tblCellMar>
            <w:top w:w="0" w:type="dxa"/>
            <w:left w:w="108" w:type="dxa"/>
            <w:bottom w:w="0" w:type="dxa"/>
            <w:right w:w="108" w:type="dxa"/>
          </w:tblCellMar>
        </w:tblPrEx>
        <w:trPr>
          <w:trHeight w:val="454" w:hRule="exact"/>
          <w:jc w:val="center"/>
        </w:trPr>
        <w:tc>
          <w:tcPr>
            <w:tcW w:w="487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r>
      <w:tr>
        <w:tblPrEx>
          <w:tblCellMar>
            <w:top w:w="0" w:type="dxa"/>
            <w:left w:w="108" w:type="dxa"/>
            <w:bottom w:w="0" w:type="dxa"/>
            <w:right w:w="108" w:type="dxa"/>
          </w:tblCellMar>
        </w:tblPrEx>
        <w:trPr>
          <w:trHeight w:val="454" w:hRule="exact"/>
          <w:jc w:val="center"/>
        </w:trPr>
        <w:tc>
          <w:tcPr>
            <w:tcW w:w="4871"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2783"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297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195.10</w:t>
            </w:r>
          </w:p>
        </w:tc>
        <w:tc>
          <w:tcPr>
            <w:tcW w:w="2520"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社会保障和就业支出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12.11</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12.11</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r>
              <w:rPr>
                <w:rFonts w:hint="eastAsia" w:ascii="仿宋_GB2312" w:hAnsi="宋体" w:eastAsia="仿宋_GB2312" w:cs="宋体"/>
                <w:kern w:val="0"/>
                <w:sz w:val="22"/>
                <w:szCs w:val="22"/>
              </w:rPr>
              <w:t>　</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20805</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行政事业单位离退休</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11.87</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11.87</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2080505</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 xml:space="preserve">  机关事业单位基本养老保险缴费支出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11.87</w:t>
            </w:r>
          </w:p>
        </w:tc>
        <w:tc>
          <w:tcPr>
            <w:tcW w:w="2978" w:type="dxa"/>
            <w:tcBorders>
              <w:top w:val="single" w:color="auto" w:sz="4" w:space="0"/>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11.87</w:t>
            </w:r>
          </w:p>
        </w:tc>
        <w:tc>
          <w:tcPr>
            <w:tcW w:w="2520" w:type="dxa"/>
            <w:tcBorders>
              <w:top w:val="nil"/>
              <w:left w:val="nil"/>
              <w:bottom w:val="single" w:color="auto" w:sz="4" w:space="0"/>
              <w:right w:val="single" w:color="auto" w:sz="4" w:space="0"/>
            </w:tcBorders>
            <w:noWrap/>
            <w:vAlign w:val="center"/>
          </w:tcPr>
          <w:p>
            <w:pPr>
              <w:widowControl/>
              <w:spacing w:line="300" w:lineRule="exact"/>
              <w:ind w:right="90" w:rightChars="0"/>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20899</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6"/>
                <w:szCs w:val="16"/>
                <w:u w:val="none"/>
                <w:lang w:val="en-US" w:eastAsia="zh-CN" w:bidi="ar"/>
              </w:rPr>
              <w:t>其他社会保障和就业支出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2089901</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18"/>
                <w:szCs w:val="18"/>
                <w:u w:val="none"/>
                <w:lang w:val="en-US" w:eastAsia="zh-CN" w:bidi="ar"/>
              </w:rPr>
            </w:pPr>
            <w:r>
              <w:rPr>
                <w:rFonts w:hint="eastAsia" w:ascii="宋体" w:hAnsi="宋体" w:eastAsia="宋体" w:cs="宋体"/>
                <w:i w:val="0"/>
                <w:color w:val="000000"/>
                <w:kern w:val="0"/>
                <w:sz w:val="18"/>
                <w:szCs w:val="18"/>
                <w:u w:val="none"/>
                <w:lang w:val="en-US" w:eastAsia="zh-CN" w:bidi="ar"/>
              </w:rPr>
              <w:t xml:space="preserve">  其他社会保障和就</w:t>
            </w:r>
          </w:p>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业支出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0.23</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w:t>
            </w:r>
          </w:p>
        </w:tc>
        <w:tc>
          <w:tcPr>
            <w:tcW w:w="2452" w:type="dxa"/>
            <w:gridSpan w:val="2"/>
            <w:tcBorders>
              <w:top w:val="nil"/>
              <w:left w:val="nil"/>
              <w:bottom w:val="single" w:color="auto" w:sz="4" w:space="0"/>
              <w:right w:val="single" w:color="auto" w:sz="4" w:space="0"/>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600" w:lineRule="exact"/>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6"/>
                <w:szCs w:val="16"/>
                <w:u w:val="none"/>
                <w:lang w:val="en-US" w:eastAsia="zh-CN" w:bidi="ar"/>
              </w:rPr>
              <w:t>卫生健康支出</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21011</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行政事业单位医疗</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6.57</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6.57</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2101101</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 xml:space="preserve">  行政单位医疗</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5.28</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5.28</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nil"/>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2101103</w:t>
            </w:r>
          </w:p>
        </w:tc>
        <w:tc>
          <w:tcPr>
            <w:tcW w:w="2452" w:type="dxa"/>
            <w:gridSpan w:val="2"/>
            <w:tcBorders>
              <w:top w:val="nil"/>
              <w:left w:val="nil"/>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 xml:space="preserve">  公务员医疗补助</w:t>
            </w:r>
          </w:p>
        </w:tc>
        <w:tc>
          <w:tcPr>
            <w:tcW w:w="2783"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1.29</w:t>
            </w:r>
          </w:p>
        </w:tc>
        <w:tc>
          <w:tcPr>
            <w:tcW w:w="2978" w:type="dxa"/>
            <w:tcBorders>
              <w:top w:val="nil"/>
              <w:left w:val="nil"/>
              <w:bottom w:val="single" w:color="auto" w:sz="4" w:space="0"/>
              <w:right w:val="single" w:color="auto" w:sz="4" w:space="0"/>
            </w:tcBorders>
            <w:noWrap/>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1.29</w:t>
            </w:r>
          </w:p>
        </w:tc>
        <w:tc>
          <w:tcPr>
            <w:tcW w:w="2520"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221</w:t>
            </w:r>
          </w:p>
        </w:tc>
        <w:tc>
          <w:tcPr>
            <w:tcW w:w="245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住房保障支出</w:t>
            </w:r>
          </w:p>
        </w:tc>
        <w:tc>
          <w:tcPr>
            <w:tcW w:w="27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14.52</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2520"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22102</w:t>
            </w:r>
          </w:p>
        </w:tc>
        <w:tc>
          <w:tcPr>
            <w:tcW w:w="245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住房改革支出</w:t>
            </w:r>
          </w:p>
        </w:tc>
        <w:tc>
          <w:tcPr>
            <w:tcW w:w="27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2520"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2210201</w:t>
            </w:r>
          </w:p>
        </w:tc>
        <w:tc>
          <w:tcPr>
            <w:tcW w:w="245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住房公积金</w:t>
            </w:r>
          </w:p>
        </w:tc>
        <w:tc>
          <w:tcPr>
            <w:tcW w:w="27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14.52</w:t>
            </w:r>
          </w:p>
        </w:tc>
        <w:tc>
          <w:tcPr>
            <w:tcW w:w="2520"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222</w:t>
            </w:r>
          </w:p>
        </w:tc>
        <w:tc>
          <w:tcPr>
            <w:tcW w:w="245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粮油物资储备支出</w:t>
            </w:r>
          </w:p>
        </w:tc>
        <w:tc>
          <w:tcPr>
            <w:tcW w:w="27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default" w:ascii="仿宋_GB2312" w:hAnsi="宋体" w:eastAsia="仿宋_GB2312" w:cs="宋体"/>
                <w:kern w:val="0"/>
                <w:sz w:val="22"/>
                <w:szCs w:val="22"/>
                <w:lang w:val="en-US"/>
              </w:rPr>
            </w:pPr>
            <w:r>
              <w:rPr>
                <w:rFonts w:hint="eastAsia" w:ascii="宋体" w:hAnsi="宋体" w:eastAsia="宋体" w:cs="宋体"/>
                <w:i w:val="0"/>
                <w:color w:val="000000"/>
                <w:kern w:val="0"/>
                <w:sz w:val="18"/>
                <w:szCs w:val="18"/>
                <w:u w:val="none"/>
                <w:lang w:val="en-US" w:eastAsia="zh-CN" w:bidi="ar"/>
              </w:rPr>
              <w:t>161.90</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2520"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22201</w:t>
            </w:r>
          </w:p>
        </w:tc>
        <w:tc>
          <w:tcPr>
            <w:tcW w:w="245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粮油事务</w:t>
            </w:r>
          </w:p>
        </w:tc>
        <w:tc>
          <w:tcPr>
            <w:tcW w:w="27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2520"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exact"/>
          <w:jc w:val="center"/>
        </w:trPr>
        <w:tc>
          <w:tcPr>
            <w:tcW w:w="24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2220101</w:t>
            </w:r>
          </w:p>
        </w:tc>
        <w:tc>
          <w:tcPr>
            <w:tcW w:w="2452"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lef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行政运行</w:t>
            </w:r>
          </w:p>
        </w:tc>
        <w:tc>
          <w:tcPr>
            <w:tcW w:w="278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297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right"/>
              <w:textAlignment w:val="center"/>
              <w:rPr>
                <w:rFonts w:hint="eastAsia" w:ascii="仿宋_GB2312" w:hAnsi="宋体" w:eastAsia="仿宋_GB2312" w:cs="宋体"/>
                <w:kern w:val="0"/>
                <w:sz w:val="22"/>
                <w:szCs w:val="22"/>
              </w:rPr>
            </w:pPr>
            <w:r>
              <w:rPr>
                <w:rFonts w:hint="eastAsia" w:ascii="宋体" w:hAnsi="宋体" w:eastAsia="宋体" w:cs="宋体"/>
                <w:i w:val="0"/>
                <w:color w:val="000000"/>
                <w:kern w:val="0"/>
                <w:sz w:val="18"/>
                <w:szCs w:val="18"/>
                <w:u w:val="none"/>
                <w:lang w:val="en-US" w:eastAsia="zh-CN" w:bidi="ar"/>
              </w:rPr>
              <w:t>161.90</w:t>
            </w:r>
          </w:p>
        </w:tc>
        <w:tc>
          <w:tcPr>
            <w:tcW w:w="2520" w:type="dxa"/>
            <w:tcBorders>
              <w:top w:val="single" w:color="auto" w:sz="4" w:space="0"/>
              <w:left w:val="single" w:color="auto" w:sz="4" w:space="0"/>
              <w:bottom w:val="single" w:color="auto" w:sz="4" w:space="0"/>
              <w:right w:val="single" w:color="auto" w:sz="4" w:space="0"/>
            </w:tcBorders>
            <w:noWrap w:val="0"/>
            <w:vAlign w:val="top"/>
          </w:tcPr>
          <w:p>
            <w:pPr>
              <w:widowControl/>
              <w:spacing w:line="300" w:lineRule="exact"/>
              <w:jc w:val="right"/>
              <w:rPr>
                <w:rFonts w:hint="eastAsia" w:ascii="仿宋_GB2312" w:hAnsi="宋体" w:eastAsia="仿宋_GB2312" w:cs="宋体"/>
                <w:kern w:val="0"/>
                <w:sz w:val="22"/>
                <w:szCs w:val="22"/>
              </w:rPr>
            </w:pPr>
            <w:r>
              <w:rPr>
                <w:rFonts w:hint="eastAsia" w:ascii="仿宋_GB2312" w:hAnsi="宋体" w:eastAsia="仿宋_GB2312" w:cs="宋体"/>
                <w:kern w:val="0"/>
                <w:sz w:val="22"/>
                <w:szCs w:val="22"/>
                <w:lang w:val="en-US" w:eastAsia="zh-CN"/>
              </w:rPr>
              <w:t>0.00</w:t>
            </w:r>
          </w:p>
        </w:tc>
      </w:tr>
    </w:tbl>
    <w:p>
      <w:pPr>
        <w:spacing w:line="400" w:lineRule="exact"/>
        <w:ind w:firstLine="108" w:firstLineChars="50"/>
        <w:jc w:val="left"/>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注：本表反映部门本年度一般公共预算财政拨款支出情况。</w:t>
      </w:r>
    </w:p>
    <w:p>
      <w:pPr>
        <w:spacing w:line="400" w:lineRule="exact"/>
        <w:jc w:val="lef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hint="eastAsia" w:ascii="方正小标宋简体" w:eastAsia="方正小标宋简体"/>
          <w:sz w:val="44"/>
          <w:szCs w:val="44"/>
        </w:rPr>
      </w:pPr>
      <w:r>
        <w:rPr>
          <w:rFonts w:hint="eastAsia" w:ascii="方正小标宋简体" w:eastAsia="方正小标宋简体"/>
          <w:sz w:val="44"/>
          <w:szCs w:val="44"/>
        </w:rPr>
        <w:t>一般公共预算财政拨款基本支出决算表</w:t>
      </w:r>
    </w:p>
    <w:p>
      <w:pPr>
        <w:spacing w:line="400" w:lineRule="exact"/>
        <w:jc w:val="right"/>
        <w:rPr>
          <w:rFonts w:hint="eastAsia" w:ascii="楷体_GB2312" w:eastAsia="楷体_GB2312"/>
          <w:sz w:val="28"/>
          <w:szCs w:val="28"/>
        </w:rPr>
      </w:pPr>
      <w:r>
        <w:rPr>
          <w:rFonts w:hint="eastAsia" w:ascii="楷体_GB2312" w:eastAsia="楷体_GB2312"/>
          <w:sz w:val="28"/>
          <w:szCs w:val="28"/>
        </w:rPr>
        <w:t>公开06表</w:t>
      </w:r>
    </w:p>
    <w:p>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W w:w="0" w:type="auto"/>
        <w:jc w:val="center"/>
        <w:tblLayout w:type="fixed"/>
        <w:tblCellMar>
          <w:top w:w="0" w:type="dxa"/>
          <w:left w:w="108" w:type="dxa"/>
          <w:bottom w:w="0" w:type="dxa"/>
          <w:right w:w="108" w:type="dxa"/>
        </w:tblCellMar>
      </w:tblPr>
      <w:tblGrid>
        <w:gridCol w:w="895"/>
        <w:gridCol w:w="3261"/>
        <w:gridCol w:w="722"/>
        <w:gridCol w:w="803"/>
        <w:gridCol w:w="2444"/>
        <w:gridCol w:w="708"/>
        <w:gridCol w:w="803"/>
        <w:gridCol w:w="2877"/>
        <w:gridCol w:w="762"/>
      </w:tblGrid>
      <w:tr>
        <w:tblPrEx>
          <w:tblCellMar>
            <w:top w:w="0" w:type="dxa"/>
            <w:left w:w="108" w:type="dxa"/>
            <w:bottom w:w="0" w:type="dxa"/>
            <w:right w:w="108" w:type="dxa"/>
          </w:tblCellMar>
        </w:tblPrEx>
        <w:trPr>
          <w:trHeight w:val="20" w:hRule="atLeast"/>
          <w:tblHeader/>
          <w:jc w:val="center"/>
        </w:trPr>
        <w:tc>
          <w:tcPr>
            <w:tcW w:w="4878" w:type="dxa"/>
            <w:gridSpan w:val="3"/>
            <w:tcBorders>
              <w:top w:val="single" w:color="auto" w:sz="8" w:space="0"/>
              <w:left w:val="single" w:color="auto" w:sz="8"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人员经费</w:t>
            </w:r>
          </w:p>
        </w:tc>
        <w:tc>
          <w:tcPr>
            <w:tcW w:w="8397" w:type="dxa"/>
            <w:gridSpan w:val="6"/>
            <w:tcBorders>
              <w:top w:val="single" w:color="auto" w:sz="8" w:space="0"/>
              <w:left w:val="nil"/>
              <w:bottom w:val="single" w:color="auto" w:sz="4" w:space="0"/>
              <w:right w:val="single" w:color="000000"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公用经费</w:t>
            </w:r>
          </w:p>
        </w:tc>
      </w:tr>
      <w:tr>
        <w:tblPrEx>
          <w:tblCellMar>
            <w:top w:w="0" w:type="dxa"/>
            <w:left w:w="108" w:type="dxa"/>
            <w:bottom w:w="0" w:type="dxa"/>
            <w:right w:w="108" w:type="dxa"/>
          </w:tblCellMar>
        </w:tblPrEx>
        <w:trPr>
          <w:trHeight w:val="300" w:hRule="atLeast"/>
          <w:tblHeader/>
          <w:jc w:val="center"/>
        </w:trPr>
        <w:tc>
          <w:tcPr>
            <w:tcW w:w="895" w:type="dxa"/>
            <w:vMerge w:val="restart"/>
            <w:tcBorders>
              <w:top w:val="nil"/>
              <w:left w:val="single" w:color="auto" w:sz="8"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科目</w:t>
            </w:r>
          </w:p>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编码</w:t>
            </w:r>
          </w:p>
        </w:tc>
        <w:tc>
          <w:tcPr>
            <w:tcW w:w="3261"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科目名称</w:t>
            </w:r>
          </w:p>
        </w:tc>
        <w:tc>
          <w:tcPr>
            <w:tcW w:w="722"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金额</w:t>
            </w:r>
          </w:p>
        </w:tc>
        <w:tc>
          <w:tcPr>
            <w:tcW w:w="803"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科目</w:t>
            </w:r>
          </w:p>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编码</w:t>
            </w:r>
          </w:p>
        </w:tc>
        <w:tc>
          <w:tcPr>
            <w:tcW w:w="2444"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科目名称</w:t>
            </w:r>
          </w:p>
        </w:tc>
        <w:tc>
          <w:tcPr>
            <w:tcW w:w="708"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金额</w:t>
            </w:r>
          </w:p>
        </w:tc>
        <w:tc>
          <w:tcPr>
            <w:tcW w:w="803"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科目</w:t>
            </w:r>
          </w:p>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编码</w:t>
            </w:r>
          </w:p>
        </w:tc>
        <w:tc>
          <w:tcPr>
            <w:tcW w:w="2877" w:type="dxa"/>
            <w:vMerge w:val="restart"/>
            <w:tcBorders>
              <w:top w:val="nil"/>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科目名称</w:t>
            </w:r>
          </w:p>
        </w:tc>
        <w:tc>
          <w:tcPr>
            <w:tcW w:w="762" w:type="dxa"/>
            <w:vMerge w:val="restart"/>
            <w:tcBorders>
              <w:top w:val="nil"/>
              <w:left w:val="single" w:color="auto" w:sz="4" w:space="0"/>
              <w:bottom w:val="single" w:color="auto" w:sz="4" w:space="0"/>
              <w:right w:val="single" w:color="auto" w:sz="8" w:space="0"/>
            </w:tcBorders>
            <w:noWrap w:val="0"/>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金额</w:t>
            </w:r>
          </w:p>
        </w:tc>
      </w:tr>
      <w:tr>
        <w:tblPrEx>
          <w:tblCellMar>
            <w:top w:w="0" w:type="dxa"/>
            <w:left w:w="108" w:type="dxa"/>
            <w:bottom w:w="0" w:type="dxa"/>
            <w:right w:w="108" w:type="dxa"/>
          </w:tblCellMar>
        </w:tblPrEx>
        <w:trPr>
          <w:trHeight w:val="300" w:hRule="atLeast"/>
          <w:tblHeader/>
          <w:jc w:val="center"/>
        </w:trPr>
        <w:tc>
          <w:tcPr>
            <w:tcW w:w="895" w:type="dxa"/>
            <w:vMerge w:val="continue"/>
            <w:tcBorders>
              <w:top w:val="nil"/>
              <w:left w:val="single" w:color="auto" w:sz="8"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3261"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722"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803"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2444"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708"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803"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2877" w:type="dxa"/>
            <w:vMerge w:val="continue"/>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c>
          <w:tcPr>
            <w:tcW w:w="762" w:type="dxa"/>
            <w:vMerge w:val="continue"/>
            <w:tcBorders>
              <w:top w:val="nil"/>
              <w:left w:val="single" w:color="auto" w:sz="4" w:space="0"/>
              <w:bottom w:val="single" w:color="auto" w:sz="4" w:space="0"/>
              <w:right w:val="single" w:color="auto" w:sz="8" w:space="0"/>
            </w:tcBorders>
            <w:noWrap w:val="0"/>
            <w:vAlign w:val="center"/>
          </w:tcPr>
          <w:p>
            <w:pPr>
              <w:widowControl/>
              <w:spacing w:line="300" w:lineRule="exact"/>
              <w:jc w:val="left"/>
              <w:rPr>
                <w:rFonts w:hint="eastAsia"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工资福利支出</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6"/>
                <w:szCs w:val="16"/>
                <w:lang w:val="en-US" w:eastAsia="zh-CN"/>
              </w:rPr>
              <w:t>158.28</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商品和服务支出</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18"/>
                <w:szCs w:val="18"/>
                <w:lang w:val="en-US" w:eastAsia="zh-CN"/>
              </w:rPr>
              <w:t>30.23</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资本性支出</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bookmarkStart w:id="0" w:name="OLE_LINK1"/>
            <w:r>
              <w:rPr>
                <w:rFonts w:hint="eastAsia" w:ascii="仿宋_GB2312" w:hAnsi="宋体" w:eastAsia="仿宋_GB2312" w:cs="宋体"/>
                <w:color w:val="000000"/>
                <w:kern w:val="0"/>
                <w:sz w:val="22"/>
                <w:szCs w:val="22"/>
                <w:lang w:val="en-US" w:eastAsia="zh-CN"/>
              </w:rPr>
              <w:t>0.00</w:t>
            </w:r>
            <w:bookmarkEnd w:id="0"/>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30101</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基本工资</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50.12</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30201</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办公费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3.95</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31001</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房屋建筑物购建</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30102</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津贴补贴</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64.37</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30202</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印刷费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1.15</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31002</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办公设备购置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30103</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奖金</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10.57</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30203</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咨询费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31003</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专用设备购置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30106</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伙食补助费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30204</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手续费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0.01</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31005</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基础设施建设</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30107</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绩效工资</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30205</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水费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0.08</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31006</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大型修缮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30108</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机关事业单位基本养老保险费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11.87</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30206</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电费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0.07</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31007</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信息网络及软件购置更新</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30109</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职业年金缴费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30207</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邮电费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0.50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31008</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物资储备</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30110</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职工基本医疗保险缴费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5.28</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30208</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取暖费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1.71</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31009</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土地补偿</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30111</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公务员医疗补助缴费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1.29</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30209</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物业管理费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18"/>
                <w:szCs w:val="18"/>
                <w:lang w:val="en-US" w:eastAsia="zh-CN"/>
              </w:rPr>
              <w:t>10.87</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31010</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安置补助</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30112</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其他社会保障缴费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0.23</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30211</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差旅费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0.81</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31011</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地上附着物和青苗补偿</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30113</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住房公积金</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14.52</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30212</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因公出国（境）费用</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31012</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拆迁补偿</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30114</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医疗费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30213</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维修（护）费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0.57</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31013</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公务用车购置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30199</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其他工资福利支出</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0.02</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30214</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租赁费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31019</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其他交通工具购置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对个人和家庭的补助</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6.58</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30215</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会议费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31021</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文物和陈列品购置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30301</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离休费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18"/>
                <w:szCs w:val="18"/>
                <w:lang w:val="en-US" w:eastAsia="zh-CN"/>
              </w:rPr>
            </w:pPr>
            <w:r>
              <w:rPr>
                <w:rFonts w:hint="eastAsia" w:ascii="仿宋_GB2312" w:hAnsi="宋体" w:eastAsia="仿宋_GB2312" w:cs="宋体"/>
                <w:color w:val="000000"/>
                <w:kern w:val="0"/>
                <w:sz w:val="18"/>
                <w:szCs w:val="18"/>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30216</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培训费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31022</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无形资产购置</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30302</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退休费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30217</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公务招待费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31099</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其他资本性支出</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30303</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退职（役）费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2.22</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30218</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专用材料费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312</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对企业补助</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30304</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抚恤金</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30224</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被装购置费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31201</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资本金注入</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30305</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生活补助</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4.36</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30225</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专用燃料费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31203</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政府投资基金股权投资</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30306</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救济费</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30226</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劳务费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31204</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费用补贴</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30307</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医疗费补助</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30227</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委托业务费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31205</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利息补贴</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30308</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助学金</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30228</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工会经费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1.75</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31299</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其他对企业补助</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30309</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奖励金</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30229</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福利费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313</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对社会保障基金补助</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30310</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个人农业生产补贴</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30231</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公务用车运行维护费</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31302</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对社会保险基金补助</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30399</w:t>
            </w:r>
          </w:p>
        </w:tc>
        <w:tc>
          <w:tcPr>
            <w:tcW w:w="3261"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对其他个人和家庭的补助支出</w:t>
            </w: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30239</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其他交通费用</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18"/>
                <w:szCs w:val="18"/>
                <w:lang w:val="en-US" w:eastAsia="zh-CN"/>
              </w:rPr>
              <w:t>8.78</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31303</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补充全国社会保障基金</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30240</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税金及附加费用</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399</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其他支出</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30299</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其他商品和服务支出</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39906</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赠与</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307</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债务利息及费用支出</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39907</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国家赔偿费用支出</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30701</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国内债务付息</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39908</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对民间非营利组织和群众性自治组织补贴</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30702</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国外债务付息</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39999</w:t>
            </w:r>
          </w:p>
        </w:tc>
        <w:tc>
          <w:tcPr>
            <w:tcW w:w="2877"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其他支出</w:t>
            </w: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lang w:val="en-US" w:eastAsia="zh-CN"/>
              </w:rPr>
              <w:t>0.00</w:t>
            </w: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30703</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国内债务发行费用</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2877"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20" w:hRule="atLeast"/>
          <w:jc w:val="center"/>
        </w:trPr>
        <w:tc>
          <w:tcPr>
            <w:tcW w:w="895" w:type="dxa"/>
            <w:tcBorders>
              <w:top w:val="nil"/>
              <w:left w:val="single" w:color="auto" w:sz="8" w:space="0"/>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3261"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722"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803"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30704</w:t>
            </w:r>
          </w:p>
        </w:tc>
        <w:tc>
          <w:tcPr>
            <w:tcW w:w="2444" w:type="dxa"/>
            <w:tcBorders>
              <w:top w:val="nil"/>
              <w:left w:val="nil"/>
              <w:bottom w:val="single" w:color="auto" w:sz="4" w:space="0"/>
              <w:right w:val="single" w:color="auto" w:sz="4" w:space="0"/>
            </w:tcBorders>
            <w:noWrap/>
            <w:vAlign w:val="center"/>
          </w:tcPr>
          <w:p>
            <w:pPr>
              <w:widowControl/>
              <w:spacing w:line="300" w:lineRule="exact"/>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国外债务发行费用</w:t>
            </w:r>
          </w:p>
        </w:tc>
        <w:tc>
          <w:tcPr>
            <w:tcW w:w="708" w:type="dxa"/>
            <w:tcBorders>
              <w:top w:val="nil"/>
              <w:left w:val="nil"/>
              <w:bottom w:val="single" w:color="auto" w:sz="4" w:space="0"/>
              <w:right w:val="single" w:color="auto" w:sz="4" w:space="0"/>
            </w:tcBorders>
            <w:noWrap/>
            <w:vAlign w:val="center"/>
          </w:tcPr>
          <w:p>
            <w:pPr>
              <w:widowControl/>
              <w:spacing w:line="300" w:lineRule="exact"/>
              <w:jc w:val="right"/>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0.00</w:t>
            </w:r>
          </w:p>
        </w:tc>
        <w:tc>
          <w:tcPr>
            <w:tcW w:w="803"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2877" w:type="dxa"/>
            <w:tcBorders>
              <w:top w:val="nil"/>
              <w:left w:val="nil"/>
              <w:bottom w:val="single" w:color="auto" w:sz="4" w:space="0"/>
              <w:right w:val="single" w:color="auto" w:sz="4" w:space="0"/>
            </w:tcBorders>
            <w:noWrap/>
            <w:vAlign w:val="center"/>
          </w:tcPr>
          <w:p>
            <w:pPr>
              <w:widowControl/>
              <w:spacing w:line="300" w:lineRule="exact"/>
              <w:jc w:val="right"/>
              <w:rPr>
                <w:rFonts w:hint="eastAsia" w:ascii="仿宋_GB2312" w:hAnsi="宋体" w:eastAsia="仿宋_GB2312" w:cs="宋体"/>
                <w:color w:val="000000"/>
                <w:kern w:val="0"/>
                <w:sz w:val="22"/>
                <w:szCs w:val="22"/>
              </w:rPr>
            </w:pPr>
          </w:p>
        </w:tc>
        <w:tc>
          <w:tcPr>
            <w:tcW w:w="762" w:type="dxa"/>
            <w:tcBorders>
              <w:top w:val="nil"/>
              <w:left w:val="nil"/>
              <w:bottom w:val="single" w:color="auto" w:sz="4" w:space="0"/>
              <w:right w:val="single" w:color="auto" w:sz="8" w:space="0"/>
            </w:tcBorders>
            <w:noWrap/>
            <w:vAlign w:val="center"/>
          </w:tcPr>
          <w:p>
            <w:pPr>
              <w:widowControl/>
              <w:spacing w:line="300" w:lineRule="exact"/>
              <w:jc w:val="center"/>
              <w:rPr>
                <w:rFonts w:hint="eastAsia" w:ascii="仿宋_GB2312" w:hAnsi="宋体" w:eastAsia="仿宋_GB2312" w:cs="宋体"/>
                <w:color w:val="000000"/>
                <w:kern w:val="0"/>
                <w:sz w:val="22"/>
                <w:szCs w:val="22"/>
              </w:rPr>
            </w:pPr>
          </w:p>
        </w:tc>
      </w:tr>
      <w:tr>
        <w:tblPrEx>
          <w:tblCellMar>
            <w:top w:w="0" w:type="dxa"/>
            <w:left w:w="108" w:type="dxa"/>
            <w:bottom w:w="0" w:type="dxa"/>
            <w:right w:w="108" w:type="dxa"/>
          </w:tblCellMar>
        </w:tblPrEx>
        <w:trPr>
          <w:trHeight w:val="20" w:hRule="atLeast"/>
          <w:jc w:val="center"/>
        </w:trPr>
        <w:tc>
          <w:tcPr>
            <w:tcW w:w="4156" w:type="dxa"/>
            <w:gridSpan w:val="2"/>
            <w:tcBorders>
              <w:top w:val="single" w:color="auto" w:sz="4" w:space="0"/>
              <w:left w:val="single" w:color="auto" w:sz="8" w:space="0"/>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人员经费合计</w:t>
            </w:r>
          </w:p>
        </w:tc>
        <w:tc>
          <w:tcPr>
            <w:tcW w:w="722" w:type="dxa"/>
            <w:tcBorders>
              <w:top w:val="nil"/>
              <w:left w:val="nil"/>
              <w:bottom w:val="single" w:color="auto" w:sz="8" w:space="0"/>
              <w:right w:val="single" w:color="auto" w:sz="4"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16"/>
                <w:szCs w:val="16"/>
                <w:lang w:val="en-US" w:eastAsia="zh-CN"/>
              </w:rPr>
              <w:t>164.86</w:t>
            </w:r>
          </w:p>
        </w:tc>
        <w:tc>
          <w:tcPr>
            <w:tcW w:w="7635" w:type="dxa"/>
            <w:gridSpan w:val="5"/>
            <w:tcBorders>
              <w:top w:val="single" w:color="auto" w:sz="4" w:space="0"/>
              <w:left w:val="nil"/>
              <w:bottom w:val="single" w:color="auto" w:sz="8" w:space="0"/>
              <w:right w:val="single" w:color="auto" w:sz="4" w:space="0"/>
            </w:tcBorders>
            <w:noWrap/>
            <w:vAlign w:val="center"/>
          </w:tcPr>
          <w:p>
            <w:pPr>
              <w:widowControl/>
              <w:spacing w:line="300" w:lineRule="exact"/>
              <w:jc w:val="center"/>
              <w:rPr>
                <w:rFonts w:ascii="仿宋_GB2312" w:hAnsi="宋体" w:eastAsia="仿宋_GB2312" w:cs="宋体"/>
                <w:color w:val="000000"/>
                <w:kern w:val="0"/>
                <w:sz w:val="22"/>
                <w:szCs w:val="22"/>
              </w:rPr>
            </w:pPr>
            <w:r>
              <w:rPr>
                <w:rFonts w:hint="eastAsia" w:ascii="仿宋_GB2312" w:hAnsi="宋体" w:eastAsia="仿宋_GB2312" w:cs="宋体"/>
                <w:color w:val="000000"/>
                <w:kern w:val="0"/>
                <w:sz w:val="22"/>
                <w:szCs w:val="22"/>
              </w:rPr>
              <w:t>公用经费合计</w:t>
            </w:r>
          </w:p>
        </w:tc>
        <w:tc>
          <w:tcPr>
            <w:tcW w:w="762" w:type="dxa"/>
            <w:tcBorders>
              <w:top w:val="nil"/>
              <w:left w:val="nil"/>
              <w:bottom w:val="single" w:color="auto" w:sz="8" w:space="0"/>
              <w:right w:val="single" w:color="auto" w:sz="8" w:space="0"/>
            </w:tcBorders>
            <w:noWrap/>
            <w:vAlign w:val="center"/>
          </w:tcPr>
          <w:p>
            <w:pPr>
              <w:widowControl/>
              <w:spacing w:line="300" w:lineRule="exact"/>
              <w:jc w:val="center"/>
              <w:rPr>
                <w:rFonts w:hint="default" w:ascii="仿宋_GB2312" w:hAnsi="宋体" w:eastAsia="仿宋_GB2312" w:cs="宋体"/>
                <w:color w:val="000000"/>
                <w:kern w:val="0"/>
                <w:sz w:val="22"/>
                <w:szCs w:val="22"/>
                <w:lang w:val="en-US" w:eastAsia="zh-CN"/>
              </w:rPr>
            </w:pPr>
            <w:r>
              <w:rPr>
                <w:rFonts w:hint="eastAsia" w:ascii="仿宋_GB2312" w:hAnsi="宋体" w:eastAsia="仿宋_GB2312" w:cs="宋体"/>
                <w:color w:val="000000"/>
                <w:kern w:val="0"/>
                <w:sz w:val="22"/>
                <w:szCs w:val="22"/>
                <w:lang w:val="en-US" w:eastAsia="zh-CN"/>
              </w:rPr>
              <w:t>30.24</w:t>
            </w:r>
          </w:p>
        </w:tc>
      </w:tr>
    </w:tbl>
    <w:p>
      <w:pPr>
        <w:spacing w:line="400" w:lineRule="exact"/>
        <w:ind w:firstLine="108" w:firstLineChars="50"/>
        <w:jc w:val="left"/>
        <w:rPr>
          <w:rFonts w:hint="eastAsia" w:ascii="仿宋_GB2312" w:hAnsi="宋体" w:eastAsia="仿宋_GB2312"/>
          <w:sz w:val="22"/>
          <w:szCs w:val="22"/>
        </w:rPr>
      </w:pPr>
      <w:r>
        <w:rPr>
          <w:rFonts w:hint="eastAsia" w:ascii="仿宋_GB2312" w:hAnsi="宋体" w:eastAsia="仿宋_GB2312"/>
          <w:sz w:val="22"/>
          <w:szCs w:val="22"/>
        </w:rPr>
        <w:t>注:本表反映部门本年度一般公共预算财政拨款基本支出明细情况。</w:t>
      </w:r>
    </w:p>
    <w:p>
      <w:pPr>
        <w:spacing w:line="400" w:lineRule="exact"/>
        <w:jc w:val="right"/>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hint="eastAsia" w:ascii="方正小标宋简体" w:eastAsia="方正小标宋简体"/>
          <w:sz w:val="44"/>
          <w:szCs w:val="44"/>
        </w:rPr>
      </w:pPr>
      <w:r>
        <w:rPr>
          <w:rFonts w:hint="eastAsia" w:ascii="方正小标宋简体" w:eastAsia="方正小标宋简体"/>
          <w:sz w:val="44"/>
          <w:szCs w:val="44"/>
        </w:rPr>
        <w:t>一般公共预算财政拨款“三公”经费支出决算表</w:t>
      </w:r>
    </w:p>
    <w:p>
      <w:pPr>
        <w:spacing w:line="400" w:lineRule="exact"/>
        <w:jc w:val="right"/>
        <w:rPr>
          <w:rFonts w:hint="eastAsia" w:ascii="楷体_GB2312" w:eastAsia="楷体_GB2312"/>
          <w:sz w:val="28"/>
          <w:szCs w:val="28"/>
        </w:rPr>
      </w:pPr>
      <w:r>
        <w:rPr>
          <w:rFonts w:hint="eastAsia" w:ascii="方正小标宋简体" w:eastAsia="方正小标宋简体"/>
          <w:sz w:val="44"/>
          <w:szCs w:val="44"/>
        </w:rPr>
        <w:t>　</w:t>
      </w:r>
      <w:r>
        <w:rPr>
          <w:rFonts w:hint="eastAsia" w:ascii="楷体_GB2312" w:eastAsia="楷体_GB2312"/>
          <w:sz w:val="28"/>
          <w:szCs w:val="28"/>
        </w:rPr>
        <w:t xml:space="preserve">   公开0</w:t>
      </w:r>
      <w:r>
        <w:rPr>
          <w:rFonts w:hint="eastAsia" w:ascii="楷体_GB2312" w:eastAsia="楷体_GB2312"/>
          <w:sz w:val="28"/>
          <w:szCs w:val="28"/>
          <w:lang w:val="en-US" w:eastAsia="zh-CN"/>
        </w:rPr>
        <w:t>7</w:t>
      </w:r>
      <w:r>
        <w:rPr>
          <w:rFonts w:hint="eastAsia" w:ascii="楷体_GB2312" w:eastAsia="楷体_GB2312"/>
          <w:sz w:val="28"/>
          <w:szCs w:val="28"/>
        </w:rPr>
        <w:t>表</w:t>
      </w:r>
    </w:p>
    <w:p>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W w:w="0" w:type="auto"/>
        <w:jc w:val="center"/>
        <w:tblLayout w:type="fixed"/>
        <w:tblCellMar>
          <w:top w:w="0" w:type="dxa"/>
          <w:left w:w="108" w:type="dxa"/>
          <w:bottom w:w="0" w:type="dxa"/>
          <w:right w:w="108" w:type="dxa"/>
        </w:tblCellMar>
      </w:tblPr>
      <w:tblGrid>
        <w:gridCol w:w="1179"/>
        <w:gridCol w:w="1195"/>
        <w:gridCol w:w="1180"/>
        <w:gridCol w:w="1180"/>
        <w:gridCol w:w="1188"/>
        <w:gridCol w:w="962"/>
        <w:gridCol w:w="1098"/>
        <w:gridCol w:w="1198"/>
        <w:gridCol w:w="1029"/>
        <w:gridCol w:w="1029"/>
        <w:gridCol w:w="1034"/>
        <w:gridCol w:w="984"/>
      </w:tblGrid>
      <w:tr>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预 算 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决 算 数</w:t>
            </w:r>
          </w:p>
        </w:tc>
      </w:tr>
      <w:tr>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5"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合计</w:t>
            </w:r>
          </w:p>
        </w:tc>
        <w:tc>
          <w:tcPr>
            <w:tcW w:w="1198" w:type="dxa"/>
            <w:vMerge w:val="restart"/>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因公出国（境）费</w:t>
            </w:r>
          </w:p>
        </w:tc>
        <w:tc>
          <w:tcPr>
            <w:tcW w:w="3092" w:type="dxa"/>
            <w:gridSpan w:val="3"/>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w:t>
            </w:r>
          </w:p>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接待费</w:t>
            </w:r>
          </w:p>
        </w:tc>
      </w:tr>
      <w:tr>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shd w:val="clear" w:color="auto" w:fill="auto"/>
            <w:noWrap w:val="0"/>
            <w:vAlign w:val="center"/>
          </w:tcPr>
          <w:p>
            <w:pPr>
              <w:widowControl/>
              <w:spacing w:line="300" w:lineRule="exact"/>
              <w:jc w:val="left"/>
              <w:rPr>
                <w:rFonts w:hint="eastAsia" w:ascii="仿宋_GB2312" w:hAnsi="宋体" w:eastAsia="仿宋_GB2312" w:cs="宋体"/>
                <w:kern w:val="0"/>
                <w:sz w:val="22"/>
                <w:szCs w:val="22"/>
              </w:rPr>
            </w:pPr>
          </w:p>
        </w:tc>
        <w:tc>
          <w:tcPr>
            <w:tcW w:w="1195"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spacing w:line="300" w:lineRule="exact"/>
              <w:jc w:val="left"/>
              <w:rPr>
                <w:rFonts w:hint="eastAsia" w:ascii="仿宋_GB2312" w:hAnsi="宋体" w:eastAsia="仿宋_GB2312" w:cs="宋体"/>
                <w:kern w:val="0"/>
                <w:sz w:val="22"/>
                <w:szCs w:val="22"/>
              </w:rPr>
            </w:pPr>
          </w:p>
        </w:tc>
        <w:tc>
          <w:tcPr>
            <w:tcW w:w="1180" w:type="dxa"/>
            <w:tcBorders>
              <w:top w:val="nil"/>
              <w:left w:val="nil"/>
              <w:bottom w:val="single" w:color="auto" w:sz="4"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180" w:type="dxa"/>
            <w:tcBorders>
              <w:top w:val="nil"/>
              <w:left w:val="nil"/>
              <w:bottom w:val="single" w:color="auto" w:sz="4"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188" w:type="dxa"/>
            <w:tcBorders>
              <w:top w:val="nil"/>
              <w:left w:val="nil"/>
              <w:bottom w:val="single" w:color="auto" w:sz="4"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shd w:val="clear" w:color="auto" w:fill="auto"/>
            <w:noWrap w:val="0"/>
            <w:vAlign w:val="center"/>
          </w:tcPr>
          <w:p>
            <w:pPr>
              <w:widowControl/>
              <w:spacing w:line="300" w:lineRule="exact"/>
              <w:jc w:val="left"/>
              <w:rPr>
                <w:rFonts w:hint="eastAsia" w:ascii="仿宋_GB2312" w:hAnsi="宋体" w:eastAsia="仿宋_GB2312" w:cs="宋体"/>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spacing w:line="300" w:lineRule="exact"/>
              <w:jc w:val="left"/>
              <w:rPr>
                <w:rFonts w:hint="eastAsia" w:ascii="仿宋_GB2312" w:hAnsi="宋体" w:eastAsia="仿宋_GB2312" w:cs="宋体"/>
                <w:kern w:val="0"/>
                <w:sz w:val="22"/>
                <w:szCs w:val="22"/>
              </w:rPr>
            </w:pPr>
          </w:p>
        </w:tc>
        <w:tc>
          <w:tcPr>
            <w:tcW w:w="1198" w:type="dxa"/>
            <w:vMerge w:val="continue"/>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spacing w:line="300" w:lineRule="exact"/>
              <w:jc w:val="left"/>
              <w:rPr>
                <w:rFonts w:hint="eastAsia" w:ascii="仿宋_GB2312" w:hAnsi="宋体" w:eastAsia="仿宋_GB2312" w:cs="宋体"/>
                <w:kern w:val="0"/>
                <w:sz w:val="22"/>
                <w:szCs w:val="22"/>
              </w:rPr>
            </w:pPr>
          </w:p>
        </w:tc>
        <w:tc>
          <w:tcPr>
            <w:tcW w:w="1029"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029"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公务用车购置费</w:t>
            </w:r>
          </w:p>
        </w:tc>
        <w:tc>
          <w:tcPr>
            <w:tcW w:w="1034"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lef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195" w:type="dxa"/>
            <w:tcBorders>
              <w:top w:val="nil"/>
              <w:left w:val="nil"/>
              <w:bottom w:val="single" w:color="auto" w:sz="8"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180" w:type="dxa"/>
            <w:tcBorders>
              <w:top w:val="nil"/>
              <w:left w:val="nil"/>
              <w:bottom w:val="single" w:color="auto" w:sz="8"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180" w:type="dxa"/>
            <w:tcBorders>
              <w:top w:val="nil"/>
              <w:left w:val="nil"/>
              <w:bottom w:val="single" w:color="auto" w:sz="8"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188" w:type="dxa"/>
            <w:tcBorders>
              <w:top w:val="nil"/>
              <w:left w:val="nil"/>
              <w:bottom w:val="single" w:color="auto" w:sz="8" w:space="0"/>
              <w:right w:val="single" w:color="auto" w:sz="4"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962" w:type="dxa"/>
            <w:tcBorders>
              <w:top w:val="nil"/>
              <w:left w:val="nil"/>
              <w:bottom w:val="single" w:color="auto" w:sz="8" w:space="0"/>
              <w:right w:val="single" w:color="000000" w:sz="8" w:space="0"/>
            </w:tcBorders>
            <w:shd w:val="clear" w:color="auto" w:fill="auto"/>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7</w:t>
            </w:r>
          </w:p>
        </w:tc>
        <w:tc>
          <w:tcPr>
            <w:tcW w:w="119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8</w:t>
            </w:r>
          </w:p>
        </w:tc>
        <w:tc>
          <w:tcPr>
            <w:tcW w:w="1029"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9</w:t>
            </w:r>
          </w:p>
        </w:tc>
        <w:tc>
          <w:tcPr>
            <w:tcW w:w="1029"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10</w:t>
            </w:r>
          </w:p>
        </w:tc>
        <w:tc>
          <w:tcPr>
            <w:tcW w:w="1034"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12</w:t>
            </w:r>
          </w:p>
        </w:tc>
      </w:tr>
      <w:tr>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shd w:val="clear" w:color="auto" w:fill="auto"/>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1.82</w:t>
            </w:r>
          </w:p>
        </w:tc>
        <w:tc>
          <w:tcPr>
            <w:tcW w:w="1195" w:type="dxa"/>
            <w:tcBorders>
              <w:top w:val="nil"/>
              <w:left w:val="nil"/>
              <w:bottom w:val="single" w:color="auto" w:sz="8" w:space="0"/>
              <w:right w:val="single" w:color="auto" w:sz="4" w:space="0"/>
            </w:tcBorders>
            <w:shd w:val="clear" w:color="auto" w:fill="auto"/>
            <w:noWrap w:val="0"/>
            <w:vAlign w:val="center"/>
          </w:tcPr>
          <w:p>
            <w:pPr>
              <w:widowControl/>
              <w:spacing w:line="300" w:lineRule="exact"/>
              <w:ind w:firstLine="216" w:firstLineChars="1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0" w:type="dxa"/>
            <w:tcBorders>
              <w:top w:val="nil"/>
              <w:left w:val="nil"/>
              <w:bottom w:val="single" w:color="auto" w:sz="8" w:space="0"/>
              <w:right w:val="single" w:color="auto" w:sz="4" w:space="0"/>
            </w:tcBorders>
            <w:shd w:val="clear" w:color="auto" w:fill="auto"/>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1.82</w:t>
            </w:r>
          </w:p>
        </w:tc>
        <w:tc>
          <w:tcPr>
            <w:tcW w:w="1180" w:type="dxa"/>
            <w:tcBorders>
              <w:top w:val="nil"/>
              <w:left w:val="nil"/>
              <w:bottom w:val="single" w:color="auto" w:sz="8" w:space="0"/>
              <w:right w:val="single" w:color="auto" w:sz="4" w:space="0"/>
            </w:tcBorders>
            <w:shd w:val="clear" w:color="auto" w:fill="auto"/>
            <w:noWrap w:val="0"/>
            <w:vAlign w:val="center"/>
          </w:tcPr>
          <w:p>
            <w:pPr>
              <w:widowControl/>
              <w:spacing w:line="300" w:lineRule="exact"/>
              <w:ind w:firstLine="216" w:firstLineChars="1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88" w:type="dxa"/>
            <w:tcBorders>
              <w:top w:val="nil"/>
              <w:left w:val="nil"/>
              <w:bottom w:val="single" w:color="auto" w:sz="8" w:space="0"/>
              <w:right w:val="single" w:color="auto" w:sz="4" w:space="0"/>
            </w:tcBorders>
            <w:shd w:val="clear" w:color="auto" w:fill="auto"/>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1.50</w:t>
            </w:r>
          </w:p>
        </w:tc>
        <w:tc>
          <w:tcPr>
            <w:tcW w:w="962" w:type="dxa"/>
            <w:tcBorders>
              <w:top w:val="nil"/>
              <w:left w:val="nil"/>
              <w:bottom w:val="single" w:color="auto" w:sz="8" w:space="0"/>
              <w:right w:val="single" w:color="000000" w:sz="8" w:space="0"/>
            </w:tcBorders>
            <w:shd w:val="clear" w:color="auto" w:fill="auto"/>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0.32</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198" w:type="dxa"/>
            <w:tcBorders>
              <w:top w:val="single" w:color="000000" w:sz="8" w:space="0"/>
              <w:left w:val="single" w:color="000000" w:sz="8" w:space="0"/>
              <w:bottom w:val="single" w:color="000000" w:sz="8" w:space="0"/>
              <w:right w:val="single" w:color="000000" w:sz="8" w:space="0"/>
            </w:tcBorders>
            <w:shd w:val="clear" w:color="auto" w:fill="FFFFFF"/>
            <w:noWrap w:val="0"/>
            <w:vAlign w:val="center"/>
          </w:tcPr>
          <w:p>
            <w:pPr>
              <w:widowControl/>
              <w:spacing w:line="300" w:lineRule="exact"/>
              <w:ind w:firstLine="216" w:firstLineChars="1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029"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029"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ind w:firstLine="216" w:firstLineChars="100"/>
              <w:jc w:val="left"/>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034"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984" w:type="dxa"/>
            <w:tcBorders>
              <w:top w:val="single" w:color="000000" w:sz="8" w:space="0"/>
              <w:left w:val="single" w:color="000000" w:sz="8" w:space="0"/>
              <w:bottom w:val="single" w:color="000000" w:sz="8" w:space="0"/>
              <w:right w:val="single" w:color="000000" w:sz="8" w:space="0"/>
            </w:tcBorders>
            <w:noWrap w:val="0"/>
            <w:vAlign w:val="center"/>
          </w:tcPr>
          <w:p>
            <w:pPr>
              <w:widowControl/>
              <w:spacing w:line="300" w:lineRule="exact"/>
              <w:ind w:firstLine="216" w:firstLineChars="100"/>
              <w:jc w:val="left"/>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bl>
    <w:p>
      <w:pPr>
        <w:spacing w:line="360" w:lineRule="exact"/>
        <w:ind w:firstLine="108" w:firstLineChars="50"/>
        <w:rPr>
          <w:rFonts w:hint="eastAsia" w:ascii="仿宋_GB2312" w:hAnsi="宋体" w:eastAsia="仿宋_GB2312"/>
          <w:sz w:val="22"/>
          <w:szCs w:val="22"/>
        </w:rPr>
      </w:pPr>
      <w:r>
        <w:rPr>
          <w:rFonts w:hint="eastAsia" w:ascii="仿宋_GB2312" w:hAnsi="宋体" w:eastAsia="仿宋_GB2312"/>
          <w:sz w:val="22"/>
          <w:szCs w:val="22"/>
        </w:rPr>
        <w:t>注：本表反映部门本年度“三公”经费支出预决算情况。其中：预算数为“三公”经费年初预算数，决算数包括当年一般公共预算财政拨款</w:t>
      </w:r>
    </w:p>
    <w:p>
      <w:pPr>
        <w:spacing w:line="360" w:lineRule="exact"/>
        <w:ind w:firstLine="540" w:firstLineChars="250"/>
        <w:rPr>
          <w:rFonts w:hint="eastAsia" w:ascii="仿宋_GB2312" w:hAnsi="宋体" w:eastAsia="仿宋_GB2312"/>
          <w:sz w:val="22"/>
          <w:szCs w:val="22"/>
        </w:rPr>
      </w:pPr>
      <w:r>
        <w:rPr>
          <w:rFonts w:hint="eastAsia" w:ascii="仿宋_GB2312" w:hAnsi="宋体" w:eastAsia="仿宋_GB2312"/>
          <w:sz w:val="22"/>
          <w:szCs w:val="22"/>
        </w:rPr>
        <w:t>和以前年度结转资金安排的实际支出。</w:t>
      </w:r>
    </w:p>
    <w:p>
      <w:pPr>
        <w:jc w:val="center"/>
        <w:rPr>
          <w:rFonts w:hint="eastAsia" w:ascii="方正小标宋简体" w:eastAsia="方正小标宋简体"/>
          <w:sz w:val="44"/>
          <w:szCs w:val="44"/>
        </w:rPr>
      </w:pPr>
      <w:r>
        <w:rPr>
          <w:rFonts w:hint="eastAsia" w:ascii="方正小标宋简体" w:eastAsia="方正小标宋简体"/>
          <w:sz w:val="44"/>
          <w:szCs w:val="44"/>
        </w:rPr>
        <w:br w:type="page"/>
      </w:r>
      <w:r>
        <w:rPr>
          <w:rFonts w:hint="eastAsia" w:ascii="方正小标宋简体" w:eastAsia="方正小标宋简体"/>
          <w:sz w:val="44"/>
          <w:szCs w:val="44"/>
        </w:rPr>
        <w:t>政府性基金预算财政拨款收入支出决算表</w:t>
      </w:r>
    </w:p>
    <w:p>
      <w:pPr>
        <w:spacing w:line="400" w:lineRule="exact"/>
        <w:jc w:val="right"/>
        <w:rPr>
          <w:rFonts w:hint="eastAsia" w:ascii="楷体_GB2312" w:eastAsia="楷体_GB2312"/>
          <w:sz w:val="28"/>
          <w:szCs w:val="28"/>
        </w:rPr>
      </w:pPr>
      <w:r>
        <w:rPr>
          <w:rFonts w:hint="eastAsia" w:ascii="楷体_GB2312" w:eastAsia="楷体_GB2312"/>
          <w:sz w:val="28"/>
          <w:szCs w:val="28"/>
        </w:rPr>
        <w:t>公开0</w:t>
      </w:r>
      <w:r>
        <w:rPr>
          <w:rFonts w:hint="eastAsia" w:ascii="楷体_GB2312" w:eastAsia="楷体_GB2312"/>
          <w:sz w:val="28"/>
          <w:szCs w:val="28"/>
          <w:lang w:val="en-US" w:eastAsia="zh-CN"/>
        </w:rPr>
        <w:t>8</w:t>
      </w:r>
      <w:r>
        <w:rPr>
          <w:rFonts w:hint="eastAsia" w:ascii="楷体_GB2312" w:eastAsia="楷体_GB2312"/>
          <w:sz w:val="28"/>
          <w:szCs w:val="28"/>
        </w:rPr>
        <w:t>表</w:t>
      </w:r>
    </w:p>
    <w:p>
      <w:pPr>
        <w:spacing w:line="400" w:lineRule="exact"/>
        <w:ind w:firstLine="138" w:firstLineChars="50"/>
        <w:jc w:val="left"/>
        <w:rPr>
          <w:rFonts w:hint="eastAsia" w:ascii="楷体_GB2312" w:eastAsia="楷体_GB2312"/>
          <w:sz w:val="28"/>
          <w:szCs w:val="28"/>
        </w:rPr>
      </w:pPr>
      <w:r>
        <w:rPr>
          <w:rFonts w:hint="eastAsia" w:ascii="楷体_GB2312" w:eastAsia="楷体_GB2312"/>
          <w:sz w:val="28"/>
          <w:szCs w:val="28"/>
        </w:rPr>
        <w:t>部门：</w:t>
      </w:r>
      <w:r>
        <w:rPr>
          <w:rFonts w:hint="eastAsia" w:ascii="楷体_GB2312" w:eastAsia="楷体_GB2312"/>
          <w:sz w:val="28"/>
          <w:szCs w:val="28"/>
          <w:lang w:eastAsia="zh-CN"/>
        </w:rPr>
        <w:t>威海市文登区粮食局</w:t>
      </w:r>
      <w:r>
        <w:rPr>
          <w:rFonts w:hint="eastAsia" w:ascii="楷体_GB2312" w:eastAsia="楷体_GB2312"/>
          <w:sz w:val="28"/>
          <w:szCs w:val="28"/>
        </w:rPr>
        <w:t xml:space="preserve">                                 </w:t>
      </w:r>
      <w:r>
        <w:rPr>
          <w:rFonts w:hint="eastAsia" w:ascii="楷体_GB2312" w:eastAsia="楷体_GB2312"/>
          <w:sz w:val="28"/>
          <w:szCs w:val="28"/>
          <w:lang w:val="en-US" w:eastAsia="zh-CN"/>
        </w:rPr>
        <w:t xml:space="preserve">                      </w:t>
      </w:r>
      <w:r>
        <w:rPr>
          <w:rFonts w:hint="eastAsia" w:ascii="楷体_GB2312" w:eastAsia="楷体_GB2312"/>
          <w:sz w:val="28"/>
          <w:szCs w:val="28"/>
        </w:rPr>
        <w:t>金额单位：万元</w:t>
      </w:r>
    </w:p>
    <w:tbl>
      <w:tblPr>
        <w:tblStyle w:val="4"/>
        <w:tblpPr w:leftFromText="180" w:rightFromText="180" w:vertAnchor="text" w:tblpXSpec="center" w:tblpY="1"/>
        <w:tblOverlap w:val="never"/>
        <w:tblW w:w="0" w:type="auto"/>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       目</w:t>
            </w:r>
          </w:p>
        </w:tc>
        <w:tc>
          <w:tcPr>
            <w:tcW w:w="1731" w:type="dxa"/>
            <w:vMerge w:val="restart"/>
            <w:tcBorders>
              <w:top w:val="single" w:color="auto" w:sz="4" w:space="0"/>
              <w:left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本年支出</w:t>
            </w:r>
          </w:p>
        </w:tc>
        <w:tc>
          <w:tcPr>
            <w:tcW w:w="1791" w:type="dxa"/>
            <w:vMerge w:val="restart"/>
            <w:tcBorders>
              <w:top w:val="single" w:color="auto" w:sz="4" w:space="0"/>
              <w:left w:val="nil"/>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年末结转和结余</w:t>
            </w:r>
          </w:p>
        </w:tc>
      </w:tr>
      <w:tr>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ascii="仿宋_GB2312" w:hAnsi="宋体" w:eastAsia="仿宋_GB2312" w:cs="宋体"/>
                <w:kern w:val="0"/>
                <w:sz w:val="22"/>
                <w:szCs w:val="22"/>
              </w:rPr>
            </w:pPr>
            <w:r>
              <w:rPr>
                <w:rFonts w:hint="eastAsia" w:ascii="仿宋_GB2312" w:hAnsi="宋体" w:eastAsia="仿宋_GB2312" w:cs="宋体"/>
                <w:kern w:val="0"/>
                <w:sz w:val="22"/>
                <w:szCs w:val="22"/>
              </w:rPr>
              <w:t>科目编码</w:t>
            </w:r>
          </w:p>
        </w:tc>
        <w:tc>
          <w:tcPr>
            <w:tcW w:w="1429" w:type="dxa"/>
            <w:tcBorders>
              <w:top w:val="single" w:color="auto" w:sz="4" w:space="0"/>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p>
        </w:tc>
        <w:tc>
          <w:tcPr>
            <w:tcW w:w="1707" w:type="dxa"/>
            <w:vMerge w:val="continue"/>
            <w:tcBorders>
              <w:left w:val="nil"/>
              <w:bottom w:val="single" w:color="auto" w:sz="4" w:space="0"/>
              <w:right w:val="single" w:color="auto" w:sz="4" w:space="0"/>
            </w:tcBorders>
            <w:noWrap/>
            <w:vAlign w:val="center"/>
          </w:tcPr>
          <w:p>
            <w:pPr>
              <w:spacing w:line="300" w:lineRule="exact"/>
              <w:jc w:val="center"/>
              <w:rPr>
                <w:rFonts w:hint="eastAsia"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小计</w:t>
            </w:r>
          </w:p>
        </w:tc>
        <w:tc>
          <w:tcPr>
            <w:tcW w:w="1708" w:type="dxa"/>
            <w:tcBorders>
              <w:top w:val="single" w:color="auto" w:sz="4" w:space="0"/>
              <w:left w:val="nil"/>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基本支出</w:t>
            </w:r>
          </w:p>
        </w:tc>
        <w:tc>
          <w:tcPr>
            <w:tcW w:w="1708" w:type="dxa"/>
            <w:tcBorders>
              <w:top w:val="single" w:color="auto" w:sz="4" w:space="0"/>
              <w:left w:val="nil"/>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项目支出</w:t>
            </w:r>
          </w:p>
        </w:tc>
        <w:tc>
          <w:tcPr>
            <w:tcW w:w="1791" w:type="dxa"/>
            <w:vMerge w:val="continue"/>
            <w:tcBorders>
              <w:left w:val="nil"/>
              <w:bottom w:val="single" w:color="auto" w:sz="4" w:space="0"/>
              <w:right w:val="single" w:color="auto" w:sz="4" w:space="0"/>
            </w:tcBorders>
            <w:noWrap w:val="0"/>
            <w:vAlign w:val="center"/>
          </w:tcPr>
          <w:p>
            <w:pPr>
              <w:spacing w:line="300" w:lineRule="exact"/>
              <w:jc w:val="center"/>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栏  次</w:t>
            </w:r>
          </w:p>
        </w:tc>
        <w:tc>
          <w:tcPr>
            <w:tcW w:w="1731" w:type="dxa"/>
            <w:tcBorders>
              <w:top w:val="nil"/>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1708" w:type="dxa"/>
            <w:tcBorders>
              <w:top w:val="nil"/>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3</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4</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5</w:t>
            </w:r>
          </w:p>
        </w:tc>
        <w:tc>
          <w:tcPr>
            <w:tcW w:w="1791" w:type="dxa"/>
            <w:tcBorders>
              <w:top w:val="nil"/>
              <w:left w:val="nil"/>
              <w:bottom w:val="single" w:color="auto" w:sz="4" w:space="0"/>
              <w:right w:val="single" w:color="auto" w:sz="4" w:space="0"/>
            </w:tcBorders>
            <w:noWrap w:val="0"/>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6</w:t>
            </w:r>
          </w:p>
        </w:tc>
      </w:tr>
      <w:tr>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pPr>
              <w:widowControl/>
              <w:spacing w:line="300" w:lineRule="exact"/>
              <w:jc w:val="center"/>
              <w:rPr>
                <w:rFonts w:hint="eastAsia" w:ascii="仿宋_GB2312" w:hAnsi="宋体" w:eastAsia="仿宋_GB2312" w:cs="宋体"/>
                <w:kern w:val="0"/>
                <w:sz w:val="22"/>
                <w:szCs w:val="22"/>
              </w:rPr>
            </w:pPr>
            <w:r>
              <w:rPr>
                <w:rFonts w:hint="eastAsia" w:ascii="仿宋_GB2312" w:hAnsi="宋体" w:eastAsia="仿宋_GB2312" w:cs="宋体"/>
                <w:kern w:val="0"/>
                <w:sz w:val="22"/>
                <w:szCs w:val="22"/>
              </w:rPr>
              <w:t>合  计</w:t>
            </w:r>
          </w:p>
        </w:tc>
        <w:tc>
          <w:tcPr>
            <w:tcW w:w="1731" w:type="dxa"/>
            <w:tcBorders>
              <w:top w:val="nil"/>
              <w:left w:val="nil"/>
              <w:bottom w:val="single" w:color="auto" w:sz="4" w:space="0"/>
              <w:right w:val="single" w:color="auto" w:sz="4" w:space="0"/>
            </w:tcBorders>
            <w:noWrap w:val="0"/>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7"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8" w:type="dxa"/>
            <w:tcBorders>
              <w:top w:val="nil"/>
              <w:left w:val="nil"/>
              <w:bottom w:val="single" w:color="auto" w:sz="4" w:space="0"/>
              <w:right w:val="single" w:color="auto" w:sz="4" w:space="0"/>
            </w:tcBorders>
            <w:noWrap w:val="0"/>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08" w:type="dxa"/>
            <w:tcBorders>
              <w:top w:val="nil"/>
              <w:left w:val="nil"/>
              <w:bottom w:val="single" w:color="auto" w:sz="4" w:space="0"/>
              <w:right w:val="single" w:color="auto" w:sz="4" w:space="0"/>
            </w:tcBorders>
            <w:noWrap/>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c>
          <w:tcPr>
            <w:tcW w:w="1791" w:type="dxa"/>
            <w:tcBorders>
              <w:top w:val="nil"/>
              <w:left w:val="nil"/>
              <w:bottom w:val="single" w:color="auto" w:sz="4" w:space="0"/>
              <w:right w:val="single" w:color="auto" w:sz="4" w:space="0"/>
            </w:tcBorders>
            <w:noWrap w:val="0"/>
            <w:vAlign w:val="center"/>
          </w:tcPr>
          <w:p>
            <w:pPr>
              <w:widowControl/>
              <w:spacing w:line="300" w:lineRule="exact"/>
              <w:jc w:val="center"/>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0.00</w:t>
            </w: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single" w:color="auto" w:sz="4" w:space="0"/>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r>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485" w:type="dxa"/>
            <w:gridSpan w:val="2"/>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31" w:type="dxa"/>
            <w:tcBorders>
              <w:top w:val="nil"/>
              <w:left w:val="nil"/>
              <w:bottom w:val="single" w:color="auto" w:sz="4" w:space="0"/>
              <w:right w:val="single" w:color="auto" w:sz="4" w:space="0"/>
            </w:tcBorders>
            <w:noWrap w:val="0"/>
            <w:vAlign w:val="center"/>
          </w:tcPr>
          <w:p>
            <w:pPr>
              <w:widowControl/>
              <w:spacing w:line="300" w:lineRule="exact"/>
              <w:jc w:val="left"/>
              <w:rPr>
                <w:rFonts w:hint="eastAsia" w:ascii="仿宋_GB2312" w:hAnsi="宋体" w:eastAsia="仿宋_GB2312" w:cs="宋体"/>
                <w:kern w:val="0"/>
                <w:sz w:val="22"/>
                <w:szCs w:val="22"/>
              </w:rPr>
            </w:pPr>
          </w:p>
        </w:tc>
        <w:tc>
          <w:tcPr>
            <w:tcW w:w="1707"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08" w:type="dxa"/>
            <w:tcBorders>
              <w:top w:val="nil"/>
              <w:left w:val="nil"/>
              <w:bottom w:val="single" w:color="auto" w:sz="4" w:space="0"/>
              <w:right w:val="single" w:color="auto" w:sz="4" w:space="0"/>
            </w:tcBorders>
            <w:noWrap w:val="0"/>
            <w:vAlign w:val="center"/>
          </w:tcPr>
          <w:p>
            <w:pPr>
              <w:widowControl/>
              <w:spacing w:line="300" w:lineRule="exact"/>
              <w:jc w:val="right"/>
              <w:rPr>
                <w:rFonts w:hint="eastAsia" w:ascii="仿宋_GB2312" w:hAnsi="宋体" w:eastAsia="仿宋_GB2312" w:cs="宋体"/>
                <w:kern w:val="0"/>
                <w:sz w:val="22"/>
                <w:szCs w:val="22"/>
              </w:rPr>
            </w:pPr>
          </w:p>
        </w:tc>
        <w:tc>
          <w:tcPr>
            <w:tcW w:w="1791" w:type="dxa"/>
            <w:tcBorders>
              <w:top w:val="nil"/>
              <w:left w:val="nil"/>
              <w:bottom w:val="single" w:color="auto" w:sz="4" w:space="0"/>
              <w:right w:val="single" w:color="auto" w:sz="4" w:space="0"/>
            </w:tcBorders>
            <w:noWrap w:val="0"/>
            <w:vAlign w:val="center"/>
          </w:tcPr>
          <w:p>
            <w:pPr>
              <w:spacing w:line="300" w:lineRule="exact"/>
              <w:jc w:val="right"/>
              <w:rPr>
                <w:rFonts w:hint="eastAsia" w:ascii="仿宋_GB2312" w:hAnsi="宋体" w:eastAsia="仿宋_GB2312" w:cs="宋体"/>
                <w:kern w:val="0"/>
                <w:sz w:val="22"/>
                <w:szCs w:val="22"/>
              </w:rPr>
            </w:pPr>
          </w:p>
        </w:tc>
      </w:tr>
    </w:tbl>
    <w:p>
      <w:pPr>
        <w:ind w:firstLine="108" w:firstLineChars="50"/>
        <w:rPr>
          <w:rFonts w:hint="eastAsia" w:ascii="仿宋_GB2312" w:hAnsi="宋体" w:eastAsia="仿宋_GB2312"/>
          <w:sz w:val="22"/>
          <w:szCs w:val="22"/>
        </w:rPr>
      </w:pPr>
      <w:r>
        <w:rPr>
          <w:rFonts w:hint="eastAsia" w:ascii="仿宋_GB2312" w:hAnsi="宋体" w:eastAsia="仿宋_GB2312"/>
          <w:sz w:val="22"/>
          <w:szCs w:val="22"/>
        </w:rPr>
        <w:t>注：</w:t>
      </w:r>
      <w:r>
        <w:rPr>
          <w:rFonts w:hint="eastAsia" w:ascii="宋体" w:hAnsi="宋体" w:cs="宋体"/>
          <w:sz w:val="22"/>
          <w:szCs w:val="22"/>
          <w:lang w:eastAsia="zh-CN"/>
        </w:rPr>
        <w:t>威海市文登区粮食局</w:t>
      </w:r>
      <w:r>
        <w:rPr>
          <w:rFonts w:hint="eastAsia" w:ascii="宋体" w:hAnsi="宋体" w:eastAsia="宋体" w:cs="宋体"/>
          <w:kern w:val="0"/>
          <w:sz w:val="22"/>
          <w:szCs w:val="22"/>
          <w:lang w:eastAsia="zh-CN"/>
        </w:rPr>
        <w:t>无</w:t>
      </w:r>
      <w:r>
        <w:rPr>
          <w:rFonts w:hint="eastAsia" w:ascii="宋体" w:hAnsi="宋体" w:eastAsia="宋体" w:cs="宋体"/>
          <w:kern w:val="0"/>
          <w:sz w:val="22"/>
          <w:szCs w:val="22"/>
        </w:rPr>
        <w:t>政府性基金</w:t>
      </w:r>
      <w:r>
        <w:rPr>
          <w:rFonts w:hint="eastAsia" w:ascii="宋体" w:hAnsi="宋体" w:cs="宋体"/>
          <w:kern w:val="0"/>
          <w:sz w:val="22"/>
          <w:szCs w:val="22"/>
        </w:rPr>
        <w:t>收入,也没有使用政府性基金安排的支出,故本表无数据。</w:t>
      </w:r>
    </w:p>
    <w:p>
      <w:pPr>
        <w:rPr>
          <w:rFonts w:ascii="仿宋_GB2312" w:hAnsi="宋体" w:eastAsia="仿宋_GB2312"/>
          <w:sz w:val="22"/>
          <w:szCs w:val="22"/>
        </w:rPr>
        <w:sectPr>
          <w:pgSz w:w="16838" w:h="11906" w:orient="landscape"/>
          <w:pgMar w:top="1531" w:right="1701" w:bottom="1531" w:left="1701" w:header="0" w:footer="1418" w:gutter="0"/>
          <w:cols w:space="720" w:num="1"/>
          <w:docGrid w:type="linesAndChars" w:linePitch="610" w:charSpace="-849"/>
        </w:sectPr>
      </w:pPr>
    </w:p>
    <w:p>
      <w:pPr>
        <w:jc w:val="center"/>
        <w:rPr>
          <w:rFonts w:ascii="方正小标宋简体" w:eastAsia="方正小标宋简体"/>
          <w:sz w:val="42"/>
        </w:rPr>
      </w:pPr>
    </w:p>
    <w:p>
      <w:pPr>
        <w:jc w:val="center"/>
        <w:rPr>
          <w:rFonts w:ascii="方正小标宋简体" w:eastAsia="方正小标宋简体"/>
          <w:sz w:val="42"/>
        </w:rPr>
      </w:pPr>
    </w:p>
    <w:p>
      <w:pPr>
        <w:ind w:firstLine="536" w:firstLineChars="100"/>
        <w:rPr>
          <w:rFonts w:ascii="仿宋" w:hAnsi="仿宋" w:eastAsia="仿宋" w:cs="仿宋"/>
          <w:spacing w:val="60"/>
          <w:sz w:val="42"/>
        </w:rPr>
      </w:pPr>
      <w:r>
        <w:rPr>
          <w:rFonts w:hint="eastAsia" w:ascii="仿宋" w:hAnsi="仿宋" w:eastAsia="仿宋" w:cs="仿宋"/>
          <w:spacing w:val="60"/>
          <w:sz w:val="42"/>
        </w:rPr>
        <w:t>第三部分</w:t>
      </w:r>
    </w:p>
    <w:p>
      <w:pPr>
        <w:jc w:val="center"/>
        <w:rPr>
          <w:rFonts w:ascii="仿宋" w:hAnsi="仿宋" w:eastAsia="仿宋" w:cs="仿宋"/>
          <w:spacing w:val="60"/>
          <w:sz w:val="42"/>
        </w:rPr>
      </w:pPr>
    </w:p>
    <w:p>
      <w:pPr>
        <w:spacing w:line="800" w:lineRule="exact"/>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仿宋" w:hAnsi="仿宋" w:eastAsia="仿宋" w:cs="仿宋"/>
          <w:spacing w:val="60"/>
          <w:sz w:val="48"/>
        </w:rPr>
        <w:t>2019年度部门决算情况说明</w:t>
      </w:r>
    </w:p>
    <w:p>
      <w:pPr>
        <w:ind w:firstLine="632" w:firstLineChars="200"/>
        <w:rPr>
          <w:rFonts w:hint="eastAsia" w:ascii="黑体" w:hAnsi="黑体" w:eastAsia="黑体"/>
          <w:szCs w:val="32"/>
        </w:rPr>
      </w:pPr>
      <w:r>
        <w:rPr>
          <w:rFonts w:hint="eastAsia" w:ascii="黑体" w:hAnsi="黑体" w:eastAsia="黑体"/>
          <w:szCs w:val="32"/>
        </w:rPr>
        <w:t>一、收入支出决算总体情况说明</w:t>
      </w:r>
    </w:p>
    <w:p>
      <w:pPr>
        <w:ind w:firstLine="632" w:firstLineChars="200"/>
        <w:rPr>
          <w:rFonts w:hint="eastAsia" w:ascii="仿宋_GB2312" w:eastAsia="仿宋_GB2312"/>
          <w:szCs w:val="32"/>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年度收、支总计</w:t>
      </w:r>
      <w:r>
        <w:rPr>
          <w:rFonts w:hint="eastAsia" w:ascii="仿宋_GB2312" w:eastAsia="仿宋_GB2312"/>
          <w:szCs w:val="32"/>
          <w:lang w:val="en-US" w:eastAsia="zh-CN"/>
        </w:rPr>
        <w:t>195.10万元，</w:t>
      </w:r>
      <w:r>
        <w:rPr>
          <w:rFonts w:hint="eastAsia" w:ascii="仿宋_GB2312" w:eastAsia="仿宋_GB2312"/>
          <w:szCs w:val="32"/>
        </w:rPr>
        <w:t>与201</w:t>
      </w:r>
      <w:r>
        <w:rPr>
          <w:rFonts w:hint="eastAsia" w:ascii="仿宋_GB2312" w:eastAsia="仿宋_GB2312"/>
          <w:szCs w:val="32"/>
          <w:lang w:val="en-US" w:eastAsia="zh-CN"/>
        </w:rPr>
        <w:t>8</w:t>
      </w:r>
      <w:r>
        <w:rPr>
          <w:rFonts w:hint="eastAsia" w:ascii="仿宋_GB2312" w:eastAsia="仿宋_GB2312"/>
          <w:szCs w:val="32"/>
        </w:rPr>
        <w:t>年相比，收、支总计各</w:t>
      </w:r>
      <w:r>
        <w:rPr>
          <w:rFonts w:hint="eastAsia" w:ascii="仿宋_GB2312" w:eastAsia="仿宋_GB2312"/>
          <w:szCs w:val="32"/>
          <w:lang w:eastAsia="zh-CN"/>
        </w:rPr>
        <w:t>减少</w:t>
      </w:r>
      <w:r>
        <w:rPr>
          <w:rFonts w:hint="eastAsia" w:ascii="仿宋_GB2312" w:eastAsia="仿宋_GB2312"/>
          <w:szCs w:val="32"/>
          <w:lang w:val="en-US" w:eastAsia="zh-CN"/>
        </w:rPr>
        <w:t>1344.95</w:t>
      </w:r>
      <w:r>
        <w:rPr>
          <w:rFonts w:hint="eastAsia" w:ascii="仿宋_GB2312" w:eastAsia="仿宋_GB2312"/>
          <w:szCs w:val="32"/>
        </w:rPr>
        <w:t>万元，</w:t>
      </w:r>
      <w:r>
        <w:rPr>
          <w:rFonts w:hint="eastAsia" w:ascii="仿宋_GB2312" w:eastAsia="仿宋_GB2312"/>
          <w:szCs w:val="32"/>
          <w:lang w:eastAsia="zh-CN"/>
        </w:rPr>
        <w:t>减少</w:t>
      </w:r>
      <w:r>
        <w:rPr>
          <w:rFonts w:hint="eastAsia" w:ascii="仿宋_GB2312" w:eastAsia="仿宋_GB2312"/>
          <w:szCs w:val="32"/>
          <w:lang w:val="en-US" w:eastAsia="zh-CN"/>
        </w:rPr>
        <w:t>87.33</w:t>
      </w:r>
      <w:r>
        <w:rPr>
          <w:rFonts w:hint="eastAsia" w:ascii="仿宋_GB2312" w:eastAsia="仿宋_GB2312"/>
          <w:szCs w:val="32"/>
        </w:rPr>
        <w:t>%。主要是</w:t>
      </w:r>
      <w:r>
        <w:rPr>
          <w:rFonts w:hint="eastAsia" w:ascii="仿宋_GB2312" w:eastAsia="仿宋_GB2312"/>
          <w:szCs w:val="32"/>
          <w:lang w:eastAsia="zh-CN"/>
        </w:rPr>
        <w:t>无粮食建设项目</w:t>
      </w:r>
      <w:r>
        <w:rPr>
          <w:rFonts w:hint="eastAsia" w:ascii="仿宋_GB2312" w:eastAsia="仿宋_GB2312"/>
          <w:szCs w:val="32"/>
        </w:rPr>
        <w:t>。</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eastAsia="仿宋_GB2312"/>
          <w:b/>
          <w:szCs w:val="32"/>
          <w:lang w:eastAsia="zh-CN"/>
        </w:rPr>
      </w:pPr>
      <w:r>
        <w:rPr>
          <w:rFonts w:hint="eastAsia" w:ascii="仿宋_GB2312" w:eastAsia="仿宋_GB2312"/>
          <w:b/>
          <w:szCs w:val="32"/>
          <w:lang w:eastAsia="zh-CN"/>
        </w:rPr>
        <w:object>
          <v:shape id="_x0000_i1025" o:spt="75" type="#_x0000_t75" style="height:243.85pt;width:365.25pt;" o:ole="t" filled="f" o:preferrelative="t" stroked="f" coordsize="21600,21600">
            <v:path/>
            <v:fill on="f" focussize="0,0"/>
            <v:stroke on="f"/>
            <v:imagedata r:id="rId7" o:title=""/>
            <o:lock v:ext="edit" aspectratio="t"/>
            <w10:wrap type="none"/>
            <w10:anchorlock/>
          </v:shape>
          <o:OLEObject Type="Embed" ProgID="Excel.Chart.8" ShapeID="_x0000_i1025" DrawAspect="Content" ObjectID="_1468075725" r:id="rId6">
            <o:LockedField>false</o:LockedField>
          </o:OLEObject>
        </w:object>
      </w:r>
    </w:p>
    <w:p>
      <w:pPr>
        <w:ind w:firstLine="632" w:firstLineChars="200"/>
        <w:rPr>
          <w:rFonts w:hint="eastAsia" w:ascii="黑体" w:hAnsi="黑体" w:eastAsia="黑体"/>
          <w:szCs w:val="32"/>
        </w:rPr>
      </w:pPr>
      <w:r>
        <w:rPr>
          <w:rFonts w:hint="eastAsia" w:ascii="黑体" w:hAnsi="黑体" w:eastAsia="黑体"/>
          <w:szCs w:val="32"/>
        </w:rPr>
        <w:t>二、收入决算情况说明</w:t>
      </w:r>
    </w:p>
    <w:p>
      <w:pPr>
        <w:ind w:firstLine="632" w:firstLineChars="200"/>
        <w:rPr>
          <w:rFonts w:hint="eastAsia" w:ascii="仿宋_GB2312" w:eastAsia="仿宋_GB2312"/>
          <w:szCs w:val="32"/>
        </w:rPr>
      </w:pPr>
      <w:r>
        <w:rPr>
          <w:rFonts w:hint="eastAsia" w:ascii="仿宋_GB2312" w:eastAsia="仿宋_GB2312"/>
          <w:szCs w:val="32"/>
        </w:rPr>
        <w:t>本年收入合计</w:t>
      </w:r>
      <w:r>
        <w:rPr>
          <w:rFonts w:hint="eastAsia" w:ascii="仿宋_GB2312" w:eastAsia="仿宋_GB2312"/>
          <w:szCs w:val="32"/>
          <w:lang w:val="en-US" w:eastAsia="zh-CN"/>
        </w:rPr>
        <w:t>195.10</w:t>
      </w:r>
      <w:r>
        <w:rPr>
          <w:rFonts w:hint="eastAsia" w:ascii="仿宋_GB2312" w:eastAsia="仿宋_GB2312"/>
          <w:szCs w:val="32"/>
        </w:rPr>
        <w:t>万元，其中：财政拨款收入</w:t>
      </w:r>
      <w:r>
        <w:rPr>
          <w:rFonts w:hint="eastAsia" w:ascii="仿宋_GB2312" w:eastAsia="仿宋_GB2312"/>
          <w:szCs w:val="32"/>
          <w:lang w:val="en-US" w:eastAsia="zh-CN"/>
        </w:rPr>
        <w:t>195.10万元</w:t>
      </w:r>
      <w:r>
        <w:rPr>
          <w:rFonts w:hint="eastAsia" w:ascii="仿宋_GB2312" w:eastAsia="仿宋_GB2312"/>
          <w:szCs w:val="32"/>
        </w:rPr>
        <w:t>。</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eastAsia="仿宋_GB2312"/>
          <w:szCs w:val="32"/>
          <w:lang w:eastAsia="zh-CN"/>
        </w:rPr>
      </w:pPr>
      <w:r>
        <w:rPr>
          <w:rFonts w:hint="eastAsia" w:ascii="仿宋_GB2312" w:eastAsia="仿宋_GB2312"/>
          <w:szCs w:val="32"/>
          <w:lang w:eastAsia="zh-CN"/>
        </w:rPr>
        <w:object>
          <v:shape id="_x0000_i1026" o:spt="75" type="#_x0000_t75" style="height:222.75pt;width:366.75pt;" o:ole="t" filled="f" o:preferrelative="t" stroked="f" coordsize="21600,21600">
            <v:path/>
            <v:fill on="f" focussize="0,0"/>
            <v:stroke on="f"/>
            <v:imagedata r:id="rId9" o:title=""/>
            <o:lock v:ext="edit" aspectratio="t"/>
            <w10:wrap type="none"/>
            <w10:anchorlock/>
          </v:shape>
          <o:OLEObject Type="Embed" ProgID="Excel.Chart.8" ShapeID="_x0000_i1026" DrawAspect="Content" ObjectID="_1468075726" r:id="rId8">
            <o:LockedField>false</o:LockedField>
          </o:OLEObject>
        </w:object>
      </w:r>
    </w:p>
    <w:p>
      <w:pPr>
        <w:ind w:firstLine="632" w:firstLineChars="200"/>
        <w:rPr>
          <w:rFonts w:hint="eastAsia" w:ascii="黑体" w:hAnsi="黑体" w:eastAsia="黑体"/>
          <w:szCs w:val="32"/>
        </w:rPr>
      </w:pPr>
      <w:r>
        <w:rPr>
          <w:rFonts w:hint="eastAsia" w:ascii="黑体" w:hAnsi="黑体" w:eastAsia="黑体"/>
          <w:szCs w:val="32"/>
        </w:rPr>
        <w:t>三、支出决算情况说明</w:t>
      </w:r>
    </w:p>
    <w:p>
      <w:pPr>
        <w:ind w:firstLine="632" w:firstLineChars="200"/>
        <w:rPr>
          <w:rFonts w:hint="eastAsia" w:ascii="仿宋_GB2312" w:eastAsia="仿宋_GB2312"/>
          <w:szCs w:val="32"/>
        </w:rPr>
      </w:pPr>
      <w:r>
        <w:rPr>
          <w:rFonts w:hint="eastAsia" w:ascii="仿宋_GB2312" w:eastAsia="仿宋_GB2312"/>
          <w:szCs w:val="32"/>
        </w:rPr>
        <w:t>本年支出合计</w:t>
      </w:r>
      <w:r>
        <w:rPr>
          <w:rFonts w:hint="eastAsia" w:ascii="仿宋_GB2312" w:eastAsia="仿宋_GB2312"/>
          <w:szCs w:val="32"/>
          <w:lang w:val="en-US" w:eastAsia="zh-CN"/>
        </w:rPr>
        <w:t>195.10</w:t>
      </w:r>
      <w:r>
        <w:rPr>
          <w:rFonts w:hint="eastAsia" w:ascii="仿宋_GB2312" w:eastAsia="仿宋_GB2312"/>
          <w:szCs w:val="32"/>
        </w:rPr>
        <w:t>万元，其中：基本支出</w:t>
      </w:r>
      <w:r>
        <w:rPr>
          <w:rFonts w:hint="eastAsia" w:ascii="仿宋_GB2312" w:eastAsia="仿宋_GB2312"/>
          <w:szCs w:val="32"/>
          <w:lang w:val="en-US" w:eastAsia="zh-CN"/>
        </w:rPr>
        <w:t>195.10</w:t>
      </w:r>
      <w:r>
        <w:rPr>
          <w:rFonts w:hint="eastAsia" w:ascii="仿宋_GB2312" w:eastAsia="仿宋_GB2312"/>
          <w:szCs w:val="32"/>
        </w:rPr>
        <w:t>万元，占</w:t>
      </w:r>
      <w:r>
        <w:rPr>
          <w:rFonts w:hint="eastAsia" w:ascii="仿宋_GB2312" w:eastAsia="仿宋_GB2312"/>
          <w:szCs w:val="32"/>
          <w:lang w:val="en-US" w:eastAsia="zh-CN"/>
        </w:rPr>
        <w:t>100</w:t>
      </w:r>
      <w:r>
        <w:rPr>
          <w:rFonts w:hint="eastAsia" w:ascii="仿宋_GB2312" w:eastAsia="仿宋_GB2312"/>
          <w:szCs w:val="32"/>
        </w:rPr>
        <w:t>%。</w: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eastAsia="仿宋_GB2312"/>
          <w:b/>
          <w:szCs w:val="32"/>
          <w:lang w:eastAsia="zh-CN"/>
        </w:rPr>
      </w:pPr>
      <w:r>
        <w:rPr>
          <w:rFonts w:hint="eastAsia" w:ascii="仿宋_GB2312" w:eastAsia="仿宋_GB2312"/>
          <w:b/>
          <w:szCs w:val="32"/>
          <w:lang w:eastAsia="zh-CN"/>
        </w:rPr>
        <w:object>
          <v:shape id="_x0000_i1027" o:spt="75" type="#_x0000_t75" style="height:222.75pt;width:366.75pt;" o:ole="t" filled="f" o:preferrelative="t" stroked="f" coordsize="21600,21600">
            <v:path/>
            <v:fill on="f" focussize="0,0"/>
            <v:stroke on="f"/>
            <v:imagedata r:id="rId11" o:title=""/>
            <o:lock v:ext="edit" aspectratio="t"/>
            <w10:wrap type="none"/>
            <w10:anchorlock/>
          </v:shape>
          <o:OLEObject Type="Embed" ProgID="Excel.Chart.8" ShapeID="_x0000_i1027" DrawAspect="Content" ObjectID="_1468075727" r:id="rId10">
            <o:LockedField>false</o:LockedField>
          </o:OLEObject>
        </w:object>
      </w:r>
    </w:p>
    <w:p>
      <w:pPr>
        <w:ind w:firstLine="632" w:firstLineChars="200"/>
        <w:rPr>
          <w:rFonts w:hint="eastAsia" w:ascii="黑体" w:hAnsi="黑体" w:eastAsia="黑体"/>
          <w:szCs w:val="32"/>
        </w:rPr>
      </w:pPr>
      <w:r>
        <w:rPr>
          <w:rFonts w:hint="eastAsia" w:ascii="黑体" w:hAnsi="黑体" w:eastAsia="黑体"/>
          <w:szCs w:val="32"/>
        </w:rPr>
        <w:t>四、财政拨款收入支出决算总体情况说明</w:t>
      </w:r>
    </w:p>
    <w:p>
      <w:pPr>
        <w:ind w:firstLine="632" w:firstLineChars="200"/>
        <w:rPr>
          <w:rFonts w:hint="eastAsia" w:ascii="仿宋_GB2312" w:eastAsia="仿宋_GB2312"/>
          <w:szCs w:val="32"/>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年度收、支总计</w:t>
      </w:r>
      <w:r>
        <w:rPr>
          <w:rFonts w:hint="eastAsia" w:ascii="仿宋_GB2312" w:eastAsia="仿宋_GB2312"/>
          <w:szCs w:val="32"/>
          <w:lang w:val="en-US" w:eastAsia="zh-CN"/>
        </w:rPr>
        <w:t>195.10万元，</w:t>
      </w:r>
      <w:r>
        <w:rPr>
          <w:rFonts w:hint="eastAsia" w:ascii="仿宋_GB2312" w:eastAsia="仿宋_GB2312"/>
          <w:szCs w:val="32"/>
        </w:rPr>
        <w:t>与201</w:t>
      </w:r>
      <w:r>
        <w:rPr>
          <w:rFonts w:hint="eastAsia" w:ascii="仿宋_GB2312" w:eastAsia="仿宋_GB2312"/>
          <w:szCs w:val="32"/>
          <w:lang w:val="en-US" w:eastAsia="zh-CN"/>
        </w:rPr>
        <w:t>8</w:t>
      </w:r>
      <w:r>
        <w:rPr>
          <w:rFonts w:hint="eastAsia" w:ascii="仿宋_GB2312" w:eastAsia="仿宋_GB2312"/>
          <w:szCs w:val="32"/>
        </w:rPr>
        <w:t>年相比，收、支总计各</w:t>
      </w:r>
      <w:r>
        <w:rPr>
          <w:rFonts w:hint="eastAsia" w:ascii="仿宋_GB2312" w:eastAsia="仿宋_GB2312"/>
          <w:szCs w:val="32"/>
          <w:lang w:eastAsia="zh-CN"/>
        </w:rPr>
        <w:t>减少</w:t>
      </w:r>
      <w:r>
        <w:rPr>
          <w:rFonts w:hint="eastAsia" w:ascii="仿宋_GB2312" w:eastAsia="仿宋_GB2312"/>
          <w:szCs w:val="32"/>
          <w:lang w:val="en-US" w:eastAsia="zh-CN"/>
        </w:rPr>
        <w:t>1344.95</w:t>
      </w:r>
      <w:r>
        <w:rPr>
          <w:rFonts w:hint="eastAsia" w:ascii="仿宋_GB2312" w:eastAsia="仿宋_GB2312"/>
          <w:szCs w:val="32"/>
        </w:rPr>
        <w:t>万元，</w:t>
      </w:r>
      <w:r>
        <w:rPr>
          <w:rFonts w:hint="eastAsia" w:ascii="仿宋_GB2312" w:eastAsia="仿宋_GB2312"/>
          <w:szCs w:val="32"/>
          <w:lang w:eastAsia="zh-CN"/>
        </w:rPr>
        <w:t>减少</w:t>
      </w:r>
      <w:r>
        <w:rPr>
          <w:rFonts w:hint="eastAsia" w:ascii="仿宋_GB2312" w:eastAsia="仿宋_GB2312"/>
          <w:szCs w:val="32"/>
          <w:lang w:val="en-US" w:eastAsia="zh-CN"/>
        </w:rPr>
        <w:t>87.33</w:t>
      </w:r>
      <w:r>
        <w:rPr>
          <w:rFonts w:hint="eastAsia" w:ascii="仿宋_GB2312" w:eastAsia="仿宋_GB2312"/>
          <w:szCs w:val="32"/>
        </w:rPr>
        <w:t>%。主要是</w:t>
      </w:r>
      <w:r>
        <w:rPr>
          <w:rFonts w:hint="eastAsia" w:ascii="仿宋_GB2312" w:eastAsia="仿宋_GB2312"/>
          <w:szCs w:val="32"/>
          <w:lang w:eastAsia="zh-CN"/>
        </w:rPr>
        <w:t>无粮食建设项目</w:t>
      </w:r>
      <w:r>
        <w:rPr>
          <w:rFonts w:hint="eastAsia" w:ascii="仿宋_GB2312" w:eastAsia="仿宋_GB2312"/>
          <w:szCs w:val="32"/>
        </w:rPr>
        <w:t>。</w:t>
      </w:r>
    </w:p>
    <w:p>
      <w:pPr>
        <w:ind w:firstLine="632" w:firstLineChars="200"/>
        <w:rPr>
          <w:rFonts w:hint="eastAsia" w:ascii="黑体" w:hAnsi="黑体" w:eastAsia="黑体"/>
          <w:szCs w:val="32"/>
        </w:rPr>
      </w:pPr>
      <w:r>
        <w:rPr>
          <w:rFonts w:hint="eastAsia" w:ascii="黑体" w:hAnsi="黑体" w:eastAsia="黑体"/>
          <w:szCs w:val="32"/>
        </w:rPr>
        <w:t>五、一般公共预算财政拨款支出决算情况说明</w:t>
      </w:r>
    </w:p>
    <w:p>
      <w:pPr>
        <w:ind w:firstLine="632" w:firstLineChars="200"/>
        <w:rPr>
          <w:rFonts w:hint="eastAsia" w:ascii="楷体_GB2312" w:eastAsia="楷体_GB2312"/>
          <w:szCs w:val="32"/>
        </w:rPr>
      </w:pPr>
      <w:r>
        <w:rPr>
          <w:rFonts w:hint="eastAsia" w:ascii="楷体_GB2312" w:eastAsia="楷体_GB2312"/>
          <w:szCs w:val="32"/>
        </w:rPr>
        <w:t>（一）一般公共预算财政拨款支出决算总体情况</w:t>
      </w:r>
    </w:p>
    <w:p>
      <w:pPr>
        <w:ind w:firstLine="632" w:firstLineChars="200"/>
        <w:rPr>
          <w:rFonts w:hint="default" w:ascii="仿宋_GB2312" w:eastAsia="仿宋_GB2312"/>
          <w:szCs w:val="32"/>
          <w:lang w:val="en-US" w:eastAsia="zh-CN"/>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年度一般公共预算财政拨款支出</w:t>
      </w:r>
      <w:r>
        <w:rPr>
          <w:rFonts w:hint="eastAsia" w:ascii="仿宋_GB2312" w:eastAsia="仿宋_GB2312"/>
          <w:szCs w:val="32"/>
          <w:lang w:val="en-US" w:eastAsia="zh-CN"/>
        </w:rPr>
        <w:t>195.10万元</w:t>
      </w:r>
      <w:r>
        <w:rPr>
          <w:rFonts w:hint="eastAsia" w:ascii="仿宋_GB2312" w:eastAsia="仿宋_GB2312"/>
          <w:szCs w:val="32"/>
        </w:rPr>
        <w:t>占本年支出合计的</w:t>
      </w:r>
      <w:r>
        <w:rPr>
          <w:rFonts w:hint="eastAsia" w:ascii="仿宋_GB2312" w:eastAsia="仿宋_GB2312"/>
          <w:szCs w:val="32"/>
          <w:lang w:val="en-US" w:eastAsia="zh-CN"/>
        </w:rPr>
        <w:t>100</w:t>
      </w:r>
      <w:r>
        <w:rPr>
          <w:rFonts w:hint="eastAsia" w:ascii="仿宋_GB2312" w:eastAsia="仿宋_GB2312"/>
          <w:szCs w:val="32"/>
        </w:rPr>
        <w:t>%。与201</w:t>
      </w:r>
      <w:r>
        <w:rPr>
          <w:rFonts w:hint="eastAsia" w:ascii="仿宋_GB2312" w:eastAsia="仿宋_GB2312"/>
          <w:szCs w:val="32"/>
          <w:lang w:val="en-US" w:eastAsia="zh-CN"/>
        </w:rPr>
        <w:t>8</w:t>
      </w:r>
      <w:r>
        <w:rPr>
          <w:rFonts w:hint="eastAsia" w:ascii="仿宋_GB2312" w:eastAsia="仿宋_GB2312"/>
          <w:szCs w:val="32"/>
        </w:rPr>
        <w:t>年相比，一般公共预算财政拨款支出</w:t>
      </w:r>
      <w:r>
        <w:rPr>
          <w:rFonts w:hint="eastAsia" w:ascii="仿宋_GB2312" w:eastAsia="仿宋_GB2312"/>
          <w:szCs w:val="32"/>
          <w:lang w:eastAsia="zh-CN"/>
        </w:rPr>
        <w:t>减少</w:t>
      </w:r>
      <w:r>
        <w:rPr>
          <w:rFonts w:hint="eastAsia" w:ascii="仿宋_GB2312" w:eastAsia="仿宋_GB2312"/>
          <w:szCs w:val="32"/>
          <w:lang w:val="en-US" w:eastAsia="zh-CN"/>
        </w:rPr>
        <w:t>1344.95</w:t>
      </w:r>
      <w:r>
        <w:rPr>
          <w:rFonts w:hint="eastAsia" w:ascii="仿宋_GB2312" w:eastAsia="仿宋_GB2312"/>
          <w:szCs w:val="32"/>
        </w:rPr>
        <w:t>万元，</w:t>
      </w:r>
      <w:r>
        <w:rPr>
          <w:rFonts w:hint="eastAsia" w:ascii="仿宋_GB2312" w:eastAsia="仿宋_GB2312"/>
          <w:szCs w:val="32"/>
          <w:lang w:eastAsia="zh-CN"/>
        </w:rPr>
        <w:t>减少</w:t>
      </w:r>
      <w:r>
        <w:rPr>
          <w:rFonts w:hint="eastAsia" w:ascii="仿宋_GB2312" w:eastAsia="仿宋_GB2312"/>
          <w:szCs w:val="32"/>
          <w:lang w:val="en-US" w:eastAsia="zh-CN"/>
        </w:rPr>
        <w:t>87.33</w:t>
      </w:r>
      <w:r>
        <w:rPr>
          <w:rFonts w:hint="eastAsia" w:ascii="仿宋_GB2312" w:eastAsia="仿宋_GB2312"/>
          <w:szCs w:val="32"/>
        </w:rPr>
        <w:t>%。主要是</w:t>
      </w:r>
      <w:r>
        <w:rPr>
          <w:rFonts w:hint="eastAsia" w:ascii="仿宋_GB2312" w:eastAsia="仿宋_GB2312"/>
          <w:szCs w:val="32"/>
          <w:lang w:eastAsia="zh-CN"/>
        </w:rPr>
        <w:t>无粮食建设项目</w:t>
      </w:r>
      <w:r>
        <w:rPr>
          <w:rFonts w:hint="eastAsia" w:ascii="仿宋_GB2312" w:eastAsia="仿宋_GB2312"/>
          <w:szCs w:val="32"/>
        </w:rPr>
        <w:t>。</w:t>
      </w:r>
    </w:p>
    <w:p>
      <w:pPr>
        <w:rPr>
          <w:rFonts w:hint="eastAsia" w:ascii="仿宋_GB2312" w:eastAsia="仿宋_GB2312"/>
          <w:szCs w:val="32"/>
        </w:rPr>
      </w:pP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eastAsia="仿宋_GB2312"/>
          <w:b/>
          <w:szCs w:val="32"/>
          <w:lang w:eastAsia="zh-CN"/>
        </w:rPr>
      </w:pPr>
      <w:r>
        <w:rPr>
          <w:rFonts w:hint="eastAsia" w:ascii="仿宋_GB2312" w:eastAsia="仿宋_GB2312"/>
          <w:b/>
          <w:szCs w:val="32"/>
          <w:lang w:eastAsia="zh-CN"/>
        </w:rPr>
        <w:object>
          <v:shape id="_x0000_i1028" o:spt="75" type="#_x0000_t75" style="height:222.75pt;width:366.75pt;" o:ole="t" filled="f" o:preferrelative="t" stroked="f" coordsize="21600,21600">
            <v:path/>
            <v:fill on="f" focussize="0,0"/>
            <v:stroke on="f"/>
            <v:imagedata r:id="rId13" o:title=""/>
            <o:lock v:ext="edit" aspectratio="t"/>
            <w10:wrap type="none"/>
            <w10:anchorlock/>
          </v:shape>
          <o:OLEObject Type="Embed" ProgID="Excel.Chart.8" ShapeID="_x0000_i1028" DrawAspect="Content" ObjectID="_1468075728" r:id="rId12">
            <o:LockedField>false</o:LockedField>
          </o:OLEObject>
        </w:object>
      </w:r>
    </w:p>
    <w:p>
      <w:pPr>
        <w:ind w:firstLine="632" w:firstLineChars="200"/>
        <w:rPr>
          <w:rFonts w:hint="eastAsia" w:ascii="楷体_GB2312" w:eastAsia="楷体_GB2312"/>
          <w:szCs w:val="32"/>
        </w:rPr>
      </w:pPr>
      <w:r>
        <w:rPr>
          <w:rFonts w:hint="eastAsia" w:ascii="楷体_GB2312" w:eastAsia="楷体_GB2312"/>
          <w:szCs w:val="32"/>
        </w:rPr>
        <w:t>（二）一般公共预算财政拨款支出决算结构情况</w:t>
      </w:r>
    </w:p>
    <w:p>
      <w:pPr>
        <w:ind w:firstLine="632" w:firstLineChars="200"/>
        <w:rPr>
          <w:rFonts w:hint="eastAsia" w:ascii="仿宋_GB2312" w:eastAsia="仿宋_GB2312"/>
          <w:szCs w:val="32"/>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年度一般公共预算财政拨款支出</w:t>
      </w:r>
      <w:r>
        <w:rPr>
          <w:rFonts w:hint="eastAsia" w:ascii="仿宋_GB2312" w:eastAsia="仿宋_GB2312"/>
          <w:szCs w:val="32"/>
          <w:lang w:val="en-US" w:eastAsia="zh-CN"/>
        </w:rPr>
        <w:t>195.10</w:t>
      </w:r>
      <w:r>
        <w:rPr>
          <w:rFonts w:hint="eastAsia" w:ascii="仿宋_GB2312" w:eastAsia="仿宋_GB2312"/>
          <w:szCs w:val="32"/>
        </w:rPr>
        <w:t>万元，主要用于以下方面：</w:t>
      </w:r>
      <w:r>
        <w:rPr>
          <w:rFonts w:hint="eastAsia" w:ascii="仿宋_GB2312" w:eastAsia="仿宋_GB2312"/>
          <w:szCs w:val="32"/>
          <w:lang w:eastAsia="zh-CN"/>
        </w:rPr>
        <w:t>社会保障和就业</w:t>
      </w:r>
      <w:r>
        <w:rPr>
          <w:rFonts w:hint="eastAsia" w:ascii="仿宋_GB2312" w:eastAsia="仿宋_GB2312"/>
          <w:szCs w:val="32"/>
        </w:rPr>
        <w:t>（类）支出</w:t>
      </w:r>
      <w:r>
        <w:rPr>
          <w:rFonts w:hint="eastAsia" w:ascii="仿宋_GB2312" w:eastAsia="仿宋_GB2312"/>
          <w:szCs w:val="32"/>
          <w:lang w:val="en-US" w:eastAsia="zh-CN"/>
        </w:rPr>
        <w:t>12.11</w:t>
      </w:r>
      <w:r>
        <w:rPr>
          <w:rFonts w:hint="eastAsia" w:ascii="仿宋_GB2312" w:eastAsia="仿宋_GB2312"/>
          <w:szCs w:val="32"/>
        </w:rPr>
        <w:t>万元，占</w:t>
      </w:r>
      <w:r>
        <w:rPr>
          <w:rFonts w:hint="eastAsia" w:ascii="仿宋_GB2312" w:eastAsia="仿宋_GB2312"/>
          <w:szCs w:val="32"/>
          <w:lang w:val="en-US" w:eastAsia="zh-CN"/>
        </w:rPr>
        <w:t>6.21</w:t>
      </w:r>
      <w:r>
        <w:rPr>
          <w:rFonts w:hint="eastAsia" w:ascii="仿宋_GB2312" w:eastAsia="仿宋_GB2312"/>
          <w:szCs w:val="32"/>
        </w:rPr>
        <w:t>%；</w:t>
      </w:r>
      <w:r>
        <w:rPr>
          <w:rFonts w:hint="eastAsia" w:ascii="仿宋_GB2312" w:eastAsia="仿宋_GB2312"/>
          <w:szCs w:val="32"/>
          <w:lang w:eastAsia="zh-CN"/>
        </w:rPr>
        <w:t>医疗卫生与计划生育支出</w:t>
      </w:r>
      <w:r>
        <w:rPr>
          <w:rFonts w:hint="eastAsia" w:ascii="仿宋_GB2312" w:eastAsia="仿宋_GB2312"/>
          <w:szCs w:val="32"/>
        </w:rPr>
        <w:t>（类）支出</w:t>
      </w:r>
      <w:r>
        <w:rPr>
          <w:rFonts w:hint="eastAsia" w:ascii="仿宋_GB2312" w:eastAsia="仿宋_GB2312"/>
          <w:szCs w:val="32"/>
          <w:lang w:val="en-US" w:eastAsia="zh-CN"/>
        </w:rPr>
        <w:t>6.57</w:t>
      </w:r>
      <w:r>
        <w:rPr>
          <w:rFonts w:hint="eastAsia" w:ascii="仿宋_GB2312" w:eastAsia="仿宋_GB2312"/>
          <w:szCs w:val="32"/>
        </w:rPr>
        <w:t>万元，占</w:t>
      </w:r>
      <w:r>
        <w:rPr>
          <w:rFonts w:hint="eastAsia" w:ascii="仿宋_GB2312" w:eastAsia="仿宋_GB2312"/>
          <w:szCs w:val="32"/>
          <w:lang w:val="en-US" w:eastAsia="zh-CN"/>
        </w:rPr>
        <w:t>3.37</w:t>
      </w:r>
      <w:r>
        <w:rPr>
          <w:rFonts w:hint="eastAsia" w:ascii="仿宋_GB2312" w:eastAsia="仿宋_GB2312"/>
          <w:szCs w:val="32"/>
        </w:rPr>
        <w:t>%；</w:t>
      </w:r>
      <w:r>
        <w:rPr>
          <w:rFonts w:hint="eastAsia" w:ascii="仿宋_GB2312" w:eastAsia="仿宋_GB2312"/>
          <w:szCs w:val="32"/>
          <w:lang w:eastAsia="zh-CN"/>
        </w:rPr>
        <w:t>住房保障</w:t>
      </w:r>
      <w:r>
        <w:rPr>
          <w:rFonts w:hint="eastAsia" w:ascii="仿宋_GB2312" w:eastAsia="仿宋_GB2312"/>
          <w:szCs w:val="32"/>
        </w:rPr>
        <w:t>（类）支出</w:t>
      </w:r>
      <w:r>
        <w:rPr>
          <w:rFonts w:hint="eastAsia" w:ascii="仿宋_GB2312" w:eastAsia="仿宋_GB2312"/>
          <w:szCs w:val="32"/>
          <w:lang w:val="en-US" w:eastAsia="zh-CN"/>
        </w:rPr>
        <w:t>14.52</w:t>
      </w:r>
      <w:r>
        <w:rPr>
          <w:rFonts w:hint="eastAsia" w:ascii="仿宋_GB2312" w:eastAsia="仿宋_GB2312"/>
          <w:szCs w:val="32"/>
        </w:rPr>
        <w:t>万元，占</w:t>
      </w:r>
      <w:r>
        <w:rPr>
          <w:rFonts w:hint="eastAsia" w:ascii="仿宋_GB2312" w:eastAsia="仿宋_GB2312"/>
          <w:szCs w:val="32"/>
          <w:lang w:val="en-US" w:eastAsia="zh-CN"/>
        </w:rPr>
        <w:t>7.44</w:t>
      </w:r>
      <w:r>
        <w:rPr>
          <w:rFonts w:hint="eastAsia" w:ascii="仿宋_GB2312" w:eastAsia="仿宋_GB2312"/>
          <w:szCs w:val="32"/>
        </w:rPr>
        <w:t>%；</w:t>
      </w:r>
      <w:r>
        <w:rPr>
          <w:rFonts w:hint="eastAsia" w:ascii="仿宋_GB2312" w:eastAsia="仿宋_GB2312"/>
          <w:szCs w:val="32"/>
          <w:lang w:eastAsia="zh-CN"/>
        </w:rPr>
        <w:t>粮油物资储备支出</w:t>
      </w:r>
      <w:r>
        <w:rPr>
          <w:rFonts w:hint="eastAsia" w:ascii="仿宋_GB2312" w:eastAsia="仿宋_GB2312"/>
          <w:szCs w:val="32"/>
        </w:rPr>
        <w:t>（类）支出</w:t>
      </w:r>
      <w:r>
        <w:rPr>
          <w:rFonts w:hint="eastAsia" w:ascii="仿宋_GB2312" w:eastAsia="仿宋_GB2312"/>
          <w:szCs w:val="32"/>
          <w:lang w:val="en-US" w:eastAsia="zh-CN"/>
        </w:rPr>
        <w:t>161.90</w:t>
      </w:r>
      <w:r>
        <w:rPr>
          <w:rFonts w:hint="eastAsia" w:ascii="仿宋_GB2312" w:eastAsia="仿宋_GB2312"/>
          <w:szCs w:val="32"/>
        </w:rPr>
        <w:t>万元，占</w:t>
      </w:r>
      <w:r>
        <w:rPr>
          <w:rFonts w:hint="eastAsia" w:ascii="仿宋_GB2312" w:eastAsia="仿宋_GB2312"/>
          <w:szCs w:val="32"/>
          <w:lang w:val="en-US" w:eastAsia="zh-CN"/>
        </w:rPr>
        <w:t>82.98</w:t>
      </w:r>
      <w:r>
        <w:rPr>
          <w:rFonts w:hint="eastAsia" w:ascii="仿宋_GB2312" w:eastAsia="仿宋_GB2312"/>
          <w:szCs w:val="32"/>
        </w:rPr>
        <w:t>%。</w:t>
      </w:r>
    </w:p>
    <w:p>
      <w:pPr>
        <w:rPr>
          <w:rFonts w:hint="eastAsia" w:ascii="仿宋_GB2312" w:eastAsia="仿宋_GB2312"/>
          <w:szCs w:val="32"/>
          <w:lang w:eastAsia="zh-CN"/>
        </w:rPr>
      </w:pPr>
      <w:r>
        <w:rPr>
          <w:rFonts w:hint="eastAsia" w:ascii="仿宋_GB2312" w:eastAsia="仿宋_GB2312"/>
          <w:szCs w:val="32"/>
          <w:lang w:eastAsia="zh-CN"/>
        </w:rPr>
        <w:object>
          <v:shape id="_x0000_i1029" o:spt="75" type="#_x0000_t75" style="height:282.55pt;width:387.4pt;" o:ole="t" filled="f" o:preferrelative="t" stroked="f" coordsize="21600,21600">
            <v:path/>
            <v:fill on="f" focussize="0,0"/>
            <v:stroke on="f"/>
            <v:imagedata r:id="rId15" o:title=""/>
            <o:lock v:ext="edit" aspectratio="t"/>
            <w10:wrap type="none"/>
            <w10:anchorlock/>
          </v:shape>
          <o:OLEObject Type="Embed" ProgID="Excel.Chart.8" ShapeID="_x0000_i1029" DrawAspect="Content" ObjectID="_1468075729" r:id="rId14">
            <o:LockedField>false</o:LockedField>
          </o:OLEObject>
        </w:object>
      </w:r>
    </w:p>
    <w:p>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仿宋_GB2312" w:eastAsia="仿宋_GB2312"/>
          <w:b/>
          <w:szCs w:val="32"/>
          <w:lang w:eastAsia="zh-CN"/>
        </w:rPr>
      </w:pPr>
    </w:p>
    <w:p>
      <w:pPr>
        <w:ind w:firstLine="632" w:firstLineChars="200"/>
        <w:rPr>
          <w:rFonts w:hint="eastAsia" w:ascii="楷体_GB2312" w:eastAsia="楷体_GB2312"/>
          <w:szCs w:val="32"/>
        </w:rPr>
      </w:pPr>
      <w:r>
        <w:rPr>
          <w:rFonts w:hint="eastAsia" w:ascii="楷体_GB2312" w:eastAsia="楷体_GB2312"/>
          <w:szCs w:val="32"/>
        </w:rPr>
        <w:t>（三）一般公共预算财政拨款支出决算具体情况</w:t>
      </w:r>
    </w:p>
    <w:p>
      <w:pPr>
        <w:ind w:firstLine="632" w:firstLineChars="200"/>
        <w:rPr>
          <w:rFonts w:hint="eastAsia" w:ascii="仿宋_GB2312" w:eastAsia="仿宋_GB2312"/>
          <w:szCs w:val="32"/>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年度一般公共预算财政拨款支出年初预算为</w:t>
      </w:r>
      <w:r>
        <w:rPr>
          <w:rFonts w:hint="eastAsia" w:ascii="仿宋_GB2312" w:eastAsia="仿宋_GB2312"/>
          <w:szCs w:val="32"/>
          <w:lang w:val="en-US" w:eastAsia="zh-CN"/>
        </w:rPr>
        <w:t>255.30</w:t>
      </w:r>
      <w:r>
        <w:rPr>
          <w:rFonts w:hint="eastAsia" w:ascii="仿宋_GB2312" w:eastAsia="仿宋_GB2312"/>
          <w:szCs w:val="32"/>
        </w:rPr>
        <w:t>万元，支出决算为</w:t>
      </w:r>
      <w:r>
        <w:rPr>
          <w:rFonts w:hint="eastAsia" w:ascii="仿宋_GB2312" w:eastAsia="仿宋_GB2312"/>
          <w:szCs w:val="32"/>
          <w:lang w:val="en-US" w:eastAsia="zh-CN"/>
        </w:rPr>
        <w:t>195.10</w:t>
      </w:r>
      <w:r>
        <w:rPr>
          <w:rFonts w:hint="eastAsia" w:ascii="仿宋_GB2312" w:eastAsia="仿宋_GB2312"/>
          <w:szCs w:val="32"/>
        </w:rPr>
        <w:t>万元，完成年初预算的</w:t>
      </w:r>
      <w:r>
        <w:rPr>
          <w:rFonts w:hint="eastAsia" w:ascii="仿宋_GB2312" w:eastAsia="仿宋_GB2312"/>
          <w:szCs w:val="32"/>
          <w:lang w:val="en-US" w:eastAsia="zh-CN"/>
        </w:rPr>
        <w:t>100</w:t>
      </w:r>
      <w:r>
        <w:rPr>
          <w:rFonts w:hint="eastAsia" w:ascii="仿宋_GB2312" w:eastAsia="仿宋_GB2312"/>
          <w:szCs w:val="32"/>
        </w:rPr>
        <w:t>%。决算数</w:t>
      </w:r>
      <w:r>
        <w:rPr>
          <w:rFonts w:hint="eastAsia" w:ascii="仿宋_GB2312" w:eastAsia="仿宋_GB2312"/>
          <w:szCs w:val="32"/>
          <w:lang w:eastAsia="zh-CN"/>
        </w:rPr>
        <w:t>小</w:t>
      </w:r>
      <w:r>
        <w:rPr>
          <w:rFonts w:hint="eastAsia" w:ascii="仿宋_GB2312" w:eastAsia="仿宋_GB2312"/>
          <w:szCs w:val="32"/>
        </w:rPr>
        <w:t>于年初预算数的主要原因</w:t>
      </w:r>
      <w:r>
        <w:rPr>
          <w:rFonts w:hint="eastAsia" w:ascii="仿宋_GB2312" w:eastAsia="仿宋_GB2312"/>
          <w:szCs w:val="32"/>
          <w:lang w:eastAsia="zh-CN"/>
        </w:rPr>
        <w:t>是因为机构改革人员调整决算数发生变动</w:t>
      </w:r>
      <w:r>
        <w:rPr>
          <w:rFonts w:hint="eastAsia" w:ascii="仿宋_GB2312" w:eastAsia="仿宋_GB2312"/>
          <w:szCs w:val="32"/>
        </w:rPr>
        <w:t>。其中：</w:t>
      </w:r>
    </w:p>
    <w:p>
      <w:pPr>
        <w:ind w:firstLine="632" w:firstLineChars="200"/>
        <w:rPr>
          <w:rFonts w:hint="eastAsia" w:ascii="仿宋_GB2312" w:eastAsia="仿宋_GB2312"/>
          <w:color w:val="FF0000"/>
          <w:szCs w:val="32"/>
        </w:rPr>
      </w:pPr>
      <w:r>
        <w:rPr>
          <w:rFonts w:hint="eastAsia" w:ascii="仿宋_GB2312" w:eastAsia="仿宋_GB2312"/>
          <w:szCs w:val="32"/>
        </w:rPr>
        <w:t>1、社会保障和就业支出（类）行政事业单位离退休（款）</w:t>
      </w:r>
      <w:r>
        <w:rPr>
          <w:rFonts w:hint="eastAsia" w:ascii="仿宋_GB2312" w:eastAsia="仿宋_GB2312"/>
          <w:szCs w:val="32"/>
          <w:lang w:eastAsia="zh-CN"/>
        </w:rPr>
        <w:t>机关事业单位基本养老保险缴费支出</w:t>
      </w:r>
      <w:r>
        <w:rPr>
          <w:rFonts w:hint="eastAsia" w:ascii="仿宋_GB2312" w:eastAsia="仿宋_GB2312"/>
          <w:szCs w:val="32"/>
        </w:rPr>
        <w:t>（项）</w:t>
      </w:r>
      <w:r>
        <w:rPr>
          <w:rFonts w:hint="eastAsia" w:ascii="仿宋_GB2312" w:eastAsia="仿宋_GB2312"/>
          <w:szCs w:val="32"/>
          <w:lang w:eastAsia="zh-CN"/>
        </w:rPr>
        <w:t>、其他社会保障和就业支出</w:t>
      </w:r>
      <w:r>
        <w:rPr>
          <w:rFonts w:hint="eastAsia" w:ascii="仿宋_GB2312" w:eastAsia="仿宋_GB2312"/>
          <w:szCs w:val="32"/>
        </w:rPr>
        <w:t>（款）</w:t>
      </w:r>
      <w:r>
        <w:rPr>
          <w:rFonts w:hint="eastAsia" w:ascii="仿宋_GB2312" w:eastAsia="仿宋_GB2312"/>
          <w:szCs w:val="32"/>
          <w:lang w:eastAsia="zh-CN"/>
        </w:rPr>
        <w:t>其他社会保障和就业支出</w:t>
      </w:r>
      <w:r>
        <w:rPr>
          <w:rFonts w:hint="eastAsia" w:ascii="仿宋_GB2312" w:eastAsia="仿宋_GB2312"/>
          <w:szCs w:val="32"/>
        </w:rPr>
        <w:t>（项）。主要反映用于</w:t>
      </w:r>
      <w:r>
        <w:rPr>
          <w:rFonts w:hint="eastAsia" w:ascii="仿宋_GB2312" w:eastAsia="仿宋_GB2312"/>
          <w:szCs w:val="32"/>
          <w:lang w:eastAsia="zh-CN"/>
        </w:rPr>
        <w:t>本单位工作</w:t>
      </w:r>
      <w:r>
        <w:rPr>
          <w:rFonts w:hint="eastAsia" w:ascii="仿宋_GB2312" w:eastAsia="仿宋_GB2312"/>
          <w:sz w:val="32"/>
          <w:szCs w:val="32"/>
        </w:rPr>
        <w:t>人员养老保险支出、人员工伤、失业和生育保险的支出</w:t>
      </w:r>
      <w:r>
        <w:rPr>
          <w:rFonts w:hint="eastAsia" w:ascii="仿宋_GB2312" w:eastAsia="仿宋_GB2312"/>
          <w:szCs w:val="32"/>
        </w:rPr>
        <w:t>。年初预算为</w:t>
      </w:r>
      <w:r>
        <w:rPr>
          <w:rFonts w:hint="eastAsia" w:ascii="仿宋_GB2312" w:eastAsia="仿宋_GB2312"/>
          <w:szCs w:val="32"/>
          <w:lang w:val="en-US" w:eastAsia="zh-CN"/>
        </w:rPr>
        <w:t>35.17</w:t>
      </w:r>
      <w:r>
        <w:rPr>
          <w:rFonts w:hint="eastAsia" w:ascii="仿宋_GB2312" w:eastAsia="仿宋_GB2312"/>
          <w:szCs w:val="32"/>
        </w:rPr>
        <w:t>万元，支出决算为</w:t>
      </w:r>
      <w:r>
        <w:rPr>
          <w:rFonts w:hint="eastAsia" w:ascii="仿宋_GB2312" w:eastAsia="仿宋_GB2312"/>
          <w:szCs w:val="32"/>
          <w:lang w:val="en-US" w:eastAsia="zh-CN"/>
        </w:rPr>
        <w:t>12.11</w:t>
      </w:r>
      <w:r>
        <w:rPr>
          <w:rFonts w:hint="eastAsia" w:ascii="仿宋_GB2312" w:eastAsia="仿宋_GB2312"/>
          <w:szCs w:val="32"/>
        </w:rPr>
        <w:t>万元，完成年初预算的</w:t>
      </w:r>
      <w:r>
        <w:rPr>
          <w:rFonts w:hint="eastAsia" w:ascii="仿宋_GB2312" w:eastAsia="仿宋_GB2312"/>
          <w:szCs w:val="32"/>
          <w:lang w:val="en-US" w:eastAsia="zh-CN"/>
        </w:rPr>
        <w:t>34.43</w:t>
      </w:r>
      <w:r>
        <w:rPr>
          <w:rFonts w:hint="eastAsia" w:ascii="仿宋_GB2312" w:eastAsia="仿宋_GB2312"/>
          <w:szCs w:val="32"/>
        </w:rPr>
        <w:t>%。</w:t>
      </w:r>
      <w:r>
        <w:rPr>
          <w:rFonts w:hint="eastAsia" w:ascii="仿宋_GB2312" w:eastAsia="仿宋_GB2312"/>
          <w:sz w:val="32"/>
          <w:szCs w:val="32"/>
        </w:rPr>
        <w:t>决算数小于预算数主要原因是</w:t>
      </w:r>
      <w:r>
        <w:rPr>
          <w:rFonts w:hint="eastAsia" w:ascii="仿宋_GB2312" w:eastAsia="仿宋_GB2312"/>
          <w:sz w:val="32"/>
          <w:szCs w:val="32"/>
          <w:lang w:eastAsia="zh-CN"/>
        </w:rPr>
        <w:t>一是预算时将职业年金、失业、工伤、生育等保险金列入养老保险项致使预算数高于决算数，二是机构改革人员进行相关调整</w:t>
      </w:r>
      <w:r>
        <w:rPr>
          <w:rFonts w:hint="eastAsia" w:ascii="仿宋_GB2312" w:eastAsia="仿宋_GB2312"/>
          <w:sz w:val="32"/>
          <w:szCs w:val="32"/>
        </w:rPr>
        <w:t>。</w:t>
      </w:r>
    </w:p>
    <w:p>
      <w:pPr>
        <w:ind w:firstLine="632" w:firstLineChars="200"/>
        <w:rPr>
          <w:rFonts w:hint="eastAsia" w:ascii="仿宋_GB2312" w:eastAsia="仿宋_GB2312"/>
          <w:sz w:val="32"/>
          <w:szCs w:val="32"/>
          <w:lang w:eastAsia="zh-CN"/>
        </w:rPr>
      </w:pPr>
      <w:r>
        <w:rPr>
          <w:rFonts w:hint="eastAsia" w:ascii="仿宋_GB2312" w:eastAsia="仿宋_GB2312"/>
          <w:szCs w:val="32"/>
        </w:rPr>
        <w:t>2、</w:t>
      </w:r>
      <w:r>
        <w:rPr>
          <w:rFonts w:hint="eastAsia" w:ascii="仿宋_GB2312" w:eastAsia="仿宋_GB2312"/>
          <w:szCs w:val="32"/>
          <w:lang w:eastAsia="zh-CN"/>
        </w:rPr>
        <w:t>卫生健康支出</w:t>
      </w:r>
      <w:r>
        <w:rPr>
          <w:rFonts w:hint="eastAsia" w:ascii="仿宋_GB2312" w:eastAsia="仿宋_GB2312"/>
          <w:szCs w:val="32"/>
        </w:rPr>
        <w:t>（类）</w:t>
      </w:r>
      <w:r>
        <w:rPr>
          <w:rFonts w:hint="eastAsia" w:ascii="仿宋_GB2312" w:eastAsia="仿宋_GB2312"/>
          <w:szCs w:val="32"/>
          <w:lang w:eastAsia="zh-CN"/>
        </w:rPr>
        <w:t>行政事业单位医疗</w:t>
      </w:r>
      <w:r>
        <w:rPr>
          <w:rFonts w:hint="eastAsia" w:ascii="仿宋_GB2312" w:eastAsia="仿宋_GB2312"/>
          <w:szCs w:val="32"/>
        </w:rPr>
        <w:t>（款）</w:t>
      </w:r>
      <w:r>
        <w:rPr>
          <w:rFonts w:hint="eastAsia" w:ascii="仿宋_GB2312" w:eastAsia="仿宋_GB2312"/>
          <w:szCs w:val="32"/>
          <w:lang w:eastAsia="zh-CN"/>
        </w:rPr>
        <w:t>行政单位医疗</w:t>
      </w:r>
      <w:r>
        <w:rPr>
          <w:rFonts w:hint="eastAsia" w:ascii="仿宋_GB2312" w:eastAsia="仿宋_GB2312"/>
          <w:szCs w:val="32"/>
        </w:rPr>
        <w:t>（项）</w:t>
      </w:r>
      <w:r>
        <w:rPr>
          <w:rFonts w:hint="eastAsia" w:ascii="仿宋_GB2312" w:eastAsia="仿宋_GB2312"/>
          <w:szCs w:val="32"/>
          <w:lang w:eastAsia="zh-CN"/>
        </w:rPr>
        <w:t>、公务员医疗补助</w:t>
      </w:r>
      <w:r>
        <w:rPr>
          <w:rFonts w:hint="eastAsia" w:ascii="仿宋_GB2312" w:eastAsia="仿宋_GB2312"/>
          <w:szCs w:val="32"/>
        </w:rPr>
        <w:t>（项）。主要反映用于</w:t>
      </w:r>
      <w:r>
        <w:rPr>
          <w:rFonts w:hint="eastAsia" w:ascii="仿宋_GB2312" w:eastAsia="仿宋_GB2312"/>
          <w:szCs w:val="32"/>
          <w:lang w:eastAsia="zh-CN"/>
        </w:rPr>
        <w:t>单位工作</w:t>
      </w:r>
      <w:r>
        <w:rPr>
          <w:rFonts w:hint="eastAsia" w:ascii="仿宋_GB2312" w:eastAsia="仿宋_GB2312"/>
          <w:sz w:val="32"/>
          <w:szCs w:val="32"/>
        </w:rPr>
        <w:t>人员医疗保险支出</w:t>
      </w:r>
      <w:r>
        <w:rPr>
          <w:rFonts w:hint="eastAsia" w:ascii="仿宋_GB2312" w:eastAsia="仿宋_GB2312"/>
          <w:szCs w:val="32"/>
        </w:rPr>
        <w:t>支出。年初预算为</w:t>
      </w:r>
      <w:r>
        <w:rPr>
          <w:rFonts w:hint="eastAsia" w:ascii="仿宋_GB2312" w:eastAsia="仿宋_GB2312"/>
          <w:sz w:val="32"/>
          <w:szCs w:val="32"/>
          <w:lang w:val="en-US" w:eastAsia="zh-CN"/>
        </w:rPr>
        <w:t>12.36</w:t>
      </w:r>
      <w:r>
        <w:rPr>
          <w:rFonts w:hint="eastAsia" w:ascii="仿宋_GB2312" w:eastAsia="仿宋_GB2312"/>
          <w:szCs w:val="32"/>
        </w:rPr>
        <w:t>万元，支出决算为</w:t>
      </w:r>
      <w:r>
        <w:rPr>
          <w:rFonts w:hint="eastAsia" w:ascii="仿宋_GB2312" w:eastAsia="仿宋_GB2312"/>
          <w:szCs w:val="32"/>
          <w:lang w:val="en-US" w:eastAsia="zh-CN"/>
        </w:rPr>
        <w:t>6.57</w:t>
      </w:r>
      <w:r>
        <w:rPr>
          <w:rFonts w:hint="eastAsia" w:ascii="仿宋_GB2312" w:eastAsia="仿宋_GB2312"/>
          <w:szCs w:val="32"/>
        </w:rPr>
        <w:t>万元，完成年初预算的</w:t>
      </w:r>
      <w:r>
        <w:rPr>
          <w:rFonts w:hint="eastAsia" w:ascii="仿宋_GB2312" w:eastAsia="仿宋_GB2312"/>
          <w:szCs w:val="32"/>
          <w:lang w:val="en-US" w:eastAsia="zh-CN"/>
        </w:rPr>
        <w:t>53.16</w:t>
      </w:r>
      <w:r>
        <w:rPr>
          <w:rFonts w:hint="eastAsia" w:ascii="仿宋_GB2312" w:eastAsia="仿宋_GB2312"/>
          <w:szCs w:val="32"/>
        </w:rPr>
        <w:t>%。</w:t>
      </w:r>
      <w:r>
        <w:rPr>
          <w:rFonts w:hint="eastAsia" w:ascii="仿宋_GB2312" w:eastAsia="仿宋_GB2312"/>
          <w:sz w:val="32"/>
          <w:szCs w:val="32"/>
        </w:rPr>
        <w:t>决算数小于预算数主要原因是</w:t>
      </w:r>
      <w:r>
        <w:rPr>
          <w:rFonts w:hint="eastAsia" w:ascii="仿宋_GB2312" w:eastAsia="仿宋_GB2312"/>
          <w:sz w:val="32"/>
          <w:szCs w:val="32"/>
          <w:lang w:eastAsia="zh-CN"/>
        </w:rPr>
        <w:t>机构改革人员进行相关调整。</w:t>
      </w:r>
    </w:p>
    <w:p>
      <w:pPr>
        <w:ind w:firstLine="632" w:firstLineChars="200"/>
        <w:rPr>
          <w:rFonts w:hint="eastAsia" w:ascii="仿宋_GB2312" w:eastAsia="仿宋_GB2312"/>
          <w:sz w:val="32"/>
          <w:szCs w:val="32"/>
          <w:lang w:eastAsia="zh-CN"/>
        </w:rPr>
      </w:pPr>
      <w:r>
        <w:rPr>
          <w:rFonts w:hint="eastAsia" w:ascii="仿宋_GB2312" w:eastAsia="仿宋_GB2312"/>
          <w:szCs w:val="32"/>
          <w:lang w:val="en-US" w:eastAsia="zh-CN"/>
        </w:rPr>
        <w:t>3、住房保障支出</w:t>
      </w:r>
      <w:r>
        <w:rPr>
          <w:rFonts w:hint="eastAsia" w:ascii="仿宋_GB2312" w:eastAsia="仿宋_GB2312"/>
          <w:szCs w:val="32"/>
        </w:rPr>
        <w:t>（类）</w:t>
      </w:r>
      <w:r>
        <w:rPr>
          <w:rFonts w:hint="eastAsia" w:ascii="仿宋_GB2312" w:eastAsia="仿宋_GB2312"/>
          <w:szCs w:val="32"/>
          <w:lang w:eastAsia="zh-CN"/>
        </w:rPr>
        <w:t>住房改革支出</w:t>
      </w:r>
      <w:r>
        <w:rPr>
          <w:rFonts w:hint="eastAsia" w:ascii="仿宋_GB2312" w:eastAsia="仿宋_GB2312"/>
          <w:szCs w:val="32"/>
        </w:rPr>
        <w:t>（款）</w:t>
      </w:r>
      <w:r>
        <w:rPr>
          <w:rFonts w:hint="eastAsia" w:ascii="仿宋_GB2312" w:eastAsia="仿宋_GB2312"/>
          <w:szCs w:val="32"/>
          <w:lang w:eastAsia="zh-CN"/>
        </w:rPr>
        <w:t>住房公积金支出</w:t>
      </w:r>
      <w:r>
        <w:rPr>
          <w:rFonts w:hint="eastAsia" w:ascii="仿宋_GB2312" w:eastAsia="仿宋_GB2312"/>
          <w:szCs w:val="32"/>
        </w:rPr>
        <w:t>（项）</w:t>
      </w:r>
      <w:r>
        <w:rPr>
          <w:rFonts w:hint="eastAsia" w:ascii="仿宋_GB2312" w:eastAsia="仿宋_GB2312"/>
          <w:szCs w:val="32"/>
          <w:lang w:eastAsia="zh-CN"/>
        </w:rPr>
        <w:t>。</w:t>
      </w:r>
      <w:r>
        <w:rPr>
          <w:rFonts w:hint="eastAsia" w:ascii="仿宋_GB2312" w:eastAsia="仿宋_GB2312"/>
          <w:sz w:val="32"/>
          <w:szCs w:val="32"/>
        </w:rPr>
        <w:t>主要反映用于人员住房公积金和购房补贴支出。</w:t>
      </w:r>
      <w:r>
        <w:rPr>
          <w:rFonts w:hint="eastAsia" w:ascii="仿宋_GB2312" w:eastAsia="仿宋_GB2312"/>
          <w:szCs w:val="32"/>
        </w:rPr>
        <w:t>年初预算为</w:t>
      </w:r>
      <w:r>
        <w:rPr>
          <w:rFonts w:hint="eastAsia" w:ascii="仿宋_GB2312" w:eastAsia="仿宋_GB2312"/>
          <w:sz w:val="32"/>
          <w:szCs w:val="32"/>
          <w:lang w:val="en-US" w:eastAsia="zh-CN"/>
        </w:rPr>
        <w:t>39.22</w:t>
      </w:r>
      <w:r>
        <w:rPr>
          <w:rFonts w:hint="eastAsia" w:ascii="仿宋_GB2312" w:eastAsia="仿宋_GB2312"/>
          <w:szCs w:val="32"/>
        </w:rPr>
        <w:t>万元，支出决算为</w:t>
      </w:r>
      <w:r>
        <w:rPr>
          <w:rFonts w:hint="eastAsia" w:ascii="仿宋_GB2312" w:eastAsia="仿宋_GB2312"/>
          <w:szCs w:val="32"/>
          <w:lang w:val="en-US" w:eastAsia="zh-CN"/>
        </w:rPr>
        <w:t>14.52</w:t>
      </w:r>
      <w:r>
        <w:rPr>
          <w:rFonts w:hint="eastAsia" w:ascii="仿宋_GB2312" w:eastAsia="仿宋_GB2312"/>
          <w:szCs w:val="32"/>
        </w:rPr>
        <w:t>万元，完成年初预算的</w:t>
      </w:r>
      <w:r>
        <w:rPr>
          <w:rFonts w:hint="eastAsia" w:ascii="仿宋_GB2312" w:eastAsia="仿宋_GB2312"/>
          <w:color w:val="auto"/>
          <w:szCs w:val="32"/>
          <w:lang w:val="en-US" w:eastAsia="zh-CN"/>
        </w:rPr>
        <w:t>37.02</w:t>
      </w:r>
      <w:r>
        <w:rPr>
          <w:rFonts w:hint="eastAsia" w:ascii="仿宋_GB2312" w:eastAsia="仿宋_GB2312"/>
          <w:color w:val="auto"/>
          <w:szCs w:val="32"/>
        </w:rPr>
        <w:t>%</w:t>
      </w:r>
      <w:r>
        <w:rPr>
          <w:rFonts w:hint="eastAsia" w:ascii="仿宋_GB2312" w:eastAsia="仿宋_GB2312"/>
          <w:szCs w:val="32"/>
        </w:rPr>
        <w:t>。</w:t>
      </w:r>
      <w:r>
        <w:rPr>
          <w:rFonts w:hint="eastAsia" w:ascii="仿宋_GB2312" w:eastAsia="仿宋_GB2312"/>
          <w:sz w:val="32"/>
          <w:szCs w:val="32"/>
        </w:rPr>
        <w:t>决算数小于预算数主要原因是</w:t>
      </w:r>
      <w:r>
        <w:rPr>
          <w:rFonts w:hint="eastAsia" w:ascii="仿宋_GB2312" w:eastAsia="仿宋_GB2312"/>
          <w:sz w:val="32"/>
          <w:szCs w:val="32"/>
          <w:lang w:eastAsia="zh-CN"/>
        </w:rPr>
        <w:t>机构改革人员进行相关调整。</w:t>
      </w:r>
    </w:p>
    <w:p>
      <w:pPr>
        <w:ind w:firstLine="632" w:firstLineChars="200"/>
        <w:rPr>
          <w:rFonts w:hint="eastAsia" w:ascii="仿宋_GB2312" w:eastAsia="仿宋_GB2312"/>
          <w:szCs w:val="32"/>
          <w:lang w:val="en-US" w:eastAsia="zh-CN"/>
        </w:rPr>
      </w:pPr>
      <w:r>
        <w:rPr>
          <w:rFonts w:hint="eastAsia" w:ascii="仿宋_GB2312" w:eastAsia="仿宋_GB2312"/>
          <w:szCs w:val="32"/>
          <w:lang w:val="en-US" w:eastAsia="zh-CN"/>
        </w:rPr>
        <w:t>4、粮油物资储备支出</w:t>
      </w:r>
      <w:r>
        <w:rPr>
          <w:rFonts w:hint="eastAsia" w:ascii="仿宋_GB2312" w:eastAsia="仿宋_GB2312"/>
          <w:szCs w:val="32"/>
        </w:rPr>
        <w:t>（类）</w:t>
      </w:r>
      <w:r>
        <w:rPr>
          <w:rFonts w:hint="eastAsia" w:ascii="仿宋_GB2312" w:eastAsia="仿宋_GB2312"/>
          <w:szCs w:val="32"/>
          <w:lang w:eastAsia="zh-CN"/>
        </w:rPr>
        <w:t>粮油事务（款）行政运行</w:t>
      </w:r>
      <w:r>
        <w:rPr>
          <w:rFonts w:hint="eastAsia" w:ascii="仿宋_GB2312" w:eastAsia="仿宋_GB2312"/>
          <w:szCs w:val="32"/>
        </w:rPr>
        <w:t>（项）</w:t>
      </w:r>
      <w:r>
        <w:rPr>
          <w:rFonts w:hint="eastAsia" w:ascii="仿宋_GB2312" w:eastAsia="仿宋_GB2312"/>
          <w:szCs w:val="32"/>
          <w:lang w:eastAsia="zh-CN"/>
        </w:rPr>
        <w:t>、其他粮油事务支出</w:t>
      </w:r>
      <w:r>
        <w:rPr>
          <w:rFonts w:hint="eastAsia" w:ascii="仿宋_GB2312" w:eastAsia="仿宋_GB2312"/>
          <w:szCs w:val="32"/>
        </w:rPr>
        <w:t>（项）</w:t>
      </w:r>
      <w:r>
        <w:rPr>
          <w:rFonts w:hint="eastAsia" w:ascii="仿宋_GB2312" w:eastAsia="仿宋_GB2312"/>
          <w:szCs w:val="32"/>
          <w:lang w:eastAsia="zh-CN"/>
        </w:rPr>
        <w:t>。</w:t>
      </w:r>
      <w:r>
        <w:rPr>
          <w:rFonts w:hint="eastAsia" w:ascii="仿宋_GB2312" w:hAnsi="仿宋_GB2312" w:eastAsia="仿宋_GB2312" w:cs="仿宋_GB2312"/>
          <w:sz w:val="32"/>
          <w:szCs w:val="32"/>
          <w:lang w:val="en-US" w:eastAsia="zh-CN"/>
        </w:rPr>
        <w:t>要用于工资福利支出、商品和服务支出、对个人和家庭补助支出。</w:t>
      </w:r>
      <w:r>
        <w:rPr>
          <w:rFonts w:hint="eastAsia" w:ascii="仿宋_GB2312" w:eastAsia="仿宋_GB2312"/>
          <w:szCs w:val="32"/>
        </w:rPr>
        <w:t>年初预算为</w:t>
      </w:r>
      <w:r>
        <w:rPr>
          <w:rFonts w:hint="eastAsia" w:ascii="仿宋_GB2312" w:eastAsia="仿宋_GB2312"/>
          <w:sz w:val="32"/>
          <w:szCs w:val="32"/>
          <w:lang w:val="en-US" w:eastAsia="zh-CN"/>
        </w:rPr>
        <w:t>168.55</w:t>
      </w:r>
      <w:r>
        <w:rPr>
          <w:rFonts w:hint="eastAsia" w:ascii="仿宋_GB2312" w:eastAsia="仿宋_GB2312"/>
          <w:szCs w:val="32"/>
        </w:rPr>
        <w:t>万元，支出决算为</w:t>
      </w:r>
      <w:r>
        <w:rPr>
          <w:rFonts w:hint="eastAsia" w:ascii="仿宋_GB2312" w:eastAsia="仿宋_GB2312"/>
          <w:szCs w:val="32"/>
          <w:lang w:val="en-US" w:eastAsia="zh-CN"/>
        </w:rPr>
        <w:t>161.90</w:t>
      </w:r>
      <w:r>
        <w:rPr>
          <w:rFonts w:hint="eastAsia" w:ascii="仿宋_GB2312" w:eastAsia="仿宋_GB2312"/>
          <w:szCs w:val="32"/>
        </w:rPr>
        <w:t>万元，完成年初预算的</w:t>
      </w:r>
      <w:r>
        <w:rPr>
          <w:rFonts w:hint="eastAsia" w:ascii="仿宋_GB2312" w:eastAsia="仿宋_GB2312"/>
          <w:color w:val="auto"/>
          <w:szCs w:val="32"/>
          <w:lang w:val="en-US" w:eastAsia="zh-CN"/>
        </w:rPr>
        <w:t>96.05</w:t>
      </w:r>
      <w:r>
        <w:rPr>
          <w:rFonts w:hint="eastAsia" w:ascii="仿宋_GB2312" w:eastAsia="仿宋_GB2312"/>
          <w:szCs w:val="32"/>
        </w:rPr>
        <w:t>%。决算数</w:t>
      </w:r>
      <w:r>
        <w:rPr>
          <w:rFonts w:hint="eastAsia" w:ascii="仿宋_GB2312" w:eastAsia="仿宋_GB2312"/>
          <w:szCs w:val="32"/>
          <w:lang w:eastAsia="zh-CN"/>
        </w:rPr>
        <w:t>小</w:t>
      </w:r>
      <w:r>
        <w:rPr>
          <w:rFonts w:hint="eastAsia" w:ascii="仿宋_GB2312" w:eastAsia="仿宋_GB2312"/>
          <w:szCs w:val="32"/>
        </w:rPr>
        <w:t>于年初预算数主要原因是</w:t>
      </w:r>
      <w:r>
        <w:rPr>
          <w:rFonts w:hint="eastAsia" w:ascii="仿宋_GB2312" w:eastAsia="仿宋_GB2312"/>
          <w:sz w:val="32"/>
          <w:szCs w:val="32"/>
          <w:lang w:eastAsia="zh-CN"/>
        </w:rPr>
        <w:t>机构改革人员进行相关调整出现一些变动</w:t>
      </w:r>
      <w:r>
        <w:rPr>
          <w:rFonts w:hint="eastAsia" w:ascii="仿宋_GB2312" w:eastAsia="仿宋_GB2312"/>
          <w:szCs w:val="32"/>
          <w:lang w:eastAsia="zh-CN"/>
        </w:rPr>
        <w:t>。</w:t>
      </w:r>
    </w:p>
    <w:p>
      <w:pPr>
        <w:ind w:firstLine="632" w:firstLineChars="200"/>
        <w:rPr>
          <w:rFonts w:hint="eastAsia" w:ascii="黑体" w:hAnsi="黑体" w:eastAsia="黑体"/>
          <w:szCs w:val="32"/>
        </w:rPr>
      </w:pPr>
      <w:r>
        <w:rPr>
          <w:rFonts w:hint="eastAsia" w:ascii="黑体" w:hAnsi="黑体" w:eastAsia="黑体"/>
          <w:szCs w:val="32"/>
        </w:rPr>
        <w:t>六、一般公共预算财政拨款基本支出决算情况说明</w:t>
      </w:r>
    </w:p>
    <w:p>
      <w:pPr>
        <w:ind w:firstLine="632" w:firstLineChars="200"/>
        <w:rPr>
          <w:rFonts w:hint="eastAsia" w:ascii="仿宋_GB2312" w:eastAsia="仿宋_GB2312"/>
          <w:szCs w:val="32"/>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年度一般公共预算财政拨款基本支出决算</w:t>
      </w:r>
      <w:r>
        <w:rPr>
          <w:rFonts w:hint="eastAsia" w:ascii="仿宋_GB2312" w:eastAsia="仿宋_GB2312"/>
          <w:szCs w:val="32"/>
          <w:lang w:val="en-US" w:eastAsia="zh-CN"/>
        </w:rPr>
        <w:t>195.10</w:t>
      </w:r>
      <w:r>
        <w:rPr>
          <w:rFonts w:hint="eastAsia" w:ascii="仿宋_GB2312" w:eastAsia="仿宋_GB2312"/>
          <w:szCs w:val="32"/>
        </w:rPr>
        <w:t>万元，包括人员经费和公用经费，支出具体情况如下：</w:t>
      </w:r>
    </w:p>
    <w:p>
      <w:pPr>
        <w:ind w:firstLine="632" w:firstLineChars="200"/>
        <w:rPr>
          <w:rFonts w:hint="eastAsia" w:ascii="仿宋_GB2312" w:eastAsia="仿宋_GB2312"/>
          <w:szCs w:val="32"/>
        </w:rPr>
      </w:pPr>
      <w:r>
        <w:rPr>
          <w:rFonts w:hint="eastAsia" w:ascii="仿宋_GB2312" w:eastAsia="仿宋_GB2312"/>
          <w:szCs w:val="32"/>
        </w:rPr>
        <w:t>人员经费</w:t>
      </w:r>
      <w:r>
        <w:rPr>
          <w:rFonts w:hint="eastAsia" w:ascii="仿宋_GB2312" w:eastAsia="仿宋_GB2312"/>
          <w:szCs w:val="32"/>
          <w:lang w:val="en-US" w:eastAsia="zh-CN"/>
        </w:rPr>
        <w:t>164.86</w:t>
      </w:r>
      <w:r>
        <w:rPr>
          <w:rFonts w:hint="eastAsia" w:ascii="仿宋_GB2312" w:eastAsia="仿宋_GB2312"/>
          <w:szCs w:val="32"/>
        </w:rPr>
        <w:t>万元，主要包括：基本工资、津贴补贴、奖金</w:t>
      </w:r>
      <w:r>
        <w:rPr>
          <w:rFonts w:hint="eastAsia" w:ascii="仿宋_GB2312" w:eastAsia="仿宋_GB2312"/>
          <w:szCs w:val="32"/>
          <w:lang w:eastAsia="zh-CN"/>
        </w:rPr>
        <w:t>、机关事业单位基本养老保险费、职工基本医疗保险缴费、公务员医疗补助缴费、其他社会保障缴费、住房公积金、其他工资福利支出、退职费、生活补助</w:t>
      </w:r>
      <w:r>
        <w:rPr>
          <w:rFonts w:hint="eastAsia" w:ascii="仿宋_GB2312" w:eastAsia="仿宋_GB2312"/>
          <w:szCs w:val="32"/>
        </w:rPr>
        <w:t>等。</w:t>
      </w:r>
    </w:p>
    <w:p>
      <w:pPr>
        <w:ind w:firstLine="632" w:firstLineChars="200"/>
        <w:rPr>
          <w:rFonts w:hint="eastAsia" w:ascii="仿宋_GB2312" w:eastAsia="仿宋_GB2312"/>
          <w:szCs w:val="32"/>
        </w:rPr>
      </w:pPr>
      <w:r>
        <w:rPr>
          <w:rFonts w:hint="eastAsia" w:ascii="仿宋_GB2312" w:eastAsia="仿宋_GB2312"/>
          <w:szCs w:val="32"/>
        </w:rPr>
        <w:t>公用经费</w:t>
      </w:r>
      <w:r>
        <w:rPr>
          <w:rFonts w:hint="eastAsia" w:ascii="仿宋_GB2312" w:eastAsia="仿宋_GB2312"/>
          <w:szCs w:val="32"/>
          <w:lang w:val="en-US" w:eastAsia="zh-CN"/>
        </w:rPr>
        <w:t>30.24</w:t>
      </w:r>
      <w:r>
        <w:rPr>
          <w:rFonts w:hint="eastAsia" w:ascii="仿宋_GB2312" w:eastAsia="仿宋_GB2312"/>
          <w:szCs w:val="32"/>
        </w:rPr>
        <w:t>万元，主要包括：办公费、</w:t>
      </w:r>
      <w:r>
        <w:rPr>
          <w:rFonts w:hint="eastAsia" w:ascii="仿宋_GB2312" w:eastAsia="仿宋_GB2312"/>
          <w:szCs w:val="32"/>
          <w:lang w:eastAsia="zh-CN"/>
        </w:rPr>
        <w:t>印刷费、手续费、水费、电费、邮电费、取暖费、物业管理费、差旅费、工会经费、其他交通费用</w:t>
      </w:r>
      <w:r>
        <w:rPr>
          <w:rFonts w:hint="eastAsia" w:ascii="仿宋_GB2312" w:eastAsia="仿宋_GB2312"/>
          <w:szCs w:val="32"/>
        </w:rPr>
        <w:t>等。</w:t>
      </w:r>
    </w:p>
    <w:p>
      <w:pPr>
        <w:numPr>
          <w:ilvl w:val="0"/>
          <w:numId w:val="1"/>
        </w:numPr>
        <w:ind w:firstLine="632" w:firstLineChars="200"/>
        <w:rPr>
          <w:rFonts w:hint="eastAsia" w:ascii="黑体" w:hAnsi="黑体" w:eastAsia="黑体"/>
          <w:szCs w:val="32"/>
        </w:rPr>
      </w:pPr>
      <w:r>
        <w:rPr>
          <w:rFonts w:hint="eastAsia" w:ascii="黑体" w:hAnsi="黑体" w:eastAsia="黑体"/>
          <w:szCs w:val="32"/>
        </w:rPr>
        <w:t>政府性基金预算财政拨款收入支出决算情况说明</w:t>
      </w:r>
    </w:p>
    <w:p>
      <w:pPr>
        <w:numPr>
          <w:ilvl w:val="0"/>
          <w:numId w:val="0"/>
        </w:numPr>
        <w:ind w:firstLine="632" w:firstLineChars="200"/>
        <w:rPr>
          <w:rFonts w:hint="eastAsia" w:ascii="黑体" w:hAnsi="黑体" w:eastAsia="黑体"/>
          <w:b w:val="0"/>
          <w:bCs/>
          <w:szCs w:val="32"/>
        </w:rPr>
      </w:pPr>
      <w:r>
        <w:rPr>
          <w:rFonts w:hint="eastAsia" w:ascii="仿宋_GB2312" w:eastAsia="仿宋_GB2312"/>
          <w:b w:val="0"/>
          <w:bCs/>
          <w:szCs w:val="32"/>
        </w:rPr>
        <w:t>本部门没有政府性基金财政拨款收支。</w:t>
      </w:r>
    </w:p>
    <w:p>
      <w:pPr>
        <w:ind w:firstLine="632" w:firstLineChars="200"/>
        <w:rPr>
          <w:rFonts w:hint="eastAsia" w:ascii="黑体" w:hAnsi="黑体" w:eastAsia="黑体"/>
          <w:szCs w:val="32"/>
        </w:rPr>
      </w:pPr>
      <w:r>
        <w:rPr>
          <w:rFonts w:hint="eastAsia" w:ascii="黑体" w:hAnsi="黑体" w:eastAsia="黑体"/>
          <w:szCs w:val="32"/>
        </w:rPr>
        <w:t>八、一般公共预算财政拨款“三公”经费支出决算情况说明</w:t>
      </w:r>
    </w:p>
    <w:p>
      <w:pPr>
        <w:ind w:firstLine="632" w:firstLineChars="200"/>
        <w:rPr>
          <w:rFonts w:hint="eastAsia" w:ascii="楷体_GB2312" w:eastAsia="楷体_GB2312"/>
          <w:szCs w:val="32"/>
        </w:rPr>
      </w:pPr>
      <w:r>
        <w:rPr>
          <w:rFonts w:hint="eastAsia" w:ascii="楷体_GB2312" w:eastAsia="楷体_GB2312"/>
          <w:szCs w:val="32"/>
        </w:rPr>
        <w:t>（一）“三公”经费支出决算总体情况及增减变动原因</w:t>
      </w:r>
    </w:p>
    <w:p>
      <w:pPr>
        <w:ind w:firstLine="632" w:firstLineChars="200"/>
        <w:rPr>
          <w:rFonts w:hint="eastAsia" w:ascii="仿宋_GB2312" w:eastAsia="仿宋_GB2312"/>
          <w:szCs w:val="32"/>
        </w:rPr>
      </w:pPr>
      <w:r>
        <w:rPr>
          <w:rFonts w:hint="eastAsia" w:ascii="仿宋_GB2312" w:hAnsi="宋体" w:eastAsia="仿宋_GB2312" w:cs="Courier New"/>
          <w:szCs w:val="32"/>
        </w:rPr>
        <w:t>一般公共预算财政拨款“三公”经费支出范围</w:t>
      </w:r>
      <w:r>
        <w:rPr>
          <w:rFonts w:hint="eastAsia" w:ascii="仿宋_GB2312" w:hAnsi="宋体" w:eastAsia="仿宋_GB2312" w:cs="Courier New"/>
          <w:szCs w:val="32"/>
          <w:lang w:eastAsia="zh-CN"/>
        </w:rPr>
        <w:t>为威海市文登区粮食局</w:t>
      </w:r>
      <w:r>
        <w:rPr>
          <w:rFonts w:hint="eastAsia" w:ascii="仿宋_GB2312" w:hAnsi="宋体" w:eastAsia="仿宋_GB2312" w:cs="Courier New"/>
          <w:szCs w:val="32"/>
        </w:rPr>
        <w:t>，共</w:t>
      </w:r>
      <w:r>
        <w:rPr>
          <w:rFonts w:hint="eastAsia" w:ascii="仿宋_GB2312" w:hAnsi="宋体" w:eastAsia="仿宋_GB2312" w:cs="Courier New"/>
          <w:szCs w:val="32"/>
          <w:lang w:val="en-US" w:eastAsia="zh-CN"/>
        </w:rPr>
        <w:t>1</w:t>
      </w:r>
      <w:r>
        <w:rPr>
          <w:rFonts w:hint="eastAsia" w:ascii="仿宋_GB2312" w:hAnsi="宋体" w:eastAsia="仿宋_GB2312" w:cs="Courier New"/>
          <w:szCs w:val="32"/>
        </w:rPr>
        <w:t>个预算单位。</w:t>
      </w: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年度一般公共预算财政拨款“三公”经费决算数为</w:t>
      </w:r>
      <w:r>
        <w:rPr>
          <w:rFonts w:hint="eastAsia" w:ascii="仿宋_GB2312" w:eastAsia="仿宋_GB2312"/>
          <w:szCs w:val="32"/>
          <w:lang w:val="en-US" w:eastAsia="zh-CN"/>
        </w:rPr>
        <w:t>0</w:t>
      </w:r>
      <w:r>
        <w:rPr>
          <w:rFonts w:hint="eastAsia" w:ascii="仿宋_GB2312" w:eastAsia="仿宋_GB2312"/>
          <w:szCs w:val="32"/>
        </w:rPr>
        <w:t>万元，其中：因公出国（境）费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%；公务用车购置及运行维护费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%；公务接待费</w:t>
      </w:r>
      <w:r>
        <w:rPr>
          <w:rFonts w:hint="eastAsia" w:ascii="仿宋_GB2312" w:eastAsia="仿宋_GB2312"/>
          <w:szCs w:val="32"/>
          <w:lang w:val="en-US" w:eastAsia="zh-CN"/>
        </w:rPr>
        <w:t>0</w:t>
      </w:r>
      <w:r>
        <w:rPr>
          <w:rFonts w:hint="eastAsia" w:ascii="仿宋_GB2312" w:eastAsia="仿宋_GB2312"/>
          <w:szCs w:val="32"/>
        </w:rPr>
        <w:t>元，完成年初预算的</w:t>
      </w:r>
      <w:r>
        <w:rPr>
          <w:rFonts w:hint="eastAsia" w:ascii="仿宋_GB2312" w:eastAsia="仿宋_GB2312"/>
          <w:szCs w:val="32"/>
          <w:lang w:val="en-US" w:eastAsia="zh-CN"/>
        </w:rPr>
        <w:t>0</w:t>
      </w:r>
      <w:r>
        <w:rPr>
          <w:rFonts w:hint="eastAsia" w:ascii="仿宋_GB2312" w:eastAsia="仿宋_GB2312"/>
          <w:szCs w:val="32"/>
        </w:rPr>
        <w:t>%。</w:t>
      </w:r>
    </w:p>
    <w:p>
      <w:pPr>
        <w:ind w:firstLine="632" w:firstLineChars="200"/>
        <w:rPr>
          <w:rFonts w:hint="eastAsia" w:ascii="仿宋_GB2312" w:eastAsia="仿宋_GB2312"/>
          <w:b/>
          <w:szCs w:val="32"/>
          <w:lang w:eastAsia="zh-CN"/>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年“三公”经费决算比年初预算数减少</w:t>
      </w:r>
      <w:r>
        <w:rPr>
          <w:rFonts w:hint="eastAsia" w:ascii="仿宋_GB2312" w:eastAsia="仿宋_GB2312"/>
          <w:szCs w:val="32"/>
          <w:lang w:val="en-US" w:eastAsia="zh-CN"/>
        </w:rPr>
        <w:t>1.82</w:t>
      </w:r>
      <w:r>
        <w:rPr>
          <w:rFonts w:hint="eastAsia" w:ascii="仿宋_GB2312" w:eastAsia="仿宋_GB2312"/>
          <w:szCs w:val="32"/>
        </w:rPr>
        <w:t>万元，主要原因是</w:t>
      </w:r>
      <w:r>
        <w:rPr>
          <w:rFonts w:hint="eastAsia" w:ascii="仿宋_GB2312" w:eastAsia="仿宋_GB2312"/>
          <w:szCs w:val="32"/>
          <w:lang w:eastAsia="zh-CN"/>
        </w:rPr>
        <w:t>公务接待费、公务用车运行维护费未发生费用</w:t>
      </w:r>
      <w:r>
        <w:rPr>
          <w:rFonts w:hint="eastAsia" w:ascii="仿宋_GB2312" w:eastAsia="仿宋_GB2312"/>
          <w:szCs w:val="32"/>
        </w:rPr>
        <w:t>。其中：因公出国（境）费与201</w:t>
      </w:r>
      <w:r>
        <w:rPr>
          <w:rFonts w:hint="eastAsia" w:ascii="仿宋_GB2312" w:eastAsia="仿宋_GB2312"/>
          <w:szCs w:val="32"/>
          <w:lang w:val="en-US" w:eastAsia="zh-CN"/>
        </w:rPr>
        <w:t>9</w:t>
      </w:r>
      <w:r>
        <w:rPr>
          <w:rFonts w:hint="eastAsia" w:ascii="仿宋_GB2312" w:eastAsia="仿宋_GB2312"/>
          <w:szCs w:val="32"/>
        </w:rPr>
        <w:t>年预算基本持平、公务用车购置及运行费减少</w:t>
      </w:r>
      <w:r>
        <w:rPr>
          <w:rFonts w:hint="eastAsia" w:ascii="仿宋_GB2312" w:eastAsia="仿宋_GB2312"/>
          <w:szCs w:val="32"/>
          <w:lang w:val="en-US" w:eastAsia="zh-CN"/>
        </w:rPr>
        <w:t>1.5</w:t>
      </w:r>
      <w:r>
        <w:rPr>
          <w:rFonts w:hint="eastAsia" w:ascii="仿宋_GB2312" w:eastAsia="仿宋_GB2312"/>
          <w:szCs w:val="32"/>
        </w:rPr>
        <w:t>万元、公务接待费减少</w:t>
      </w:r>
      <w:r>
        <w:rPr>
          <w:rFonts w:hint="eastAsia" w:ascii="仿宋_GB2312" w:eastAsia="仿宋_GB2312"/>
          <w:szCs w:val="32"/>
          <w:lang w:val="en-US" w:eastAsia="zh-CN"/>
        </w:rPr>
        <w:t>0.32</w:t>
      </w:r>
      <w:r>
        <w:rPr>
          <w:rFonts w:hint="eastAsia" w:ascii="仿宋_GB2312" w:eastAsia="仿宋_GB2312"/>
          <w:szCs w:val="32"/>
        </w:rPr>
        <w:t>万元。因公出国（境）费增加（减少）的主要原因是</w:t>
      </w:r>
      <w:r>
        <w:rPr>
          <w:rFonts w:hint="eastAsia" w:ascii="仿宋_GB2312" w:eastAsia="仿宋_GB2312"/>
          <w:szCs w:val="32"/>
          <w:lang w:eastAsia="zh-CN"/>
        </w:rPr>
        <w:t>未发生支出</w:t>
      </w:r>
      <w:r>
        <w:rPr>
          <w:rFonts w:hint="eastAsia" w:ascii="仿宋_GB2312" w:eastAsia="仿宋_GB2312"/>
          <w:szCs w:val="32"/>
        </w:rPr>
        <w:t>。公务用车购置及运行费减少的主要原因是</w:t>
      </w:r>
      <w:r>
        <w:rPr>
          <w:rFonts w:hint="eastAsia" w:ascii="仿宋_GB2312" w:eastAsia="仿宋_GB2312"/>
          <w:szCs w:val="32"/>
          <w:lang w:val="en-US" w:eastAsia="zh-CN"/>
        </w:rPr>
        <w:t>未发生支出</w:t>
      </w:r>
      <w:r>
        <w:rPr>
          <w:rFonts w:hint="eastAsia" w:ascii="仿宋_GB2312" w:eastAsia="仿宋_GB2312"/>
          <w:szCs w:val="32"/>
        </w:rPr>
        <w:t>。公务接待费减少的主要原因是</w:t>
      </w:r>
      <w:r>
        <w:rPr>
          <w:rFonts w:hint="eastAsia" w:ascii="仿宋_GB2312" w:eastAsia="仿宋_GB2312"/>
          <w:szCs w:val="32"/>
          <w:lang w:eastAsia="zh-CN"/>
        </w:rPr>
        <w:t>未发生支出。</w:t>
      </w:r>
    </w:p>
    <w:p>
      <w:pPr>
        <w:ind w:firstLine="632" w:firstLineChars="200"/>
        <w:rPr>
          <w:rFonts w:hint="eastAsia" w:ascii="楷体_GB2312" w:eastAsia="楷体_GB2312"/>
          <w:szCs w:val="32"/>
        </w:rPr>
      </w:pPr>
      <w:r>
        <w:rPr>
          <w:rFonts w:hint="eastAsia" w:ascii="楷体_GB2312" w:eastAsia="楷体_GB2312"/>
          <w:szCs w:val="32"/>
        </w:rPr>
        <w:t>（二）“三公”经费支出决算具体情况</w:t>
      </w:r>
    </w:p>
    <w:p>
      <w:pPr>
        <w:ind w:firstLine="632" w:firstLineChars="200"/>
        <w:rPr>
          <w:rFonts w:hint="eastAsia" w:ascii="仿宋_GB2312" w:eastAsia="仿宋_GB2312"/>
          <w:szCs w:val="32"/>
        </w:rPr>
      </w:pPr>
      <w:r>
        <w:rPr>
          <w:rFonts w:hint="eastAsia" w:ascii="仿宋_GB2312" w:eastAsia="仿宋_GB2312"/>
          <w:szCs w:val="32"/>
        </w:rPr>
        <w:t>1、因公出国（境）费决算数为</w:t>
      </w:r>
      <w:r>
        <w:rPr>
          <w:rFonts w:hint="eastAsia" w:ascii="仿宋_GB2312" w:eastAsia="仿宋_GB2312"/>
          <w:szCs w:val="32"/>
          <w:lang w:val="en-US" w:eastAsia="zh-CN"/>
        </w:rPr>
        <w:t>0</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w:t>
      </w: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年使用财政拨款安排</w:t>
      </w:r>
      <w:r>
        <w:rPr>
          <w:rFonts w:hint="eastAsia" w:ascii="仿宋_GB2312" w:eastAsia="仿宋_GB2312"/>
          <w:szCs w:val="32"/>
          <w:lang w:val="en-US" w:eastAsia="zh-CN"/>
        </w:rPr>
        <w:t>0</w:t>
      </w:r>
      <w:r>
        <w:rPr>
          <w:rFonts w:hint="eastAsia" w:ascii="仿宋_GB2312" w:eastAsia="仿宋_GB2312"/>
          <w:szCs w:val="32"/>
        </w:rPr>
        <w:t>等单位，因公出国（境）团组</w:t>
      </w:r>
      <w:r>
        <w:rPr>
          <w:rFonts w:hint="eastAsia" w:ascii="仿宋_GB2312" w:eastAsia="仿宋_GB2312"/>
          <w:szCs w:val="32"/>
          <w:lang w:val="en-US" w:eastAsia="zh-CN"/>
        </w:rPr>
        <w:t>0</w:t>
      </w:r>
      <w:r>
        <w:rPr>
          <w:rFonts w:hint="eastAsia" w:ascii="仿宋_GB2312" w:eastAsia="仿宋_GB2312"/>
          <w:szCs w:val="32"/>
        </w:rPr>
        <w:t>个,累计</w:t>
      </w:r>
      <w:r>
        <w:rPr>
          <w:rFonts w:hint="eastAsia" w:ascii="仿宋_GB2312" w:eastAsia="仿宋_GB2312"/>
          <w:szCs w:val="32"/>
          <w:lang w:val="en-US" w:eastAsia="zh-CN"/>
        </w:rPr>
        <w:t>0</w:t>
      </w:r>
      <w:r>
        <w:rPr>
          <w:rFonts w:hint="eastAsia" w:ascii="仿宋_GB2312" w:eastAsia="仿宋_GB2312"/>
          <w:szCs w:val="32"/>
        </w:rPr>
        <w:t>人次。</w:t>
      </w:r>
    </w:p>
    <w:p>
      <w:pPr>
        <w:ind w:firstLine="632" w:firstLineChars="200"/>
        <w:rPr>
          <w:rFonts w:hint="eastAsia" w:ascii="仿宋_GB2312" w:eastAsia="仿宋_GB2312"/>
          <w:szCs w:val="32"/>
        </w:rPr>
      </w:pPr>
      <w:r>
        <w:rPr>
          <w:rFonts w:hint="eastAsia" w:ascii="仿宋_GB2312" w:eastAsia="仿宋_GB2312"/>
          <w:szCs w:val="32"/>
        </w:rPr>
        <w:t>2、公务用车购置及运行维护费决算数为</w:t>
      </w:r>
      <w:r>
        <w:rPr>
          <w:rFonts w:hint="eastAsia" w:ascii="仿宋_GB2312" w:eastAsia="仿宋_GB2312"/>
          <w:szCs w:val="32"/>
          <w:lang w:val="en-US" w:eastAsia="zh-CN"/>
        </w:rPr>
        <w:t>0</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w:t>
      </w:r>
      <w:r>
        <w:rPr>
          <w:rFonts w:hint="eastAsia" w:ascii="仿宋_GB2312" w:eastAsia="仿宋_GB2312"/>
          <w:szCs w:val="32"/>
        </w:rPr>
        <w:t>%。其中：公务用车购置费支出</w:t>
      </w:r>
      <w:r>
        <w:rPr>
          <w:rFonts w:hint="eastAsia" w:ascii="仿宋_GB2312" w:eastAsia="仿宋_GB2312"/>
          <w:szCs w:val="32"/>
          <w:lang w:val="en-US" w:eastAsia="zh-CN"/>
        </w:rPr>
        <w:t>0</w:t>
      </w:r>
      <w:r>
        <w:rPr>
          <w:rFonts w:hint="eastAsia" w:ascii="仿宋_GB2312" w:eastAsia="仿宋_GB2312"/>
          <w:szCs w:val="32"/>
        </w:rPr>
        <w:t>万元，201</w:t>
      </w:r>
      <w:r>
        <w:rPr>
          <w:rFonts w:hint="eastAsia" w:ascii="仿宋_GB2312" w:eastAsia="仿宋_GB2312"/>
          <w:szCs w:val="32"/>
          <w:lang w:val="en-US" w:eastAsia="zh-CN"/>
        </w:rPr>
        <w:t>9</w:t>
      </w:r>
      <w:r>
        <w:rPr>
          <w:rFonts w:hint="eastAsia" w:ascii="仿宋_GB2312" w:eastAsia="仿宋_GB2312"/>
          <w:szCs w:val="32"/>
        </w:rPr>
        <w:t>年</w:t>
      </w:r>
      <w:r>
        <w:rPr>
          <w:rFonts w:hint="eastAsia" w:ascii="仿宋_GB2312" w:eastAsia="仿宋_GB2312"/>
          <w:szCs w:val="32"/>
          <w:lang w:val="en-US" w:eastAsia="zh-CN"/>
        </w:rPr>
        <w:t>0</w:t>
      </w:r>
      <w:r>
        <w:rPr>
          <w:rFonts w:hint="eastAsia" w:ascii="仿宋_GB2312" w:eastAsia="仿宋_GB2312"/>
          <w:szCs w:val="32"/>
        </w:rPr>
        <w:t>等单位使用财政拨款购置公务用车</w:t>
      </w:r>
      <w:r>
        <w:rPr>
          <w:rFonts w:hint="eastAsia" w:ascii="仿宋_GB2312" w:eastAsia="仿宋_GB2312"/>
          <w:szCs w:val="32"/>
          <w:lang w:val="en-US" w:eastAsia="zh-CN"/>
        </w:rPr>
        <w:t>0</w:t>
      </w:r>
      <w:r>
        <w:rPr>
          <w:rFonts w:hint="eastAsia" w:ascii="仿宋_GB2312" w:eastAsia="仿宋_GB2312"/>
          <w:szCs w:val="32"/>
        </w:rPr>
        <w:t>辆；公务用车运行维护费</w:t>
      </w:r>
      <w:r>
        <w:rPr>
          <w:rFonts w:hint="eastAsia" w:ascii="仿宋_GB2312" w:eastAsia="仿宋_GB2312"/>
          <w:szCs w:val="32"/>
          <w:lang w:val="en-US" w:eastAsia="zh-CN"/>
        </w:rPr>
        <w:t>0</w:t>
      </w:r>
      <w:r>
        <w:rPr>
          <w:rFonts w:hint="eastAsia" w:ascii="仿宋_GB2312" w:eastAsia="仿宋_GB2312"/>
          <w:szCs w:val="32"/>
        </w:rPr>
        <w:t>万元。201</w:t>
      </w:r>
      <w:r>
        <w:rPr>
          <w:rFonts w:hint="eastAsia" w:ascii="仿宋_GB2312" w:eastAsia="仿宋_GB2312"/>
          <w:szCs w:val="32"/>
          <w:lang w:val="en-US" w:eastAsia="zh-CN"/>
        </w:rPr>
        <w:t>9</w:t>
      </w:r>
      <w:r>
        <w:rPr>
          <w:rFonts w:hint="eastAsia" w:ascii="仿宋_GB2312" w:eastAsia="仿宋_GB2312"/>
          <w:szCs w:val="32"/>
        </w:rPr>
        <w:t>年</w:t>
      </w:r>
      <w:r>
        <w:rPr>
          <w:rFonts w:hint="eastAsia" w:ascii="仿宋_GB2312" w:eastAsia="仿宋_GB2312"/>
          <w:szCs w:val="32"/>
          <w:lang w:val="en-US" w:eastAsia="zh-CN"/>
        </w:rPr>
        <w:t>0</w:t>
      </w:r>
      <w:r>
        <w:rPr>
          <w:rFonts w:hint="eastAsia" w:ascii="仿宋_GB2312" w:eastAsia="仿宋_GB2312"/>
          <w:szCs w:val="32"/>
        </w:rPr>
        <w:t>等单位财政拨款开支运行维护费的公务用车保有量为</w:t>
      </w:r>
      <w:r>
        <w:rPr>
          <w:rFonts w:hint="eastAsia" w:ascii="仿宋_GB2312" w:eastAsia="仿宋_GB2312"/>
          <w:szCs w:val="32"/>
          <w:lang w:val="en-US" w:eastAsia="zh-CN"/>
        </w:rPr>
        <w:t>0</w:t>
      </w:r>
      <w:r>
        <w:rPr>
          <w:rFonts w:hint="eastAsia" w:ascii="仿宋_GB2312" w:eastAsia="仿宋_GB2312"/>
          <w:szCs w:val="32"/>
        </w:rPr>
        <w:t>辆。</w:t>
      </w:r>
    </w:p>
    <w:p>
      <w:pPr>
        <w:ind w:firstLine="632" w:firstLineChars="200"/>
        <w:rPr>
          <w:rFonts w:hint="eastAsia" w:ascii="仿宋_GB2312" w:eastAsia="仿宋_GB2312"/>
          <w:szCs w:val="32"/>
        </w:rPr>
      </w:pPr>
      <w:r>
        <w:rPr>
          <w:rFonts w:hint="eastAsia" w:ascii="仿宋_GB2312" w:eastAsia="仿宋_GB2312"/>
          <w:szCs w:val="32"/>
        </w:rPr>
        <w:t>3、公务接待费决算数为</w:t>
      </w:r>
      <w:r>
        <w:rPr>
          <w:rFonts w:hint="eastAsia" w:ascii="仿宋_GB2312" w:eastAsia="仿宋_GB2312"/>
          <w:szCs w:val="32"/>
          <w:lang w:val="en-US" w:eastAsia="zh-CN"/>
        </w:rPr>
        <w:t>0</w:t>
      </w:r>
      <w:r>
        <w:rPr>
          <w:rFonts w:hint="eastAsia" w:ascii="仿宋_GB2312" w:eastAsia="仿宋_GB2312"/>
          <w:szCs w:val="32"/>
        </w:rPr>
        <w:t>万元，占一般公共预算财政拨款“三公”经费总数的</w:t>
      </w:r>
      <w:r>
        <w:rPr>
          <w:rFonts w:hint="eastAsia" w:ascii="仿宋_GB2312" w:eastAsia="仿宋_GB2312"/>
          <w:szCs w:val="32"/>
          <w:lang w:val="en-US" w:eastAsia="zh-CN"/>
        </w:rPr>
        <w:t>0</w:t>
      </w:r>
      <w:r>
        <w:rPr>
          <w:rFonts w:hint="eastAsia" w:ascii="仿宋_GB2312" w:eastAsia="仿宋_GB2312"/>
          <w:szCs w:val="32"/>
        </w:rPr>
        <w:t>%。</w:t>
      </w:r>
      <w:r>
        <w:rPr>
          <w:rFonts w:hint="eastAsia" w:ascii="仿宋_GB2312" w:eastAsia="仿宋_GB2312"/>
          <w:szCs w:val="32"/>
          <w:lang w:eastAsia="zh-CN"/>
        </w:rPr>
        <w:t>其中：</w:t>
      </w: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w:t>
      </w:r>
      <w:r>
        <w:rPr>
          <w:rFonts w:hint="eastAsia" w:ascii="仿宋_GB2312" w:eastAsia="仿宋_GB2312"/>
          <w:szCs w:val="32"/>
          <w:lang w:eastAsia="zh-CN"/>
        </w:rPr>
        <w:t>未发生公务接待</w:t>
      </w:r>
      <w:r>
        <w:rPr>
          <w:rFonts w:hint="eastAsia" w:ascii="仿宋_GB2312" w:eastAsia="仿宋_GB2312"/>
          <w:szCs w:val="32"/>
        </w:rPr>
        <w:t>。</w:t>
      </w:r>
    </w:p>
    <w:p>
      <w:pPr>
        <w:ind w:firstLine="632" w:firstLineChars="200"/>
        <w:rPr>
          <w:rFonts w:hint="eastAsia" w:ascii="黑体" w:hAnsi="黑体" w:eastAsia="黑体"/>
          <w:szCs w:val="32"/>
        </w:rPr>
      </w:pPr>
      <w:r>
        <w:rPr>
          <w:rFonts w:hint="eastAsia" w:ascii="黑体" w:hAnsi="黑体" w:eastAsia="黑体"/>
          <w:szCs w:val="32"/>
        </w:rPr>
        <w:t>九、重要事项情况说明</w:t>
      </w:r>
    </w:p>
    <w:p>
      <w:pPr>
        <w:ind w:firstLine="632" w:firstLineChars="200"/>
        <w:rPr>
          <w:rFonts w:hint="eastAsia" w:ascii="楷体_GB2312" w:eastAsia="楷体_GB2312"/>
          <w:szCs w:val="32"/>
        </w:rPr>
      </w:pPr>
      <w:r>
        <w:rPr>
          <w:rFonts w:hint="eastAsia" w:ascii="楷体_GB2312" w:eastAsia="楷体_GB2312"/>
          <w:szCs w:val="32"/>
        </w:rPr>
        <w:t>（一）机关运行经费支出情况</w:t>
      </w:r>
    </w:p>
    <w:p>
      <w:pPr>
        <w:ind w:firstLine="632" w:firstLineChars="200"/>
        <w:rPr>
          <w:rFonts w:hint="eastAsia" w:ascii="仿宋_GB2312" w:eastAsia="仿宋_GB2312"/>
          <w:b/>
          <w:szCs w:val="32"/>
          <w:lang w:eastAsia="zh-CN"/>
        </w:rPr>
      </w:pPr>
      <w:r>
        <w:rPr>
          <w:rFonts w:hint="eastAsia" w:ascii="仿宋_GB2312" w:eastAsia="仿宋_GB2312"/>
          <w:szCs w:val="32"/>
        </w:rPr>
        <w:t>201</w:t>
      </w:r>
      <w:r>
        <w:rPr>
          <w:rFonts w:hint="eastAsia" w:ascii="仿宋_GB2312" w:eastAsia="仿宋_GB2312"/>
          <w:szCs w:val="32"/>
          <w:lang w:val="en-US" w:eastAsia="zh-CN"/>
        </w:rPr>
        <w:t>9</w:t>
      </w:r>
      <w:r>
        <w:rPr>
          <w:rFonts w:hint="eastAsia" w:ascii="仿宋_GB2312" w:eastAsia="仿宋_GB2312"/>
          <w:szCs w:val="32"/>
        </w:rPr>
        <w:t>年度，机关运行经费支出</w:t>
      </w:r>
      <w:r>
        <w:rPr>
          <w:rFonts w:hint="eastAsia" w:ascii="仿宋_GB2312" w:eastAsia="仿宋_GB2312"/>
          <w:sz w:val="32"/>
          <w:szCs w:val="32"/>
          <w:lang w:val="en-US" w:eastAsia="zh-CN"/>
        </w:rPr>
        <w:t>30.24</w:t>
      </w:r>
      <w:r>
        <w:rPr>
          <w:rFonts w:hint="eastAsia" w:ascii="仿宋_GB2312" w:eastAsia="仿宋_GB2312"/>
          <w:szCs w:val="32"/>
        </w:rPr>
        <w:t>万元，与</w:t>
      </w:r>
      <w:r>
        <w:rPr>
          <w:rFonts w:hint="eastAsia" w:ascii="仿宋_GB2312" w:eastAsia="仿宋_GB2312"/>
          <w:szCs w:val="32"/>
          <w:lang w:eastAsia="zh-CN"/>
        </w:rPr>
        <w:t>年初</w:t>
      </w:r>
      <w:r>
        <w:rPr>
          <w:rFonts w:hint="eastAsia" w:ascii="仿宋_GB2312" w:eastAsia="仿宋_GB2312"/>
          <w:szCs w:val="32"/>
        </w:rPr>
        <w:t>预算</w:t>
      </w:r>
      <w:r>
        <w:rPr>
          <w:rFonts w:hint="eastAsia" w:ascii="仿宋_GB2312" w:eastAsia="仿宋_GB2312"/>
          <w:szCs w:val="32"/>
          <w:lang w:eastAsia="zh-CN"/>
        </w:rPr>
        <w:t>减少</w:t>
      </w:r>
      <w:r>
        <w:rPr>
          <w:rFonts w:hint="eastAsia" w:ascii="仿宋_GB2312" w:eastAsia="仿宋_GB2312"/>
          <w:szCs w:val="32"/>
          <w:lang w:val="en-US" w:eastAsia="zh-CN"/>
        </w:rPr>
        <w:t>0.5万元，持平</w:t>
      </w:r>
      <w:r>
        <w:rPr>
          <w:rFonts w:hint="eastAsia" w:ascii="仿宋_GB2312" w:eastAsia="仿宋_GB2312"/>
          <w:szCs w:val="32"/>
          <w:lang w:eastAsia="zh-CN"/>
        </w:rPr>
        <w:t>。</w:t>
      </w:r>
    </w:p>
    <w:p>
      <w:pPr>
        <w:numPr>
          <w:ilvl w:val="0"/>
          <w:numId w:val="2"/>
        </w:numPr>
        <w:ind w:firstLine="632" w:firstLineChars="200"/>
        <w:rPr>
          <w:rFonts w:hint="eastAsia" w:ascii="楷体_GB2312" w:eastAsia="楷体_GB2312"/>
          <w:szCs w:val="32"/>
        </w:rPr>
      </w:pPr>
      <w:r>
        <w:rPr>
          <w:rFonts w:hint="eastAsia" w:ascii="楷体_GB2312" w:eastAsia="楷体_GB2312"/>
          <w:szCs w:val="32"/>
        </w:rPr>
        <w:t>政府采购支出情况</w:t>
      </w:r>
    </w:p>
    <w:p>
      <w:pPr>
        <w:autoSpaceDE w:val="0"/>
        <w:autoSpaceDN w:val="0"/>
        <w:adjustRightInd w:val="0"/>
        <w:ind w:firstLine="632" w:firstLineChars="200"/>
        <w:jc w:val="left"/>
        <w:rPr>
          <w:rFonts w:ascii="仿宋_GB2312" w:hAnsi="仿宋_GB2312" w:eastAsia="仿宋_GB2312" w:cs="仿宋_GB2312"/>
          <w:sz w:val="32"/>
          <w:szCs w:val="32"/>
        </w:rPr>
      </w:pPr>
      <w:r>
        <w:rPr>
          <w:rFonts w:ascii="仿宋_GB2312" w:hAnsi="Times New Roman" w:eastAsia="仿宋_GB2312" w:cs="仿宋_GB2312"/>
          <w:kern w:val="0"/>
          <w:sz w:val="32"/>
          <w:szCs w:val="32"/>
        </w:rPr>
        <w:t>2019</w:t>
      </w:r>
      <w:r>
        <w:rPr>
          <w:rFonts w:hint="eastAsia" w:ascii="仿宋_GB2312" w:hAnsi="Times New Roman" w:eastAsia="仿宋_GB2312" w:cs="仿宋_GB2312"/>
          <w:kern w:val="0"/>
          <w:sz w:val="32"/>
          <w:szCs w:val="32"/>
        </w:rPr>
        <w:t>年度政府采购支出总额0万元，其中：政府采购货物支出0万元、政府采购工程支出0万元、政府采购服务支出0万元。授予中小企业合同金额0万元，占政府采购支出总额的0</w:t>
      </w:r>
      <w:r>
        <w:rPr>
          <w:rFonts w:ascii="仿宋_GB2312" w:hAnsi="Times New Roman" w:eastAsia="仿宋_GB2312" w:cs="仿宋_GB2312"/>
          <w:kern w:val="0"/>
          <w:sz w:val="32"/>
          <w:szCs w:val="32"/>
        </w:rPr>
        <w:t>%</w:t>
      </w:r>
      <w:r>
        <w:rPr>
          <w:rFonts w:hint="eastAsia" w:ascii="仿宋_GB2312" w:hAnsi="Times New Roman" w:eastAsia="仿宋_GB2312" w:cs="仿宋_GB2312"/>
          <w:kern w:val="0"/>
          <w:sz w:val="32"/>
          <w:szCs w:val="32"/>
        </w:rPr>
        <w:t>，其中：授予小微企业合同金额0万元，占政府采购支出总额的0</w:t>
      </w:r>
      <w:r>
        <w:rPr>
          <w:rFonts w:ascii="仿宋_GB2312" w:hAnsi="Times New Roman" w:eastAsia="仿宋_GB2312" w:cs="仿宋_GB2312"/>
          <w:kern w:val="0"/>
          <w:sz w:val="32"/>
          <w:szCs w:val="32"/>
        </w:rPr>
        <w:t>%</w:t>
      </w:r>
      <w:r>
        <w:rPr>
          <w:rFonts w:hint="eastAsia" w:ascii="仿宋_GB2312" w:hAnsi="Times New Roman" w:eastAsia="仿宋_GB2312" w:cs="仿宋_GB2312"/>
          <w:kern w:val="0"/>
          <w:sz w:val="32"/>
          <w:szCs w:val="32"/>
        </w:rPr>
        <w:t>。</w:t>
      </w:r>
    </w:p>
    <w:p>
      <w:pPr>
        <w:ind w:firstLine="632" w:firstLineChars="200"/>
        <w:rPr>
          <w:rFonts w:hint="eastAsia" w:ascii="楷体_GB2312" w:eastAsia="楷体_GB2312"/>
          <w:szCs w:val="32"/>
          <w:highlight w:val="yellow"/>
        </w:rPr>
      </w:pPr>
      <w:r>
        <w:rPr>
          <w:rFonts w:hint="eastAsia" w:ascii="楷体_GB2312" w:eastAsia="楷体_GB2312"/>
          <w:szCs w:val="32"/>
        </w:rPr>
        <w:t>（三）国有资产占用情况</w:t>
      </w:r>
    </w:p>
    <w:p>
      <w:pPr>
        <w:ind w:firstLine="632" w:firstLineChars="200"/>
        <w:rPr>
          <w:rFonts w:hint="eastAsia" w:ascii="仿宋_GB2312" w:hAnsi="宋体" w:eastAsia="仿宋_GB2312" w:cs="Courier New"/>
          <w:szCs w:val="32"/>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lang w:val="en-US" w:eastAsia="zh-CN"/>
        </w:rPr>
        <w:t>9</w:t>
      </w:r>
      <w:r>
        <w:rPr>
          <w:rFonts w:hint="eastAsia" w:ascii="仿宋_GB2312" w:hAnsi="宋体" w:eastAsia="仿宋_GB2312" w:cs="Courier New"/>
          <w:szCs w:val="32"/>
        </w:rPr>
        <w:t>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日，部门（单位）共有车辆</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辆，其中，符合规定的领导用车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辆、应急保障用车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辆、执法执勤用车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辆，；单位价值</w:t>
      </w:r>
      <w:r>
        <w:rPr>
          <w:rFonts w:ascii="仿宋_GB2312" w:hAnsi="宋体" w:eastAsia="仿宋_GB2312" w:cs="Courier New"/>
          <w:szCs w:val="32"/>
        </w:rPr>
        <w:t>50</w:t>
      </w:r>
      <w:r>
        <w:rPr>
          <w:rFonts w:hint="eastAsia" w:ascii="仿宋_GB2312" w:hAnsi="宋体" w:eastAsia="仿宋_GB2312" w:cs="Courier New"/>
          <w:szCs w:val="32"/>
        </w:rPr>
        <w:t>万元以上通用设备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台（套）；单位价值</w:t>
      </w:r>
      <w:r>
        <w:rPr>
          <w:rFonts w:ascii="仿宋_GB2312" w:hAnsi="宋体" w:eastAsia="仿宋_GB2312" w:cs="Courier New"/>
          <w:szCs w:val="32"/>
        </w:rPr>
        <w:t>100</w:t>
      </w:r>
      <w:r>
        <w:rPr>
          <w:rFonts w:hint="eastAsia" w:ascii="仿宋_GB2312" w:hAnsi="宋体" w:eastAsia="仿宋_GB2312" w:cs="Courier New"/>
          <w:szCs w:val="32"/>
        </w:rPr>
        <w:t>万元以上专用设备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w:t>
      </w:r>
    </w:p>
    <w:p>
      <w:pPr>
        <w:ind w:firstLine="632" w:firstLineChars="200"/>
        <w:rPr>
          <w:rFonts w:hint="eastAsia" w:ascii="楷体_GB2312" w:eastAsia="楷体_GB2312"/>
          <w:szCs w:val="32"/>
        </w:rPr>
      </w:pPr>
      <w:r>
        <w:rPr>
          <w:rFonts w:hint="eastAsia" w:ascii="楷体_GB2312" w:eastAsia="楷体_GB2312"/>
          <w:szCs w:val="32"/>
        </w:rPr>
        <w:t>（四）预算绩效情况</w:t>
      </w:r>
    </w:p>
    <w:p>
      <w:pPr>
        <w:widowControl/>
        <w:snapToGrid w:val="0"/>
        <w:spacing w:line="580" w:lineRule="exact"/>
        <w:ind w:left="200" w:firstLine="632" w:firstLineChars="200"/>
        <w:jc w:val="left"/>
        <w:rPr>
          <w:rFonts w:hint="eastAsia" w:ascii="仿宋_GB2312" w:eastAsia="仿宋_GB2312"/>
          <w:b/>
          <w:bCs/>
          <w:kern w:val="0"/>
          <w:szCs w:val="32"/>
        </w:rPr>
      </w:pPr>
      <w:r>
        <w:rPr>
          <w:rFonts w:hint="eastAsia" w:ascii="仿宋_GB2312" w:eastAsia="仿宋_GB2312"/>
          <w:b/>
          <w:bCs/>
          <w:kern w:val="0"/>
          <w:szCs w:val="32"/>
        </w:rPr>
        <w:t>本部门无重点绩效评价项目。</w:t>
      </w:r>
    </w:p>
    <w:p>
      <w:pPr>
        <w:spacing w:line="580" w:lineRule="exact"/>
        <w:rPr>
          <w:rFonts w:hint="eastAsia"/>
          <w:szCs w:val="3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p>
    <w:p>
      <w:pPr>
        <w:ind w:firstLine="536" w:firstLineChars="100"/>
        <w:rPr>
          <w:rFonts w:hint="eastAsia" w:ascii="方正小标宋简体" w:eastAsia="方正小标宋简体"/>
          <w:spacing w:val="60"/>
          <w:sz w:val="42"/>
        </w:rPr>
      </w:pPr>
      <w:r>
        <w:rPr>
          <w:rFonts w:hint="eastAsia" w:ascii="方正小标宋简体" w:eastAsia="方正小标宋简体"/>
          <w:spacing w:val="60"/>
          <w:sz w:val="42"/>
        </w:rPr>
        <w:t>第四部分</w:t>
      </w:r>
    </w:p>
    <w:p>
      <w:pPr>
        <w:jc w:val="center"/>
        <w:rPr>
          <w:rFonts w:hint="eastAsia" w:ascii="方正小标宋简体" w:eastAsia="方正小标宋简体"/>
          <w:spacing w:val="60"/>
          <w:sz w:val="42"/>
        </w:rPr>
      </w:pPr>
    </w:p>
    <w:p>
      <w:pPr>
        <w:jc w:val="center"/>
        <w:rPr>
          <w:rFonts w:ascii="方正小标宋简体" w:eastAsia="方正小标宋简体"/>
          <w:spacing w:val="60"/>
          <w:sz w:val="48"/>
        </w:rPr>
        <w:sectPr>
          <w:pgSz w:w="11906" w:h="16838"/>
          <w:pgMar w:top="1701" w:right="1531" w:bottom="1701" w:left="1531" w:header="0" w:footer="1418" w:gutter="0"/>
          <w:cols w:space="720" w:num="1"/>
          <w:docGrid w:type="linesAndChars" w:linePitch="610" w:charSpace="-849"/>
        </w:sectPr>
      </w:pPr>
      <w:r>
        <w:rPr>
          <w:rFonts w:hint="eastAsia" w:ascii="方正小标宋简体" w:eastAsia="方正小标宋简体"/>
          <w:spacing w:val="60"/>
          <w:sz w:val="48"/>
        </w:rPr>
        <w:t>名词解释</w:t>
      </w:r>
    </w:p>
    <w:p>
      <w:pPr>
        <w:ind w:firstLine="640" w:firstLineChars="200"/>
        <w:rPr>
          <w:rFonts w:hint="eastAsia" w:ascii="仿宋_GB2312" w:eastAsia="仿宋_GB2312"/>
          <w:szCs w:val="32"/>
        </w:rPr>
      </w:pPr>
      <w:r>
        <w:rPr>
          <w:rFonts w:hint="eastAsia" w:ascii="黑体" w:hAnsi="黑体" w:eastAsia="黑体"/>
          <w:color w:val="000000"/>
          <w:szCs w:val="32"/>
        </w:rPr>
        <w:t>一、财政拨款收入：</w:t>
      </w:r>
      <w:r>
        <w:rPr>
          <w:rFonts w:hint="eastAsia" w:ascii="仿宋_GB2312" w:eastAsia="仿宋_GB2312"/>
          <w:szCs w:val="32"/>
        </w:rPr>
        <w:t>指单位从同级财政部门取得的财政预算资金。按现行管理制度，省级部门决算中反映的财政拨款包括一般公共预算财政拨款和政府性基金财政拨款。</w:t>
      </w:r>
    </w:p>
    <w:p>
      <w:pPr>
        <w:ind w:firstLine="640" w:firstLineChars="200"/>
        <w:rPr>
          <w:rFonts w:hint="eastAsia" w:ascii="仿宋_GB2312" w:hAnsi="仿宋" w:eastAsia="仿宋_GB2312"/>
          <w:szCs w:val="32"/>
        </w:rPr>
      </w:pPr>
      <w:r>
        <w:rPr>
          <w:rFonts w:hint="eastAsia" w:ascii="黑体" w:hAnsi="黑体" w:eastAsia="黑体"/>
          <w:szCs w:val="32"/>
        </w:rPr>
        <w:t>二、上级补助收入：</w:t>
      </w:r>
      <w:r>
        <w:rPr>
          <w:rFonts w:hint="eastAsia" w:ascii="仿宋_GB2312" w:hAnsi="仿宋" w:eastAsia="仿宋_GB2312"/>
          <w:szCs w:val="32"/>
        </w:rPr>
        <w:t>指事业单位从主管部门和上级单位取得的非财政补助收入。</w:t>
      </w:r>
    </w:p>
    <w:p>
      <w:pPr>
        <w:ind w:firstLine="640" w:firstLineChars="200"/>
        <w:rPr>
          <w:rFonts w:hint="eastAsia" w:ascii="仿宋_GB2312" w:eastAsia="仿宋_GB2312"/>
          <w:szCs w:val="32"/>
        </w:rPr>
      </w:pPr>
      <w:r>
        <w:rPr>
          <w:rFonts w:hint="eastAsia" w:ascii="黑体" w:hAnsi="黑体" w:eastAsia="黑体"/>
          <w:szCs w:val="32"/>
        </w:rPr>
        <w:t>三、基本支出：</w:t>
      </w:r>
      <w:r>
        <w:rPr>
          <w:rFonts w:hint="eastAsia" w:ascii="仿宋_GB2312" w:eastAsia="仿宋_GB2312"/>
          <w:szCs w:val="32"/>
        </w:rPr>
        <w:t>指单位为保障其机构正常运转、完成日常工作任务而发生的人员支出和日常公用支出。</w:t>
      </w:r>
    </w:p>
    <w:p>
      <w:pPr>
        <w:ind w:firstLine="640" w:firstLineChars="200"/>
        <w:rPr>
          <w:rFonts w:hint="eastAsia" w:ascii="仿宋_GB2312" w:eastAsia="仿宋_GB2312"/>
          <w:szCs w:val="32"/>
        </w:rPr>
      </w:pPr>
      <w:r>
        <w:rPr>
          <w:rFonts w:hint="eastAsia" w:ascii="黑体" w:hAnsi="黑体" w:eastAsia="黑体"/>
          <w:szCs w:val="32"/>
          <w:lang w:eastAsia="zh-CN"/>
        </w:rPr>
        <w:t>四</w:t>
      </w:r>
      <w:r>
        <w:rPr>
          <w:rFonts w:hint="eastAsia" w:ascii="黑体" w:hAnsi="黑体" w:eastAsia="黑体"/>
          <w:szCs w:val="32"/>
        </w:rPr>
        <w:t>、项目支出：</w:t>
      </w:r>
      <w:r>
        <w:rPr>
          <w:rFonts w:hint="eastAsia" w:ascii="仿宋_GB2312" w:eastAsia="仿宋_GB2312"/>
          <w:szCs w:val="32"/>
        </w:rPr>
        <w:t>指单位在基本支出之外为完成特定的工作任务或事业发展目标所发生的支出。</w:t>
      </w:r>
    </w:p>
    <w:p>
      <w:pPr>
        <w:ind w:firstLine="640" w:firstLineChars="200"/>
        <w:rPr>
          <w:rFonts w:hint="eastAsia" w:ascii="仿宋_GB2312" w:eastAsia="仿宋_GB2312"/>
          <w:szCs w:val="32"/>
        </w:rPr>
      </w:pPr>
      <w:r>
        <w:rPr>
          <w:rFonts w:hint="eastAsia" w:ascii="黑体" w:hAnsi="黑体" w:eastAsia="黑体"/>
          <w:szCs w:val="32"/>
          <w:lang w:eastAsia="zh-CN"/>
        </w:rPr>
        <w:t>五、</w:t>
      </w:r>
      <w:r>
        <w:rPr>
          <w:rFonts w:hint="eastAsia" w:ascii="黑体" w:hAnsi="黑体" w:eastAsia="黑体"/>
          <w:szCs w:val="32"/>
        </w:rPr>
        <w:t>“三公”经费：</w:t>
      </w:r>
      <w:r>
        <w:rPr>
          <w:rFonts w:hint="eastAsia" w:ascii="仿宋_GB2312" w:eastAsia="仿宋_GB2312"/>
          <w:szCs w:val="32"/>
        </w:rPr>
        <w:t>指省级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按规定保留的公务用车燃料费、维修费、过路过桥费、保险费等支出；公务接待费反映单位按规定开支的各类公务接待（含外宾接待）支出。</w:t>
      </w:r>
    </w:p>
    <w:p>
      <w:pPr>
        <w:ind w:firstLine="640" w:firstLineChars="200"/>
        <w:rPr>
          <w:rFonts w:hint="eastAsia" w:ascii="仿宋_GB2312" w:eastAsia="仿宋_GB2312"/>
          <w:szCs w:val="32"/>
        </w:rPr>
      </w:pPr>
      <w:r>
        <w:rPr>
          <w:rFonts w:hint="eastAsia" w:ascii="黑体" w:hAnsi="黑体" w:eastAsia="黑体"/>
          <w:szCs w:val="32"/>
          <w:lang w:eastAsia="zh-CN"/>
        </w:rPr>
        <w:t>六</w:t>
      </w:r>
      <w:r>
        <w:rPr>
          <w:rFonts w:hint="eastAsia" w:ascii="黑体" w:hAnsi="黑体" w:eastAsia="黑体"/>
          <w:szCs w:val="32"/>
        </w:rPr>
        <w:t>、机关运行经费：</w:t>
      </w:r>
      <w:r>
        <w:rPr>
          <w:rFonts w:hint="eastAsia" w:ascii="仿宋_GB2312" w:eastAsia="仿宋_GB2312"/>
          <w:szCs w:val="32"/>
        </w:rPr>
        <w:t>指为保障行政单位（包括参照公务员法管理的事业单位）运行用于购买货物和服务的各项资金，包括办公费、印刷费、咨询费、手续费、水费、电费、邮电费、取暖费、物业管理费、差旅费、因公出国（境）费、维修（护）费、租赁费、会议费、培训费、公务接待费、专用材料费、劳务费、委托业务费、工会经费、福利费、公务用车运行维护费以及其他费用等。</w:t>
      </w: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hint="eastAsia" w:ascii="仿宋" w:hAnsi="仿宋" w:eastAsia="仿宋" w:cs="仿宋"/>
          <w:spacing w:val="60"/>
          <w:sz w:val="42"/>
        </w:rPr>
      </w:pPr>
    </w:p>
    <w:p>
      <w:pPr>
        <w:ind w:firstLine="540" w:firstLineChars="100"/>
        <w:rPr>
          <w:rFonts w:ascii="仿宋" w:hAnsi="仿宋" w:eastAsia="仿宋" w:cs="仿宋"/>
          <w:spacing w:val="60"/>
          <w:sz w:val="42"/>
        </w:rPr>
      </w:pPr>
      <w:r>
        <w:rPr>
          <w:rFonts w:hint="eastAsia" w:ascii="仿宋" w:hAnsi="仿宋" w:eastAsia="仿宋" w:cs="仿宋"/>
          <w:spacing w:val="60"/>
          <w:sz w:val="42"/>
        </w:rPr>
        <w:t>第五部分</w:t>
      </w:r>
    </w:p>
    <w:p>
      <w:pPr>
        <w:jc w:val="center"/>
        <w:rPr>
          <w:rFonts w:ascii="仿宋" w:hAnsi="仿宋" w:eastAsia="仿宋" w:cs="仿宋"/>
          <w:spacing w:val="60"/>
          <w:sz w:val="42"/>
        </w:rPr>
      </w:pPr>
    </w:p>
    <w:p>
      <w:pPr>
        <w:jc w:val="center"/>
        <w:rPr>
          <w:rFonts w:ascii="仿宋" w:hAnsi="仿宋" w:eastAsia="仿宋" w:cs="仿宋"/>
          <w:spacing w:val="60"/>
          <w:sz w:val="42"/>
        </w:rPr>
      </w:pPr>
    </w:p>
    <w:p>
      <w:pPr>
        <w:jc w:val="center"/>
        <w:rPr>
          <w:rFonts w:ascii="仿宋" w:hAnsi="仿宋" w:eastAsia="仿宋" w:cs="仿宋"/>
          <w:spacing w:val="60"/>
          <w:sz w:val="48"/>
        </w:rPr>
      </w:pPr>
      <w:r>
        <w:rPr>
          <w:rFonts w:hint="eastAsia" w:ascii="仿宋" w:hAnsi="仿宋" w:eastAsia="仿宋" w:cs="仿宋"/>
          <w:spacing w:val="60"/>
          <w:sz w:val="48"/>
        </w:rPr>
        <w:t xml:space="preserve">  附  件</w:t>
      </w:r>
    </w:p>
    <w:p>
      <w:pPr>
        <w:tabs>
          <w:tab w:val="left" w:pos="5891"/>
        </w:tabs>
        <w:spacing w:line="580" w:lineRule="exact"/>
        <w:rPr>
          <w:rFonts w:ascii="仿宋" w:hAnsi="仿宋" w:eastAsia="仿宋" w:cs="仿宋"/>
          <w:szCs w:val="32"/>
        </w:rPr>
        <w:sectPr>
          <w:pgSz w:w="11906" w:h="16838"/>
          <w:pgMar w:top="2098" w:right="1418" w:bottom="1871" w:left="1531" w:header="851" w:footer="992" w:gutter="0"/>
          <w:cols w:space="720" w:num="1"/>
          <w:docGrid w:type="lines" w:linePitch="312" w:charSpace="0"/>
        </w:sectPr>
      </w:pPr>
    </w:p>
    <w:tbl>
      <w:tblPr>
        <w:tblStyle w:val="4"/>
        <w:tblpPr w:leftFromText="180" w:rightFromText="180" w:vertAnchor="text" w:horzAnchor="page" w:tblpX="2027" w:tblpY="259"/>
        <w:tblOverlap w:val="never"/>
        <w:tblW w:w="13189" w:type="dxa"/>
        <w:tblInd w:w="0" w:type="dxa"/>
        <w:tblLayout w:type="fixed"/>
        <w:tblCellMar>
          <w:top w:w="15" w:type="dxa"/>
          <w:left w:w="15" w:type="dxa"/>
          <w:bottom w:w="15" w:type="dxa"/>
          <w:right w:w="15" w:type="dxa"/>
        </w:tblCellMar>
      </w:tblPr>
      <w:tblGrid>
        <w:gridCol w:w="830"/>
        <w:gridCol w:w="5686"/>
        <w:gridCol w:w="3056"/>
        <w:gridCol w:w="1783"/>
        <w:gridCol w:w="321"/>
        <w:gridCol w:w="1233"/>
        <w:gridCol w:w="280"/>
      </w:tblGrid>
      <w:tr>
        <w:tblPrEx>
          <w:tblCellMar>
            <w:top w:w="15" w:type="dxa"/>
            <w:left w:w="15" w:type="dxa"/>
            <w:bottom w:w="15" w:type="dxa"/>
            <w:right w:w="15" w:type="dxa"/>
          </w:tblCellMar>
        </w:tblPrEx>
        <w:trPr>
          <w:trHeight w:val="459" w:hRule="atLeast"/>
        </w:trPr>
        <w:tc>
          <w:tcPr>
            <w:tcW w:w="13189" w:type="dxa"/>
            <w:gridSpan w:val="7"/>
            <w:noWrap/>
            <w:vAlign w:val="center"/>
          </w:tcPr>
          <w:p>
            <w:pPr>
              <w:ind w:firstLine="1320" w:firstLineChars="300"/>
              <w:jc w:val="center"/>
              <w:rPr>
                <w:rFonts w:hint="eastAsia"/>
                <w:sz w:val="44"/>
                <w:szCs w:val="44"/>
              </w:rPr>
            </w:pPr>
            <w:r>
              <w:rPr>
                <w:rFonts w:hint="eastAsia"/>
                <w:sz w:val="44"/>
                <w:szCs w:val="44"/>
              </w:rPr>
              <w:t>2019年度</w:t>
            </w:r>
            <w:r>
              <w:rPr>
                <w:rFonts w:hint="eastAsia"/>
                <w:sz w:val="44"/>
                <w:szCs w:val="44"/>
                <w:lang w:eastAsia="zh-CN"/>
              </w:rPr>
              <w:t>威海市文登区粮食局</w:t>
            </w:r>
            <w:r>
              <w:rPr>
                <w:rFonts w:hint="eastAsia"/>
                <w:sz w:val="44"/>
                <w:szCs w:val="44"/>
              </w:rPr>
              <w:t>部门预算项目</w:t>
            </w:r>
          </w:p>
          <w:p>
            <w:pPr>
              <w:ind w:firstLine="1320" w:firstLineChars="300"/>
              <w:jc w:val="center"/>
              <w:rPr>
                <w:sz w:val="44"/>
                <w:szCs w:val="44"/>
              </w:rPr>
            </w:pPr>
            <w:r>
              <w:rPr>
                <w:rFonts w:hint="eastAsia"/>
                <w:sz w:val="44"/>
                <w:szCs w:val="44"/>
              </w:rPr>
              <w:t>绩效自评情况汇总表</w:t>
            </w:r>
          </w:p>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2"/>
          <w:wAfter w:w="1513" w:type="dxa"/>
          <w:trHeight w:val="483" w:hRule="atLeast"/>
        </w:trPr>
        <w:tc>
          <w:tcPr>
            <w:tcW w:w="830" w:type="dxa"/>
            <w:noWrap/>
            <w:vAlign w:val="center"/>
          </w:tcPr>
          <w:p>
            <w:pPr>
              <w:rPr>
                <w:rFonts w:ascii="仿宋_GB2312" w:hAnsi="宋体" w:eastAsia="仿宋_GB2312" w:cs="仿宋_GB2312"/>
                <w:color w:val="000000"/>
                <w:sz w:val="28"/>
                <w:szCs w:val="28"/>
              </w:rPr>
            </w:pPr>
          </w:p>
        </w:tc>
        <w:tc>
          <w:tcPr>
            <w:tcW w:w="5686" w:type="dxa"/>
            <w:noWrap/>
            <w:vAlign w:val="center"/>
          </w:tcPr>
          <w:p>
            <w:pPr>
              <w:rPr>
                <w:rFonts w:ascii="仿宋_GB2312" w:hAnsi="宋体" w:eastAsia="仿宋_GB2312" w:cs="仿宋_GB2312"/>
                <w:color w:val="000000"/>
                <w:sz w:val="28"/>
                <w:szCs w:val="28"/>
              </w:rPr>
            </w:pPr>
          </w:p>
        </w:tc>
        <w:tc>
          <w:tcPr>
            <w:tcW w:w="3056" w:type="dxa"/>
            <w:noWrap/>
            <w:vAlign w:val="center"/>
          </w:tcPr>
          <w:p>
            <w:pPr>
              <w:rPr>
                <w:rFonts w:ascii="仿宋_GB2312" w:hAnsi="宋体" w:eastAsia="仿宋_GB2312" w:cs="仿宋_GB2312"/>
                <w:color w:val="000000"/>
                <w:sz w:val="28"/>
                <w:szCs w:val="28"/>
              </w:rPr>
            </w:pPr>
          </w:p>
        </w:tc>
        <w:tc>
          <w:tcPr>
            <w:tcW w:w="2104" w:type="dxa"/>
            <w:gridSpan w:val="2"/>
            <w:tcBorders>
              <w:bottom w:val="single" w:color="000000" w:sz="4" w:space="0"/>
            </w:tcBorders>
            <w:noWrap/>
            <w:vAlign w:val="center"/>
          </w:tcPr>
          <w:p>
            <w:pPr>
              <w:widowControl/>
              <w:jc w:val="right"/>
              <w:textAlignment w:val="center"/>
              <w:rPr>
                <w:rFonts w:ascii="黑体" w:hAnsi="宋体" w:eastAsia="黑体" w:cs="黑体"/>
                <w:color w:val="000000"/>
                <w:sz w:val="24"/>
              </w:rPr>
            </w:pPr>
            <w:r>
              <w:rPr>
                <w:rFonts w:hint="eastAsia" w:ascii="黑体" w:hAnsi="宋体" w:eastAsia="黑体" w:cs="黑体"/>
                <w:color w:val="000000"/>
                <w:kern w:val="0"/>
                <w:sz w:val="24"/>
              </w:rPr>
              <w:t>单位：万元</w:t>
            </w:r>
          </w:p>
        </w:tc>
      </w:tr>
      <w:tr>
        <w:tblPrEx>
          <w:tblCellMar>
            <w:top w:w="15" w:type="dxa"/>
            <w:left w:w="15" w:type="dxa"/>
            <w:bottom w:w="15" w:type="dxa"/>
            <w:right w:w="15" w:type="dxa"/>
          </w:tblCellMar>
        </w:tblPrEx>
        <w:trPr>
          <w:gridAfter w:val="1"/>
          <w:wAfter w:w="280" w:type="dxa"/>
          <w:trHeight w:val="319" w:hRule="atLeast"/>
        </w:trPr>
        <w:tc>
          <w:tcPr>
            <w:tcW w:w="830" w:type="dxa"/>
            <w:vMerge w:val="restart"/>
            <w:tcBorders>
              <w:top w:val="single" w:color="000000" w:sz="4" w:space="0"/>
              <w:left w:val="single" w:color="000000"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序号</w:t>
            </w:r>
          </w:p>
        </w:tc>
        <w:tc>
          <w:tcPr>
            <w:tcW w:w="568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项目名称</w:t>
            </w:r>
          </w:p>
        </w:tc>
        <w:tc>
          <w:tcPr>
            <w:tcW w:w="3056" w:type="dxa"/>
            <w:vMerge w:val="restart"/>
            <w:tcBorders>
              <w:top w:val="single" w:color="000000" w:sz="4" w:space="0"/>
              <w:left w:val="single" w:color="auto" w:sz="4" w:space="0"/>
              <w:bottom w:val="single" w:color="000000" w:sz="4" w:space="0"/>
              <w:right w:val="single" w:color="auto" w:sz="4" w:space="0"/>
            </w:tcBorders>
            <w:noWrap/>
            <w:vAlign w:val="center"/>
          </w:tcPr>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资金使用单位</w:t>
            </w:r>
          </w:p>
        </w:tc>
        <w:tc>
          <w:tcPr>
            <w:tcW w:w="1783" w:type="dxa"/>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得分</w:t>
            </w:r>
          </w:p>
        </w:tc>
        <w:tc>
          <w:tcPr>
            <w:tcW w:w="1554"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黑体" w:hAnsi="宋体" w:eastAsia="黑体" w:cs="黑体"/>
                <w:color w:val="000000"/>
                <w:kern w:val="0"/>
                <w:sz w:val="24"/>
              </w:rPr>
            </w:pPr>
            <w:r>
              <w:rPr>
                <w:rFonts w:hint="eastAsia" w:ascii="黑体" w:hAnsi="宋体" w:eastAsia="黑体" w:cs="黑体"/>
                <w:color w:val="000000"/>
                <w:kern w:val="0"/>
                <w:sz w:val="24"/>
              </w:rPr>
              <w:t>自评</w:t>
            </w:r>
          </w:p>
          <w:p>
            <w:pPr>
              <w:widowControl/>
              <w:jc w:val="center"/>
              <w:textAlignment w:val="center"/>
              <w:rPr>
                <w:rFonts w:ascii="黑体" w:hAnsi="宋体" w:eastAsia="黑体" w:cs="黑体"/>
                <w:color w:val="000000"/>
                <w:sz w:val="24"/>
              </w:rPr>
            </w:pPr>
            <w:r>
              <w:rPr>
                <w:rFonts w:hint="eastAsia" w:ascii="黑体" w:hAnsi="宋体" w:eastAsia="黑体" w:cs="黑体"/>
                <w:color w:val="000000"/>
                <w:kern w:val="0"/>
                <w:sz w:val="24"/>
              </w:rPr>
              <w:t>等级</w:t>
            </w:r>
          </w:p>
        </w:tc>
      </w:tr>
      <w:tr>
        <w:tblPrEx>
          <w:tblCellMar>
            <w:top w:w="15" w:type="dxa"/>
            <w:left w:w="15" w:type="dxa"/>
            <w:bottom w:w="15" w:type="dxa"/>
            <w:right w:w="15" w:type="dxa"/>
          </w:tblCellMar>
        </w:tblPrEx>
        <w:trPr>
          <w:gridAfter w:val="1"/>
          <w:wAfter w:w="280" w:type="dxa"/>
          <w:trHeight w:val="513"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319" w:hRule="atLeast"/>
        </w:trPr>
        <w:tc>
          <w:tcPr>
            <w:tcW w:w="830" w:type="dxa"/>
            <w:vMerge w:val="continue"/>
            <w:tcBorders>
              <w:top w:val="single" w:color="000000" w:sz="4" w:space="0"/>
              <w:left w:val="single" w:color="000000"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568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3056" w:type="dxa"/>
            <w:vMerge w:val="continue"/>
            <w:tcBorders>
              <w:top w:val="single" w:color="000000" w:sz="4" w:space="0"/>
              <w:left w:val="single" w:color="auto" w:sz="4" w:space="0"/>
              <w:bottom w:val="single" w:color="000000" w:sz="4" w:space="0"/>
              <w:right w:val="single" w:color="auto" w:sz="4" w:space="0"/>
            </w:tcBorders>
            <w:noWrap/>
            <w:vAlign w:val="center"/>
          </w:tcPr>
          <w:p>
            <w:pPr>
              <w:jc w:val="center"/>
              <w:rPr>
                <w:rFonts w:ascii="黑体" w:hAnsi="宋体" w:eastAsia="黑体" w:cs="黑体"/>
                <w:color w:val="000000"/>
                <w:sz w:val="24"/>
              </w:rPr>
            </w:pPr>
          </w:p>
        </w:tc>
        <w:tc>
          <w:tcPr>
            <w:tcW w:w="1783" w:type="dxa"/>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c>
          <w:tcPr>
            <w:tcW w:w="1554"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黑体" w:hAnsi="宋体" w:eastAsia="黑体" w:cs="黑体"/>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1</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hint="eastAsia" w:ascii="仿宋_GB2312" w:hAnsi="宋体" w:eastAsia="仿宋_GB2312" w:cs="仿宋_GB2312"/>
                <w:color w:val="000000"/>
                <w:sz w:val="24"/>
                <w:lang w:eastAsia="zh-CN"/>
              </w:rPr>
            </w:pPr>
            <w:r>
              <w:rPr>
                <w:rFonts w:hint="eastAsia" w:ascii="仿宋_GB2312" w:hAnsi="宋体" w:eastAsia="仿宋_GB2312" w:cs="仿宋_GB2312"/>
                <w:color w:val="000000"/>
                <w:sz w:val="24"/>
                <w:lang w:eastAsia="zh-CN"/>
              </w:rPr>
              <w:t>无</w:t>
            </w: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2</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sz w:val="24"/>
              </w:rPr>
            </w:pPr>
            <w:r>
              <w:rPr>
                <w:rFonts w:hint="eastAsia" w:ascii="仿宋_GB2312" w:hAnsi="宋体" w:eastAsia="仿宋_GB2312" w:cs="仿宋_GB2312"/>
                <w:color w:val="000000"/>
                <w:kern w:val="0"/>
                <w:sz w:val="24"/>
              </w:rPr>
              <w:t>3</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378"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4</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5</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r>
        <w:tblPrEx>
          <w:tblCellMar>
            <w:top w:w="15" w:type="dxa"/>
            <w:left w:w="15" w:type="dxa"/>
            <w:bottom w:w="15" w:type="dxa"/>
            <w:right w:w="15" w:type="dxa"/>
          </w:tblCellMar>
        </w:tblPrEx>
        <w:trPr>
          <w:gridAfter w:val="1"/>
          <w:wAfter w:w="280" w:type="dxa"/>
          <w:trHeight w:val="444" w:hRule="atLeast"/>
        </w:trPr>
        <w:tc>
          <w:tcPr>
            <w:tcW w:w="830"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仿宋_GB2312" w:hAnsi="宋体" w:eastAsia="仿宋_GB2312" w:cs="仿宋_GB2312"/>
                <w:color w:val="000000"/>
                <w:kern w:val="0"/>
                <w:sz w:val="24"/>
              </w:rPr>
            </w:pPr>
            <w:r>
              <w:rPr>
                <w:rFonts w:hint="eastAsia" w:ascii="仿宋_GB2312" w:hAnsi="宋体" w:eastAsia="仿宋_GB2312" w:cs="仿宋_GB2312"/>
                <w:color w:val="000000"/>
                <w:kern w:val="0"/>
                <w:sz w:val="24"/>
              </w:rPr>
              <w:t>…</w:t>
            </w:r>
          </w:p>
        </w:tc>
        <w:tc>
          <w:tcPr>
            <w:tcW w:w="5686" w:type="dxa"/>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r>
              <w:rPr>
                <w:rFonts w:hint="eastAsia" w:ascii="仿宋_GB2312" w:hAnsi="宋体" w:eastAsia="仿宋_GB2312" w:cs="仿宋_GB2312"/>
                <w:color w:val="000000"/>
                <w:sz w:val="24"/>
              </w:rPr>
              <w:t>……</w:t>
            </w:r>
          </w:p>
        </w:tc>
        <w:tc>
          <w:tcPr>
            <w:tcW w:w="3056" w:type="dxa"/>
            <w:tcBorders>
              <w:top w:val="single" w:color="000000" w:sz="4" w:space="0"/>
              <w:left w:val="single" w:color="000000" w:sz="4" w:space="0"/>
              <w:bottom w:val="single" w:color="000000" w:sz="4" w:space="0"/>
              <w:right w:val="single" w:color="000000" w:sz="4" w:space="0"/>
            </w:tcBorders>
            <w:noWrap/>
            <w:vAlign w:val="center"/>
          </w:tcPr>
          <w:p>
            <w:pPr>
              <w:jc w:val="center"/>
              <w:rPr>
                <w:sz w:val="21"/>
              </w:rPr>
            </w:pPr>
          </w:p>
        </w:tc>
        <w:tc>
          <w:tcPr>
            <w:tcW w:w="1783" w:type="dxa"/>
            <w:tcBorders>
              <w:top w:val="single" w:color="000000" w:sz="4" w:space="0"/>
              <w:bottom w:val="single" w:color="000000" w:sz="4" w:space="0"/>
              <w:right w:val="single" w:color="000000" w:sz="4" w:space="0"/>
            </w:tcBorders>
            <w:noWrap/>
            <w:vAlign w:val="center"/>
          </w:tcPr>
          <w:p>
            <w:pPr>
              <w:jc w:val="center"/>
              <w:rPr>
                <w:rFonts w:ascii="仿宋_GB2312" w:hAnsi="宋体" w:eastAsia="仿宋_GB2312" w:cs="仿宋_GB2312"/>
                <w:color w:val="000000"/>
                <w:sz w:val="24"/>
              </w:rPr>
            </w:pPr>
          </w:p>
        </w:tc>
        <w:tc>
          <w:tcPr>
            <w:tcW w:w="155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仿宋_GB2312" w:hAnsi="宋体" w:eastAsia="仿宋_GB2312" w:cs="仿宋_GB2312"/>
                <w:color w:val="000000"/>
                <w:sz w:val="24"/>
              </w:rPr>
            </w:pPr>
          </w:p>
        </w:tc>
      </w:tr>
    </w:tbl>
    <w:p>
      <w:pPr>
        <w:tabs>
          <w:tab w:val="left" w:pos="5891"/>
        </w:tabs>
        <w:spacing w:line="580" w:lineRule="exact"/>
        <w:rPr>
          <w:rFonts w:ascii="黑体" w:hAnsi="黑体" w:eastAsia="黑体" w:cs="黑体"/>
          <w:szCs w:val="32"/>
        </w:rPr>
      </w:pPr>
    </w:p>
    <w:p>
      <w:pPr>
        <w:tabs>
          <w:tab w:val="left" w:pos="5891"/>
        </w:tabs>
        <w:spacing w:line="580" w:lineRule="exact"/>
        <w:rPr>
          <w:rFonts w:ascii="黑体" w:hAnsi="黑体" w:eastAsia="黑体" w:cs="黑体"/>
          <w:szCs w:val="32"/>
        </w:rPr>
      </w:pPr>
    </w:p>
    <w:p>
      <w:pPr>
        <w:tabs>
          <w:tab w:val="left" w:pos="5891"/>
        </w:tabs>
        <w:spacing w:line="580" w:lineRule="exact"/>
        <w:rPr>
          <w:rFonts w:ascii="黑体" w:hAnsi="黑体" w:eastAsia="黑体" w:cs="黑体"/>
          <w:szCs w:val="32"/>
        </w:rPr>
      </w:pPr>
    </w:p>
    <w:p>
      <w:pPr>
        <w:tabs>
          <w:tab w:val="left" w:pos="5891"/>
        </w:tabs>
        <w:spacing w:line="580" w:lineRule="exact"/>
        <w:rPr>
          <w:rFonts w:ascii="黑体" w:hAnsi="黑体" w:eastAsia="黑体" w:cs="黑体"/>
          <w:szCs w:val="32"/>
        </w:rPr>
        <w:sectPr>
          <w:pgSz w:w="16838" w:h="11906" w:orient="landscape"/>
          <w:pgMar w:top="1531" w:right="2098" w:bottom="1417" w:left="1871" w:header="851" w:footer="992" w:gutter="0"/>
          <w:cols w:space="720" w:num="1"/>
          <w:docGrid w:type="lines" w:linePitch="319" w:charSpace="0"/>
        </w:sectPr>
      </w:pPr>
    </w:p>
    <w:tbl>
      <w:tblPr>
        <w:tblStyle w:val="4"/>
        <w:tblW w:w="10400" w:type="dxa"/>
        <w:jc w:val="center"/>
        <w:tblLayout w:type="fixed"/>
        <w:tblCellMar>
          <w:top w:w="15" w:type="dxa"/>
          <w:left w:w="15" w:type="dxa"/>
          <w:bottom w:w="15" w:type="dxa"/>
          <w:right w:w="15" w:type="dxa"/>
        </w:tblCellMar>
      </w:tblPr>
      <w:tblGrid>
        <w:gridCol w:w="465"/>
        <w:gridCol w:w="823"/>
        <w:gridCol w:w="1475"/>
        <w:gridCol w:w="319"/>
        <w:gridCol w:w="2127"/>
        <w:gridCol w:w="278"/>
        <w:gridCol w:w="850"/>
        <w:gridCol w:w="770"/>
        <w:gridCol w:w="566"/>
        <w:gridCol w:w="284"/>
        <w:gridCol w:w="343"/>
        <w:gridCol w:w="407"/>
        <w:gridCol w:w="225"/>
        <w:gridCol w:w="1468"/>
      </w:tblGrid>
      <w:tr>
        <w:tblPrEx>
          <w:tblCellMar>
            <w:top w:w="15" w:type="dxa"/>
            <w:left w:w="15" w:type="dxa"/>
            <w:bottom w:w="15" w:type="dxa"/>
            <w:right w:w="15" w:type="dxa"/>
          </w:tblCellMar>
        </w:tblPrEx>
        <w:trPr>
          <w:trHeight w:val="339" w:hRule="atLeast"/>
          <w:jc w:val="center"/>
        </w:trPr>
        <w:tc>
          <w:tcPr>
            <w:tcW w:w="10400" w:type="dxa"/>
            <w:gridSpan w:val="14"/>
            <w:noWrap/>
            <w:vAlign w:val="center"/>
          </w:tcPr>
          <w:p>
            <w:pPr>
              <w:widowControl/>
              <w:jc w:val="left"/>
              <w:textAlignment w:val="center"/>
              <w:rPr>
                <w:rFonts w:ascii="仿宋_GB2312" w:hAnsi="方正小标宋简体" w:eastAsia="仿宋_GB2312" w:cs="方正小标宋简体"/>
                <w:color w:val="000000"/>
                <w:kern w:val="0"/>
                <w:szCs w:val="32"/>
              </w:rPr>
            </w:pPr>
          </w:p>
          <w:p>
            <w:pPr>
              <w:widowControl/>
              <w:jc w:val="center"/>
              <w:textAlignment w:val="center"/>
              <w:rPr>
                <w:rFonts w:ascii="方正小标宋简体" w:hAnsi="方正小标宋简体" w:eastAsia="方正小标宋简体" w:cs="方正小标宋简体"/>
                <w:color w:val="000000"/>
                <w:sz w:val="40"/>
                <w:szCs w:val="40"/>
              </w:rPr>
            </w:pPr>
            <w:r>
              <w:rPr>
                <w:rFonts w:hint="eastAsia"/>
                <w:sz w:val="44"/>
                <w:szCs w:val="44"/>
              </w:rPr>
              <w:t>市级预算项目支出绩效自评表</w:t>
            </w:r>
          </w:p>
        </w:tc>
      </w:tr>
      <w:tr>
        <w:tblPrEx>
          <w:tblCellMar>
            <w:top w:w="15" w:type="dxa"/>
            <w:left w:w="15" w:type="dxa"/>
            <w:bottom w:w="15" w:type="dxa"/>
            <w:right w:w="15" w:type="dxa"/>
          </w:tblCellMar>
        </w:tblPrEx>
        <w:trPr>
          <w:trHeight w:val="177" w:hRule="atLeast"/>
          <w:jc w:val="center"/>
        </w:trPr>
        <w:tc>
          <w:tcPr>
            <w:tcW w:w="10400" w:type="dxa"/>
            <w:gridSpan w:val="14"/>
            <w:noWrap/>
            <w:vAlign w:val="center"/>
          </w:tcPr>
          <w:p>
            <w:pPr>
              <w:widowControl/>
              <w:jc w:val="center"/>
              <w:textAlignment w:val="center"/>
              <w:rPr>
                <w:rFonts w:ascii="楷体_GB2312" w:hAnsi="宋体" w:eastAsia="楷体_GB2312" w:cs="楷体_GB2312"/>
                <w:color w:val="000000"/>
                <w:sz w:val="24"/>
              </w:rPr>
            </w:pPr>
            <w:r>
              <w:rPr>
                <w:rFonts w:hint="eastAsia" w:ascii="楷体_GB2312" w:hAnsi="宋体" w:eastAsia="楷体_GB2312" w:cs="楷体_GB2312"/>
                <w:color w:val="000000"/>
                <w:kern w:val="0"/>
                <w:sz w:val="24"/>
              </w:rPr>
              <w:t>（2019年度）</w:t>
            </w:r>
          </w:p>
        </w:tc>
      </w:tr>
      <w:tr>
        <w:tblPrEx>
          <w:tblCellMar>
            <w:top w:w="15" w:type="dxa"/>
            <w:left w:w="15" w:type="dxa"/>
            <w:bottom w:w="15" w:type="dxa"/>
            <w:right w:w="15" w:type="dxa"/>
          </w:tblCellMar>
        </w:tblPrEx>
        <w:trPr>
          <w:trHeight w:val="177" w:hRule="atLeast"/>
          <w:jc w:val="center"/>
        </w:trPr>
        <w:tc>
          <w:tcPr>
            <w:tcW w:w="465" w:type="dxa"/>
            <w:noWrap/>
            <w:vAlign w:val="center"/>
          </w:tcPr>
          <w:p>
            <w:pPr>
              <w:jc w:val="center"/>
              <w:rPr>
                <w:rFonts w:ascii="宋体" w:hAnsi="宋体" w:cs="宋体"/>
                <w:color w:val="000000"/>
                <w:sz w:val="20"/>
                <w:szCs w:val="20"/>
              </w:rPr>
            </w:pPr>
          </w:p>
        </w:tc>
        <w:tc>
          <w:tcPr>
            <w:tcW w:w="823" w:type="dxa"/>
            <w:noWrap/>
            <w:vAlign w:val="center"/>
          </w:tcPr>
          <w:p>
            <w:pPr>
              <w:jc w:val="center"/>
              <w:rPr>
                <w:rFonts w:ascii="宋体" w:hAnsi="宋体" w:cs="宋体"/>
                <w:color w:val="000000"/>
                <w:sz w:val="20"/>
                <w:szCs w:val="20"/>
              </w:rPr>
            </w:pPr>
          </w:p>
        </w:tc>
        <w:tc>
          <w:tcPr>
            <w:tcW w:w="1475" w:type="dxa"/>
            <w:noWrap/>
            <w:vAlign w:val="center"/>
          </w:tcPr>
          <w:p>
            <w:pPr>
              <w:jc w:val="center"/>
              <w:rPr>
                <w:rFonts w:ascii="宋体" w:hAnsi="宋体" w:cs="宋体"/>
                <w:color w:val="000000"/>
                <w:sz w:val="20"/>
                <w:szCs w:val="20"/>
              </w:rPr>
            </w:pPr>
          </w:p>
        </w:tc>
        <w:tc>
          <w:tcPr>
            <w:tcW w:w="2446" w:type="dxa"/>
            <w:gridSpan w:val="2"/>
            <w:noWrap/>
            <w:vAlign w:val="center"/>
          </w:tcPr>
          <w:p>
            <w:pPr>
              <w:jc w:val="center"/>
              <w:rPr>
                <w:rFonts w:ascii="宋体" w:hAnsi="宋体" w:cs="宋体"/>
                <w:color w:val="000000"/>
                <w:sz w:val="20"/>
                <w:szCs w:val="20"/>
              </w:rPr>
            </w:pPr>
          </w:p>
        </w:tc>
        <w:tc>
          <w:tcPr>
            <w:tcW w:w="1128" w:type="dxa"/>
            <w:gridSpan w:val="2"/>
            <w:noWrap/>
            <w:vAlign w:val="center"/>
          </w:tcPr>
          <w:p>
            <w:pPr>
              <w:jc w:val="center"/>
              <w:rPr>
                <w:rFonts w:ascii="宋体" w:hAnsi="宋体" w:cs="宋体"/>
                <w:color w:val="000000"/>
                <w:sz w:val="20"/>
                <w:szCs w:val="20"/>
              </w:rPr>
            </w:pPr>
          </w:p>
        </w:tc>
        <w:tc>
          <w:tcPr>
            <w:tcW w:w="1336" w:type="dxa"/>
            <w:gridSpan w:val="2"/>
            <w:noWrap/>
            <w:vAlign w:val="center"/>
          </w:tcPr>
          <w:p>
            <w:pPr>
              <w:jc w:val="center"/>
              <w:rPr>
                <w:rFonts w:ascii="宋体" w:hAnsi="宋体" w:cs="宋体"/>
                <w:color w:val="000000"/>
                <w:sz w:val="20"/>
                <w:szCs w:val="20"/>
              </w:rPr>
            </w:pPr>
          </w:p>
        </w:tc>
        <w:tc>
          <w:tcPr>
            <w:tcW w:w="627" w:type="dxa"/>
            <w:gridSpan w:val="2"/>
            <w:noWrap/>
            <w:vAlign w:val="center"/>
          </w:tcPr>
          <w:p>
            <w:pPr>
              <w:jc w:val="center"/>
              <w:rPr>
                <w:rFonts w:ascii="宋体" w:hAnsi="宋体" w:cs="宋体"/>
                <w:color w:val="000000"/>
                <w:sz w:val="20"/>
                <w:szCs w:val="20"/>
              </w:rPr>
            </w:pPr>
          </w:p>
        </w:tc>
        <w:tc>
          <w:tcPr>
            <w:tcW w:w="2100" w:type="dxa"/>
            <w:gridSpan w:val="3"/>
            <w:noWrap/>
            <w:vAlign w:val="center"/>
          </w:tcPr>
          <w:p>
            <w:pPr>
              <w:widowControl/>
              <w:jc w:val="center"/>
              <w:textAlignment w:val="center"/>
              <w:rPr>
                <w:rFonts w:ascii="宋体" w:hAnsi="宋体" w:cs="宋体"/>
                <w:color w:val="000000"/>
                <w:sz w:val="24"/>
              </w:rPr>
            </w:pPr>
          </w:p>
        </w:tc>
      </w:tr>
      <w:tr>
        <w:tblPrEx>
          <w:tblCellMar>
            <w:top w:w="15" w:type="dxa"/>
            <w:left w:w="15" w:type="dxa"/>
            <w:bottom w:w="15" w:type="dxa"/>
            <w:right w:w="15" w:type="dxa"/>
          </w:tblCellMar>
        </w:tblPrEx>
        <w:trPr>
          <w:trHeight w:val="249" w:hRule="atLeast"/>
          <w:jc w:val="center"/>
        </w:trPr>
        <w:tc>
          <w:tcPr>
            <w:tcW w:w="128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项目名称</w:t>
            </w:r>
          </w:p>
        </w:tc>
        <w:tc>
          <w:tcPr>
            <w:tcW w:w="5049" w:type="dxa"/>
            <w:gridSpan w:val="5"/>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hint="eastAsia" w:ascii="宋体" w:hAnsi="宋体" w:eastAsia="宋体" w:cs="宋体"/>
                <w:color w:val="000000"/>
                <w:sz w:val="20"/>
                <w:szCs w:val="20"/>
                <w:lang w:eastAsia="zh-CN"/>
              </w:rPr>
            </w:pPr>
            <w:r>
              <w:rPr>
                <w:rFonts w:hint="eastAsia" w:ascii="宋体" w:hAnsi="宋体" w:cs="宋体"/>
                <w:color w:val="000000"/>
                <w:sz w:val="20"/>
                <w:szCs w:val="20"/>
                <w:lang w:eastAsia="zh-CN"/>
              </w:rPr>
              <w:t>无</w:t>
            </w: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主管部门</w:t>
            </w:r>
          </w:p>
        </w:tc>
        <w:tc>
          <w:tcPr>
            <w:tcW w:w="2727" w:type="dxa"/>
            <w:gridSpan w:val="5"/>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516" w:hRule="atLeast"/>
          <w:jc w:val="center"/>
        </w:trPr>
        <w:tc>
          <w:tcPr>
            <w:tcW w:w="1288" w:type="dxa"/>
            <w:gridSpan w:val="2"/>
            <w:vMerge w:val="restart"/>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项目预算</w:t>
            </w:r>
            <w:r>
              <w:rPr>
                <w:rFonts w:hint="eastAsia" w:ascii="宋体" w:hAnsi="宋体" w:cs="宋体"/>
                <w:b/>
                <w:color w:val="000000"/>
                <w:kern w:val="0"/>
                <w:sz w:val="20"/>
                <w:szCs w:val="20"/>
              </w:rPr>
              <w:br w:type="textWrapping"/>
            </w:r>
            <w:r>
              <w:rPr>
                <w:rFonts w:hint="eastAsia" w:ascii="宋体" w:hAnsi="宋体" w:cs="宋体"/>
                <w:b/>
                <w:color w:val="000000"/>
                <w:kern w:val="0"/>
                <w:sz w:val="20"/>
                <w:szCs w:val="20"/>
              </w:rPr>
              <w:t>执行情况</w:t>
            </w:r>
            <w:r>
              <w:rPr>
                <w:rFonts w:hint="eastAsia" w:ascii="宋体" w:hAnsi="宋体" w:cs="宋体"/>
                <w:b/>
                <w:color w:val="000000"/>
                <w:kern w:val="0"/>
                <w:sz w:val="20"/>
                <w:szCs w:val="20"/>
              </w:rPr>
              <w:br w:type="textWrapping"/>
            </w:r>
            <w:r>
              <w:rPr>
                <w:rFonts w:hint="eastAsia" w:ascii="宋体" w:hAnsi="宋体" w:cs="宋体"/>
                <w:b/>
                <w:color w:val="000000"/>
                <w:kern w:val="0"/>
                <w:sz w:val="20"/>
                <w:szCs w:val="20"/>
              </w:rPr>
              <w:t>（10分）</w:t>
            </w:r>
          </w:p>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单位万元</w:t>
            </w: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rPr>
                <w:rFonts w:ascii="宋体" w:hAnsi="宋体" w:cs="宋体"/>
                <w:color w:val="000000"/>
                <w:sz w:val="20"/>
                <w:szCs w:val="20"/>
              </w:rPr>
            </w:pP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年初预算数</w:t>
            </w: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全年预算数</w:t>
            </w: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全年</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执行数</w:t>
            </w: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分值</w:t>
            </w: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执行率</w:t>
            </w: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得分</w:t>
            </w:r>
          </w:p>
        </w:tc>
      </w:tr>
      <w:tr>
        <w:tblPrEx>
          <w:tblCellMar>
            <w:top w:w="15" w:type="dxa"/>
            <w:left w:w="15" w:type="dxa"/>
            <w:bottom w:w="15" w:type="dxa"/>
            <w:right w:w="15" w:type="dxa"/>
          </w:tblCellMar>
        </w:tblPrEx>
        <w:trPr>
          <w:trHeight w:val="183"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年度资金总额</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其中：当年财政拨款</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上年结转资金</w:t>
            </w:r>
          </w:p>
        </w:tc>
        <w:tc>
          <w:tcPr>
            <w:tcW w:w="2127"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128"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noWrap/>
            <w:vAlign w:val="center"/>
          </w:tcPr>
          <w:p>
            <w:pPr>
              <w:jc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183"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b/>
                <w:color w:val="000000"/>
                <w:sz w:val="20"/>
                <w:szCs w:val="20"/>
              </w:rPr>
            </w:pPr>
          </w:p>
        </w:tc>
        <w:tc>
          <w:tcPr>
            <w:tcW w:w="1794"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其他资金</w:t>
            </w:r>
          </w:p>
        </w:tc>
        <w:tc>
          <w:tcPr>
            <w:tcW w:w="2127"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1128"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1336"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627"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632"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1468"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r>
      <w:tr>
        <w:tblPrEx>
          <w:tblCellMar>
            <w:top w:w="15" w:type="dxa"/>
            <w:left w:w="15" w:type="dxa"/>
            <w:bottom w:w="15" w:type="dxa"/>
            <w:right w:w="15" w:type="dxa"/>
          </w:tblCellMar>
        </w:tblPrEx>
        <w:trPr>
          <w:trHeight w:val="241" w:hRule="atLeast"/>
          <w:jc w:val="center"/>
        </w:trPr>
        <w:tc>
          <w:tcPr>
            <w:tcW w:w="128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年度总体目标</w:t>
            </w:r>
          </w:p>
        </w:tc>
        <w:tc>
          <w:tcPr>
            <w:tcW w:w="5049" w:type="dxa"/>
            <w:gridSpan w:val="5"/>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年初预期目标</w:t>
            </w:r>
          </w:p>
        </w:tc>
        <w:tc>
          <w:tcPr>
            <w:tcW w:w="4063" w:type="dxa"/>
            <w:gridSpan w:val="7"/>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目标实际完成情况</w:t>
            </w:r>
          </w:p>
        </w:tc>
      </w:tr>
      <w:tr>
        <w:tblPrEx>
          <w:tblCellMar>
            <w:top w:w="15" w:type="dxa"/>
            <w:left w:w="15" w:type="dxa"/>
            <w:bottom w:w="15" w:type="dxa"/>
            <w:right w:w="15" w:type="dxa"/>
          </w:tblCellMar>
        </w:tblPrEx>
        <w:trPr>
          <w:trHeight w:val="1476" w:hRule="atLeast"/>
          <w:jc w:val="center"/>
        </w:trPr>
        <w:tc>
          <w:tcPr>
            <w:tcW w:w="128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b/>
                <w:color w:val="000000"/>
                <w:sz w:val="20"/>
                <w:szCs w:val="20"/>
              </w:rPr>
            </w:pPr>
          </w:p>
        </w:tc>
        <w:tc>
          <w:tcPr>
            <w:tcW w:w="5049" w:type="dxa"/>
            <w:gridSpan w:val="5"/>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80" w:lineRule="exact"/>
              <w:jc w:val="left"/>
              <w:textAlignment w:val="center"/>
              <w:rPr>
                <w:rFonts w:ascii="宋体" w:hAnsi="宋体" w:cs="宋体"/>
                <w:color w:val="000000"/>
                <w:sz w:val="20"/>
                <w:szCs w:val="20"/>
              </w:rPr>
            </w:pPr>
          </w:p>
        </w:tc>
        <w:tc>
          <w:tcPr>
            <w:tcW w:w="4063" w:type="dxa"/>
            <w:gridSpan w:val="7"/>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80" w:lineRule="exact"/>
              <w:jc w:val="left"/>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386" w:hRule="atLeast"/>
          <w:jc w:val="center"/>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绩效指标</w:t>
            </w:r>
          </w:p>
        </w:tc>
        <w:tc>
          <w:tcPr>
            <w:tcW w:w="8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一级指标</w:t>
            </w:r>
          </w:p>
        </w:tc>
        <w:tc>
          <w:tcPr>
            <w:tcW w:w="1475"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二级指标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三级指标</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年度指标值</w:t>
            </w: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实际完成指标值</w:t>
            </w: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分值</w:t>
            </w: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得分</w:t>
            </w: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spacing w:line="24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偏差原因分析及改进措施</w:t>
            </w:r>
          </w:p>
        </w:tc>
      </w:tr>
      <w:tr>
        <w:tblPrEx>
          <w:tblCellMar>
            <w:top w:w="15" w:type="dxa"/>
            <w:left w:w="15" w:type="dxa"/>
            <w:bottom w:w="15" w:type="dxa"/>
            <w:right w:w="15" w:type="dxa"/>
          </w:tblCellMar>
        </w:tblPrEx>
        <w:trPr>
          <w:trHeight w:val="188" w:hRule="atLeast"/>
          <w:jc w:val="center"/>
        </w:trPr>
        <w:tc>
          <w:tcPr>
            <w:tcW w:w="465" w:type="dxa"/>
            <w:vMerge w:val="restart"/>
            <w:tcBorders>
              <w:left w:val="single" w:color="000000" w:sz="4" w:space="0"/>
              <w:bottom w:val="single" w:color="000000" w:sz="4" w:space="0"/>
            </w:tcBorders>
            <w:shd w:val="clear" w:color="auto" w:fill="auto"/>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年度绩效指标</w:t>
            </w:r>
          </w:p>
        </w:tc>
        <w:tc>
          <w:tcPr>
            <w:tcW w:w="823" w:type="dxa"/>
            <w:vMerge w:val="restart"/>
            <w:tcBorders>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产</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出</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（50分）</w:t>
            </w:r>
          </w:p>
        </w:tc>
        <w:tc>
          <w:tcPr>
            <w:tcW w:w="1475" w:type="dxa"/>
            <w:vMerge w:val="restart"/>
            <w:tcBorders>
              <w:top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引智成果示范推广项目数</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海外引才工作站资助和奖励</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899"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山东省岸基地引才用才补贴实地评审分组数（分两个组进行）</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64"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离岸基地引才用才补贴</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购买国际人才交流和一网三库内容维护服务</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56"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购买国际人才机构大数据服务</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648" w:hRule="atLeast"/>
          <w:jc w:val="center"/>
        </w:trPr>
        <w:tc>
          <w:tcPr>
            <w:tcW w:w="465" w:type="dxa"/>
            <w:vMerge w:val="continue"/>
            <w:tcBorders>
              <w:left w:val="single" w:color="000000" w:sz="4" w:space="0"/>
              <w:bottom w:val="single" w:color="000000"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000000"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000000"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购买海外创新创业大赛项目举办数</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06" w:hRule="atLeast"/>
          <w:jc w:val="center"/>
        </w:trPr>
        <w:tc>
          <w:tcPr>
            <w:tcW w:w="465" w:type="dxa"/>
            <w:vMerge w:val="continue"/>
            <w:tcBorders>
              <w:left w:val="single" w:color="000000" w:sz="4" w:space="0"/>
              <w:bottom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智力援助送教上门活动（新疆、西藏、青海三个送交上门活动团组</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年度绩效指标</w:t>
            </w: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p>
          <w:p>
            <w:pPr>
              <w:widowControl/>
              <w:jc w:val="center"/>
              <w:textAlignment w:val="center"/>
              <w:rPr>
                <w:rFonts w:ascii="宋体" w:hAnsi="宋体" w:cs="宋体"/>
                <w:b/>
                <w:color w:val="000000"/>
                <w:kern w:val="0"/>
                <w:sz w:val="20"/>
                <w:szCs w:val="20"/>
              </w:rPr>
            </w:pPr>
            <w:r>
              <w:rPr>
                <w:rFonts w:hint="eastAsia" w:ascii="宋体" w:hAnsi="宋体" w:cs="宋体"/>
                <w:b/>
                <w:color w:val="000000"/>
                <w:kern w:val="0"/>
                <w:sz w:val="20"/>
                <w:szCs w:val="20"/>
              </w:rPr>
              <w:t>年度绩效指标</w:t>
            </w:r>
          </w:p>
          <w:p>
            <w:pPr>
              <w:widowControl/>
              <w:jc w:val="center"/>
              <w:textAlignment w:val="center"/>
              <w:rPr>
                <w:rFonts w:ascii="宋体" w:hAnsi="宋体" w:cs="宋体"/>
                <w:b/>
                <w:color w:val="000000"/>
                <w:sz w:val="20"/>
                <w:szCs w:val="20"/>
              </w:rPr>
            </w:pPr>
          </w:p>
        </w:tc>
        <w:tc>
          <w:tcPr>
            <w:tcW w:w="823"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产</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出</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（50分</w:t>
            </w: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textAlignment w:val="center"/>
              <w:rPr>
                <w:rFonts w:ascii="宋体" w:hAnsi="宋体" w:cs="宋体"/>
                <w:color w:val="000000"/>
                <w:kern w:val="0"/>
                <w:sz w:val="20"/>
                <w:szCs w:val="20"/>
              </w:rPr>
            </w:pP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产</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出</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（50分）</w:t>
            </w:r>
          </w:p>
        </w:tc>
        <w:tc>
          <w:tcPr>
            <w:tcW w:w="1475" w:type="dxa"/>
            <w:vMerge w:val="restart"/>
            <w:tcBorders>
              <w:top w:val="single" w:color="auto" w:sz="4" w:space="0"/>
              <w:left w:val="single" w:color="auto" w:sz="4" w:space="0"/>
              <w:bottom w:val="single" w:color="auto" w:sz="4" w:space="0"/>
              <w:right w:val="single" w:color="auto" w:sz="4" w:space="0"/>
            </w:tcBorders>
            <w:shd w:val="clear" w:color="auto" w:fill="C7EDCC"/>
            <w:noWrap/>
            <w:vAlign w:val="center"/>
          </w:tcPr>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数量指标</w:t>
            </w: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textAlignment w:val="center"/>
              <w:rPr>
                <w:rFonts w:ascii="宋体" w:hAnsi="宋体" w:cs="宋体"/>
                <w:color w:val="000000"/>
                <w:kern w:val="0"/>
                <w:sz w:val="20"/>
                <w:szCs w:val="20"/>
              </w:rPr>
            </w:pPr>
          </w:p>
          <w:p>
            <w:pPr>
              <w:widowControl/>
              <w:jc w:val="center"/>
              <w:textAlignment w:val="center"/>
              <w:rPr>
                <w:rFonts w:ascii="宋体" w:hAnsi="宋体" w:cs="宋体"/>
                <w:color w:val="000000"/>
                <w:kern w:val="0"/>
                <w:sz w:val="20"/>
                <w:szCs w:val="20"/>
              </w:rPr>
            </w:pP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数量指标</w:t>
            </w:r>
          </w:p>
        </w:tc>
        <w:tc>
          <w:tcPr>
            <w:tcW w:w="2724" w:type="dxa"/>
            <w:gridSpan w:val="3"/>
            <w:tcBorders>
              <w:top w:val="single" w:color="auto"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组团参加中国国际人才交流大会</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全省引智业务培训班次数</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引智项目评审等各类评审</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工作站、联络处、试验区、基地等牌匾条幅制作</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80"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宣传材料订阅及自助网站维护</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承办第十三届中美工程技术研讨会第一次中外筹备会</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01"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齐鲁友谊奖表彰、评审活动以及外国专家建言会</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中国政府友谊奖获奖专家</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47"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省级引智项目和齐鲁友谊奖申报及评审系统开发</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47"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省“外专双百计划”等重点引智项目专项检查</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06"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外国专家齐鲁行活动、高层次外国专家、外国专家组织负责人等考察洽谈活动次数</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5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“外专双百计划”和省级外国专家项目评审会议</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5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赴国外开展国际科技与人才项目合作交流</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7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高层次外国专家休假活动</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7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制作外国人来华工作许可证件</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4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省级引进外国专家项目</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42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出国（境）培训项目</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p>
        </w:tc>
      </w:tr>
      <w:tr>
        <w:tblPrEx>
          <w:tblCellMar>
            <w:top w:w="15" w:type="dxa"/>
            <w:left w:w="15" w:type="dxa"/>
            <w:bottom w:w="15" w:type="dxa"/>
            <w:right w:w="15" w:type="dxa"/>
          </w:tblCellMar>
        </w:tblPrEx>
        <w:trPr>
          <w:trHeight w:val="26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外国专家系列专题讲座</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60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英语教师培训资助</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18"/>
                <w:szCs w:val="18"/>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出国培训招才引智团</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出国（境）培训成果编印次数</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0"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出国（境）培训计划编报部署会</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8"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bottom w:val="single" w:color="auto" w:sz="4" w:space="0"/>
              <w:right w:val="single" w:color="auto"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auto"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专办员工作会</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质量指标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项目执行情况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18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外国专家作用发挥情况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引智成果示范推广作用发挥情况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1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外国专家讲座参与者受益情况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6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出国（境）培训项目作用发挥情况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6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时效指标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资金拨付到位情况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63"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left w:val="single" w:color="000000"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上述重点工作完成及时率</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19"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textAlignment w:val="center"/>
              <w:rPr>
                <w:rFonts w:ascii="宋体" w:hAnsi="宋体" w:cs="宋体"/>
                <w:b/>
                <w:color w:val="000000"/>
                <w:sz w:val="20"/>
                <w:szCs w:val="20"/>
              </w:rPr>
            </w:pPr>
          </w:p>
        </w:tc>
        <w:tc>
          <w:tcPr>
            <w:tcW w:w="823" w:type="dxa"/>
            <w:vMerge w:val="restart"/>
            <w:tcBorders>
              <w:top w:val="single" w:color="auto" w:sz="4" w:space="0"/>
              <w:bottom w:val="single" w:color="auto"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效益指标（30分）</w:t>
            </w: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社会效益</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项目单位受益情况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506"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在科研项目攻关、关键核心技术突破、产业转型升级等方面作用发挥情况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项目实施对经济社会生态发展所带来的直接或间接影响</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344"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项目后续运行及引才成效发挥的可持续影响情况</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9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restart"/>
            <w:tcBorders>
              <w:top w:val="single" w:color="auto" w:sz="4" w:space="0"/>
              <w:bottom w:val="single" w:color="auto" w:sz="4" w:space="0"/>
              <w:right w:val="single" w:color="000000" w:sz="4" w:space="0"/>
            </w:tcBorders>
            <w:shd w:val="clear" w:color="auto" w:fill="auto"/>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满意度</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指标</w:t>
            </w:r>
            <w:r>
              <w:rPr>
                <w:rFonts w:hint="eastAsia" w:ascii="宋体" w:hAnsi="宋体" w:cs="宋体"/>
                <w:color w:val="000000"/>
                <w:kern w:val="0"/>
                <w:sz w:val="20"/>
                <w:szCs w:val="20"/>
              </w:rPr>
              <w:br w:type="textWrapping"/>
            </w:r>
            <w:r>
              <w:rPr>
                <w:rFonts w:hint="eastAsia" w:ascii="宋体" w:hAnsi="宋体" w:cs="宋体"/>
                <w:color w:val="000000"/>
                <w:kern w:val="0"/>
                <w:sz w:val="20"/>
                <w:szCs w:val="20"/>
              </w:rPr>
              <w:t>（10分）</w:t>
            </w:r>
          </w:p>
        </w:tc>
        <w:tc>
          <w:tcPr>
            <w:tcW w:w="1475" w:type="dxa"/>
            <w:vMerge w:val="restart"/>
            <w:tcBorders>
              <w:top w:val="single" w:color="auto" w:sz="4" w:space="0"/>
              <w:left w:val="single" w:color="000000" w:sz="4" w:space="0"/>
              <w:bottom w:val="single" w:color="auto"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服务对象满意度指标</w:t>
            </w: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专家满意度</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9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项目单位满意度</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95" w:hRule="atLeast"/>
          <w:jc w:val="center"/>
        </w:trPr>
        <w:tc>
          <w:tcPr>
            <w:tcW w:w="465"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jc w:val="center"/>
              <w:rPr>
                <w:rFonts w:ascii="宋体" w:hAnsi="宋体" w:cs="宋体"/>
                <w:b/>
                <w:color w:val="000000"/>
                <w:sz w:val="20"/>
                <w:szCs w:val="20"/>
              </w:rPr>
            </w:pPr>
          </w:p>
        </w:tc>
        <w:tc>
          <w:tcPr>
            <w:tcW w:w="823" w:type="dxa"/>
            <w:vMerge w:val="continue"/>
            <w:tcBorders>
              <w:top w:val="single" w:color="auto" w:sz="4" w:space="0"/>
              <w:bottom w:val="single" w:color="auto" w:sz="4" w:space="0"/>
              <w:right w:val="single" w:color="000000" w:sz="4" w:space="0"/>
            </w:tcBorders>
            <w:shd w:val="clear" w:color="auto" w:fill="auto"/>
            <w:noWrap/>
            <w:vAlign w:val="center"/>
          </w:tcPr>
          <w:p>
            <w:pPr>
              <w:jc w:val="center"/>
              <w:rPr>
                <w:rFonts w:ascii="宋体" w:hAnsi="宋体" w:cs="宋体"/>
                <w:color w:val="000000"/>
                <w:sz w:val="20"/>
                <w:szCs w:val="20"/>
              </w:rPr>
            </w:pPr>
          </w:p>
        </w:tc>
        <w:tc>
          <w:tcPr>
            <w:tcW w:w="1475" w:type="dxa"/>
            <w:vMerge w:val="continue"/>
            <w:tcBorders>
              <w:top w:val="single" w:color="auto" w:sz="4" w:space="0"/>
              <w:left w:val="single" w:color="000000" w:sz="4" w:space="0"/>
              <w:bottom w:val="single" w:color="auto" w:sz="4" w:space="0"/>
              <w:right w:val="single" w:color="000000" w:sz="4" w:space="0"/>
            </w:tcBorders>
            <w:shd w:val="clear" w:color="auto" w:fill="C7EDCC"/>
            <w:noWrap/>
            <w:vAlign w:val="center"/>
          </w:tcPr>
          <w:p>
            <w:pPr>
              <w:jc w:val="center"/>
              <w:rPr>
                <w:rFonts w:ascii="宋体" w:hAnsi="宋体" w:cs="宋体"/>
                <w:color w:val="000000"/>
                <w:sz w:val="20"/>
                <w:szCs w:val="20"/>
              </w:rPr>
            </w:pPr>
          </w:p>
        </w:tc>
        <w:tc>
          <w:tcPr>
            <w:tcW w:w="2724" w:type="dxa"/>
            <w:gridSpan w:val="3"/>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参训人员满意度</w:t>
            </w:r>
          </w:p>
        </w:tc>
        <w:tc>
          <w:tcPr>
            <w:tcW w:w="85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70" w:type="dxa"/>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8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750"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widowControl/>
              <w:jc w:val="center"/>
              <w:textAlignment w:val="center"/>
              <w:rPr>
                <w:rFonts w:ascii="宋体" w:hAnsi="宋体" w:cs="宋体"/>
                <w:color w:val="000000"/>
                <w:sz w:val="20"/>
                <w:szCs w:val="20"/>
              </w:rPr>
            </w:pPr>
          </w:p>
        </w:tc>
        <w:tc>
          <w:tcPr>
            <w:tcW w:w="1693" w:type="dxa"/>
            <w:gridSpan w:val="2"/>
            <w:tcBorders>
              <w:top w:val="single" w:color="000000" w:sz="4" w:space="0"/>
              <w:left w:val="single" w:color="000000" w:sz="4" w:space="0"/>
              <w:bottom w:val="single" w:color="000000" w:sz="4" w:space="0"/>
              <w:right w:val="single" w:color="000000" w:sz="4" w:space="0"/>
            </w:tcBorders>
            <w:shd w:val="clear" w:color="auto" w:fill="C7EDCC"/>
            <w:noWrap/>
            <w:vAlign w:val="center"/>
          </w:tcPr>
          <w:p>
            <w:pPr>
              <w:rPr>
                <w:rFonts w:ascii="宋体" w:hAnsi="宋体" w:cs="宋体"/>
                <w:color w:val="000000"/>
                <w:sz w:val="20"/>
                <w:szCs w:val="20"/>
              </w:rPr>
            </w:pPr>
          </w:p>
        </w:tc>
      </w:tr>
      <w:tr>
        <w:tblPrEx>
          <w:tblCellMar>
            <w:top w:w="15" w:type="dxa"/>
            <w:left w:w="15" w:type="dxa"/>
            <w:bottom w:w="15" w:type="dxa"/>
            <w:right w:w="15" w:type="dxa"/>
          </w:tblCellMar>
        </w:tblPrEx>
        <w:trPr>
          <w:trHeight w:val="284" w:hRule="atLeast"/>
          <w:jc w:val="center"/>
        </w:trPr>
        <w:tc>
          <w:tcPr>
            <w:tcW w:w="1288" w:type="dxa"/>
            <w:gridSpan w:val="2"/>
            <w:tcBorders>
              <w:top w:val="single" w:color="auto"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总分</w:t>
            </w:r>
          </w:p>
        </w:tc>
        <w:tc>
          <w:tcPr>
            <w:tcW w:w="9112" w:type="dxa"/>
            <w:gridSpan w:val="12"/>
            <w:tcBorders>
              <w:top w:val="single" w:color="000000" w:sz="4" w:space="0"/>
              <w:left w:val="single" w:color="000000" w:sz="4" w:space="0"/>
              <w:bottom w:val="single" w:color="000000" w:sz="4" w:space="0"/>
              <w:right w:val="single" w:color="000000" w:sz="4" w:space="0"/>
            </w:tcBorders>
            <w:noWrap/>
            <w:vAlign w:val="center"/>
          </w:tcPr>
          <w:p>
            <w:pPr>
              <w:widowControl/>
              <w:jc w:val="center"/>
              <w:textAlignment w:val="center"/>
              <w:rPr>
                <w:rFonts w:ascii="宋体" w:hAnsi="宋体" w:cs="宋体"/>
                <w:b/>
                <w:color w:val="000000"/>
                <w:sz w:val="20"/>
                <w:szCs w:val="20"/>
              </w:rPr>
            </w:pPr>
          </w:p>
        </w:tc>
      </w:tr>
    </w:tbl>
    <w:p>
      <w:pPr>
        <w:overflowPunct w:val="0"/>
        <w:adjustRightInd w:val="0"/>
        <w:snapToGrid w:val="0"/>
        <w:spacing w:line="580" w:lineRule="exact"/>
        <w:jc w:val="left"/>
        <w:outlineLvl w:val="0"/>
        <w:rPr>
          <w:rFonts w:hint="eastAsia" w:ascii="黑体" w:hAnsi="黑体" w:eastAsia="黑体" w:cs="黑体"/>
          <w:szCs w:val="32"/>
        </w:rPr>
      </w:pPr>
      <w:r>
        <w:rPr>
          <w:rFonts w:hint="eastAsia" w:ascii="仿宋_GB2312" w:hAnsi="仿宋_GB2312" w:eastAsia="仿宋_GB2312" w:cs="仿宋_GB2312"/>
          <w:szCs w:val="32"/>
          <w:lang w:eastAsia="zh-CN"/>
        </w:rPr>
        <w:t>注：因我单位</w:t>
      </w:r>
      <w:r>
        <w:rPr>
          <w:rFonts w:hint="eastAsia" w:ascii="仿宋_GB2312" w:hAnsi="仿宋_GB2312" w:eastAsia="仿宋_GB2312" w:cs="仿宋_GB2312"/>
          <w:szCs w:val="32"/>
          <w:lang w:val="en-US" w:eastAsia="zh-CN"/>
        </w:rPr>
        <w:t>2019年无预算项目，故本表无数据。</w:t>
      </w:r>
    </w:p>
    <w:p>
      <w:pPr>
        <w:overflowPunct w:val="0"/>
        <w:adjustRightInd w:val="0"/>
        <w:snapToGrid w:val="0"/>
        <w:spacing w:line="580" w:lineRule="exact"/>
        <w:jc w:val="both"/>
        <w:outlineLvl w:val="0"/>
        <w:rPr>
          <w:rFonts w:ascii="黑体" w:hAnsi="黑体" w:eastAsia="黑体" w:cs="黑体"/>
          <w:szCs w:val="32"/>
        </w:rPr>
      </w:pPr>
      <w:r>
        <w:rPr>
          <w:rFonts w:hint="eastAsia" w:ascii="黑体" w:hAnsi="黑体" w:eastAsia="黑体" w:cs="黑体"/>
          <w:szCs w:val="32"/>
        </w:rPr>
        <w:br w:type="page"/>
      </w:r>
    </w:p>
    <w:sectPr>
      <w:pgSz w:w="11906" w:h="16838"/>
      <w:pgMar w:top="1701" w:right="1531" w:bottom="1701" w:left="1531" w:header="0" w:footer="1418" w:gutter="0"/>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7"/>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Style w:val="7"/>
        <w:rFonts w:ascii="宋体" w:hAnsi="宋体"/>
        <w:sz w:val="28"/>
        <w:szCs w:val="28"/>
      </w:rPr>
      <w:instrText xml:space="preserve">PAGE  </w:instrText>
    </w:r>
    <w:r>
      <w:rPr>
        <w:rFonts w:ascii="宋体" w:hAnsi="宋体"/>
        <w:sz w:val="28"/>
        <w:szCs w:val="28"/>
      </w:rPr>
      <w:fldChar w:fldCharType="separate"/>
    </w:r>
    <w:r>
      <w:rPr>
        <w:rStyle w:val="7"/>
        <w:rFonts w:ascii="宋体" w:hAnsi="宋体"/>
        <w:sz w:val="28"/>
        <w:szCs w:val="28"/>
      </w:rPr>
      <w:t>20</w:t>
    </w:r>
    <w:r>
      <w:rPr>
        <w:rFonts w:ascii="宋体" w:hAnsi="宋体"/>
        <w:sz w:val="28"/>
        <w:szCs w:val="28"/>
      </w:rPr>
      <w:fldChar w:fldCharType="end"/>
    </w:r>
    <w:r>
      <w:rPr>
        <w:rFonts w:hint="eastAsia" w:ascii="宋体" w:hAnsi="宋体"/>
        <w:sz w:val="28"/>
        <w:szCs w:val="28"/>
      </w:rPr>
      <w:t xml:space="preserve"> —</w:t>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5A4B82D"/>
    <w:multiLevelType w:val="singleLevel"/>
    <w:tmpl w:val="E5A4B82D"/>
    <w:lvl w:ilvl="0" w:tentative="0">
      <w:start w:val="7"/>
      <w:numFmt w:val="chineseCounting"/>
      <w:suff w:val="nothing"/>
      <w:lvlText w:val="%1、"/>
      <w:lvlJc w:val="left"/>
      <w:rPr>
        <w:rFonts w:hint="eastAsia"/>
      </w:rPr>
    </w:lvl>
  </w:abstractNum>
  <w:abstractNum w:abstractNumId="1">
    <w:nsid w:val="EFF531F2"/>
    <w:multiLevelType w:val="singleLevel"/>
    <w:tmpl w:val="EFF531F2"/>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C377A2"/>
    <w:rsid w:val="00165DDF"/>
    <w:rsid w:val="0017751F"/>
    <w:rsid w:val="002F408A"/>
    <w:rsid w:val="003051C2"/>
    <w:rsid w:val="00332E01"/>
    <w:rsid w:val="0049771E"/>
    <w:rsid w:val="00602B63"/>
    <w:rsid w:val="00637F0D"/>
    <w:rsid w:val="006C6D9F"/>
    <w:rsid w:val="007B6BE5"/>
    <w:rsid w:val="0082179D"/>
    <w:rsid w:val="00827E4B"/>
    <w:rsid w:val="00911FB8"/>
    <w:rsid w:val="00981E64"/>
    <w:rsid w:val="00A263B4"/>
    <w:rsid w:val="00B15D8F"/>
    <w:rsid w:val="00B25AAB"/>
    <w:rsid w:val="00BE5CA8"/>
    <w:rsid w:val="00C36218"/>
    <w:rsid w:val="010B710C"/>
    <w:rsid w:val="010F09F1"/>
    <w:rsid w:val="0243512B"/>
    <w:rsid w:val="02D71A8B"/>
    <w:rsid w:val="053662F7"/>
    <w:rsid w:val="061B576D"/>
    <w:rsid w:val="066B1E37"/>
    <w:rsid w:val="08D84D5C"/>
    <w:rsid w:val="0A3C2308"/>
    <w:rsid w:val="0C1505AF"/>
    <w:rsid w:val="0C3F500B"/>
    <w:rsid w:val="0D792D22"/>
    <w:rsid w:val="0E5739C3"/>
    <w:rsid w:val="0F421417"/>
    <w:rsid w:val="13EF3DB0"/>
    <w:rsid w:val="143F26A4"/>
    <w:rsid w:val="15EB6700"/>
    <w:rsid w:val="176C3832"/>
    <w:rsid w:val="18542BCD"/>
    <w:rsid w:val="18E25FD2"/>
    <w:rsid w:val="18FC3518"/>
    <w:rsid w:val="194F2C37"/>
    <w:rsid w:val="19A43B3C"/>
    <w:rsid w:val="1A6B149C"/>
    <w:rsid w:val="1A711B46"/>
    <w:rsid w:val="1C202DDC"/>
    <w:rsid w:val="1E040D63"/>
    <w:rsid w:val="209C64F9"/>
    <w:rsid w:val="20CF4CA6"/>
    <w:rsid w:val="22AE22E9"/>
    <w:rsid w:val="22C377A2"/>
    <w:rsid w:val="230B3C9C"/>
    <w:rsid w:val="232143F4"/>
    <w:rsid w:val="24263FC7"/>
    <w:rsid w:val="250F395A"/>
    <w:rsid w:val="25A572AD"/>
    <w:rsid w:val="264A49DD"/>
    <w:rsid w:val="270A0FEF"/>
    <w:rsid w:val="2A1F3298"/>
    <w:rsid w:val="2E5562D2"/>
    <w:rsid w:val="2FAB6344"/>
    <w:rsid w:val="315557AF"/>
    <w:rsid w:val="3482610C"/>
    <w:rsid w:val="35221E9B"/>
    <w:rsid w:val="38F7727C"/>
    <w:rsid w:val="391253EC"/>
    <w:rsid w:val="3A214CB4"/>
    <w:rsid w:val="3C244AEE"/>
    <w:rsid w:val="3D5B4FCC"/>
    <w:rsid w:val="3E105E6A"/>
    <w:rsid w:val="3EE23309"/>
    <w:rsid w:val="42765CF0"/>
    <w:rsid w:val="4A8C53D7"/>
    <w:rsid w:val="4B0B26E3"/>
    <w:rsid w:val="4E8A0215"/>
    <w:rsid w:val="4EE45E47"/>
    <w:rsid w:val="53987F66"/>
    <w:rsid w:val="53E1097E"/>
    <w:rsid w:val="547B5396"/>
    <w:rsid w:val="55CA7747"/>
    <w:rsid w:val="577C1E70"/>
    <w:rsid w:val="59D55341"/>
    <w:rsid w:val="5A294C22"/>
    <w:rsid w:val="5B2169A5"/>
    <w:rsid w:val="5B3E5716"/>
    <w:rsid w:val="5DF94DEE"/>
    <w:rsid w:val="5F976C34"/>
    <w:rsid w:val="601856C2"/>
    <w:rsid w:val="61660D05"/>
    <w:rsid w:val="621D33C5"/>
    <w:rsid w:val="63696BB7"/>
    <w:rsid w:val="64864E2F"/>
    <w:rsid w:val="64FA5BB6"/>
    <w:rsid w:val="653E58DE"/>
    <w:rsid w:val="658B4A29"/>
    <w:rsid w:val="65FF2885"/>
    <w:rsid w:val="66DA6010"/>
    <w:rsid w:val="68314902"/>
    <w:rsid w:val="68F0589C"/>
    <w:rsid w:val="69FA1C2E"/>
    <w:rsid w:val="6B402395"/>
    <w:rsid w:val="6CE50410"/>
    <w:rsid w:val="6E905DFF"/>
    <w:rsid w:val="6F394FB8"/>
    <w:rsid w:val="70BE2697"/>
    <w:rsid w:val="70C839AA"/>
    <w:rsid w:val="70E2262E"/>
    <w:rsid w:val="75EC26EB"/>
    <w:rsid w:val="760B29C0"/>
    <w:rsid w:val="767C7ADC"/>
    <w:rsid w:val="790C02F3"/>
    <w:rsid w:val="79EE022C"/>
    <w:rsid w:val="7CD6664E"/>
    <w:rsid w:val="7D2F1F5F"/>
    <w:rsid w:val="7DA07030"/>
    <w:rsid w:val="7E1652CE"/>
    <w:rsid w:val="7E4D7B0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p0"/>
    <w:basedOn w:val="1"/>
    <w:qFormat/>
    <w:uiPriority w:val="0"/>
    <w:pPr>
      <w:widowControl/>
    </w:pPr>
    <w:rPr>
      <w:kern w:val="0"/>
      <w:sz w:val="20"/>
      <w:szCs w:val="21"/>
    </w:rPr>
  </w:style>
</w:styles>
</file>

<file path=word/_rels/document.xml.rels><?xml version="1.0" encoding="UTF-8" standalone="yes"?>
<Relationships xmlns="http://schemas.openxmlformats.org/package/2006/relationships"><Relationship Id="rId9" Type="http://schemas.openxmlformats.org/officeDocument/2006/relationships/image" Target="media/image2.emf"/><Relationship Id="rId8" Type="http://schemas.openxmlformats.org/officeDocument/2006/relationships/oleObject" Target="embeddings/oleObject2.bin"/><Relationship Id="rId7" Type="http://schemas.openxmlformats.org/officeDocument/2006/relationships/image" Target="media/image1.e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emf"/><Relationship Id="rId14" Type="http://schemas.openxmlformats.org/officeDocument/2006/relationships/oleObject" Target="embeddings/oleObject5.bin"/><Relationship Id="rId13" Type="http://schemas.openxmlformats.org/officeDocument/2006/relationships/image" Target="media/image4.emf"/><Relationship Id="rId12" Type="http://schemas.openxmlformats.org/officeDocument/2006/relationships/oleObject" Target="embeddings/oleObject4.bin"/><Relationship Id="rId11" Type="http://schemas.openxmlformats.org/officeDocument/2006/relationships/image" Target="media/image3.emf"/><Relationship Id="rId10" Type="http://schemas.openxmlformats.org/officeDocument/2006/relationships/oleObject" Target="embeddings/oleObject3.bin"/><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41</Pages>
  <Words>2564</Words>
  <Characters>14615</Characters>
  <Lines>121</Lines>
  <Paragraphs>34</Paragraphs>
  <TotalTime>75</TotalTime>
  <ScaleCrop>false</ScaleCrop>
  <LinksUpToDate>false</LinksUpToDate>
  <CharactersWithSpaces>17145</CharactersWithSpaces>
  <Application>WPS Office_11.1.0.10000_F1E327BC-269C-435d-A152-05C5408002CA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2020-09-04T06:15:00Z</dcterms:created>
  <dc:creator>王丽靖</dc:creator>
  <cp:lastModifiedBy>种草的兔叽</cp:lastModifiedBy>
  <cp:lastPrinted>2020-09-04T06:03:00Z</cp:lastPrinted>
  <dcterms:modified xsi:type="dcterms:W3CDTF">2021-03-31T04:28:02Z</dcterms:modified>
  <dc:title>2019年度</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2052-11.1.0.10000</vt:lpwstr>
  </property>
  <property fmtid="{D5CDD505-2E9C-101B-9397-08002B2CF9AE}" pid="3" name="ICV">
    <vt:lpwstr>418BF7EEFCAD4D97A6C1CC6DF53D9B80</vt:lpwstr>
  </property>
</Properties>
</file>