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32" w:firstLineChars="200"/>
        <w:jc w:val="right"/>
        <w:rPr>
          <w:rFonts w:hint="default" w:ascii="Times New Roman" w:hAnsi="Times New Roman" w:eastAsia="仿宋_GB2312" w:cs="Times New Roman"/>
        </w:rPr>
      </w:pPr>
    </w:p>
    <w:p>
      <w:pPr>
        <w:jc w:val="center"/>
        <w:rPr>
          <w:rFonts w:hint="default" w:ascii="Times New Roman" w:hAnsi="Times New Roman" w:eastAsia="仿宋_GB2312" w:cs="Times New Roman"/>
        </w:rPr>
      </w:pPr>
    </w:p>
    <w:p>
      <w:pPr>
        <w:jc w:val="center"/>
        <w:rPr>
          <w:rFonts w:hint="default" w:ascii="Times New Roman" w:hAnsi="Times New Roman" w:eastAsia="仿宋_GB2312" w:cs="Times New Roman"/>
        </w:rPr>
      </w:pPr>
    </w:p>
    <w:p>
      <w:pPr>
        <w:jc w:val="center"/>
        <w:rPr>
          <w:rFonts w:hint="default" w:ascii="Times New Roman" w:hAnsi="Times New Roman" w:eastAsia="方正小标宋简体" w:cs="Times New Roman"/>
          <w:spacing w:val="60"/>
          <w:sz w:val="74"/>
          <w:szCs w:val="74"/>
        </w:rPr>
      </w:pPr>
      <w:r>
        <w:rPr>
          <w:rFonts w:hint="default" w:ascii="Times New Roman" w:hAnsi="Times New Roman" w:eastAsia="方正小标宋简体" w:cs="Times New Roman"/>
          <w:spacing w:val="60"/>
          <w:sz w:val="74"/>
          <w:szCs w:val="74"/>
        </w:rPr>
        <w:t>2019年度</w:t>
      </w:r>
    </w:p>
    <w:p>
      <w:pPr>
        <w:jc w:val="center"/>
        <w:rPr>
          <w:rFonts w:hint="default" w:ascii="Times New Roman" w:hAnsi="Times New Roman" w:eastAsia="方正小标宋简体" w:cs="Times New Roman"/>
          <w:spacing w:val="60"/>
          <w:sz w:val="74"/>
          <w:szCs w:val="74"/>
        </w:rPr>
      </w:pPr>
      <w:r>
        <w:rPr>
          <w:rFonts w:hint="default" w:ascii="Times New Roman" w:hAnsi="Times New Roman" w:eastAsia="方正小标宋简体" w:cs="Times New Roman"/>
          <w:spacing w:val="60"/>
          <w:sz w:val="74"/>
          <w:szCs w:val="74"/>
          <w:lang w:eastAsia="zh-CN"/>
        </w:rPr>
        <w:t>宋村镇政府</w:t>
      </w:r>
      <w:r>
        <w:rPr>
          <w:rFonts w:hint="default" w:ascii="Times New Roman" w:hAnsi="Times New Roman" w:eastAsia="方正小标宋简体" w:cs="Times New Roman"/>
          <w:spacing w:val="60"/>
          <w:sz w:val="74"/>
          <w:szCs w:val="74"/>
        </w:rPr>
        <w:t>部门决算</w:t>
      </w:r>
    </w:p>
    <w:p>
      <w:pPr>
        <w:jc w:val="center"/>
        <w:rPr>
          <w:rFonts w:hint="default" w:ascii="Times New Roman" w:hAnsi="Times New Roman" w:eastAsia="楷体_GB2312" w:cs="Times New Roman"/>
          <w:b/>
          <w:bCs/>
          <w:sz w:val="42"/>
          <w:szCs w:val="42"/>
        </w:rPr>
      </w:pPr>
    </w:p>
    <w:p>
      <w:pPr>
        <w:jc w:val="center"/>
        <w:rPr>
          <w:rFonts w:hint="default" w:ascii="Times New Roman" w:hAnsi="Times New Roman" w:eastAsia="楷体_GB2312" w:cs="Times New Roman"/>
          <w:b/>
          <w:bCs/>
          <w:sz w:val="42"/>
          <w:szCs w:val="42"/>
        </w:rPr>
      </w:pPr>
    </w:p>
    <w:p>
      <w:pPr>
        <w:rPr>
          <w:rFonts w:hint="default" w:ascii="Times New Roman" w:hAnsi="Times New Roman" w:eastAsia="仿宋_GB2312" w:cs="Times New Roman"/>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p>
    <w:p>
      <w:pPr>
        <w:spacing w:afterLines="50" w:line="58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目  录</w:t>
      </w:r>
    </w:p>
    <w:p>
      <w:pPr>
        <w:spacing w:line="580" w:lineRule="exact"/>
        <w:ind w:firstLine="316" w:firstLineChars="100"/>
        <w:rPr>
          <w:rFonts w:hint="default" w:ascii="Times New Roman" w:hAnsi="Times New Roman" w:eastAsia="黑体" w:cs="Times New Roman"/>
        </w:rPr>
      </w:pPr>
      <w:r>
        <w:rPr>
          <w:rFonts w:hint="default" w:ascii="Times New Roman" w:hAnsi="Times New Roman" w:eastAsia="黑体" w:cs="Times New Roman"/>
        </w:rPr>
        <w:t>第一部分  部门概况</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一、部门职责</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二、机构设置</w:t>
      </w:r>
    </w:p>
    <w:p>
      <w:pPr>
        <w:spacing w:line="580" w:lineRule="exact"/>
        <w:ind w:firstLine="316" w:firstLineChars="100"/>
        <w:rPr>
          <w:rFonts w:hint="default" w:ascii="Times New Roman" w:hAnsi="Times New Roman" w:eastAsia="黑体" w:cs="Times New Roman"/>
        </w:rPr>
      </w:pPr>
      <w:r>
        <w:rPr>
          <w:rFonts w:hint="default" w:ascii="Times New Roman" w:hAnsi="Times New Roman" w:eastAsia="黑体" w:cs="Times New Roman"/>
        </w:rPr>
        <w:t>第二部分  2019年度部门决算表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一、收入支出决算总表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二、收入决算表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三、支出决算表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四、财政拨款收入支出决算总表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五、一般公共预算财政拨款支出决算表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六、一般公共预算财政拨款基本支出决算表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七、一般公共预算财政拨款“三公”经费支出决算表</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八、政府性基金预算财政拨款收入支出决算表</w:t>
      </w:r>
    </w:p>
    <w:p>
      <w:pPr>
        <w:spacing w:line="580" w:lineRule="exact"/>
        <w:ind w:firstLine="316" w:firstLineChars="100"/>
        <w:rPr>
          <w:rFonts w:hint="default" w:ascii="Times New Roman" w:hAnsi="Times New Roman" w:eastAsia="黑体" w:cs="Times New Roman"/>
        </w:rPr>
      </w:pPr>
      <w:r>
        <w:rPr>
          <w:rFonts w:hint="default" w:ascii="Times New Roman" w:hAnsi="Times New Roman" w:eastAsia="黑体" w:cs="Times New Roman"/>
        </w:rPr>
        <w:t>第三部分  2019年度部门决算情况说明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一、收入支出决算总体情况说明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二、收入决算情况说明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三、支出决算情况说明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四、财政拨款收入支出决算总体情况说明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五、一般公共预算财政拨款支出决算情况说明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六、一般公共预算财政拨款基本支出决算情况说明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七、一般公共预算财政拨款“三公”经费支出决算情况说明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八、政府性基金预算财政拨款收入支出决算情况说明</w:t>
      </w:r>
    </w:p>
    <w:p>
      <w:pPr>
        <w:spacing w:line="580" w:lineRule="exact"/>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九、重要事项情况说明</w:t>
      </w:r>
    </w:p>
    <w:p>
      <w:pPr>
        <w:spacing w:line="580" w:lineRule="exact"/>
        <w:ind w:firstLine="316" w:firstLineChars="100"/>
        <w:rPr>
          <w:rFonts w:hint="default" w:ascii="Times New Roman" w:hAnsi="Times New Roman" w:eastAsia="黑体" w:cs="Times New Roman"/>
        </w:rPr>
      </w:pPr>
      <w:r>
        <w:rPr>
          <w:rFonts w:hint="default" w:ascii="Times New Roman" w:hAnsi="Times New Roman" w:eastAsia="黑体" w:cs="Times New Roman"/>
        </w:rPr>
        <w:t>第四部分  名词解释</w:t>
      </w:r>
    </w:p>
    <w:p>
      <w:pPr>
        <w:spacing w:line="580" w:lineRule="exact"/>
        <w:ind w:firstLine="316" w:firstLineChars="100"/>
        <w:rPr>
          <w:rFonts w:hint="default" w:ascii="Times New Roman" w:hAnsi="Times New Roman" w:eastAsia="黑体" w:cs="Times New Roman"/>
        </w:rPr>
      </w:pPr>
    </w:p>
    <w:p>
      <w:pPr>
        <w:spacing w:line="580" w:lineRule="exact"/>
        <w:ind w:firstLine="316" w:firstLineChars="100"/>
        <w:rPr>
          <w:rFonts w:hint="default" w:ascii="Times New Roman" w:hAnsi="Times New Roman" w:eastAsia="黑体" w:cs="Times New Roman"/>
        </w:rPr>
      </w:pPr>
    </w:p>
    <w:p>
      <w:pPr>
        <w:spacing w:line="580" w:lineRule="exact"/>
        <w:ind w:firstLine="316" w:firstLineChars="100"/>
        <w:rPr>
          <w:rFonts w:hint="default" w:ascii="Times New Roman" w:hAnsi="Times New Roman" w:eastAsia="黑体" w:cs="Times New Roman"/>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jc w:val="center"/>
        <w:rPr>
          <w:rFonts w:hint="default" w:ascii="Times New Roman" w:hAnsi="Times New Roman" w:eastAsia="方正小标宋简体" w:cs="Times New Roman"/>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r>
        <w:rPr>
          <w:rFonts w:hint="default" w:ascii="Times New Roman" w:hAnsi="Times New Roman" w:eastAsia="方正小标宋简体" w:cs="Times New Roman"/>
          <w:spacing w:val="60"/>
          <w:sz w:val="42"/>
          <w:szCs w:val="42"/>
        </w:rPr>
        <w:t>第一部分</w:t>
      </w:r>
    </w:p>
    <w:p>
      <w:pPr>
        <w:jc w:val="center"/>
        <w:rPr>
          <w:rFonts w:hint="default" w:ascii="Times New Roman" w:hAnsi="Times New Roman" w:eastAsia="方正小标宋简体" w:cs="Times New Roman"/>
          <w:spacing w:val="60"/>
          <w:sz w:val="42"/>
          <w:szCs w:val="42"/>
        </w:rPr>
      </w:pPr>
    </w:p>
    <w:p>
      <w:pPr>
        <w:jc w:val="center"/>
        <w:rPr>
          <w:rFonts w:hint="default" w:ascii="Times New Roman" w:hAnsi="Times New Roman" w:eastAsia="方正小标宋简体" w:cs="Times New Roman"/>
          <w:spacing w:val="60"/>
          <w:sz w:val="48"/>
          <w:szCs w:val="48"/>
        </w:rPr>
      </w:pPr>
      <w:r>
        <w:rPr>
          <w:rFonts w:hint="default" w:ascii="Times New Roman" w:hAnsi="Times New Roman" w:eastAsia="方正小标宋简体" w:cs="Times New Roman"/>
          <w:spacing w:val="60"/>
          <w:sz w:val="48"/>
          <w:szCs w:val="48"/>
        </w:rPr>
        <w:t>部门概况</w:t>
      </w:r>
    </w:p>
    <w:p>
      <w:pPr>
        <w:jc w:val="center"/>
        <w:rPr>
          <w:rFonts w:hint="default" w:ascii="Times New Roman" w:hAnsi="Times New Roman" w:eastAsia="仿宋_GB2312" w:cs="Times New Roman"/>
        </w:rPr>
        <w:sectPr>
          <w:headerReference r:id="rId3" w:type="default"/>
          <w:footerReference r:id="rId4" w:type="default"/>
          <w:pgSz w:w="11906" w:h="16838"/>
          <w:pgMar w:top="1701" w:right="1531" w:bottom="1701" w:left="1531" w:header="0" w:footer="1418" w:gutter="0"/>
          <w:cols w:space="720" w:num="1"/>
          <w:docGrid w:type="linesAndChars" w:linePitch="610" w:charSpace="-849"/>
        </w:sectPr>
      </w:pP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一、部门职责</w:t>
      </w:r>
    </w:p>
    <w:p>
      <w:pPr>
        <w:widowControl/>
        <w:snapToGrid w:val="0"/>
        <w:spacing w:line="540" w:lineRule="exact"/>
        <w:ind w:firstLine="632" w:firstLineChars="200"/>
        <w:jc w:val="left"/>
        <w:rPr>
          <w:rFonts w:hint="default" w:ascii="Times New Roman" w:hAnsi="Times New Roman" w:eastAsia="仿宋" w:cs="Times New Roman"/>
          <w:kern w:val="0"/>
          <w:sz w:val="32"/>
          <w:szCs w:val="32"/>
        </w:rPr>
      </w:pPr>
      <w:r>
        <w:rPr>
          <w:rFonts w:hint="default" w:ascii="Times New Roman" w:hAnsi="Times New Roman" w:eastAsia="仿宋" w:cs="Times New Roman"/>
          <w:kern w:val="0"/>
          <w:sz w:val="32"/>
          <w:szCs w:val="32"/>
        </w:rPr>
        <w:t>（一）贯彻执行党和国家的路线方针、政策以及市、区关于</w:t>
      </w:r>
      <w:r>
        <w:rPr>
          <w:rFonts w:hint="default" w:ascii="Times New Roman" w:hAnsi="Times New Roman" w:eastAsia="仿宋" w:cs="Times New Roman"/>
          <w:kern w:val="0"/>
          <w:sz w:val="32"/>
          <w:szCs w:val="32"/>
          <w:lang w:eastAsia="zh-CN"/>
        </w:rPr>
        <w:t>乡镇</w:t>
      </w:r>
      <w:r>
        <w:rPr>
          <w:rFonts w:hint="default" w:ascii="Times New Roman" w:hAnsi="Times New Roman" w:eastAsia="仿宋" w:cs="Times New Roman"/>
          <w:kern w:val="0"/>
          <w:sz w:val="32"/>
          <w:szCs w:val="32"/>
        </w:rPr>
        <w:t>工作方面的指示，制订具体的管理办法并组织实施。</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kern w:val="0"/>
          <w:sz w:val="32"/>
          <w:szCs w:val="32"/>
        </w:rPr>
        <w:t>（二）指导、搞好</w:t>
      </w:r>
      <w:r>
        <w:rPr>
          <w:rFonts w:hint="default" w:ascii="Times New Roman" w:hAnsi="Times New Roman" w:eastAsia="仿宋" w:cs="Times New Roman"/>
          <w:kern w:val="0"/>
          <w:sz w:val="32"/>
          <w:szCs w:val="32"/>
          <w:lang w:eastAsia="zh-CN"/>
        </w:rPr>
        <w:t>镇区</w:t>
      </w:r>
      <w:r>
        <w:rPr>
          <w:rFonts w:hint="default" w:ascii="Times New Roman" w:hAnsi="Times New Roman" w:eastAsia="仿宋" w:cs="Times New Roman"/>
          <w:kern w:val="0"/>
          <w:sz w:val="32"/>
          <w:szCs w:val="32"/>
        </w:rPr>
        <w:t>内</w:t>
      </w:r>
      <w:r>
        <w:rPr>
          <w:rFonts w:hint="default" w:ascii="Times New Roman" w:hAnsi="Times New Roman" w:eastAsia="仿宋" w:cs="Times New Roman"/>
          <w:kern w:val="0"/>
          <w:sz w:val="32"/>
          <w:szCs w:val="32"/>
          <w:lang w:eastAsia="zh-CN"/>
        </w:rPr>
        <w:t>村</w:t>
      </w:r>
      <w:r>
        <w:rPr>
          <w:rFonts w:hint="default" w:ascii="Times New Roman" w:hAnsi="Times New Roman" w:eastAsia="仿宋" w:cs="Times New Roman"/>
          <w:kern w:val="0"/>
          <w:sz w:val="32"/>
          <w:szCs w:val="32"/>
        </w:rPr>
        <w:t>委会的工作，支持、帮助</w:t>
      </w:r>
      <w:r>
        <w:rPr>
          <w:rFonts w:hint="default" w:ascii="Times New Roman" w:hAnsi="Times New Roman" w:eastAsia="仿宋" w:cs="Times New Roman"/>
          <w:kern w:val="0"/>
          <w:sz w:val="32"/>
          <w:szCs w:val="32"/>
          <w:lang w:eastAsia="zh-CN"/>
        </w:rPr>
        <w:t>村</w:t>
      </w:r>
      <w:r>
        <w:rPr>
          <w:rFonts w:hint="default" w:ascii="Times New Roman" w:hAnsi="Times New Roman" w:eastAsia="仿宋" w:cs="Times New Roman"/>
          <w:kern w:val="0"/>
          <w:sz w:val="32"/>
          <w:szCs w:val="32"/>
        </w:rPr>
        <w:t>民委员会加强思想、组织、制度建设，向上级人民政府和有关部门</w:t>
      </w:r>
      <w:r>
        <w:rPr>
          <w:rFonts w:hint="default" w:ascii="Times New Roman" w:hAnsi="Times New Roman" w:eastAsia="仿宋" w:cs="Times New Roman"/>
          <w:color w:val="auto"/>
          <w:kern w:val="0"/>
          <w:sz w:val="32"/>
          <w:szCs w:val="32"/>
        </w:rPr>
        <w:t>及时反映</w:t>
      </w:r>
      <w:r>
        <w:rPr>
          <w:rFonts w:hint="default" w:ascii="Times New Roman" w:hAnsi="Times New Roman" w:eastAsia="仿宋" w:cs="Times New Roman"/>
          <w:color w:val="auto"/>
          <w:kern w:val="0"/>
          <w:sz w:val="32"/>
          <w:szCs w:val="32"/>
          <w:lang w:eastAsia="zh-CN"/>
        </w:rPr>
        <w:t>村民</w:t>
      </w:r>
      <w:r>
        <w:rPr>
          <w:rFonts w:hint="default" w:ascii="Times New Roman" w:hAnsi="Times New Roman" w:eastAsia="仿宋" w:cs="Times New Roman"/>
          <w:color w:val="auto"/>
          <w:kern w:val="0"/>
          <w:sz w:val="32"/>
          <w:szCs w:val="32"/>
        </w:rPr>
        <w:t>的意见、建议和要求。</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（三）抓好</w:t>
      </w:r>
      <w:r>
        <w:rPr>
          <w:rFonts w:hint="default" w:ascii="Times New Roman" w:hAnsi="Times New Roman" w:cs="Times New Roman"/>
          <w:color w:val="auto"/>
          <w:kern w:val="0"/>
          <w:sz w:val="24"/>
        </w:rPr>
        <w:fldChar w:fldCharType="begin"/>
      </w:r>
      <w:r>
        <w:rPr>
          <w:rFonts w:hint="default" w:ascii="Times New Roman" w:hAnsi="Times New Roman" w:cs="Times New Roman"/>
          <w:color w:val="auto"/>
          <w:kern w:val="0"/>
          <w:sz w:val="24"/>
        </w:rPr>
        <w:instrText xml:space="preserve"> HYPERLINK "http://baike.baidu.com/view/4371180.htm" </w:instrText>
      </w:r>
      <w:r>
        <w:rPr>
          <w:rFonts w:hint="default" w:ascii="Times New Roman" w:hAnsi="Times New Roman" w:cs="Times New Roman"/>
          <w:color w:val="auto"/>
          <w:kern w:val="0"/>
          <w:sz w:val="24"/>
        </w:rPr>
        <w:fldChar w:fldCharType="separate"/>
      </w:r>
      <w:r>
        <w:rPr>
          <w:rFonts w:hint="default" w:ascii="Times New Roman" w:hAnsi="Times New Roman" w:eastAsia="仿宋" w:cs="Times New Roman"/>
          <w:color w:val="auto"/>
          <w:kern w:val="0"/>
          <w:sz w:val="32"/>
          <w:lang w:eastAsia="zh-CN"/>
        </w:rPr>
        <w:t>基层</w:t>
      </w:r>
      <w:r>
        <w:rPr>
          <w:rFonts w:hint="default" w:ascii="Times New Roman" w:hAnsi="Times New Roman" w:eastAsia="仿宋" w:cs="Times New Roman"/>
          <w:color w:val="auto"/>
          <w:kern w:val="0"/>
          <w:sz w:val="32"/>
        </w:rPr>
        <w:t>文化建设</w:t>
      </w:r>
      <w:r>
        <w:rPr>
          <w:rFonts w:hint="default" w:ascii="Times New Roman" w:hAnsi="Times New Roman" w:cs="Times New Roman"/>
          <w:color w:val="auto"/>
          <w:kern w:val="0"/>
          <w:sz w:val="24"/>
        </w:rPr>
        <w:fldChar w:fldCharType="end"/>
      </w:r>
      <w:r>
        <w:rPr>
          <w:rFonts w:hint="default" w:ascii="Times New Roman" w:hAnsi="Times New Roman" w:eastAsia="仿宋" w:cs="Times New Roman"/>
          <w:color w:val="auto"/>
          <w:kern w:val="0"/>
          <w:sz w:val="32"/>
          <w:szCs w:val="32"/>
        </w:rPr>
        <w:t>，组织</w:t>
      </w:r>
      <w:r>
        <w:rPr>
          <w:rFonts w:hint="default" w:ascii="Times New Roman" w:hAnsi="Times New Roman" w:eastAsia="仿宋" w:cs="Times New Roman"/>
          <w:color w:val="auto"/>
          <w:kern w:val="0"/>
          <w:sz w:val="32"/>
          <w:szCs w:val="32"/>
          <w:lang w:eastAsia="zh-CN"/>
        </w:rPr>
        <w:t>村民</w:t>
      </w:r>
      <w:r>
        <w:rPr>
          <w:rFonts w:hint="default" w:ascii="Times New Roman" w:hAnsi="Times New Roman" w:eastAsia="仿宋" w:cs="Times New Roman"/>
          <w:color w:val="auto"/>
          <w:kern w:val="0"/>
          <w:sz w:val="32"/>
          <w:szCs w:val="32"/>
        </w:rPr>
        <w:t>开展经常性的文化、娱乐、体育活动。</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（四）负责</w:t>
      </w:r>
      <w:r>
        <w:rPr>
          <w:rFonts w:hint="default" w:ascii="Times New Roman" w:hAnsi="Times New Roman" w:eastAsia="仿宋" w:cs="Times New Roman"/>
          <w:color w:val="auto"/>
          <w:kern w:val="0"/>
          <w:sz w:val="32"/>
          <w:szCs w:val="32"/>
          <w:lang w:eastAsia="zh-CN"/>
        </w:rPr>
        <w:t>农村</w:t>
      </w:r>
      <w:r>
        <w:rPr>
          <w:rFonts w:hint="default" w:ascii="Times New Roman" w:hAnsi="Times New Roman" w:eastAsia="仿宋" w:cs="Times New Roman"/>
          <w:color w:val="auto"/>
          <w:kern w:val="0"/>
          <w:sz w:val="32"/>
          <w:szCs w:val="32"/>
        </w:rPr>
        <w:t>的</w:t>
      </w:r>
      <w:r>
        <w:rPr>
          <w:rFonts w:hint="default" w:ascii="Times New Roman" w:hAnsi="Times New Roman" w:cs="Times New Roman"/>
          <w:color w:val="auto"/>
          <w:kern w:val="0"/>
          <w:sz w:val="24"/>
        </w:rPr>
        <w:fldChar w:fldCharType="begin"/>
      </w:r>
      <w:r>
        <w:rPr>
          <w:rFonts w:hint="default" w:ascii="Times New Roman" w:hAnsi="Times New Roman" w:cs="Times New Roman"/>
          <w:color w:val="auto"/>
          <w:kern w:val="0"/>
          <w:sz w:val="24"/>
        </w:rPr>
        <w:instrText xml:space="preserve"> HYPERLINK "http://baike.baidu.com/view/553808.htm" </w:instrText>
      </w:r>
      <w:r>
        <w:rPr>
          <w:rFonts w:hint="default" w:ascii="Times New Roman" w:hAnsi="Times New Roman" w:cs="Times New Roman"/>
          <w:color w:val="auto"/>
          <w:kern w:val="0"/>
          <w:sz w:val="24"/>
        </w:rPr>
        <w:fldChar w:fldCharType="separate"/>
      </w:r>
      <w:r>
        <w:rPr>
          <w:rFonts w:hint="default" w:ascii="Times New Roman" w:hAnsi="Times New Roman" w:eastAsia="仿宋" w:cs="Times New Roman"/>
          <w:color w:val="auto"/>
          <w:kern w:val="0"/>
          <w:sz w:val="32"/>
        </w:rPr>
        <w:t>人民调解</w:t>
      </w:r>
      <w:r>
        <w:rPr>
          <w:rFonts w:hint="default" w:ascii="Times New Roman" w:hAnsi="Times New Roman" w:cs="Times New Roman"/>
          <w:color w:val="auto"/>
          <w:kern w:val="0"/>
          <w:sz w:val="24"/>
        </w:rPr>
        <w:fldChar w:fldCharType="end"/>
      </w:r>
      <w:r>
        <w:rPr>
          <w:rFonts w:hint="default" w:ascii="Times New Roman" w:hAnsi="Times New Roman" w:eastAsia="仿宋" w:cs="Times New Roman"/>
          <w:color w:val="auto"/>
          <w:kern w:val="0"/>
          <w:sz w:val="32"/>
          <w:szCs w:val="32"/>
        </w:rPr>
        <w:t>、治安保卫工作，加强对违法青少年的帮教转化，保护老人、妇女、儿童的合法权益。</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（五）协助有关部门做好</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拥军优属、优抚安置、社会救济、</w:t>
      </w:r>
      <w:r>
        <w:rPr>
          <w:rFonts w:hint="default" w:ascii="Times New Roman" w:hAnsi="Times New Roman" w:cs="Times New Roman"/>
          <w:color w:val="auto"/>
          <w:kern w:val="0"/>
          <w:sz w:val="24"/>
        </w:rPr>
        <w:fldChar w:fldCharType="begin"/>
      </w:r>
      <w:r>
        <w:rPr>
          <w:rFonts w:hint="default" w:ascii="Times New Roman" w:hAnsi="Times New Roman" w:cs="Times New Roman"/>
          <w:color w:val="auto"/>
          <w:kern w:val="0"/>
          <w:sz w:val="24"/>
        </w:rPr>
        <w:instrText xml:space="preserve"> HYPERLINK "http://baike.baidu.com/view/4207190.htm" </w:instrText>
      </w:r>
      <w:r>
        <w:rPr>
          <w:rFonts w:hint="default" w:ascii="Times New Roman" w:hAnsi="Times New Roman" w:cs="Times New Roman"/>
          <w:color w:val="auto"/>
          <w:kern w:val="0"/>
          <w:sz w:val="24"/>
        </w:rPr>
        <w:fldChar w:fldCharType="separate"/>
      </w:r>
      <w:r>
        <w:rPr>
          <w:rFonts w:hint="default" w:ascii="Times New Roman" w:hAnsi="Times New Roman" w:eastAsia="仿宋" w:cs="Times New Roman"/>
          <w:color w:val="auto"/>
          <w:kern w:val="0"/>
          <w:sz w:val="32"/>
        </w:rPr>
        <w:t>殡葬改革</w:t>
      </w:r>
      <w:r>
        <w:rPr>
          <w:rFonts w:hint="default" w:ascii="Times New Roman" w:hAnsi="Times New Roman" w:cs="Times New Roman"/>
          <w:color w:val="auto"/>
          <w:kern w:val="0"/>
          <w:sz w:val="24"/>
        </w:rPr>
        <w:fldChar w:fldCharType="end"/>
      </w:r>
      <w:r>
        <w:rPr>
          <w:rFonts w:hint="default" w:ascii="Times New Roman" w:hAnsi="Times New Roman" w:eastAsia="仿宋" w:cs="Times New Roman"/>
          <w:color w:val="auto"/>
          <w:kern w:val="0"/>
          <w:sz w:val="32"/>
          <w:szCs w:val="32"/>
        </w:rPr>
        <w:t>、残疾人就业等工作；积极开展便民利民的</w:t>
      </w:r>
      <w:r>
        <w:rPr>
          <w:rFonts w:hint="default" w:ascii="Times New Roman" w:hAnsi="Times New Roman" w:eastAsia="仿宋" w:cs="Times New Roman"/>
          <w:color w:val="auto"/>
          <w:kern w:val="0"/>
          <w:sz w:val="32"/>
          <w:szCs w:val="32"/>
          <w:lang w:eastAsia="zh-CN"/>
        </w:rPr>
        <w:t>基层</w:t>
      </w:r>
      <w:r>
        <w:rPr>
          <w:rFonts w:hint="default" w:ascii="Times New Roman" w:hAnsi="Times New Roman" w:eastAsia="仿宋" w:cs="Times New Roman"/>
          <w:color w:val="auto"/>
          <w:kern w:val="0"/>
          <w:sz w:val="32"/>
          <w:szCs w:val="32"/>
        </w:rPr>
        <w:t>服务和</w:t>
      </w:r>
      <w:r>
        <w:rPr>
          <w:rFonts w:hint="default" w:ascii="Times New Roman" w:hAnsi="Times New Roman" w:eastAsia="仿宋" w:cs="Times New Roman"/>
          <w:color w:val="auto"/>
          <w:kern w:val="0"/>
          <w:sz w:val="32"/>
          <w:szCs w:val="32"/>
          <w:lang w:eastAsia="zh-CN"/>
        </w:rPr>
        <w:t>基层</w:t>
      </w:r>
      <w:r>
        <w:rPr>
          <w:rFonts w:hint="default" w:ascii="Times New Roman" w:hAnsi="Times New Roman" w:eastAsia="仿宋" w:cs="Times New Roman"/>
          <w:color w:val="auto"/>
          <w:kern w:val="0"/>
          <w:sz w:val="32"/>
          <w:szCs w:val="32"/>
        </w:rPr>
        <w:t>教育工作。</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（六）会同有关部门做好</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内常住和流动人口的管理及计划生育工作，完成区下达的各项计划生育指标任务。</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（七）协助武装部门做好</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民兵训练和公民服兵役工作。</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（八）负责在</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开展普法教育工作，做好民事调解，开展法律咨询、服务等工作，维护</w:t>
      </w:r>
      <w:r>
        <w:rPr>
          <w:rFonts w:hint="default" w:ascii="Times New Roman" w:hAnsi="Times New Roman" w:eastAsia="仿宋" w:cs="Times New Roman"/>
          <w:color w:val="auto"/>
          <w:kern w:val="0"/>
          <w:sz w:val="32"/>
          <w:szCs w:val="32"/>
          <w:lang w:eastAsia="zh-CN"/>
        </w:rPr>
        <w:t>村民</w:t>
      </w:r>
      <w:r>
        <w:rPr>
          <w:rFonts w:hint="default" w:ascii="Times New Roman" w:hAnsi="Times New Roman" w:eastAsia="仿宋" w:cs="Times New Roman"/>
          <w:color w:val="auto"/>
          <w:kern w:val="0"/>
          <w:sz w:val="32"/>
          <w:szCs w:val="32"/>
        </w:rPr>
        <w:t>的合法权益，搞好</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内</w:t>
      </w:r>
      <w:r>
        <w:rPr>
          <w:rFonts w:hint="default" w:ascii="Times New Roman" w:hAnsi="Times New Roman" w:cs="Times New Roman"/>
          <w:color w:val="auto"/>
          <w:kern w:val="0"/>
          <w:sz w:val="24"/>
        </w:rPr>
        <w:fldChar w:fldCharType="begin"/>
      </w:r>
      <w:r>
        <w:rPr>
          <w:rFonts w:hint="default" w:ascii="Times New Roman" w:hAnsi="Times New Roman" w:cs="Times New Roman"/>
          <w:color w:val="auto"/>
          <w:kern w:val="0"/>
          <w:sz w:val="24"/>
        </w:rPr>
        <w:instrText xml:space="preserve"> HYPERLINK "http://baike.baidu.com/view/6643289.htm" </w:instrText>
      </w:r>
      <w:r>
        <w:rPr>
          <w:rFonts w:hint="default" w:ascii="Times New Roman" w:hAnsi="Times New Roman" w:cs="Times New Roman"/>
          <w:color w:val="auto"/>
          <w:kern w:val="0"/>
          <w:sz w:val="24"/>
        </w:rPr>
        <w:fldChar w:fldCharType="separate"/>
      </w:r>
      <w:r>
        <w:rPr>
          <w:rFonts w:hint="default" w:ascii="Times New Roman" w:hAnsi="Times New Roman" w:eastAsia="仿宋" w:cs="Times New Roman"/>
          <w:color w:val="auto"/>
          <w:kern w:val="0"/>
          <w:sz w:val="32"/>
        </w:rPr>
        <w:t>社会管理综合治理</w:t>
      </w:r>
      <w:r>
        <w:rPr>
          <w:rFonts w:hint="default" w:ascii="Times New Roman" w:hAnsi="Times New Roman" w:cs="Times New Roman"/>
          <w:color w:val="auto"/>
          <w:kern w:val="0"/>
          <w:sz w:val="24"/>
        </w:rPr>
        <w:fldChar w:fldCharType="end"/>
      </w:r>
      <w:r>
        <w:rPr>
          <w:rFonts w:hint="default" w:ascii="Times New Roman" w:hAnsi="Times New Roman" w:eastAsia="仿宋" w:cs="Times New Roman"/>
          <w:color w:val="auto"/>
          <w:kern w:val="0"/>
          <w:sz w:val="32"/>
          <w:szCs w:val="32"/>
        </w:rPr>
        <w:t>工作。</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（九）负责本</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的</w:t>
      </w:r>
      <w:r>
        <w:rPr>
          <w:rFonts w:hint="default" w:ascii="Times New Roman" w:hAnsi="Times New Roman" w:eastAsia="仿宋" w:cs="Times New Roman"/>
          <w:color w:val="auto"/>
          <w:kern w:val="0"/>
          <w:sz w:val="32"/>
          <w:szCs w:val="32"/>
          <w:lang w:eastAsia="zh-CN"/>
        </w:rPr>
        <w:t>农村</w:t>
      </w:r>
      <w:r>
        <w:rPr>
          <w:rFonts w:hint="default" w:ascii="Times New Roman" w:hAnsi="Times New Roman" w:eastAsia="仿宋" w:cs="Times New Roman"/>
          <w:color w:val="auto"/>
          <w:kern w:val="0"/>
          <w:sz w:val="32"/>
          <w:szCs w:val="32"/>
        </w:rPr>
        <w:t>管理工作，发动群众开展</w:t>
      </w:r>
      <w:r>
        <w:rPr>
          <w:rFonts w:hint="default" w:ascii="Times New Roman" w:hAnsi="Times New Roman" w:cs="Times New Roman"/>
          <w:color w:val="auto"/>
          <w:kern w:val="0"/>
          <w:sz w:val="24"/>
        </w:rPr>
        <w:fldChar w:fldCharType="begin"/>
      </w:r>
      <w:r>
        <w:rPr>
          <w:rFonts w:hint="default" w:ascii="Times New Roman" w:hAnsi="Times New Roman" w:cs="Times New Roman"/>
          <w:color w:val="auto"/>
          <w:kern w:val="0"/>
          <w:sz w:val="24"/>
        </w:rPr>
        <w:instrText xml:space="preserve"> HYPERLINK "http://baike.baidu.com/view/192267.htm" </w:instrText>
      </w:r>
      <w:r>
        <w:rPr>
          <w:rFonts w:hint="default" w:ascii="Times New Roman" w:hAnsi="Times New Roman" w:cs="Times New Roman"/>
          <w:color w:val="auto"/>
          <w:kern w:val="0"/>
          <w:sz w:val="24"/>
        </w:rPr>
        <w:fldChar w:fldCharType="separate"/>
      </w:r>
      <w:r>
        <w:rPr>
          <w:rFonts w:hint="default" w:ascii="Times New Roman" w:hAnsi="Times New Roman" w:eastAsia="仿宋" w:cs="Times New Roman"/>
          <w:color w:val="auto"/>
          <w:kern w:val="0"/>
          <w:sz w:val="32"/>
        </w:rPr>
        <w:t>爱国卫生运动</w:t>
      </w:r>
      <w:r>
        <w:rPr>
          <w:rFonts w:hint="default" w:ascii="Times New Roman" w:hAnsi="Times New Roman" w:cs="Times New Roman"/>
          <w:color w:val="auto"/>
          <w:kern w:val="0"/>
          <w:sz w:val="24"/>
        </w:rPr>
        <w:fldChar w:fldCharType="end"/>
      </w:r>
      <w:r>
        <w:rPr>
          <w:rFonts w:hint="default" w:ascii="Times New Roman" w:hAnsi="Times New Roman" w:eastAsia="仿宋" w:cs="Times New Roman"/>
          <w:color w:val="auto"/>
          <w:kern w:val="0"/>
          <w:sz w:val="32"/>
          <w:szCs w:val="32"/>
        </w:rPr>
        <w:t>，绿化、美化、净化城市环境，做好环境卫生、环境保护工作。</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（十）负责本</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的综合执法工作，维护</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的良好秩序。</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（十一）负责研究</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经济发展的规划，协助有关部门抓好安全生产工作。</w:t>
      </w:r>
    </w:p>
    <w:p>
      <w:pPr>
        <w:widowControl/>
        <w:snapToGrid w:val="0"/>
        <w:spacing w:line="540" w:lineRule="exact"/>
        <w:ind w:firstLine="632" w:firstLineChars="200"/>
        <w:jc w:val="left"/>
        <w:rPr>
          <w:rFonts w:hint="default" w:ascii="Times New Roman" w:hAnsi="Times New Roman" w:eastAsia="仿宋" w:cs="Times New Roman"/>
          <w:color w:val="auto"/>
          <w:kern w:val="0"/>
          <w:sz w:val="32"/>
          <w:szCs w:val="32"/>
        </w:rPr>
      </w:pPr>
      <w:r>
        <w:rPr>
          <w:rFonts w:hint="default" w:ascii="Times New Roman" w:hAnsi="Times New Roman" w:eastAsia="仿宋" w:cs="Times New Roman"/>
          <w:color w:val="auto"/>
          <w:kern w:val="0"/>
          <w:sz w:val="32"/>
          <w:szCs w:val="32"/>
        </w:rPr>
        <w:t>（十二）配合有关部门做好</w:t>
      </w:r>
      <w:r>
        <w:rPr>
          <w:rFonts w:hint="default" w:ascii="Times New Roman" w:hAnsi="Times New Roman" w:eastAsia="仿宋" w:cs="Times New Roman"/>
          <w:color w:val="auto"/>
          <w:kern w:val="0"/>
          <w:sz w:val="32"/>
          <w:szCs w:val="32"/>
          <w:lang w:eastAsia="zh-CN"/>
        </w:rPr>
        <w:t>镇区</w:t>
      </w:r>
      <w:r>
        <w:rPr>
          <w:rFonts w:hint="default" w:ascii="Times New Roman" w:hAnsi="Times New Roman" w:eastAsia="仿宋" w:cs="Times New Roman"/>
          <w:color w:val="auto"/>
          <w:kern w:val="0"/>
          <w:sz w:val="32"/>
          <w:szCs w:val="32"/>
        </w:rPr>
        <w:t>内的三防、抢险救灾、</w:t>
      </w:r>
      <w:r>
        <w:rPr>
          <w:rFonts w:hint="default" w:ascii="Times New Roman" w:hAnsi="Times New Roman" w:cs="Times New Roman"/>
          <w:color w:val="auto"/>
          <w:kern w:val="0"/>
          <w:sz w:val="24"/>
        </w:rPr>
        <w:fldChar w:fldCharType="begin"/>
      </w:r>
      <w:r>
        <w:rPr>
          <w:rFonts w:hint="default" w:ascii="Times New Roman" w:hAnsi="Times New Roman" w:cs="Times New Roman"/>
          <w:color w:val="auto"/>
          <w:kern w:val="0"/>
          <w:sz w:val="24"/>
        </w:rPr>
        <w:instrText xml:space="preserve"> HYPERLINK "http://baike.baidu.com/view/1779115.htm" </w:instrText>
      </w:r>
      <w:r>
        <w:rPr>
          <w:rFonts w:hint="default" w:ascii="Times New Roman" w:hAnsi="Times New Roman" w:cs="Times New Roman"/>
          <w:color w:val="auto"/>
          <w:kern w:val="0"/>
          <w:sz w:val="24"/>
        </w:rPr>
        <w:fldChar w:fldCharType="separate"/>
      </w:r>
      <w:r>
        <w:rPr>
          <w:rFonts w:hint="default" w:ascii="Times New Roman" w:hAnsi="Times New Roman" w:eastAsia="仿宋" w:cs="Times New Roman"/>
          <w:color w:val="auto"/>
          <w:kern w:val="0"/>
          <w:sz w:val="32"/>
        </w:rPr>
        <w:t>安全生产检查</w:t>
      </w:r>
      <w:r>
        <w:rPr>
          <w:rFonts w:hint="default" w:ascii="Times New Roman" w:hAnsi="Times New Roman" w:cs="Times New Roman"/>
          <w:color w:val="auto"/>
          <w:kern w:val="0"/>
          <w:sz w:val="24"/>
        </w:rPr>
        <w:fldChar w:fldCharType="end"/>
      </w:r>
      <w:r>
        <w:rPr>
          <w:rFonts w:hint="default" w:ascii="Times New Roman" w:hAnsi="Times New Roman" w:eastAsia="仿宋" w:cs="Times New Roman"/>
          <w:color w:val="auto"/>
          <w:kern w:val="0"/>
          <w:sz w:val="32"/>
          <w:szCs w:val="32"/>
        </w:rPr>
        <w:t>、</w:t>
      </w:r>
      <w:r>
        <w:rPr>
          <w:rFonts w:hint="default" w:ascii="Times New Roman" w:hAnsi="Times New Roman" w:eastAsia="仿宋" w:cs="Times New Roman"/>
          <w:color w:val="auto"/>
          <w:kern w:val="0"/>
          <w:sz w:val="32"/>
          <w:szCs w:val="32"/>
          <w:lang w:eastAsia="zh-CN"/>
        </w:rPr>
        <w:t>村民</w:t>
      </w:r>
      <w:r>
        <w:rPr>
          <w:rFonts w:hint="default" w:ascii="Times New Roman" w:hAnsi="Times New Roman" w:eastAsia="仿宋" w:cs="Times New Roman"/>
          <w:color w:val="auto"/>
          <w:kern w:val="0"/>
          <w:sz w:val="32"/>
          <w:szCs w:val="32"/>
        </w:rPr>
        <w:t>迁移等工作。</w:t>
      </w:r>
    </w:p>
    <w:p>
      <w:pPr>
        <w:widowControl/>
        <w:snapToGrid w:val="0"/>
        <w:spacing w:line="540" w:lineRule="exact"/>
        <w:ind w:firstLine="632" w:firstLineChars="200"/>
        <w:jc w:val="left"/>
        <w:rPr>
          <w:rFonts w:hint="default" w:ascii="Times New Roman" w:hAnsi="Times New Roman" w:eastAsia="仿宋_GB2312" w:cs="Times New Roman"/>
        </w:rPr>
      </w:pPr>
      <w:r>
        <w:rPr>
          <w:rFonts w:hint="default" w:ascii="Times New Roman" w:hAnsi="Times New Roman" w:eastAsia="仿宋" w:cs="Times New Roman"/>
          <w:color w:val="auto"/>
          <w:kern w:val="0"/>
          <w:sz w:val="32"/>
          <w:szCs w:val="32"/>
        </w:rPr>
        <w:t>（十三）承办区委、区政府交办的其他工作。</w:t>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二、机构设置</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从决算单位构成看，</w:t>
      </w:r>
      <w:r>
        <w:rPr>
          <w:rFonts w:hint="default" w:ascii="Times New Roman" w:hAnsi="Times New Roman" w:eastAsia="仿宋_GB2312" w:cs="Times New Roman"/>
          <w:lang w:eastAsia="zh-CN"/>
        </w:rPr>
        <w:t>宋村镇人民政府</w:t>
      </w:r>
      <w:r>
        <w:rPr>
          <w:rFonts w:hint="default" w:ascii="Times New Roman" w:hAnsi="Times New Roman" w:eastAsia="仿宋_GB2312" w:cs="Times New Roman"/>
        </w:rPr>
        <w:t>部门决算包括：</w:t>
      </w:r>
      <w:r>
        <w:rPr>
          <w:rFonts w:hint="default" w:ascii="Times New Roman" w:hAnsi="Times New Roman" w:eastAsia="仿宋_GB2312" w:cs="Times New Roman"/>
          <w:lang w:eastAsia="zh-CN"/>
        </w:rPr>
        <w:t>政府</w:t>
      </w:r>
      <w:r>
        <w:rPr>
          <w:rFonts w:hint="default" w:ascii="Times New Roman" w:hAnsi="Times New Roman" w:eastAsia="仿宋_GB2312" w:cs="Times New Roman"/>
        </w:rPr>
        <w:t>本级决算。</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纳入</w:t>
      </w:r>
      <w:r>
        <w:rPr>
          <w:rFonts w:hint="default" w:ascii="Times New Roman" w:hAnsi="Times New Roman" w:eastAsia="仿宋_GB2312" w:cs="Times New Roman"/>
          <w:lang w:eastAsia="zh-CN"/>
        </w:rPr>
        <w:t>宋村镇人民政府</w:t>
      </w:r>
      <w:r>
        <w:rPr>
          <w:rFonts w:hint="default" w:ascii="Times New Roman" w:hAnsi="Times New Roman" w:eastAsia="仿宋_GB2312" w:cs="Times New Roman"/>
        </w:rPr>
        <w:t>2019年度部门决算编制范围的预算单位</w:t>
      </w:r>
      <w:r>
        <w:rPr>
          <w:rFonts w:hint="default" w:ascii="Times New Roman" w:hAnsi="Times New Roman" w:eastAsia="仿宋_GB2312" w:cs="Times New Roman"/>
          <w:lang w:val="en-US" w:eastAsia="zh-CN"/>
        </w:rPr>
        <w:t>6</w:t>
      </w:r>
      <w:r>
        <w:rPr>
          <w:rFonts w:hint="default" w:ascii="Times New Roman" w:hAnsi="Times New Roman" w:eastAsia="仿宋_GB2312" w:cs="Times New Roman"/>
        </w:rPr>
        <w:t>个，包括：</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1、宋村党政办</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2、宋村财经中心</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lang w:val="en-US" w:eastAsia="zh-CN"/>
        </w:rPr>
        <w:t>3、</w:t>
      </w:r>
      <w:r>
        <w:rPr>
          <w:rFonts w:hint="default" w:ascii="Times New Roman" w:hAnsi="Times New Roman" w:eastAsia="仿宋_GB2312" w:cs="Times New Roman"/>
        </w:rPr>
        <w:t>宋村计生中心</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lang w:val="en-US" w:eastAsia="zh-CN"/>
        </w:rPr>
        <w:t>4、</w:t>
      </w:r>
      <w:r>
        <w:rPr>
          <w:rFonts w:hint="default" w:ascii="Times New Roman" w:hAnsi="Times New Roman" w:eastAsia="仿宋_GB2312" w:cs="Times New Roman"/>
        </w:rPr>
        <w:t>宋村农业综合中心</w:t>
      </w:r>
    </w:p>
    <w:p>
      <w:pPr>
        <w:ind w:firstLine="632" w:firstLineChars="200"/>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5、宋村社保中心</w:t>
      </w:r>
    </w:p>
    <w:p>
      <w:pPr>
        <w:ind w:firstLine="632" w:firstLineChars="200"/>
        <w:rPr>
          <w:rFonts w:hint="default" w:ascii="Times New Roman" w:hAnsi="Times New Roman" w:eastAsia="仿宋_GB2312" w:cs="Times New Roman"/>
          <w:lang w:val="en-US" w:eastAsia="zh-CN"/>
        </w:rPr>
        <w:sectPr>
          <w:pgSz w:w="11906" w:h="16838"/>
          <w:pgMar w:top="1701" w:right="1531" w:bottom="1701" w:left="1531" w:header="0" w:footer="1418" w:gutter="0"/>
          <w:cols w:space="720" w:num="1"/>
          <w:docGrid w:type="linesAndChars" w:linePitch="610" w:charSpace="-849"/>
        </w:sectPr>
      </w:pPr>
      <w:r>
        <w:rPr>
          <w:rFonts w:hint="default" w:ascii="Times New Roman" w:hAnsi="Times New Roman" w:eastAsia="仿宋_GB2312" w:cs="Times New Roman"/>
          <w:lang w:val="en-US" w:eastAsia="zh-CN"/>
        </w:rPr>
        <w:t>6、宋村镇村建设中心</w:t>
      </w:r>
    </w:p>
    <w:p>
      <w:pPr>
        <w:rPr>
          <w:rFonts w:hint="default" w:ascii="Times New Roman" w:hAnsi="Times New Roman" w:eastAsia="方正小标宋简体" w:cs="Times New Roman"/>
          <w:spacing w:val="60"/>
          <w:sz w:val="42"/>
          <w:szCs w:val="42"/>
        </w:rPr>
      </w:pPr>
      <w:r>
        <w:rPr>
          <w:rFonts w:hint="default" w:ascii="Times New Roman" w:hAnsi="Times New Roman" w:eastAsia="方正小标宋简体" w:cs="Times New Roman"/>
          <w:spacing w:val="60"/>
          <w:sz w:val="42"/>
          <w:szCs w:val="42"/>
        </w:rPr>
        <w:t>第二部分</w:t>
      </w:r>
    </w:p>
    <w:p>
      <w:pPr>
        <w:jc w:val="center"/>
        <w:rPr>
          <w:rFonts w:hint="default" w:ascii="Times New Roman" w:hAnsi="Times New Roman" w:eastAsia="方正小标宋简体" w:cs="Times New Roman"/>
          <w:spacing w:val="60"/>
          <w:sz w:val="42"/>
          <w:szCs w:val="42"/>
        </w:rPr>
      </w:pPr>
    </w:p>
    <w:p>
      <w:pPr>
        <w:jc w:val="center"/>
        <w:rPr>
          <w:rFonts w:hint="default" w:ascii="Times New Roman" w:hAnsi="Times New Roman" w:eastAsia="方正小标宋简体" w:cs="Times New Roman"/>
          <w:spacing w:val="60"/>
          <w:sz w:val="42"/>
          <w:szCs w:val="42"/>
        </w:rPr>
        <w:sectPr>
          <w:pgSz w:w="11906" w:h="16838"/>
          <w:pgMar w:top="1701" w:right="1531" w:bottom="1701" w:left="1531" w:header="0" w:footer="1418" w:gutter="0"/>
          <w:cols w:space="720" w:num="1"/>
          <w:docGrid w:type="linesAndChars" w:linePitch="610" w:charSpace="-849"/>
        </w:sectPr>
      </w:pPr>
      <w:r>
        <w:rPr>
          <w:rFonts w:hint="default" w:ascii="Times New Roman" w:hAnsi="Times New Roman" w:eastAsia="方正小标宋简体" w:cs="Times New Roman"/>
          <w:spacing w:val="60"/>
          <w:sz w:val="48"/>
          <w:szCs w:val="48"/>
        </w:rPr>
        <w:t>2019年度部门决算表</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收入支出决算总表</w:t>
      </w:r>
    </w:p>
    <w:p>
      <w:pPr>
        <w:wordWrap w:val="0"/>
        <w:spacing w:line="400" w:lineRule="exact"/>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 xml:space="preserve"> 公开01表</w:t>
      </w:r>
    </w:p>
    <w:p>
      <w:pPr>
        <w:wordWrap w:val="0"/>
        <w:spacing w:line="400" w:lineRule="exact"/>
        <w:ind w:firstLine="138" w:firstLineChars="50"/>
        <w:jc w:val="center"/>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部门：</w:t>
      </w:r>
      <w:r>
        <w:rPr>
          <w:rFonts w:hint="default" w:ascii="Times New Roman" w:hAnsi="Times New Roman" w:eastAsia="楷体_GB2312" w:cs="Times New Roman"/>
          <w:sz w:val="28"/>
          <w:szCs w:val="28"/>
          <w:lang w:eastAsia="zh-CN"/>
        </w:rPr>
        <w:t>威海市文登区宋村镇人民政府</w:t>
      </w:r>
      <w:r>
        <w:rPr>
          <w:rFonts w:hint="default" w:ascii="Times New Roman" w:hAnsi="Times New Roman" w:eastAsia="楷体_GB2312" w:cs="Times New Roman"/>
          <w:sz w:val="28"/>
          <w:szCs w:val="28"/>
        </w:rPr>
        <w:t xml:space="preserve">                      单位：万元</w:t>
      </w:r>
    </w:p>
    <w:tbl>
      <w:tblPr>
        <w:tblStyle w:val="5"/>
        <w:tblW w:w="8819" w:type="dxa"/>
        <w:jc w:val="center"/>
        <w:tblInd w:w="0" w:type="dxa"/>
        <w:tblLayout w:type="fixed"/>
        <w:tblCellMar>
          <w:top w:w="0" w:type="dxa"/>
          <w:left w:w="108" w:type="dxa"/>
          <w:bottom w:w="0" w:type="dxa"/>
          <w:right w:w="108" w:type="dxa"/>
        </w:tblCellMar>
      </w:tblPr>
      <w:tblGrid>
        <w:gridCol w:w="2879"/>
        <w:gridCol w:w="714"/>
        <w:gridCol w:w="1017"/>
        <w:gridCol w:w="2229"/>
        <w:gridCol w:w="714"/>
        <w:gridCol w:w="1266"/>
      </w:tblGrid>
      <w:tr>
        <w:tblPrEx>
          <w:tblLayout w:type="fixed"/>
          <w:tblCellMar>
            <w:top w:w="0" w:type="dxa"/>
            <w:left w:w="108" w:type="dxa"/>
            <w:bottom w:w="0" w:type="dxa"/>
            <w:right w:w="108" w:type="dxa"/>
          </w:tblCellMar>
        </w:tblPrEx>
        <w:trPr>
          <w:trHeight w:val="329" w:hRule="exact"/>
          <w:jc w:val="center"/>
        </w:trPr>
        <w:tc>
          <w:tcPr>
            <w:tcW w:w="4610" w:type="dxa"/>
            <w:gridSpan w:val="3"/>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收 入</w:t>
            </w:r>
          </w:p>
        </w:tc>
        <w:tc>
          <w:tcPr>
            <w:tcW w:w="4209" w:type="dxa"/>
            <w:gridSpan w:val="3"/>
            <w:tcBorders>
              <w:top w:val="single" w:color="auto" w:sz="4" w:space="0"/>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支 出</w:t>
            </w: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项 目</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行次</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决算数</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项目（按功能分类）</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行次</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决算数</w:t>
            </w: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栏 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栏 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2</w:t>
            </w: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一、一般公共预算财政拨款收入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val="en-US" w:eastAsia="zh-CN"/>
              </w:rPr>
            </w:pPr>
            <w:r>
              <w:rPr>
                <w:rFonts w:hint="default" w:ascii="Times New Roman" w:hAnsi="Times New Roman" w:eastAsia="仿宋_GB2312" w:cs="Times New Roman"/>
                <w:sz w:val="18"/>
                <w:szCs w:val="18"/>
                <w:lang w:val="en-US" w:eastAsia="zh-CN"/>
              </w:rPr>
              <w:t>6850.33</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eastAsia="zh-CN"/>
              </w:rPr>
            </w:pPr>
            <w:r>
              <w:rPr>
                <w:rFonts w:hint="default" w:ascii="Times New Roman" w:hAnsi="Times New Roman" w:eastAsia="仿宋_GB2312" w:cs="Times New Roman"/>
                <w:sz w:val="18"/>
                <w:szCs w:val="18"/>
              </w:rPr>
              <w:t>一、一般公共</w:t>
            </w:r>
            <w:r>
              <w:rPr>
                <w:rFonts w:hint="default" w:ascii="Times New Roman" w:hAnsi="Times New Roman" w:eastAsia="仿宋_GB2312" w:cs="Times New Roman"/>
                <w:sz w:val="18"/>
                <w:szCs w:val="18"/>
                <w:lang w:eastAsia="zh-CN"/>
              </w:rPr>
              <w:t>服务支出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30</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val="en-US" w:eastAsia="zh-CN"/>
              </w:rPr>
            </w:pPr>
            <w:r>
              <w:rPr>
                <w:rFonts w:hint="default" w:ascii="Times New Roman" w:hAnsi="Times New Roman" w:eastAsia="仿宋_GB2312" w:cs="Times New Roman"/>
                <w:sz w:val="18"/>
                <w:szCs w:val="18"/>
                <w:lang w:val="en-US" w:eastAsia="zh-CN"/>
              </w:rPr>
              <w:t>6850.33</w:t>
            </w: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二、政府性基金预算财政拨款收入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val="en-US" w:eastAsia="zh-CN"/>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31</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三、上级补助收入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32</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四、事业收入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33</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五、经营收入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34</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六、附属单位上缴收入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35</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七、其他收入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36</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37</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38</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39</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40</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41</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42</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43</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44</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45</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46</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47</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19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48</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49</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50</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51</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52</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53</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本年收入合计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val="en-US" w:eastAsia="zh-CN"/>
              </w:rPr>
            </w:pPr>
            <w:r>
              <w:rPr>
                <w:rFonts w:hint="default" w:ascii="Times New Roman" w:hAnsi="Times New Roman" w:eastAsia="仿宋_GB2312" w:cs="Times New Roman"/>
                <w:sz w:val="18"/>
                <w:szCs w:val="18"/>
                <w:lang w:val="en-US" w:eastAsia="zh-CN"/>
              </w:rPr>
              <w:t>6850.33</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本年支出合计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54</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val="en-US" w:eastAsia="zh-CN"/>
              </w:rPr>
            </w:pPr>
            <w:r>
              <w:rPr>
                <w:rFonts w:hint="default" w:ascii="Times New Roman" w:hAnsi="Times New Roman" w:eastAsia="仿宋_GB2312" w:cs="Times New Roman"/>
                <w:sz w:val="18"/>
                <w:szCs w:val="18"/>
                <w:lang w:val="en-US" w:eastAsia="zh-CN"/>
              </w:rPr>
              <w:t>6850.33</w:t>
            </w: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用事业基金弥补收支差额</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26</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结余分配</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55</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年初结转和结余</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27</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年末结转和结余</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56</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57</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p>
        </w:tc>
      </w:tr>
      <w:tr>
        <w:tblPrEx>
          <w:tblLayout w:type="fixed"/>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总计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29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val="en-US" w:eastAsia="zh-CN"/>
              </w:rPr>
            </w:pPr>
            <w:r>
              <w:rPr>
                <w:rFonts w:hint="default" w:ascii="Times New Roman" w:hAnsi="Times New Roman" w:eastAsia="仿宋_GB2312" w:cs="Times New Roman"/>
                <w:sz w:val="18"/>
                <w:szCs w:val="18"/>
                <w:lang w:val="en-US" w:eastAsia="zh-CN"/>
              </w:rPr>
              <w:t>6850.33</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总计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rPr>
            </w:pPr>
            <w:r>
              <w:rPr>
                <w:rFonts w:hint="default" w:ascii="Times New Roman" w:hAnsi="Times New Roman" w:eastAsia="仿宋_GB2312" w:cs="Times New Roman"/>
                <w:sz w:val="18"/>
                <w:szCs w:val="18"/>
              </w:rPr>
              <w:t>58</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sz w:val="18"/>
                <w:szCs w:val="18"/>
                <w:lang w:val="en-US" w:eastAsia="zh-CN"/>
              </w:rPr>
            </w:pPr>
            <w:r>
              <w:rPr>
                <w:rFonts w:hint="default" w:ascii="Times New Roman" w:hAnsi="Times New Roman" w:eastAsia="仿宋_GB2312" w:cs="Times New Roman"/>
                <w:sz w:val="18"/>
                <w:szCs w:val="18"/>
                <w:lang w:val="en-US" w:eastAsia="zh-CN"/>
              </w:rPr>
              <w:t>6850.33</w:t>
            </w:r>
          </w:p>
        </w:tc>
      </w:tr>
    </w:tbl>
    <w:p>
      <w:pPr>
        <w:ind w:firstLine="88" w:firstLineChars="50"/>
        <w:rPr>
          <w:rFonts w:hint="default" w:ascii="Times New Roman" w:hAnsi="Times New Roman" w:eastAsia="楷体_GB2312" w:cs="Times New Roman"/>
          <w:sz w:val="18"/>
          <w:szCs w:val="18"/>
        </w:rPr>
      </w:pPr>
      <w:r>
        <w:rPr>
          <w:rFonts w:hint="default" w:ascii="Times New Roman" w:hAnsi="Times New Roman" w:eastAsia="仿宋_GB2312" w:cs="Times New Roman"/>
          <w:sz w:val="18"/>
          <w:szCs w:val="18"/>
        </w:rPr>
        <w:t>注：本表反映部门本年度的总收支和年末结转结余情况。</w:t>
      </w:r>
    </w:p>
    <w:p>
      <w:pPr>
        <w:rPr>
          <w:rFonts w:hint="default" w:ascii="Times New Roman" w:hAnsi="Times New Roman" w:eastAsia="楷体_GB2312" w:cs="Times New Roman"/>
          <w:sz w:val="28"/>
          <w:szCs w:val="28"/>
        </w:rPr>
        <w:sectPr>
          <w:pgSz w:w="11906" w:h="16838"/>
          <w:pgMar w:top="1701" w:right="1531" w:bottom="1701" w:left="1531" w:header="0" w:footer="1418" w:gutter="0"/>
          <w:cols w:space="720" w:num="1"/>
          <w:docGrid w:type="linesAndChars" w:linePitch="610" w:charSpace="-849"/>
        </w:sectPr>
      </w:pP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收入决算表</w:t>
      </w:r>
    </w:p>
    <w:p>
      <w:pPr>
        <w:wordWrap w:val="0"/>
        <w:spacing w:line="400" w:lineRule="exact"/>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 xml:space="preserve"> 公开02表 </w:t>
      </w:r>
    </w:p>
    <w:p>
      <w:pPr>
        <w:tabs>
          <w:tab w:val="left" w:pos="13467"/>
        </w:tabs>
        <w:wordWrap w:val="0"/>
        <w:spacing w:line="400" w:lineRule="exact"/>
        <w:ind w:right="107"/>
        <w:jc w:val="both"/>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部门：</w:t>
      </w:r>
      <w:r>
        <w:rPr>
          <w:rFonts w:hint="default" w:ascii="Times New Roman" w:hAnsi="Times New Roman" w:eastAsia="楷体_GB2312" w:cs="Times New Roman"/>
          <w:sz w:val="28"/>
          <w:szCs w:val="28"/>
          <w:lang w:eastAsia="zh-CN"/>
        </w:rPr>
        <w:t>威海市文登区宋村镇人民政府</w:t>
      </w:r>
      <w:r>
        <w:rPr>
          <w:rFonts w:hint="default" w:ascii="Times New Roman" w:hAnsi="Times New Roman" w:eastAsia="楷体_GB2312" w:cs="Times New Roman"/>
          <w:sz w:val="28"/>
          <w:szCs w:val="28"/>
        </w:rPr>
        <w:t xml:space="preserve">                                                      单位：万元</w:t>
      </w:r>
    </w:p>
    <w:tbl>
      <w:tblPr>
        <w:tblStyle w:val="5"/>
        <w:tblW w:w="13433" w:type="dxa"/>
        <w:jc w:val="center"/>
        <w:tblInd w:w="0" w:type="dxa"/>
        <w:tblLayout w:type="fixed"/>
        <w:tblCellMar>
          <w:top w:w="0" w:type="dxa"/>
          <w:left w:w="108" w:type="dxa"/>
          <w:bottom w:w="0" w:type="dxa"/>
          <w:right w:w="108" w:type="dxa"/>
        </w:tblCellMar>
      </w:tblPr>
      <w:tblGrid>
        <w:gridCol w:w="1296"/>
        <w:gridCol w:w="110"/>
        <w:gridCol w:w="1407"/>
        <w:gridCol w:w="1517"/>
        <w:gridCol w:w="1517"/>
        <w:gridCol w:w="1517"/>
        <w:gridCol w:w="1517"/>
        <w:gridCol w:w="1517"/>
        <w:gridCol w:w="1517"/>
        <w:gridCol w:w="1518"/>
      </w:tblGrid>
      <w:tr>
        <w:tblPrEx>
          <w:tblLayout w:type="fixed"/>
          <w:tblCellMar>
            <w:top w:w="0" w:type="dxa"/>
            <w:left w:w="108" w:type="dxa"/>
            <w:bottom w:w="0" w:type="dxa"/>
            <w:right w:w="108" w:type="dxa"/>
          </w:tblCellMar>
        </w:tblPrEx>
        <w:trPr>
          <w:trHeight w:val="458"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       目</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本年收入合计</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财政拨款收入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上级补助收入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ind w:firstLine="216" w:firstLineChars="100"/>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事业收入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经营收入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ind w:left="31680" w:hanging="648" w:hangingChars="300"/>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附属单位    </w:t>
            </w:r>
          </w:p>
          <w:p>
            <w:pPr>
              <w:widowControl/>
              <w:spacing w:line="300" w:lineRule="exact"/>
              <w:ind w:left="31680" w:hanging="648" w:hangingChars="300"/>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上缴收入</w:t>
            </w:r>
          </w:p>
        </w:tc>
        <w:tc>
          <w:tcPr>
            <w:tcW w:w="1518"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其他收入</w:t>
            </w:r>
          </w:p>
        </w:tc>
      </w:tr>
      <w:tr>
        <w:tblPrEx>
          <w:tblLayout w:type="fixed"/>
          <w:tblCellMar>
            <w:top w:w="0" w:type="dxa"/>
            <w:left w:w="108" w:type="dxa"/>
            <w:bottom w:w="0" w:type="dxa"/>
            <w:right w:w="108" w:type="dxa"/>
          </w:tblCellMar>
        </w:tblPrEx>
        <w:trPr>
          <w:trHeight w:val="457" w:hRule="atLeast"/>
          <w:jc w:val="center"/>
        </w:trPr>
        <w:tc>
          <w:tcPr>
            <w:tcW w:w="1406"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功能分类  科目编码</w:t>
            </w:r>
          </w:p>
        </w:tc>
        <w:tc>
          <w:tcPr>
            <w:tcW w:w="1407"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科目名称</w:t>
            </w: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ind w:firstLine="216" w:firstLineChars="100"/>
              <w:rPr>
                <w:rFonts w:hint="default" w:ascii="Times New Roman" w:hAnsi="Times New Roman" w:eastAsia="仿宋_GB2312" w:cs="Times New Roman"/>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ind w:left="31680" w:hanging="648" w:hangingChars="300"/>
              <w:jc w:val="center"/>
              <w:rPr>
                <w:rFonts w:hint="default" w:ascii="Times New Roman" w:hAnsi="Times New Roman" w:eastAsia="仿宋_GB2312" w:cs="Times New Roman"/>
                <w:kern w:val="0"/>
                <w:sz w:val="22"/>
                <w:szCs w:val="22"/>
              </w:rPr>
            </w:pPr>
          </w:p>
        </w:tc>
        <w:tc>
          <w:tcPr>
            <w:tcW w:w="1518" w:type="dxa"/>
            <w:vMerge w:val="continue"/>
            <w:tcBorders>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397"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栏 次</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3</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4</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5</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6</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7</w:t>
            </w:r>
          </w:p>
        </w:tc>
      </w:tr>
      <w:tr>
        <w:tblPrEx>
          <w:tblLayout w:type="fixed"/>
          <w:tblCellMar>
            <w:top w:w="0" w:type="dxa"/>
            <w:left w:w="108" w:type="dxa"/>
            <w:bottom w:w="0" w:type="dxa"/>
            <w:right w:w="108" w:type="dxa"/>
          </w:tblCellMar>
        </w:tblPrEx>
        <w:trPr>
          <w:trHeight w:val="432"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合 计</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6850.33</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6850.33</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hint="default" w:ascii="Times New Roman" w:hAnsi="Times New Roman" w:eastAsia="仿宋_GB2312" w:cs="Times New Roman"/>
                <w:kern w:val="0"/>
                <w:sz w:val="22"/>
                <w:szCs w:val="22"/>
              </w:rPr>
            </w:pP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gridSpan w:val="2"/>
            <w:tcBorders>
              <w:top w:val="nil"/>
              <w:left w:val="nil"/>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51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bl>
    <w:p>
      <w:pPr>
        <w:ind w:firstLine="108" w:firstLineChars="50"/>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注：本表反映部门本年度取得的各项收入情况。</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支出决算表</w:t>
      </w:r>
    </w:p>
    <w:p>
      <w:pPr>
        <w:spacing w:line="400" w:lineRule="exact"/>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 xml:space="preserve">                                                                                   公开03表</w:t>
      </w:r>
    </w:p>
    <w:p>
      <w:pPr>
        <w:wordWrap w:val="0"/>
        <w:spacing w:line="400" w:lineRule="exact"/>
        <w:ind w:firstLine="138" w:firstLineChars="50"/>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 xml:space="preserve"> 部门：</w:t>
      </w:r>
      <w:r>
        <w:rPr>
          <w:rFonts w:hint="default" w:ascii="Times New Roman" w:hAnsi="Times New Roman" w:eastAsia="楷体_GB2312" w:cs="Times New Roman"/>
          <w:sz w:val="28"/>
          <w:szCs w:val="28"/>
          <w:lang w:eastAsia="zh-CN"/>
        </w:rPr>
        <w:t>威海市文登区宋村镇人民政府</w:t>
      </w:r>
      <w:r>
        <w:rPr>
          <w:rFonts w:hint="default" w:ascii="Times New Roman" w:hAnsi="Times New Roman" w:eastAsia="楷体_GB2312" w:cs="Times New Roman"/>
          <w:sz w:val="28"/>
          <w:szCs w:val="28"/>
        </w:rPr>
        <w:t xml:space="preserve">                                                   单位：万元</w:t>
      </w:r>
    </w:p>
    <w:tbl>
      <w:tblPr>
        <w:tblStyle w:val="5"/>
        <w:tblW w:w="13378" w:type="dxa"/>
        <w:jc w:val="center"/>
        <w:tblInd w:w="0" w:type="dxa"/>
        <w:tblLayout w:type="fixed"/>
        <w:tblCellMar>
          <w:top w:w="0" w:type="dxa"/>
          <w:left w:w="108" w:type="dxa"/>
          <w:bottom w:w="0" w:type="dxa"/>
          <w:right w:w="108" w:type="dxa"/>
        </w:tblCellMar>
      </w:tblPr>
      <w:tblGrid>
        <w:gridCol w:w="1344"/>
        <w:gridCol w:w="57"/>
        <w:gridCol w:w="1401"/>
        <w:gridCol w:w="1762"/>
        <w:gridCol w:w="1763"/>
        <w:gridCol w:w="1763"/>
        <w:gridCol w:w="1762"/>
        <w:gridCol w:w="1763"/>
        <w:gridCol w:w="1763"/>
      </w:tblGrid>
      <w:tr>
        <w:tblPrEx>
          <w:tblLayout w:type="fixed"/>
          <w:tblCellMar>
            <w:top w:w="0" w:type="dxa"/>
            <w:left w:w="108" w:type="dxa"/>
            <w:bottom w:w="0" w:type="dxa"/>
            <w:right w:w="108" w:type="dxa"/>
          </w:tblCellMar>
        </w:tblPrEx>
        <w:trPr>
          <w:trHeight w:val="458"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       目</w:t>
            </w:r>
          </w:p>
        </w:tc>
        <w:tc>
          <w:tcPr>
            <w:tcW w:w="1762"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本年支出合计</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基本支出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项目支出</w:t>
            </w:r>
          </w:p>
        </w:tc>
        <w:tc>
          <w:tcPr>
            <w:tcW w:w="1762"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上缴上级支出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经营支出    </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对附属单位</w:t>
            </w:r>
          </w:p>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补助支出</w:t>
            </w:r>
          </w:p>
        </w:tc>
      </w:tr>
      <w:tr>
        <w:tblPrEx>
          <w:tblLayout w:type="fixed"/>
          <w:tblCellMar>
            <w:top w:w="0" w:type="dxa"/>
            <w:left w:w="108" w:type="dxa"/>
            <w:bottom w:w="0" w:type="dxa"/>
            <w:right w:w="108" w:type="dxa"/>
          </w:tblCellMar>
        </w:tblPrEx>
        <w:trPr>
          <w:trHeight w:val="457" w:hRule="atLeast"/>
          <w:jc w:val="center"/>
        </w:trPr>
        <w:tc>
          <w:tcPr>
            <w:tcW w:w="140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功能分类 科目编码</w:t>
            </w:r>
          </w:p>
        </w:tc>
        <w:tc>
          <w:tcPr>
            <w:tcW w:w="14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科目名称</w:t>
            </w:r>
          </w:p>
        </w:tc>
        <w:tc>
          <w:tcPr>
            <w:tcW w:w="1762"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62"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406"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栏  次</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3</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4</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5</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6</w:t>
            </w:r>
          </w:p>
        </w:tc>
      </w:tr>
      <w:tr>
        <w:tblPrEx>
          <w:tblLayout w:type="fixed"/>
          <w:tblCellMar>
            <w:top w:w="0" w:type="dxa"/>
            <w:left w:w="108" w:type="dxa"/>
            <w:bottom w:w="0" w:type="dxa"/>
            <w:right w:w="108" w:type="dxa"/>
          </w:tblCellMar>
        </w:tblPrEx>
        <w:trPr>
          <w:trHeight w:val="406"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合  计</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6850.33</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857.59</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5992.74</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single" w:color="auto" w:sz="4" w:space="0"/>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single" w:color="auto" w:sz="4" w:space="0"/>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ind w:right="90"/>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nil"/>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2"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6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bl>
    <w:p>
      <w:pPr>
        <w:ind w:firstLine="108" w:firstLineChars="50"/>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注：本表反映部门本年度各项支出情况。</w:t>
      </w:r>
    </w:p>
    <w:p>
      <w:pPr>
        <w:rPr>
          <w:rFonts w:hint="default" w:ascii="Times New Roman" w:hAnsi="Times New Roman" w:eastAsia="仿宋_GB2312" w:cs="Times New Roman"/>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财政拨款收入支出决算总表</w:t>
      </w:r>
    </w:p>
    <w:p>
      <w:pPr>
        <w:spacing w:line="400" w:lineRule="exact"/>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公开04表</w:t>
      </w:r>
    </w:p>
    <w:p>
      <w:pPr>
        <w:spacing w:line="400" w:lineRule="exact"/>
        <w:ind w:firstLine="138" w:firstLineChars="50"/>
        <w:jc w:val="lef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部门：</w:t>
      </w:r>
      <w:r>
        <w:rPr>
          <w:rFonts w:hint="default" w:ascii="Times New Roman" w:hAnsi="Times New Roman" w:eastAsia="楷体_GB2312" w:cs="Times New Roman"/>
          <w:sz w:val="28"/>
          <w:szCs w:val="28"/>
          <w:lang w:eastAsia="zh-CN"/>
        </w:rPr>
        <w:t>威海市文登区宋村镇人民政府</w:t>
      </w:r>
      <w:r>
        <w:rPr>
          <w:rFonts w:hint="default" w:ascii="Times New Roman" w:hAnsi="Times New Roman" w:eastAsia="楷体_GB2312" w:cs="Times New Roman"/>
          <w:sz w:val="28"/>
          <w:szCs w:val="28"/>
        </w:rPr>
        <w:t xml:space="preserve">                                                     单位：万元</w:t>
      </w:r>
    </w:p>
    <w:tbl>
      <w:tblPr>
        <w:tblStyle w:val="5"/>
        <w:tblW w:w="13341" w:type="dxa"/>
        <w:jc w:val="center"/>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022"/>
        <w:gridCol w:w="540"/>
        <w:gridCol w:w="1512"/>
        <w:gridCol w:w="2628"/>
        <w:gridCol w:w="540"/>
        <w:gridCol w:w="1699"/>
        <w:gridCol w:w="1700"/>
        <w:gridCol w:w="170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jc w:val="center"/>
        </w:trPr>
        <w:tc>
          <w:tcPr>
            <w:tcW w:w="5074" w:type="dxa"/>
            <w:gridSpan w:val="3"/>
            <w:tcBorders>
              <w:top w:val="single" w:color="auto" w:sz="4" w:space="0"/>
              <w:bottom w:val="single" w:color="auto" w:sz="4" w:space="0"/>
              <w:right w:val="nil"/>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收 入</w:t>
            </w:r>
          </w:p>
        </w:tc>
        <w:tc>
          <w:tcPr>
            <w:tcW w:w="8267" w:type="dxa"/>
            <w:gridSpan w:val="5"/>
            <w:tcBorders>
              <w:top w:val="single" w:color="auto" w:sz="4" w:space="0"/>
              <w:left w:val="nil"/>
              <w:bottom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支 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6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行次</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决算数</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行次</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合计</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一般公共预算</w:t>
            </w:r>
          </w:p>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财政拨款</w:t>
            </w:r>
          </w:p>
        </w:tc>
        <w:tc>
          <w:tcPr>
            <w:tcW w:w="1700" w:type="dxa"/>
            <w:tcBorders>
              <w:top w:val="single" w:color="auto" w:sz="4" w:space="0"/>
              <w:left w:val="single" w:color="auto" w:sz="4" w:space="0"/>
              <w:bottom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政府性基金</w:t>
            </w:r>
          </w:p>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ind w:firstLine="1080" w:firstLineChars="500"/>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3</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lang w:val="en-US" w:eastAsia="zh-CN"/>
              </w:rPr>
              <w:t>6850.33</w:t>
            </w: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一、一般公共服务支出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lang w:val="en-US" w:eastAsia="zh-CN"/>
              </w:rPr>
              <w:t>6850.33</w:t>
            </w: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default" w:ascii="Times New Roman" w:hAnsi="Times New Roman" w:eastAsia="仿宋_GB2312" w:cs="Times New Roman"/>
                <w:kern w:val="0"/>
                <w:sz w:val="22"/>
                <w:szCs w:val="22"/>
                <w:lang w:val="en-US" w:eastAsia="zh-CN"/>
              </w:rPr>
              <w:t>6850.33</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lang w:val="en-US" w:eastAsia="zh-CN"/>
              </w:rPr>
              <w:t>656.10</w:t>
            </w: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二、外交支出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3</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三、国防支出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4</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四、公共安全支出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5</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五、教育支出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6</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六、科学技术支出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7</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8</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9</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default" w:ascii="Times New Roman" w:hAnsi="Times New Roman" w:eastAsia="仿宋_GB2312" w:cs="Times New Roman"/>
                <w:b/>
                <w:bCs/>
                <w:kern w:val="0"/>
                <w:sz w:val="22"/>
                <w:szCs w:val="22"/>
              </w:rPr>
            </w:pPr>
            <w:r>
              <w:rPr>
                <w:rFonts w:hint="default" w:ascii="Times New Roman" w:hAnsi="Times New Roman" w:eastAsia="仿宋_GB2312" w:cs="Times New Roman"/>
                <w:b/>
                <w:bCs/>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10</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11</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12</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13</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14</w:t>
            </w:r>
          </w:p>
        </w:tc>
        <w:tc>
          <w:tcPr>
            <w:tcW w:w="151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lang w:val="en-US" w:eastAsia="zh-CN"/>
              </w:rPr>
              <w:t>6850.33</w:t>
            </w:r>
            <w:r>
              <w:rPr>
                <w:rFonts w:hint="default" w:ascii="Times New Roman" w:hAnsi="Times New Roman" w:eastAsia="仿宋_GB2312" w:cs="Times New Roman"/>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default" w:ascii="Times New Roman" w:hAnsi="Times New Roman" w:eastAsia="仿宋_GB2312" w:cs="Times New Roman"/>
                <w:b/>
                <w:bCs/>
                <w:kern w:val="0"/>
                <w:sz w:val="22"/>
                <w:szCs w:val="22"/>
              </w:rPr>
            </w:pPr>
            <w:r>
              <w:rPr>
                <w:rFonts w:hint="default" w:ascii="Times New Roman" w:hAnsi="Times New Roman" w:eastAsia="仿宋_GB2312" w:cs="Times New Roman"/>
                <w:b/>
                <w:bCs/>
                <w:kern w:val="0"/>
                <w:sz w:val="22"/>
                <w:szCs w:val="22"/>
              </w:rPr>
              <w:t>　</w:t>
            </w:r>
          </w:p>
        </w:tc>
      </w:tr>
    </w:tbl>
    <w:p>
      <w:pPr>
        <w:ind w:firstLine="108" w:firstLineChars="50"/>
        <w:rPr>
          <w:rFonts w:hint="default" w:ascii="Times New Roman" w:hAnsi="Times New Roman" w:eastAsia="仿宋_GB2312" w:cs="Times New Roman"/>
          <w:sz w:val="22"/>
          <w:szCs w:val="22"/>
        </w:rPr>
        <w:sectPr>
          <w:pgSz w:w="16838" w:h="11906" w:orient="landscape"/>
          <w:pgMar w:top="1531" w:right="1701" w:bottom="1531" w:left="1701" w:header="0" w:footer="1418" w:gutter="0"/>
          <w:cols w:space="720" w:num="1"/>
          <w:docGrid w:type="linesAndChars" w:linePitch="610" w:charSpace="-849"/>
        </w:sectPr>
      </w:pPr>
      <w:r>
        <w:rPr>
          <w:rFonts w:hint="default" w:ascii="Times New Roman" w:hAnsi="Times New Roman" w:eastAsia="仿宋_GB2312" w:cs="Times New Roman"/>
          <w:sz w:val="22"/>
          <w:szCs w:val="22"/>
        </w:rPr>
        <w:t>注：本表反映部门本年度一般公共预算财政拨款和政府性基金预算财政拨款的总收支和年末结转结余情况。</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一般公共预算财政拨款支出决算表</w:t>
      </w:r>
    </w:p>
    <w:p>
      <w:pPr>
        <w:spacing w:line="400" w:lineRule="exact"/>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公开05表</w:t>
      </w:r>
    </w:p>
    <w:p>
      <w:pPr>
        <w:wordWrap w:val="0"/>
        <w:spacing w:line="400" w:lineRule="exact"/>
        <w:ind w:firstLine="138" w:firstLineChars="50"/>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部门：                                                                              单位：万元</w:t>
      </w:r>
    </w:p>
    <w:tbl>
      <w:tblPr>
        <w:tblStyle w:val="5"/>
        <w:tblW w:w="13152" w:type="dxa"/>
        <w:jc w:val="center"/>
        <w:tblInd w:w="0" w:type="dxa"/>
        <w:tblLayout w:type="fixed"/>
        <w:tblCellMar>
          <w:top w:w="0" w:type="dxa"/>
          <w:left w:w="108" w:type="dxa"/>
          <w:bottom w:w="0" w:type="dxa"/>
          <w:right w:w="108" w:type="dxa"/>
        </w:tblCellMar>
      </w:tblPr>
      <w:tblGrid>
        <w:gridCol w:w="1701"/>
        <w:gridCol w:w="3170"/>
        <w:gridCol w:w="2783"/>
        <w:gridCol w:w="2978"/>
        <w:gridCol w:w="2520"/>
      </w:tblGrid>
      <w:tr>
        <w:tblPrEx>
          <w:tblLayout w:type="fixed"/>
          <w:tblCellMar>
            <w:top w:w="0" w:type="dxa"/>
            <w:left w:w="108" w:type="dxa"/>
            <w:bottom w:w="0" w:type="dxa"/>
            <w:right w:w="108" w:type="dxa"/>
          </w:tblCellMar>
        </w:tblPrEx>
        <w:trPr>
          <w:trHeight w:val="428" w:hRule="atLeas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本年支出</w:t>
            </w:r>
          </w:p>
        </w:tc>
      </w:tr>
      <w:tr>
        <w:tblPrEx>
          <w:tblLayout w:type="fixed"/>
          <w:tblCellMar>
            <w:top w:w="0" w:type="dxa"/>
            <w:left w:w="108" w:type="dxa"/>
            <w:bottom w:w="0" w:type="dxa"/>
            <w:right w:w="108" w:type="dxa"/>
          </w:tblCellMar>
        </w:tblPrEx>
        <w:trPr>
          <w:trHeight w:val="675"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功能分类</w:t>
            </w:r>
          </w:p>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科目编码</w:t>
            </w:r>
          </w:p>
        </w:tc>
        <w:tc>
          <w:tcPr>
            <w:tcW w:w="3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项目支出</w:t>
            </w:r>
          </w:p>
        </w:tc>
      </w:tr>
      <w:tr>
        <w:tblPrEx>
          <w:tblLayout w:type="fixed"/>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栏  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3</w:t>
            </w:r>
          </w:p>
        </w:tc>
      </w:tr>
      <w:tr>
        <w:tblPrEx>
          <w:tblLayout w:type="fixed"/>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合  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single" w:color="auto" w:sz="4" w:space="0"/>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317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783"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978"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2520"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bl>
    <w:p>
      <w:pPr>
        <w:spacing w:line="400" w:lineRule="exact"/>
        <w:ind w:firstLine="108" w:firstLineChars="50"/>
        <w:jc w:val="left"/>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注：本表反映部门本年度一般公共预算财政拨款支出情况。</w:t>
      </w:r>
    </w:p>
    <w:p>
      <w:pPr>
        <w:spacing w:line="400" w:lineRule="exact"/>
        <w:jc w:val="left"/>
        <w:rPr>
          <w:rFonts w:hint="default" w:ascii="Times New Roman" w:hAnsi="Times New Roman" w:eastAsia="仿宋_GB2312" w:cs="Times New Roman"/>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一般公共预算财政拨款基本支出决算表</w:t>
      </w:r>
    </w:p>
    <w:p>
      <w:pPr>
        <w:spacing w:line="400" w:lineRule="exact"/>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公开06表</w:t>
      </w:r>
    </w:p>
    <w:p>
      <w:pPr>
        <w:spacing w:line="400" w:lineRule="exact"/>
        <w:ind w:firstLine="138" w:firstLineChars="50"/>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部门：                                                                               单位：万元</w:t>
      </w:r>
    </w:p>
    <w:tbl>
      <w:tblPr>
        <w:tblStyle w:val="5"/>
        <w:tblW w:w="13275" w:type="dxa"/>
        <w:jc w:val="center"/>
        <w:tblInd w:w="0" w:type="dxa"/>
        <w:tblLayout w:type="fixed"/>
        <w:tblCellMar>
          <w:top w:w="0" w:type="dxa"/>
          <w:left w:w="108" w:type="dxa"/>
          <w:bottom w:w="0" w:type="dxa"/>
          <w:right w:w="108" w:type="dxa"/>
        </w:tblCellMar>
      </w:tblPr>
      <w:tblGrid>
        <w:gridCol w:w="1008"/>
        <w:gridCol w:w="3023"/>
        <w:gridCol w:w="847"/>
        <w:gridCol w:w="1138"/>
        <w:gridCol w:w="1984"/>
        <w:gridCol w:w="833"/>
        <w:gridCol w:w="1010"/>
        <w:gridCol w:w="2551"/>
        <w:gridCol w:w="881"/>
      </w:tblGrid>
      <w:tr>
        <w:tblPrEx>
          <w:tblLayout w:type="fixed"/>
          <w:tblCellMar>
            <w:top w:w="0" w:type="dxa"/>
            <w:left w:w="108" w:type="dxa"/>
            <w:bottom w:w="0" w:type="dxa"/>
            <w:right w:w="108" w:type="dxa"/>
          </w:tblCellMar>
        </w:tblPrEx>
        <w:trPr>
          <w:trHeight w:val="369" w:hRule="atLeast"/>
          <w:tblHeader/>
          <w:jc w:val="center"/>
        </w:trPr>
        <w:tc>
          <w:tcPr>
            <w:tcW w:w="4878" w:type="dxa"/>
            <w:gridSpan w:val="3"/>
            <w:tcBorders>
              <w:top w:val="single" w:color="auto" w:sz="8" w:space="0"/>
              <w:left w:val="single" w:color="auto" w:sz="8"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人员经费</w:t>
            </w:r>
          </w:p>
        </w:tc>
        <w:tc>
          <w:tcPr>
            <w:tcW w:w="8397" w:type="dxa"/>
            <w:gridSpan w:val="6"/>
            <w:tcBorders>
              <w:top w:val="single" w:color="auto" w:sz="8" w:space="0"/>
              <w:left w:val="nil"/>
              <w:bottom w:val="single" w:color="auto" w:sz="4"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公用经费</w:t>
            </w:r>
          </w:p>
        </w:tc>
      </w:tr>
      <w:tr>
        <w:tblPrEx>
          <w:tblLayout w:type="fixed"/>
          <w:tblCellMar>
            <w:top w:w="0" w:type="dxa"/>
            <w:left w:w="108" w:type="dxa"/>
            <w:bottom w:w="0" w:type="dxa"/>
            <w:right w:w="108" w:type="dxa"/>
          </w:tblCellMar>
        </w:tblPrEx>
        <w:trPr>
          <w:trHeight w:val="300" w:hRule="atLeast"/>
          <w:tblHeader/>
          <w:jc w:val="center"/>
        </w:trPr>
        <w:tc>
          <w:tcPr>
            <w:tcW w:w="1008" w:type="dxa"/>
            <w:vMerge w:val="restart"/>
            <w:tcBorders>
              <w:top w:val="nil"/>
              <w:left w:val="single" w:color="auto" w:sz="8"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经济分类 科目编码</w:t>
            </w:r>
          </w:p>
        </w:tc>
        <w:tc>
          <w:tcPr>
            <w:tcW w:w="302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科目名称</w:t>
            </w:r>
          </w:p>
        </w:tc>
        <w:tc>
          <w:tcPr>
            <w:tcW w:w="847"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决算数</w:t>
            </w:r>
          </w:p>
        </w:tc>
        <w:tc>
          <w:tcPr>
            <w:tcW w:w="1138"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经济分类科目编码</w:t>
            </w:r>
          </w:p>
        </w:tc>
        <w:tc>
          <w:tcPr>
            <w:tcW w:w="1984"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科目名称</w:t>
            </w:r>
          </w:p>
        </w:tc>
        <w:tc>
          <w:tcPr>
            <w:tcW w:w="83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决算数</w:t>
            </w:r>
          </w:p>
        </w:tc>
        <w:tc>
          <w:tcPr>
            <w:tcW w:w="1010"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经济分类科目编码</w:t>
            </w:r>
          </w:p>
        </w:tc>
        <w:tc>
          <w:tcPr>
            <w:tcW w:w="2551"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科目名称</w:t>
            </w:r>
          </w:p>
        </w:tc>
        <w:tc>
          <w:tcPr>
            <w:tcW w:w="881" w:type="dxa"/>
            <w:vMerge w:val="restart"/>
            <w:tcBorders>
              <w:top w:val="nil"/>
              <w:left w:val="single" w:color="auto" w:sz="4" w:space="0"/>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决算数</w:t>
            </w:r>
          </w:p>
        </w:tc>
      </w:tr>
      <w:tr>
        <w:tblPrEx>
          <w:tblLayout w:type="fixed"/>
          <w:tblCellMar>
            <w:top w:w="0" w:type="dxa"/>
            <w:left w:w="108" w:type="dxa"/>
            <w:bottom w:w="0" w:type="dxa"/>
            <w:right w:w="108" w:type="dxa"/>
          </w:tblCellMar>
        </w:tblPrEx>
        <w:trPr>
          <w:trHeight w:val="300" w:hRule="atLeast"/>
          <w:tblHeader/>
          <w:jc w:val="center"/>
        </w:trPr>
        <w:tc>
          <w:tcPr>
            <w:tcW w:w="1008" w:type="dxa"/>
            <w:vMerge w:val="continue"/>
            <w:tcBorders>
              <w:top w:val="nil"/>
              <w:left w:val="single" w:color="auto" w:sz="8"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302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847"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1138"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1984"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83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1010"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2551"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c>
          <w:tcPr>
            <w:tcW w:w="881" w:type="dxa"/>
            <w:vMerge w:val="continue"/>
            <w:tcBorders>
              <w:top w:val="nil"/>
              <w:left w:val="single" w:color="auto" w:sz="4" w:space="0"/>
              <w:bottom w:val="single" w:color="auto" w:sz="4" w:space="0"/>
              <w:right w:val="single" w:color="auto" w:sz="8" w:space="0"/>
            </w:tcBorders>
            <w:noWrap/>
            <w:vAlign w:val="center"/>
          </w:tcPr>
          <w:p>
            <w:pPr>
              <w:widowControl/>
              <w:spacing w:line="300" w:lineRule="exact"/>
              <w:jc w:val="left"/>
              <w:rPr>
                <w:rFonts w:hint="default" w:ascii="Times New Roman" w:hAnsi="Times New Roman" w:eastAsia="仿宋_GB2312" w:cs="Times New Roman"/>
                <w:color w:val="000000"/>
                <w:kern w:val="0"/>
                <w:sz w:val="22"/>
                <w:szCs w:val="22"/>
              </w:rPr>
            </w:pP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工资福利支出</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default" w:ascii="Times New Roman" w:hAnsi="Times New Roman" w:eastAsia="仿宋_GB2312" w:cs="Times New Roman"/>
                <w:color w:val="000000"/>
                <w:kern w:val="0"/>
                <w:sz w:val="20"/>
                <w:szCs w:val="20"/>
                <w:lang w:val="en-US" w:eastAsia="zh-CN"/>
              </w:rPr>
              <w:t>725.8</w:t>
            </w:r>
            <w:r>
              <w:rPr>
                <w:rFonts w:hint="eastAsia" w:eastAsia="仿宋_GB2312" w:cs="Times New Roman"/>
                <w:color w:val="000000"/>
                <w:kern w:val="0"/>
                <w:sz w:val="20"/>
                <w:szCs w:val="20"/>
                <w:lang w:val="en-US" w:eastAsia="zh-CN"/>
              </w:rPr>
              <w:t>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81.00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债务利息及费用支出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基本工资</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196.56</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办公费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1.58</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30701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国内债务付息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津贴补贴</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214.94</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印刷费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30702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国外债务付息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奖金</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67.24</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咨询费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30703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国内债务发行费用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伙食补助费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手续费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30704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国外债务发行费用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绩效工资</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72.86</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水费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机关事业单位基本养老保险缴费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44.07</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电费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房屋建筑物购建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职业年金缴费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邮电费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办公设备购置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职工基本医疗保险缴费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19.74</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取暖费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9.02</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专用设备购置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30111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公务员医疗补助缴费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4.81</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30209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物业管理费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基础设施建设</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30112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其他社会保障缴费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1.58</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差旅费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19.20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大型修缮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30113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住房公积金</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60.11</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因公出国（境）费用</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信息网络及软件购置更新</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30114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医疗费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维修(护)费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物资储备</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30199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其他工资福利支出</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43.89</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租赁费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31009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土地补偿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对个人和家庭的补助</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50.79</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会议费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1.58</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安置补助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离休费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培训费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3.95</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31011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地上附着物和青苗补偿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退休费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2.60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公务接待费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2.32</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拆迁补偿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退职（役）费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4.10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30218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专用材料费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31013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公务用车购置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抚恤金</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8.80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30224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被装购置费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31019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其他交通工具购置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30305</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生活补助</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19.59</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30225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专用燃料费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31021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文物和陈列品购置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救济费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30226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劳务费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31022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无形资产购置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医疗费补助</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30227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委托业务费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31099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助学金</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30228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工会经费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奖励金</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30229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福利费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0.93</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31201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资本金注入</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个人农业生产补贴</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30231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公务用车运行维护费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14.22</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31203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政府投资基金股权投资</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30399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其他对个人和家庭的补助</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15.00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30239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其他交通费用</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21.20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31204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费用补贴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30240</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税金及附加费用</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31205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利息补贴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30299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7.00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31299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39906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赠与</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39907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国家赔偿费用支出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39908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对民间非营利组织和群众性自治组织补贴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39999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eastAsia" w:eastAsia="仿宋_GB2312" w:cs="Times New Roman"/>
                <w:color w:val="000000"/>
                <w:kern w:val="0"/>
                <w:sz w:val="20"/>
                <w:szCs w:val="20"/>
                <w:lang w:val="en-US" w:eastAsia="zh-CN"/>
              </w:rPr>
              <w:t>0.00</w:t>
            </w:r>
          </w:p>
        </w:tc>
      </w:tr>
      <w:tr>
        <w:tblPrEx>
          <w:tblLayout w:type="fixed"/>
          <w:tblCellMar>
            <w:top w:w="0" w:type="dxa"/>
            <w:left w:w="108" w:type="dxa"/>
            <w:bottom w:w="0" w:type="dxa"/>
            <w:right w:w="108" w:type="dxa"/>
          </w:tblCellMar>
        </w:tblPrEx>
        <w:trPr>
          <w:trHeight w:val="20" w:hRule="atLeast"/>
          <w:jc w:val="center"/>
        </w:trPr>
        <w:tc>
          <w:tcPr>
            <w:tcW w:w="4031" w:type="dxa"/>
            <w:gridSpan w:val="2"/>
            <w:tcBorders>
              <w:top w:val="single" w:color="auto" w:sz="4" w:space="0"/>
              <w:left w:val="single" w:color="auto" w:sz="8" w:space="0"/>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人员经费合计</w:t>
            </w:r>
          </w:p>
        </w:tc>
        <w:tc>
          <w:tcPr>
            <w:tcW w:w="847" w:type="dxa"/>
            <w:tcBorders>
              <w:top w:val="nil"/>
              <w:left w:val="nil"/>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776.59</w:t>
            </w:r>
          </w:p>
        </w:tc>
        <w:tc>
          <w:tcPr>
            <w:tcW w:w="7516" w:type="dxa"/>
            <w:gridSpan w:val="5"/>
            <w:tcBorders>
              <w:top w:val="single" w:color="auto" w:sz="4" w:space="0"/>
              <w:left w:val="nil"/>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rPr>
            </w:pPr>
            <w:r>
              <w:rPr>
                <w:rFonts w:hint="default" w:ascii="Times New Roman" w:hAnsi="Times New Roman" w:eastAsia="仿宋_GB2312" w:cs="Times New Roman"/>
                <w:color w:val="000000"/>
                <w:kern w:val="0"/>
                <w:sz w:val="20"/>
                <w:szCs w:val="20"/>
              </w:rPr>
              <w:t>公用经费合计</w:t>
            </w:r>
          </w:p>
        </w:tc>
        <w:tc>
          <w:tcPr>
            <w:tcW w:w="881" w:type="dxa"/>
            <w:tcBorders>
              <w:top w:val="nil"/>
              <w:left w:val="nil"/>
              <w:bottom w:val="single" w:color="auto" w:sz="8" w:space="0"/>
              <w:right w:val="single" w:color="auto" w:sz="8" w:space="0"/>
            </w:tcBorders>
            <w:noWrap/>
            <w:vAlign w:val="center"/>
          </w:tcPr>
          <w:p>
            <w:pPr>
              <w:widowControl/>
              <w:spacing w:line="300" w:lineRule="exact"/>
              <w:jc w:val="center"/>
              <w:rPr>
                <w:rFonts w:hint="default" w:ascii="Times New Roman" w:hAnsi="Times New Roman" w:eastAsia="仿宋_GB2312" w:cs="Times New Roman"/>
                <w:color w:val="000000"/>
                <w:kern w:val="0"/>
                <w:sz w:val="20"/>
                <w:szCs w:val="20"/>
                <w:lang w:val="en-US" w:eastAsia="zh-CN"/>
              </w:rPr>
            </w:pPr>
            <w:r>
              <w:rPr>
                <w:rFonts w:hint="eastAsia" w:eastAsia="仿宋_GB2312" w:cs="Times New Roman"/>
                <w:color w:val="000000"/>
                <w:kern w:val="0"/>
                <w:sz w:val="20"/>
                <w:szCs w:val="20"/>
                <w:lang w:val="en-US" w:eastAsia="zh-CN"/>
              </w:rPr>
              <w:t>81.00</w:t>
            </w:r>
          </w:p>
        </w:tc>
      </w:tr>
    </w:tbl>
    <w:p>
      <w:pPr>
        <w:spacing w:line="400" w:lineRule="exact"/>
        <w:ind w:firstLine="108" w:firstLineChars="50"/>
        <w:jc w:val="left"/>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注:本表反映部门本年度一般公共预算财政拨款基本支出明细情况。</w:t>
      </w:r>
    </w:p>
    <w:p>
      <w:pPr>
        <w:rPr>
          <w:rFonts w:hint="default" w:ascii="Times New Roman" w:hAnsi="Times New Roman" w:eastAsia="仿宋_GB2312" w:cs="Times New Roman"/>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一般公共预算财政拨款“三公”经费支出决算表</w:t>
      </w:r>
    </w:p>
    <w:p>
      <w:pPr>
        <w:wordWrap w:val="0"/>
        <w:spacing w:line="400" w:lineRule="exact"/>
        <w:jc w:val="right"/>
        <w:rPr>
          <w:rFonts w:hint="default" w:ascii="Times New Roman" w:hAnsi="Times New Roman" w:eastAsia="楷体_GB2312" w:cs="Times New Roman"/>
          <w:sz w:val="28"/>
          <w:szCs w:val="28"/>
        </w:rPr>
      </w:pPr>
      <w:r>
        <w:rPr>
          <w:rFonts w:hint="default" w:ascii="Times New Roman" w:hAnsi="Times New Roman" w:eastAsia="方正小标宋简体" w:cs="Times New Roman"/>
          <w:sz w:val="44"/>
          <w:szCs w:val="44"/>
        </w:rPr>
        <w:t>　</w:t>
      </w:r>
      <w:r>
        <w:rPr>
          <w:rFonts w:hint="default" w:ascii="Times New Roman" w:hAnsi="Times New Roman" w:eastAsia="楷体_GB2312" w:cs="Times New Roman"/>
          <w:sz w:val="28"/>
          <w:szCs w:val="28"/>
        </w:rPr>
        <w:t>公开07表</w:t>
      </w:r>
    </w:p>
    <w:p>
      <w:pPr>
        <w:spacing w:line="400" w:lineRule="exact"/>
        <w:ind w:firstLine="138" w:firstLineChars="50"/>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部门：                                                                               单位：万元</w:t>
      </w:r>
    </w:p>
    <w:tbl>
      <w:tblPr>
        <w:tblStyle w:val="5"/>
        <w:tblW w:w="13256" w:type="dxa"/>
        <w:jc w:val="center"/>
        <w:tblInd w:w="0" w:type="dxa"/>
        <w:tblLayout w:type="fixed"/>
        <w:tblCellMar>
          <w:top w:w="0" w:type="dxa"/>
          <w:left w:w="108" w:type="dxa"/>
          <w:bottom w:w="0" w:type="dxa"/>
          <w:right w:w="108" w:type="dxa"/>
        </w:tblCellMar>
      </w:tblPr>
      <w:tblGrid>
        <w:gridCol w:w="1179"/>
        <w:gridCol w:w="1195"/>
        <w:gridCol w:w="1180"/>
        <w:gridCol w:w="1180"/>
        <w:gridCol w:w="1188"/>
        <w:gridCol w:w="962"/>
        <w:gridCol w:w="1098"/>
        <w:gridCol w:w="1143"/>
        <w:gridCol w:w="851"/>
        <w:gridCol w:w="1132"/>
        <w:gridCol w:w="1164"/>
        <w:gridCol w:w="984"/>
      </w:tblGrid>
      <w:tr>
        <w:tblPrEx>
          <w:tblLayout w:type="fixed"/>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预 算 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决 算 数　</w:t>
            </w:r>
          </w:p>
        </w:tc>
      </w:tr>
      <w:tr>
        <w:tblPrEx>
          <w:tblLayout w:type="fixed"/>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合计</w:t>
            </w:r>
          </w:p>
        </w:tc>
        <w:tc>
          <w:tcPr>
            <w:tcW w:w="1195"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因公出国（境）费</w:t>
            </w:r>
          </w:p>
        </w:tc>
        <w:tc>
          <w:tcPr>
            <w:tcW w:w="3548" w:type="dxa"/>
            <w:gridSpan w:val="3"/>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公务用车购置及运行费</w:t>
            </w:r>
          </w:p>
        </w:tc>
        <w:tc>
          <w:tcPr>
            <w:tcW w:w="962" w:type="dxa"/>
            <w:vMerge w:val="restart"/>
            <w:tcBorders>
              <w:top w:val="nil"/>
              <w:left w:val="single" w:color="auto" w:sz="4" w:space="0"/>
              <w:bottom w:val="single" w:color="auto" w:sz="4"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w:t>
            </w:r>
          </w:p>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合计</w:t>
            </w:r>
          </w:p>
        </w:tc>
        <w:tc>
          <w:tcPr>
            <w:tcW w:w="1143"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因公出国（境）费</w:t>
            </w:r>
          </w:p>
        </w:tc>
        <w:tc>
          <w:tcPr>
            <w:tcW w:w="3147" w:type="dxa"/>
            <w:gridSpan w:val="3"/>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公务用车购置及运行费</w:t>
            </w:r>
          </w:p>
        </w:tc>
        <w:tc>
          <w:tcPr>
            <w:tcW w:w="984" w:type="dxa"/>
            <w:vMerge w:val="restart"/>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w:t>
            </w:r>
          </w:p>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接待费</w:t>
            </w:r>
          </w:p>
        </w:tc>
      </w:tr>
      <w:tr>
        <w:tblPrEx>
          <w:tblLayout w:type="fixed"/>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195"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18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小计</w:t>
            </w:r>
          </w:p>
        </w:tc>
        <w:tc>
          <w:tcPr>
            <w:tcW w:w="118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公务用车购置费</w:t>
            </w:r>
          </w:p>
        </w:tc>
        <w:tc>
          <w:tcPr>
            <w:tcW w:w="118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公务用车运行费</w:t>
            </w:r>
          </w:p>
        </w:tc>
        <w:tc>
          <w:tcPr>
            <w:tcW w:w="962" w:type="dxa"/>
            <w:vMerge w:val="continue"/>
            <w:tcBorders>
              <w:top w:val="nil"/>
              <w:left w:val="single" w:color="auto" w:sz="4" w:space="0"/>
              <w:bottom w:val="single" w:color="auto" w:sz="4" w:space="0"/>
              <w:right w:val="single" w:color="000000" w:sz="8"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hint="default" w:ascii="Times New Roman" w:hAnsi="Times New Roman" w:eastAsia="仿宋_GB2312" w:cs="Times New Roman"/>
                <w:kern w:val="0"/>
                <w:sz w:val="22"/>
                <w:szCs w:val="22"/>
              </w:rPr>
            </w:pPr>
          </w:p>
        </w:tc>
        <w:tc>
          <w:tcPr>
            <w:tcW w:w="1143"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hint="default" w:ascii="Times New Roman" w:hAnsi="Times New Roman" w:eastAsia="仿宋_GB2312" w:cs="Times New Roman"/>
                <w:kern w:val="0"/>
                <w:sz w:val="22"/>
                <w:szCs w:val="22"/>
              </w:rPr>
            </w:pP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小计</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公务用车购置费</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公务用车运行费</w:t>
            </w:r>
          </w:p>
        </w:tc>
        <w:tc>
          <w:tcPr>
            <w:tcW w:w="984" w:type="dxa"/>
            <w:vMerge w:val="continue"/>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w:t>
            </w:r>
          </w:p>
        </w:tc>
        <w:tc>
          <w:tcPr>
            <w:tcW w:w="1195" w:type="dxa"/>
            <w:tcBorders>
              <w:top w:val="nil"/>
              <w:left w:val="nil"/>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w:t>
            </w:r>
          </w:p>
        </w:tc>
        <w:tc>
          <w:tcPr>
            <w:tcW w:w="1180" w:type="dxa"/>
            <w:tcBorders>
              <w:top w:val="nil"/>
              <w:left w:val="nil"/>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3</w:t>
            </w:r>
          </w:p>
        </w:tc>
        <w:tc>
          <w:tcPr>
            <w:tcW w:w="1180" w:type="dxa"/>
            <w:tcBorders>
              <w:top w:val="nil"/>
              <w:left w:val="nil"/>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4</w:t>
            </w:r>
          </w:p>
        </w:tc>
        <w:tc>
          <w:tcPr>
            <w:tcW w:w="1188" w:type="dxa"/>
            <w:tcBorders>
              <w:top w:val="nil"/>
              <w:left w:val="nil"/>
              <w:bottom w:val="single" w:color="auto" w:sz="8"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5</w:t>
            </w:r>
          </w:p>
        </w:tc>
        <w:tc>
          <w:tcPr>
            <w:tcW w:w="962" w:type="dxa"/>
            <w:tcBorders>
              <w:top w:val="nil"/>
              <w:left w:val="nil"/>
              <w:bottom w:val="single" w:color="auto"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7</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8</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9</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12</w:t>
            </w:r>
          </w:p>
        </w:tc>
      </w:tr>
      <w:tr>
        <w:tblPrEx>
          <w:tblLayout w:type="fixed"/>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52.2</w:t>
            </w:r>
            <w:bookmarkStart w:id="0" w:name="_GoBack"/>
            <w:bookmarkEnd w:id="0"/>
            <w:r>
              <w:rPr>
                <w:rFonts w:hint="eastAsia" w:eastAsia="仿宋_GB2312" w:cs="Times New Roman"/>
                <w:kern w:val="0"/>
                <w:sz w:val="22"/>
                <w:szCs w:val="22"/>
                <w:lang w:val="en-US" w:eastAsia="zh-CN"/>
              </w:rPr>
              <w:t>0</w:t>
            </w:r>
          </w:p>
        </w:tc>
        <w:tc>
          <w:tcPr>
            <w:tcW w:w="1195" w:type="dxa"/>
            <w:tcBorders>
              <w:top w:val="nil"/>
              <w:left w:val="nil"/>
              <w:bottom w:val="single" w:color="auto" w:sz="8"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0.00</w:t>
            </w:r>
          </w:p>
        </w:tc>
        <w:tc>
          <w:tcPr>
            <w:tcW w:w="1180" w:type="dxa"/>
            <w:tcBorders>
              <w:top w:val="nil"/>
              <w:left w:val="nil"/>
              <w:bottom w:val="single" w:color="auto" w:sz="8"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43.00</w:t>
            </w:r>
          </w:p>
        </w:tc>
        <w:tc>
          <w:tcPr>
            <w:tcW w:w="1180" w:type="dxa"/>
            <w:tcBorders>
              <w:top w:val="nil"/>
              <w:left w:val="nil"/>
              <w:bottom w:val="single" w:color="auto" w:sz="8"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0.00</w:t>
            </w:r>
          </w:p>
        </w:tc>
        <w:tc>
          <w:tcPr>
            <w:tcW w:w="1188" w:type="dxa"/>
            <w:tcBorders>
              <w:top w:val="nil"/>
              <w:left w:val="nil"/>
              <w:bottom w:val="single" w:color="auto" w:sz="8"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43.00</w:t>
            </w:r>
          </w:p>
        </w:tc>
        <w:tc>
          <w:tcPr>
            <w:tcW w:w="962" w:type="dxa"/>
            <w:tcBorders>
              <w:top w:val="nil"/>
              <w:left w:val="nil"/>
              <w:bottom w:val="single" w:color="auto" w:sz="8" w:space="0"/>
              <w:right w:val="single" w:color="000000" w:sz="8"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9.20</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lang w:val="en-US" w:eastAsia="zh-CN"/>
              </w:rPr>
            </w:pPr>
            <w:r>
              <w:rPr>
                <w:rFonts w:hint="eastAsia" w:eastAsia="仿宋_GB2312" w:cs="Times New Roman"/>
                <w:kern w:val="0"/>
                <w:sz w:val="22"/>
                <w:szCs w:val="22"/>
                <w:lang w:val="en-US" w:eastAsia="zh-CN"/>
              </w:rPr>
              <w:t>19.09</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Times New Roman" w:hAnsi="Times New Roman" w:eastAsia="仿宋_GB2312" w:cs="Times New Roman"/>
                <w:kern w:val="0"/>
                <w:sz w:val="22"/>
                <w:szCs w:val="22"/>
                <w:lang w:val="en-US" w:eastAsia="zh-CN"/>
              </w:rPr>
            </w:pPr>
            <w:r>
              <w:rPr>
                <w:rFonts w:hint="eastAsia" w:eastAsia="仿宋_GB2312" w:cs="Times New Roman"/>
                <w:kern w:val="0"/>
                <w:sz w:val="22"/>
                <w:szCs w:val="22"/>
                <w:lang w:val="en-US" w:eastAsia="zh-CN"/>
              </w:rPr>
              <w:t>0.00</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eastAsia" w:eastAsia="仿宋_GB2312" w:cs="Times New Roman"/>
                <w:kern w:val="0"/>
                <w:sz w:val="22"/>
                <w:szCs w:val="22"/>
                <w:lang w:val="en-US" w:eastAsia="zh-CN"/>
              </w:rPr>
              <w:t>16.72</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0.00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16.72</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w:t>
            </w:r>
            <w:r>
              <w:rPr>
                <w:rFonts w:hint="eastAsia" w:eastAsia="仿宋_GB2312" w:cs="Times New Roman"/>
                <w:kern w:val="0"/>
                <w:sz w:val="22"/>
                <w:szCs w:val="22"/>
                <w:lang w:val="en-US" w:eastAsia="zh-CN"/>
              </w:rPr>
              <w:t>2.37</w:t>
            </w:r>
          </w:p>
        </w:tc>
      </w:tr>
    </w:tbl>
    <w:p>
      <w:pPr>
        <w:spacing w:line="360" w:lineRule="exact"/>
        <w:ind w:firstLine="108" w:firstLineChars="50"/>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注：本表反映部门本年度“三公”经费支出预决算情况。其中：预算数为“三公”经费年初预算数，决算数包括当年一般公共预算财政拨款</w:t>
      </w:r>
    </w:p>
    <w:p>
      <w:pPr>
        <w:spacing w:line="360" w:lineRule="exact"/>
        <w:ind w:firstLine="540" w:firstLineChars="250"/>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和以前年度结转资金安排的实际支出。</w:t>
      </w:r>
    </w:p>
    <w:p>
      <w:pPr>
        <w:ind w:firstLine="108" w:firstLineChars="50"/>
        <w:rPr>
          <w:rFonts w:hint="default" w:ascii="Times New Roman" w:hAnsi="Times New Roman" w:eastAsia="仿宋_GB2312" w:cs="Times New Roman"/>
          <w:sz w:val="22"/>
          <w:szCs w:val="22"/>
        </w:rPr>
      </w:pPr>
    </w:p>
    <w:p>
      <w:pPr>
        <w:ind w:firstLine="108" w:firstLineChars="50"/>
        <w:rPr>
          <w:rFonts w:hint="default" w:ascii="Times New Roman" w:hAnsi="Times New Roman" w:eastAsia="仿宋_GB2312" w:cs="Times New Roman"/>
          <w:sz w:val="22"/>
          <w:szCs w:val="22"/>
        </w:rPr>
      </w:pP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政府性基金预算财政拨款收入支出决算表</w:t>
      </w:r>
    </w:p>
    <w:p>
      <w:pPr>
        <w:spacing w:line="400" w:lineRule="exact"/>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公开08表</w:t>
      </w:r>
    </w:p>
    <w:p>
      <w:pPr>
        <w:spacing w:line="400" w:lineRule="exact"/>
        <w:ind w:firstLine="138" w:firstLineChars="50"/>
        <w:jc w:val="righ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部门：                                                                               单位：万元</w:t>
      </w:r>
    </w:p>
    <w:tbl>
      <w:tblPr>
        <w:tblStyle w:val="5"/>
        <w:tblpPr w:leftFromText="180" w:rightFromText="180" w:vertAnchor="text" w:tblpXSpec="center" w:tblpY="1"/>
        <w:tblOverlap w:val="never"/>
        <w:tblW w:w="13210" w:type="dxa"/>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tblPrEx>
          <w:tblLayout w:type="fixed"/>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       目</w:t>
            </w:r>
          </w:p>
        </w:tc>
        <w:tc>
          <w:tcPr>
            <w:tcW w:w="1731"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年初结转和结余</w:t>
            </w:r>
          </w:p>
        </w:tc>
        <w:tc>
          <w:tcPr>
            <w:tcW w:w="1707" w:type="dxa"/>
            <w:vMerge w:val="restart"/>
            <w:tcBorders>
              <w:top w:val="single" w:color="auto" w:sz="4" w:space="0"/>
              <w:left w:val="nil"/>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本年收入</w:t>
            </w:r>
          </w:p>
        </w:tc>
        <w:tc>
          <w:tcPr>
            <w:tcW w:w="5124" w:type="dxa"/>
            <w:gridSpan w:val="3"/>
            <w:tcBorders>
              <w:top w:val="single" w:color="auto" w:sz="4" w:space="0"/>
              <w:left w:val="nil"/>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本年支出</w:t>
            </w:r>
          </w:p>
        </w:tc>
        <w:tc>
          <w:tcPr>
            <w:tcW w:w="1791" w:type="dxa"/>
            <w:vMerge w:val="restart"/>
            <w:tcBorders>
              <w:top w:val="single" w:color="auto" w:sz="4" w:space="0"/>
              <w:left w:val="nil"/>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年末结转和结余</w:t>
            </w:r>
          </w:p>
        </w:tc>
      </w:tr>
      <w:tr>
        <w:tblPrEx>
          <w:tblLayout w:type="fixed"/>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功能分类  科目编码</w:t>
            </w:r>
          </w:p>
        </w:tc>
        <w:tc>
          <w:tcPr>
            <w:tcW w:w="1429"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科目名称</w:t>
            </w:r>
          </w:p>
        </w:tc>
        <w:tc>
          <w:tcPr>
            <w:tcW w:w="1731"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07" w:type="dxa"/>
            <w:vMerge w:val="continue"/>
            <w:tcBorders>
              <w:left w:val="nil"/>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小计</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基本支出</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项目支出</w:t>
            </w:r>
          </w:p>
        </w:tc>
        <w:tc>
          <w:tcPr>
            <w:tcW w:w="1791" w:type="dxa"/>
            <w:vMerge w:val="continue"/>
            <w:tcBorders>
              <w:left w:val="nil"/>
              <w:bottom w:val="single" w:color="auto" w:sz="4" w:space="0"/>
              <w:right w:val="single" w:color="auto" w:sz="4" w:space="0"/>
            </w:tcBorders>
            <w:noWrap/>
            <w:vAlign w:val="center"/>
          </w:tcPr>
          <w:p>
            <w:pPr>
              <w:spacing w:line="300" w:lineRule="exact"/>
              <w:jc w:val="center"/>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栏  次</w:t>
            </w:r>
          </w:p>
        </w:tc>
        <w:tc>
          <w:tcPr>
            <w:tcW w:w="1731"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1</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2</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3</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4</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5</w:t>
            </w:r>
          </w:p>
        </w:tc>
        <w:tc>
          <w:tcPr>
            <w:tcW w:w="1791"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6</w:t>
            </w:r>
          </w:p>
        </w:tc>
      </w:tr>
      <w:tr>
        <w:tblPrEx>
          <w:tblLayout w:type="fixed"/>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合  计</w:t>
            </w:r>
          </w:p>
        </w:tc>
        <w:tc>
          <w:tcPr>
            <w:tcW w:w="1731"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c>
          <w:tcPr>
            <w:tcW w:w="1791" w:type="dxa"/>
            <w:tcBorders>
              <w:top w:val="nil"/>
              <w:left w:val="nil"/>
              <w:bottom w:val="single" w:color="auto" w:sz="4" w:space="0"/>
              <w:right w:val="single" w:color="auto" w:sz="4" w:space="0"/>
            </w:tcBorders>
            <w:noWrap/>
            <w:vAlign w:val="center"/>
          </w:tcPr>
          <w:p>
            <w:pPr>
              <w:widowControl/>
              <w:spacing w:line="300" w:lineRule="exact"/>
              <w:jc w:val="center"/>
              <w:rPr>
                <w:rFonts w:hint="default" w:ascii="Times New Roman" w:hAnsi="Times New Roman" w:eastAsia="仿宋_GB2312" w:cs="Times New Roman"/>
                <w:kern w:val="0"/>
                <w:sz w:val="22"/>
                <w:szCs w:val="22"/>
              </w:rPr>
            </w:pPr>
          </w:p>
        </w:tc>
      </w:tr>
      <w:tr>
        <w:tblPrEx>
          <w:tblLayout w:type="fixed"/>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single" w:color="auto" w:sz="4" w:space="0"/>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r>
        <w:tblPrEx>
          <w:tblLayout w:type="fixed"/>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hint="default" w:ascii="Times New Roman" w:hAnsi="Times New Roman" w:eastAsia="仿宋_GB2312" w:cs="Times New Roman"/>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Times New Roman" w:hAnsi="Times New Roman" w:eastAsia="仿宋_GB2312" w:cs="Times New Roman"/>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w:t>
            </w:r>
          </w:p>
        </w:tc>
      </w:tr>
    </w:tbl>
    <w:p>
      <w:pPr>
        <w:ind w:firstLine="108" w:firstLineChars="50"/>
        <w:rPr>
          <w:rFonts w:hint="default" w:ascii="Times New Roman" w:hAnsi="Times New Roman" w:eastAsia="仿宋_GB2312" w:cs="Times New Roman"/>
          <w:sz w:val="22"/>
          <w:szCs w:val="22"/>
        </w:rPr>
        <w:sectPr>
          <w:pgSz w:w="16838" w:h="11906" w:orient="landscape"/>
          <w:pgMar w:top="1531" w:right="1701" w:bottom="1531" w:left="1701" w:header="0" w:footer="1418" w:gutter="0"/>
          <w:cols w:space="720" w:num="1"/>
          <w:docGrid w:type="linesAndChars" w:linePitch="610" w:charSpace="-849"/>
        </w:sectPr>
      </w:pPr>
      <w:r>
        <w:rPr>
          <w:rFonts w:hint="default" w:ascii="Times New Roman" w:hAnsi="Times New Roman" w:eastAsia="仿宋_GB2312" w:cs="Times New Roman"/>
          <w:sz w:val="22"/>
          <w:szCs w:val="22"/>
        </w:rPr>
        <w:t>注：本表反映部门本年度政府性基金预算财政拨款收入、支出及结转和结余情况。</w:t>
      </w:r>
    </w:p>
    <w:p>
      <w:pPr>
        <w:rPr>
          <w:rFonts w:hint="default" w:ascii="Times New Roman" w:hAnsi="Times New Roman" w:eastAsia="方正小标宋简体" w:cs="Times New Roman"/>
          <w:spacing w:val="60"/>
          <w:sz w:val="42"/>
          <w:szCs w:val="42"/>
        </w:rPr>
      </w:pPr>
      <w:r>
        <w:rPr>
          <w:rFonts w:hint="default" w:ascii="Times New Roman" w:hAnsi="Times New Roman" w:eastAsia="方正小标宋简体" w:cs="Times New Roman"/>
          <w:spacing w:val="60"/>
          <w:sz w:val="42"/>
          <w:szCs w:val="42"/>
        </w:rPr>
        <w:t>第三部分</w:t>
      </w:r>
    </w:p>
    <w:p>
      <w:pPr>
        <w:jc w:val="center"/>
        <w:rPr>
          <w:rFonts w:hint="default" w:ascii="Times New Roman" w:hAnsi="Times New Roman" w:eastAsia="方正小标宋简体" w:cs="Times New Roman"/>
          <w:spacing w:val="60"/>
          <w:sz w:val="42"/>
          <w:szCs w:val="42"/>
        </w:rPr>
      </w:pPr>
    </w:p>
    <w:p>
      <w:pPr>
        <w:spacing w:line="800" w:lineRule="exact"/>
        <w:jc w:val="center"/>
        <w:rPr>
          <w:rFonts w:hint="default" w:ascii="Times New Roman" w:hAnsi="Times New Roman" w:eastAsia="方正小标宋简体" w:cs="Times New Roman"/>
          <w:spacing w:val="60"/>
          <w:sz w:val="48"/>
          <w:szCs w:val="48"/>
        </w:rPr>
        <w:sectPr>
          <w:pgSz w:w="11906" w:h="16838"/>
          <w:pgMar w:top="1701" w:right="1531" w:bottom="1701" w:left="1531" w:header="0" w:footer="1418" w:gutter="0"/>
          <w:cols w:space="720" w:num="1"/>
          <w:docGrid w:type="linesAndChars" w:linePitch="610" w:charSpace="-849"/>
        </w:sectPr>
      </w:pPr>
      <w:r>
        <w:rPr>
          <w:rFonts w:hint="default" w:ascii="Times New Roman" w:hAnsi="Times New Roman" w:eastAsia="方正小标宋简体" w:cs="Times New Roman"/>
          <w:spacing w:val="60"/>
          <w:sz w:val="48"/>
          <w:szCs w:val="48"/>
        </w:rPr>
        <w:t>2019年度部门决算情况说明</w:t>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一、收入支出决算总体情况说明</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2019年度收</w:t>
      </w:r>
      <w:r>
        <w:rPr>
          <w:rFonts w:hint="default" w:ascii="Times New Roman" w:hAnsi="Times New Roman" w:eastAsia="仿宋_GB2312" w:cs="Times New Roman"/>
          <w:lang w:eastAsia="zh-CN"/>
        </w:rPr>
        <w:t>入</w:t>
      </w:r>
      <w:r>
        <w:rPr>
          <w:rFonts w:hint="default" w:ascii="Times New Roman" w:hAnsi="Times New Roman" w:eastAsia="仿宋_GB2312" w:cs="Times New Roman"/>
        </w:rPr>
        <w:t>总计</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，支出总计</w:t>
      </w:r>
      <w:r>
        <w:rPr>
          <w:rFonts w:hint="default" w:ascii="Times New Roman" w:hAnsi="Times New Roman" w:eastAsia="仿宋_GB2312" w:cs="Times New Roman"/>
          <w:lang w:val="en-US" w:eastAsia="zh-CN"/>
        </w:rPr>
        <w:t>6850.33万元</w:t>
      </w:r>
      <w:r>
        <w:rPr>
          <w:rFonts w:hint="default" w:ascii="Times New Roman" w:hAnsi="Times New Roman" w:eastAsia="仿宋_GB2312" w:cs="Times New Roman"/>
        </w:rPr>
        <w:t>。与2018年相比，收、支总计</w:t>
      </w:r>
      <w:r>
        <w:rPr>
          <w:rFonts w:hint="default" w:ascii="Times New Roman" w:hAnsi="Times New Roman" w:eastAsia="仿宋_GB2312" w:cs="Times New Roman"/>
          <w:lang w:eastAsia="zh-CN"/>
        </w:rPr>
        <w:t>均</w:t>
      </w:r>
      <w:r>
        <w:rPr>
          <w:rFonts w:hint="default" w:ascii="Times New Roman" w:hAnsi="Times New Roman" w:eastAsia="仿宋_GB2312" w:cs="Times New Roman"/>
        </w:rPr>
        <w:t>减少</w:t>
      </w:r>
      <w:r>
        <w:rPr>
          <w:rFonts w:hint="default" w:ascii="Times New Roman" w:hAnsi="Times New Roman" w:eastAsia="仿宋_GB2312" w:cs="Times New Roman"/>
          <w:lang w:val="en-US" w:eastAsia="zh-CN"/>
        </w:rPr>
        <w:t>5668.02</w:t>
      </w:r>
      <w:r>
        <w:rPr>
          <w:rFonts w:hint="default" w:ascii="Times New Roman" w:hAnsi="Times New Roman" w:eastAsia="仿宋_GB2312" w:cs="Times New Roman"/>
        </w:rPr>
        <w:t>万元，下降</w:t>
      </w:r>
      <w:r>
        <w:rPr>
          <w:rFonts w:hint="default" w:ascii="Times New Roman" w:hAnsi="Times New Roman" w:eastAsia="仿宋_GB2312" w:cs="Times New Roman"/>
          <w:lang w:val="en-US" w:eastAsia="zh-CN"/>
        </w:rPr>
        <w:t>45.28</w:t>
      </w:r>
      <w:r>
        <w:rPr>
          <w:rFonts w:hint="default" w:ascii="Times New Roman" w:hAnsi="Times New Roman" w:eastAsia="仿宋_GB2312" w:cs="Times New Roman"/>
        </w:rPr>
        <w:t>%。主要是</w:t>
      </w:r>
      <w:r>
        <w:rPr>
          <w:rFonts w:hint="default" w:ascii="Times New Roman" w:hAnsi="Times New Roman" w:eastAsia="仿宋_GB2312" w:cs="Times New Roman"/>
          <w:lang w:eastAsia="zh-CN"/>
        </w:rPr>
        <w:t>政府性基金预算财政拨款收入的</w:t>
      </w:r>
      <w:r>
        <w:rPr>
          <w:rFonts w:hint="default" w:ascii="Times New Roman" w:hAnsi="Times New Roman" w:eastAsia="仿宋_GB2312" w:cs="Times New Roman"/>
        </w:rPr>
        <w:t>减少。</w:t>
      </w:r>
    </w:p>
    <w:p>
      <w:p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drawing>
          <wp:inline distT="0" distB="0" distL="114300" distR="114300">
            <wp:extent cx="4841875" cy="2820035"/>
            <wp:effectExtent l="4445" t="4445" r="11430" b="1397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二、收入决算情况说明</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 xml:space="preserve">本年收入合计 </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万元，其中：财政拨款收入</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万元，占</w:t>
      </w:r>
      <w:r>
        <w:rPr>
          <w:rFonts w:hint="default" w:ascii="Times New Roman" w:hAnsi="Times New Roman" w:eastAsia="仿宋_GB2312" w:cs="Times New Roman"/>
          <w:lang w:val="en-US" w:eastAsia="zh-CN"/>
        </w:rPr>
        <w:t>100</w:t>
      </w:r>
      <w:r>
        <w:rPr>
          <w:rFonts w:hint="default" w:ascii="Times New Roman" w:hAnsi="Times New Roman" w:eastAsia="仿宋_GB2312" w:cs="Times New Roman"/>
        </w:rPr>
        <w:t>%。</w:t>
      </w:r>
    </w:p>
    <w:p>
      <w:pPr>
        <w:pStyle w:val="2"/>
        <w:ind w:firstLine="3136" w:firstLineChars="1600"/>
        <w:rPr>
          <w:rFonts w:hint="default" w:ascii="Times New Roman" w:hAnsi="Times New Roman" w:eastAsia="宋体" w:cs="Times New Roman"/>
          <w:lang w:eastAsia="zh-CN"/>
        </w:rPr>
      </w:pPr>
      <w:r>
        <w:rPr>
          <w:rFonts w:hint="default" w:ascii="Times New Roman" w:hAnsi="Times New Roman" w:cs="Times New Roman"/>
          <w:lang w:val="en-US" w:eastAsia="zh-CN"/>
        </w:rPr>
        <w:t>图2：</w:t>
      </w:r>
      <w:r>
        <w:rPr>
          <w:rFonts w:hint="default" w:ascii="Times New Roman" w:hAnsi="Times New Roman" w:cs="Times New Roman"/>
          <w:lang w:eastAsia="zh-CN"/>
        </w:rPr>
        <w:t>收入决算</w:t>
      </w:r>
      <w:r>
        <w:rPr>
          <w:rFonts w:hint="default" w:ascii="Times New Roman" w:hAnsi="Times New Roman" w:cs="Times New Roman"/>
          <w:lang w:val="en-US" w:eastAsia="zh-CN"/>
        </w:rPr>
        <w:t xml:space="preserve">   </w:t>
      </w:r>
      <w:r>
        <w:rPr>
          <w:rFonts w:hint="default" w:ascii="Times New Roman" w:hAnsi="Times New Roman" w:cs="Times New Roman"/>
          <w:lang w:eastAsia="zh-CN"/>
        </w:rPr>
        <w:t>单位：万元</w:t>
      </w:r>
    </w:p>
    <w:p>
      <w:pPr>
        <w:ind w:firstLine="632" w:firstLineChars="200"/>
        <w:rPr>
          <w:rFonts w:hint="default" w:ascii="Times New Roman" w:hAnsi="Times New Roman" w:eastAsia="宋体" w:cs="Times New Roman"/>
          <w:lang w:eastAsia="zh-CN"/>
        </w:rPr>
      </w:pPr>
      <w:r>
        <w:rPr>
          <w:rFonts w:hint="default" w:ascii="Times New Roman" w:hAnsi="Times New Roman" w:eastAsia="仿宋_GB2312" w:cs="Times New Roman"/>
          <w:lang w:eastAsia="zh-CN"/>
        </w:rPr>
        <w:drawing>
          <wp:inline distT="0" distB="0" distL="114300" distR="114300">
            <wp:extent cx="4224020" cy="1926590"/>
            <wp:effectExtent l="5080" t="4445" r="19050" b="1206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三、支出决算情况说明</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本年支出合计</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万元，其中：基本支出</w:t>
      </w:r>
      <w:r>
        <w:rPr>
          <w:rFonts w:hint="default" w:ascii="Times New Roman" w:hAnsi="Times New Roman" w:eastAsia="仿宋_GB2312" w:cs="Times New Roman"/>
          <w:lang w:val="en-US" w:eastAsia="zh-CN"/>
        </w:rPr>
        <w:t>857.59</w:t>
      </w:r>
      <w:r>
        <w:rPr>
          <w:rFonts w:hint="default" w:ascii="Times New Roman" w:hAnsi="Times New Roman" w:eastAsia="仿宋_GB2312" w:cs="Times New Roman"/>
        </w:rPr>
        <w:t>万元，占</w:t>
      </w:r>
      <w:r>
        <w:rPr>
          <w:rFonts w:hint="default" w:ascii="Times New Roman" w:hAnsi="Times New Roman" w:eastAsia="仿宋_GB2312" w:cs="Times New Roman"/>
          <w:lang w:val="en-US" w:eastAsia="zh-CN"/>
        </w:rPr>
        <w:t>12.52</w:t>
      </w:r>
      <w:r>
        <w:rPr>
          <w:rFonts w:hint="default" w:ascii="Times New Roman" w:hAnsi="Times New Roman" w:eastAsia="仿宋_GB2312" w:cs="Times New Roman"/>
        </w:rPr>
        <w:t>%；项目支出</w:t>
      </w:r>
      <w:r>
        <w:rPr>
          <w:rFonts w:hint="default" w:ascii="Times New Roman" w:hAnsi="Times New Roman" w:eastAsia="仿宋_GB2312" w:cs="Times New Roman"/>
          <w:lang w:val="en-US" w:eastAsia="zh-CN"/>
        </w:rPr>
        <w:t>5992.75</w:t>
      </w:r>
      <w:r>
        <w:rPr>
          <w:rFonts w:hint="default" w:ascii="Times New Roman" w:hAnsi="Times New Roman" w:eastAsia="仿宋_GB2312" w:cs="Times New Roman"/>
        </w:rPr>
        <w:t>万元，占</w:t>
      </w:r>
      <w:r>
        <w:rPr>
          <w:rFonts w:hint="default" w:ascii="Times New Roman" w:hAnsi="Times New Roman" w:eastAsia="仿宋_GB2312" w:cs="Times New Roman"/>
          <w:lang w:val="en-US" w:eastAsia="zh-CN"/>
        </w:rPr>
        <w:t>87.48</w:t>
      </w:r>
      <w:r>
        <w:rPr>
          <w:rFonts w:hint="default" w:ascii="Times New Roman" w:hAnsi="Times New Roman" w:eastAsia="仿宋_GB2312" w:cs="Times New Roman"/>
        </w:rPr>
        <w:t>%。</w:t>
      </w:r>
    </w:p>
    <w:p>
      <w:pPr>
        <w:pStyle w:val="2"/>
        <w:ind w:firstLine="3136" w:firstLineChars="1600"/>
        <w:rPr>
          <w:rFonts w:hint="default" w:ascii="Times New Roman" w:hAnsi="Times New Roman" w:eastAsia="宋体" w:cs="Times New Roman"/>
          <w:lang w:val="en-US" w:eastAsia="zh-CN"/>
        </w:rPr>
      </w:pPr>
      <w:r>
        <w:rPr>
          <w:rFonts w:hint="default" w:ascii="Times New Roman" w:hAnsi="Times New Roman" w:cs="Times New Roman"/>
          <w:lang w:eastAsia="zh-CN"/>
        </w:rPr>
        <w:t>图</w:t>
      </w:r>
      <w:r>
        <w:rPr>
          <w:rFonts w:hint="default" w:ascii="Times New Roman" w:hAnsi="Times New Roman" w:cs="Times New Roman"/>
        </w:rPr>
        <w:t xml:space="preserve"> </w:t>
      </w:r>
      <w:r>
        <w:rPr>
          <w:rFonts w:hint="default" w:ascii="Times New Roman" w:hAnsi="Times New Roman" w:cs="Times New Roman"/>
          <w:lang w:val="en-US" w:eastAsia="zh-CN"/>
        </w:rPr>
        <w:t>3:</w:t>
      </w:r>
      <w:r>
        <w:rPr>
          <w:rFonts w:hint="default" w:ascii="Times New Roman" w:hAnsi="Times New Roman" w:cs="Times New Roman"/>
          <w:lang w:eastAsia="zh-CN"/>
        </w:rPr>
        <w:t>支出决算</w:t>
      </w:r>
      <w:r>
        <w:rPr>
          <w:rFonts w:hint="default" w:ascii="Times New Roman" w:hAnsi="Times New Roman" w:cs="Times New Roman"/>
          <w:lang w:val="en-US" w:eastAsia="zh-CN"/>
        </w:rPr>
        <w:t xml:space="preserve">  单位：万元</w:t>
      </w:r>
    </w:p>
    <w:p>
      <w:pPr>
        <w:ind w:firstLine="632" w:firstLineChars="200"/>
        <w:rPr>
          <w:rFonts w:hint="default" w:ascii="Times New Roman" w:hAnsi="Times New Roman" w:eastAsia="仿宋_GB2312" w:cs="Times New Roman"/>
          <w:b/>
          <w:bCs/>
        </w:rPr>
      </w:pPr>
      <w:r>
        <w:rPr>
          <w:rFonts w:hint="default" w:ascii="Times New Roman" w:hAnsi="Times New Roman" w:eastAsia="仿宋_GB2312" w:cs="Times New Roman"/>
          <w:lang w:eastAsia="zh-CN"/>
        </w:rPr>
        <w:drawing>
          <wp:inline distT="0" distB="0" distL="114300" distR="114300">
            <wp:extent cx="4498340" cy="2002155"/>
            <wp:effectExtent l="4445" t="4445" r="12065" b="12700"/>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四、财政拨款收入支出决算总体情况说明</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2019年度财政拨款收、支总计</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万元。与2018年相比，财政拨款收、支总计各减少</w:t>
      </w:r>
      <w:r>
        <w:rPr>
          <w:rFonts w:hint="default" w:ascii="Times New Roman" w:hAnsi="Times New Roman" w:eastAsia="仿宋_GB2312" w:cs="Times New Roman"/>
          <w:lang w:val="en-US" w:eastAsia="zh-CN"/>
        </w:rPr>
        <w:t>5668.02</w:t>
      </w:r>
      <w:r>
        <w:rPr>
          <w:rFonts w:hint="default" w:ascii="Times New Roman" w:hAnsi="Times New Roman" w:eastAsia="仿宋_GB2312" w:cs="Times New Roman"/>
        </w:rPr>
        <w:t>万元，下降</w:t>
      </w:r>
      <w:r>
        <w:rPr>
          <w:rFonts w:hint="default" w:ascii="Times New Roman" w:hAnsi="Times New Roman" w:eastAsia="仿宋_GB2312" w:cs="Times New Roman"/>
          <w:lang w:val="en-US" w:eastAsia="zh-CN"/>
        </w:rPr>
        <w:t>45.28</w:t>
      </w:r>
      <w:r>
        <w:rPr>
          <w:rFonts w:hint="default" w:ascii="Times New Roman" w:hAnsi="Times New Roman" w:eastAsia="仿宋_GB2312" w:cs="Times New Roman"/>
        </w:rPr>
        <w:t>%。主要是</w:t>
      </w:r>
      <w:r>
        <w:rPr>
          <w:rFonts w:hint="default" w:ascii="Times New Roman" w:hAnsi="Times New Roman" w:eastAsia="仿宋_GB2312" w:cs="Times New Roman"/>
          <w:lang w:eastAsia="zh-CN"/>
        </w:rPr>
        <w:t>政府性基金预算财政拨款收入的</w:t>
      </w:r>
      <w:r>
        <w:rPr>
          <w:rFonts w:hint="default" w:ascii="Times New Roman" w:hAnsi="Times New Roman" w:eastAsia="仿宋_GB2312" w:cs="Times New Roman"/>
        </w:rPr>
        <w:t>减少。</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lang w:eastAsia="zh-CN"/>
        </w:rPr>
        <w:drawing>
          <wp:inline distT="0" distB="0" distL="114300" distR="114300">
            <wp:extent cx="4841875" cy="2820035"/>
            <wp:effectExtent l="4445" t="4445" r="11430" b="1397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五、一般公共预算财政拨款支出决算情况说明</w:t>
      </w:r>
    </w:p>
    <w:p>
      <w:pPr>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（一）一般公共预算财政拨款支出决算总体情况</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2019年度一般公共预算财政拨款支出</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万元，占本年支出合计的</w:t>
      </w:r>
      <w:r>
        <w:rPr>
          <w:rFonts w:hint="default" w:ascii="Times New Roman" w:hAnsi="Times New Roman" w:eastAsia="仿宋_GB2312" w:cs="Times New Roman"/>
          <w:lang w:val="en-US" w:eastAsia="zh-CN"/>
        </w:rPr>
        <w:t>100</w:t>
      </w:r>
      <w:r>
        <w:rPr>
          <w:rFonts w:hint="default" w:ascii="Times New Roman" w:hAnsi="Times New Roman" w:eastAsia="仿宋_GB2312" w:cs="Times New Roman"/>
        </w:rPr>
        <w:t>%。与2018年相比，一般公共预算财政拨款支出减少</w:t>
      </w:r>
      <w:r>
        <w:rPr>
          <w:rFonts w:hint="default" w:ascii="Times New Roman" w:hAnsi="Times New Roman" w:eastAsia="仿宋_GB2312" w:cs="Times New Roman"/>
          <w:lang w:val="en-US" w:eastAsia="zh-CN"/>
        </w:rPr>
        <w:t>2177.39</w:t>
      </w:r>
      <w:r>
        <w:rPr>
          <w:rFonts w:hint="default" w:ascii="Times New Roman" w:hAnsi="Times New Roman" w:eastAsia="仿宋_GB2312" w:cs="Times New Roman"/>
        </w:rPr>
        <w:t>万元，下降</w:t>
      </w:r>
      <w:r>
        <w:rPr>
          <w:rFonts w:hint="default" w:ascii="Times New Roman" w:hAnsi="Times New Roman" w:eastAsia="仿宋_GB2312" w:cs="Times New Roman"/>
          <w:lang w:val="en-US" w:eastAsia="zh-CN"/>
        </w:rPr>
        <w:t>24.12</w:t>
      </w:r>
      <w:r>
        <w:rPr>
          <w:rFonts w:hint="default" w:ascii="Times New Roman" w:hAnsi="Times New Roman" w:eastAsia="仿宋_GB2312" w:cs="Times New Roman"/>
        </w:rPr>
        <w:t>%。主要是</w:t>
      </w:r>
      <w:r>
        <w:rPr>
          <w:rFonts w:hint="default" w:ascii="Times New Roman" w:hAnsi="Times New Roman" w:eastAsia="仿宋_GB2312" w:cs="Times New Roman"/>
          <w:lang w:eastAsia="zh-CN"/>
        </w:rPr>
        <w:t>教育、城乡社区支出、农林水支出的</w:t>
      </w:r>
      <w:r>
        <w:rPr>
          <w:rFonts w:hint="default" w:ascii="Times New Roman" w:hAnsi="Times New Roman" w:eastAsia="仿宋_GB2312" w:cs="Times New Roman"/>
        </w:rPr>
        <w:t>减少。</w:t>
      </w:r>
    </w:p>
    <w:p>
      <w:pPr>
        <w:ind w:firstLine="632" w:firstLineChars="200"/>
        <w:rPr>
          <w:rFonts w:hint="default" w:ascii="Times New Roman" w:hAnsi="Times New Roman" w:eastAsia="楷体_GB2312" w:cs="Times New Roman"/>
        </w:rPr>
      </w:pPr>
      <w:r>
        <w:rPr>
          <w:rFonts w:hint="default" w:ascii="Times New Roman" w:hAnsi="Times New Roman" w:eastAsia="仿宋_GB2312" w:cs="Times New Roman"/>
          <w:lang w:eastAsia="zh-CN"/>
        </w:rPr>
        <w:drawing>
          <wp:inline distT="0" distB="0" distL="114300" distR="114300">
            <wp:extent cx="4841875" cy="2820035"/>
            <wp:effectExtent l="4445" t="4445" r="11430" b="1397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（二）一般公共预算财政拨款支出决算结构情况</w:t>
      </w:r>
    </w:p>
    <w:p>
      <w:pPr>
        <w:ind w:firstLine="632" w:firstLineChars="200"/>
        <w:rPr>
          <w:rFonts w:hint="default" w:ascii="Times New Roman" w:hAnsi="Times New Roman" w:cs="Times New Roman"/>
          <w:lang w:eastAsia="zh-CN"/>
        </w:rPr>
      </w:pPr>
      <w:r>
        <w:rPr>
          <w:rFonts w:hint="default" w:ascii="Times New Roman" w:hAnsi="Times New Roman" w:eastAsia="仿宋_GB2312" w:cs="Times New Roman"/>
        </w:rPr>
        <w:t>2019年度一般公共预算财政拨款支出</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万元，主要用于以下方面：一般公共服务（类）支出</w:t>
      </w:r>
      <w:r>
        <w:rPr>
          <w:rFonts w:hint="default" w:ascii="Times New Roman" w:hAnsi="Times New Roman" w:eastAsia="仿宋_GB2312" w:cs="Times New Roman"/>
          <w:lang w:val="en-US" w:eastAsia="zh-CN"/>
        </w:rPr>
        <w:t>489.38</w:t>
      </w:r>
      <w:r>
        <w:rPr>
          <w:rFonts w:hint="default" w:ascii="Times New Roman" w:hAnsi="Times New Roman" w:eastAsia="仿宋_GB2312" w:cs="Times New Roman"/>
        </w:rPr>
        <w:t>万元，占</w:t>
      </w:r>
      <w:r>
        <w:rPr>
          <w:rFonts w:hint="default" w:ascii="Times New Roman" w:hAnsi="Times New Roman" w:eastAsia="仿宋_GB2312" w:cs="Times New Roman"/>
          <w:lang w:val="en-US" w:eastAsia="zh-CN"/>
        </w:rPr>
        <w:t>7.14</w:t>
      </w:r>
      <w:r>
        <w:rPr>
          <w:rFonts w:hint="default" w:ascii="Times New Roman" w:hAnsi="Times New Roman" w:eastAsia="仿宋_GB2312" w:cs="Times New Roman"/>
        </w:rPr>
        <w:t>%；</w:t>
      </w:r>
      <w:r>
        <w:rPr>
          <w:rFonts w:hint="default" w:ascii="Times New Roman" w:hAnsi="Times New Roman" w:eastAsia="仿宋_GB2312" w:cs="Times New Roman"/>
          <w:lang w:eastAsia="zh-CN"/>
        </w:rPr>
        <w:t>社会保障和就业支出</w:t>
      </w:r>
      <w:r>
        <w:rPr>
          <w:rFonts w:hint="default" w:ascii="Times New Roman" w:hAnsi="Times New Roman" w:eastAsia="仿宋_GB2312" w:cs="Times New Roman"/>
          <w:lang w:val="en-US" w:eastAsia="zh-CN"/>
        </w:rPr>
        <w:t>107.32</w:t>
      </w:r>
      <w:r>
        <w:rPr>
          <w:rFonts w:hint="default" w:ascii="Times New Roman" w:hAnsi="Times New Roman" w:eastAsia="仿宋_GB2312" w:cs="Times New Roman"/>
        </w:rPr>
        <w:t>万元，占</w:t>
      </w:r>
      <w:r>
        <w:rPr>
          <w:rFonts w:hint="default" w:ascii="Times New Roman" w:hAnsi="Times New Roman" w:eastAsia="仿宋_GB2312" w:cs="Times New Roman"/>
          <w:lang w:val="en-US" w:eastAsia="zh-CN"/>
        </w:rPr>
        <w:t>1.57</w:t>
      </w:r>
      <w:r>
        <w:rPr>
          <w:rFonts w:hint="default" w:ascii="Times New Roman" w:hAnsi="Times New Roman" w:eastAsia="仿宋_GB2312" w:cs="Times New Roman"/>
        </w:rPr>
        <w:t>%；</w:t>
      </w:r>
      <w:r>
        <w:rPr>
          <w:rFonts w:hint="default" w:ascii="Times New Roman" w:hAnsi="Times New Roman" w:eastAsia="仿宋_GB2312" w:cs="Times New Roman"/>
          <w:lang w:eastAsia="zh-CN"/>
        </w:rPr>
        <w:t>卫生健康</w:t>
      </w:r>
      <w:r>
        <w:rPr>
          <w:rFonts w:hint="default" w:ascii="Times New Roman" w:hAnsi="Times New Roman" w:eastAsia="仿宋_GB2312" w:cs="Times New Roman"/>
        </w:rPr>
        <w:t>支出</w:t>
      </w:r>
      <w:r>
        <w:rPr>
          <w:rFonts w:hint="default" w:ascii="Times New Roman" w:hAnsi="Times New Roman" w:eastAsia="仿宋_GB2312" w:cs="Times New Roman"/>
          <w:lang w:val="en-US" w:eastAsia="zh-CN"/>
        </w:rPr>
        <w:t>70.97</w:t>
      </w:r>
      <w:r>
        <w:rPr>
          <w:rFonts w:hint="default" w:ascii="Times New Roman" w:hAnsi="Times New Roman" w:eastAsia="仿宋_GB2312" w:cs="Times New Roman"/>
        </w:rPr>
        <w:t>万元，占</w:t>
      </w:r>
      <w:r>
        <w:rPr>
          <w:rFonts w:hint="default" w:ascii="Times New Roman" w:hAnsi="Times New Roman" w:eastAsia="仿宋_GB2312" w:cs="Times New Roman"/>
          <w:lang w:val="en-US" w:eastAsia="zh-CN"/>
        </w:rPr>
        <w:t>1.04</w:t>
      </w:r>
      <w:r>
        <w:rPr>
          <w:rFonts w:hint="default" w:ascii="Times New Roman" w:hAnsi="Times New Roman" w:eastAsia="仿宋_GB2312" w:cs="Times New Roman"/>
        </w:rPr>
        <w:t>%；</w:t>
      </w:r>
      <w:r>
        <w:rPr>
          <w:rFonts w:hint="default" w:ascii="Times New Roman" w:hAnsi="Times New Roman" w:eastAsia="仿宋_GB2312" w:cs="Times New Roman"/>
          <w:lang w:eastAsia="zh-CN"/>
        </w:rPr>
        <w:t>城乡社区支出</w:t>
      </w:r>
      <w:r>
        <w:rPr>
          <w:rFonts w:hint="default" w:ascii="Times New Roman" w:hAnsi="Times New Roman" w:eastAsia="仿宋_GB2312" w:cs="Times New Roman"/>
          <w:lang w:val="en-US" w:eastAsia="zh-CN"/>
        </w:rPr>
        <w:t>3957.56</w:t>
      </w:r>
      <w:r>
        <w:rPr>
          <w:rFonts w:hint="default" w:ascii="Times New Roman" w:hAnsi="Times New Roman" w:eastAsia="仿宋_GB2312" w:cs="Times New Roman"/>
        </w:rPr>
        <w:t>万元，占</w:t>
      </w:r>
      <w:r>
        <w:rPr>
          <w:rFonts w:hint="default" w:ascii="Times New Roman" w:hAnsi="Times New Roman" w:eastAsia="仿宋_GB2312" w:cs="Times New Roman"/>
          <w:lang w:val="en-US" w:eastAsia="zh-CN"/>
        </w:rPr>
        <w:t>57.77</w:t>
      </w:r>
      <w:r>
        <w:rPr>
          <w:rFonts w:hint="default" w:ascii="Times New Roman" w:hAnsi="Times New Roman" w:eastAsia="仿宋_GB2312" w:cs="Times New Roman"/>
        </w:rPr>
        <w:t>%；</w:t>
      </w:r>
      <w:r>
        <w:rPr>
          <w:rFonts w:hint="default" w:ascii="Times New Roman" w:hAnsi="Times New Roman" w:eastAsia="仿宋_GB2312" w:cs="Times New Roman"/>
          <w:lang w:eastAsia="zh-CN"/>
        </w:rPr>
        <w:t>农林水支出</w:t>
      </w:r>
      <w:r>
        <w:rPr>
          <w:rFonts w:hint="default" w:ascii="Times New Roman" w:hAnsi="Times New Roman" w:eastAsia="仿宋_GB2312" w:cs="Times New Roman"/>
          <w:lang w:val="en-US" w:eastAsia="zh-CN"/>
        </w:rPr>
        <w:t>1155.98，占16.87%；交通运输支出900万元，占13.14%；自然资源海洋气象等支出100万元，占1.46%；住房保障支出60.11万元，占1.01%。</w:t>
      </w:r>
    </w:p>
    <w:p>
      <w:pPr>
        <w:pStyle w:val="2"/>
        <w:ind w:firstLine="2156" w:firstLineChars="1100"/>
        <w:rPr>
          <w:rFonts w:hint="default" w:ascii="Times New Roman" w:hAnsi="Times New Roman" w:eastAsia="仿宋_GB2312" w:cs="Times New Roman"/>
          <w:lang w:eastAsia="zh-CN"/>
        </w:rPr>
      </w:pPr>
      <w:r>
        <w:rPr>
          <w:rFonts w:hint="default" w:ascii="Times New Roman" w:hAnsi="Times New Roman" w:cs="Times New Roman"/>
          <w:lang w:eastAsia="zh-CN"/>
        </w:rPr>
        <w:t>图</w:t>
      </w:r>
      <w:r>
        <w:rPr>
          <w:rFonts w:hint="default" w:ascii="Times New Roman" w:hAnsi="Times New Roman" w:cs="Times New Roman"/>
          <w:lang w:val="en-US" w:eastAsia="zh-CN"/>
        </w:rPr>
        <w:t>6：</w:t>
      </w:r>
      <w:r>
        <w:rPr>
          <w:rFonts w:hint="default" w:ascii="Times New Roman" w:hAnsi="Times New Roman" w:cs="Times New Roman"/>
          <w:lang w:eastAsia="zh-CN"/>
        </w:rPr>
        <w:t>一般公共预算财政拨款支出决算</w:t>
      </w:r>
    </w:p>
    <w:p>
      <w:p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drawing>
          <wp:inline distT="0" distB="0" distL="114300" distR="114300">
            <wp:extent cx="4633595" cy="2582545"/>
            <wp:effectExtent l="4445" t="4445" r="10160" b="2286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（三）一般公共预算财政拨款支出决算具体情况</w:t>
      </w:r>
    </w:p>
    <w:p>
      <w:p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rPr>
        <w:t>2019年度一般公共预算财政拨款支出年初预算</w:t>
      </w:r>
      <w:r>
        <w:rPr>
          <w:rFonts w:hint="default" w:ascii="Times New Roman" w:hAnsi="Times New Roman" w:eastAsia="仿宋_GB2312" w:cs="Times New Roman"/>
          <w:lang w:val="en-US" w:eastAsia="zh-CN"/>
        </w:rPr>
        <w:t>924.79</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6850.33</w:t>
      </w:r>
      <w:r>
        <w:rPr>
          <w:rFonts w:hint="default" w:ascii="Times New Roman" w:hAnsi="Times New Roman" w:eastAsia="仿宋_GB2312" w:cs="Times New Roman"/>
        </w:rPr>
        <w:t>万元，完成年初预算的</w:t>
      </w:r>
      <w:r>
        <w:rPr>
          <w:rFonts w:hint="default" w:ascii="Times New Roman" w:hAnsi="Times New Roman" w:eastAsia="仿宋_GB2312" w:cs="Times New Roman"/>
          <w:lang w:val="en-US" w:eastAsia="zh-CN"/>
        </w:rPr>
        <w:t>740.74</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大于</w:t>
      </w:r>
      <w:r>
        <w:rPr>
          <w:rFonts w:hint="default" w:ascii="Times New Roman" w:hAnsi="Times New Roman" w:eastAsia="仿宋_GB2312" w:cs="Times New Roman"/>
        </w:rPr>
        <w:t>年初预算</w:t>
      </w:r>
      <w:r>
        <w:rPr>
          <w:rFonts w:hint="default" w:ascii="Times New Roman" w:hAnsi="Times New Roman" w:eastAsia="仿宋_GB2312" w:cs="Times New Roman"/>
          <w:lang w:eastAsia="zh-CN"/>
        </w:rPr>
        <w:t>数，主要原因是：</w:t>
      </w:r>
    </w:p>
    <w:p>
      <w:pPr>
        <w:numPr>
          <w:ilvl w:val="0"/>
          <w:numId w:val="1"/>
        </w:num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rPr>
        <w:t>一般公共服务支出年初预算为</w:t>
      </w:r>
      <w:r>
        <w:rPr>
          <w:rFonts w:hint="default" w:ascii="Times New Roman" w:hAnsi="Times New Roman" w:eastAsia="仿宋_GB2312" w:cs="Times New Roman"/>
          <w:lang w:val="en-US" w:eastAsia="zh-CN"/>
        </w:rPr>
        <w:t>419.64</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498.39</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，完成年初预算的</w:t>
      </w:r>
      <w:r>
        <w:rPr>
          <w:rFonts w:hint="default" w:ascii="Times New Roman" w:hAnsi="Times New Roman" w:eastAsia="仿宋_GB2312" w:cs="Times New Roman"/>
          <w:lang w:val="en-US" w:eastAsia="zh-CN"/>
        </w:rPr>
        <w:t>118.77%。</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大</w:t>
      </w:r>
      <w:r>
        <w:rPr>
          <w:rFonts w:hint="default" w:ascii="Times New Roman" w:hAnsi="Times New Roman" w:eastAsia="仿宋_GB2312" w:cs="Times New Roman"/>
        </w:rPr>
        <w:t>于年初预算数主要原因是</w:t>
      </w:r>
      <w:r>
        <w:rPr>
          <w:rFonts w:hint="default" w:ascii="Times New Roman" w:hAnsi="Times New Roman" w:eastAsia="仿宋_GB2312" w:cs="Times New Roman"/>
          <w:lang w:eastAsia="zh-CN"/>
        </w:rPr>
        <w:t>运行经费增加。</w:t>
      </w:r>
    </w:p>
    <w:p>
      <w:pPr>
        <w:numPr>
          <w:ilvl w:val="0"/>
          <w:numId w:val="1"/>
        </w:num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社会保障和就业支出</w:t>
      </w:r>
      <w:r>
        <w:rPr>
          <w:rFonts w:hint="default" w:ascii="Times New Roman" w:hAnsi="Times New Roman" w:eastAsia="仿宋_GB2312" w:cs="Times New Roman"/>
        </w:rPr>
        <w:t>年初预算为</w:t>
      </w:r>
      <w:r>
        <w:rPr>
          <w:rFonts w:hint="default" w:ascii="Times New Roman" w:hAnsi="Times New Roman" w:eastAsia="仿宋_GB2312" w:cs="Times New Roman"/>
          <w:lang w:val="en-US" w:eastAsia="zh-CN"/>
        </w:rPr>
        <w:t>142.1</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107.32</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，完成年初预算的</w:t>
      </w:r>
      <w:r>
        <w:rPr>
          <w:rFonts w:hint="default" w:ascii="Times New Roman" w:hAnsi="Times New Roman" w:eastAsia="仿宋_GB2312" w:cs="Times New Roman"/>
          <w:lang w:val="en-US" w:eastAsia="zh-CN"/>
        </w:rPr>
        <w:t>75.52%。</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小</w:t>
      </w:r>
      <w:r>
        <w:rPr>
          <w:rFonts w:hint="default" w:ascii="Times New Roman" w:hAnsi="Times New Roman" w:eastAsia="仿宋_GB2312" w:cs="Times New Roman"/>
        </w:rPr>
        <w:t>于年初预算数主要原因是</w:t>
      </w:r>
      <w:r>
        <w:rPr>
          <w:rFonts w:hint="default" w:ascii="Times New Roman" w:hAnsi="Times New Roman" w:eastAsia="仿宋_GB2312" w:cs="Times New Roman"/>
          <w:lang w:eastAsia="zh-CN"/>
        </w:rPr>
        <w:t>运行经费减少。</w:t>
      </w:r>
    </w:p>
    <w:p>
      <w:pPr>
        <w:numPr>
          <w:ilvl w:val="0"/>
          <w:numId w:val="1"/>
        </w:num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卫生健康支出</w:t>
      </w:r>
      <w:r>
        <w:rPr>
          <w:rFonts w:hint="default" w:ascii="Times New Roman" w:hAnsi="Times New Roman" w:eastAsia="仿宋_GB2312" w:cs="Times New Roman"/>
        </w:rPr>
        <w:t>年初预算为</w:t>
      </w:r>
      <w:r>
        <w:rPr>
          <w:rFonts w:hint="default" w:ascii="Times New Roman" w:hAnsi="Times New Roman" w:eastAsia="仿宋_GB2312" w:cs="Times New Roman"/>
          <w:lang w:val="en-US" w:eastAsia="zh-CN"/>
        </w:rPr>
        <w:t>79.19</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70.97</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，完成年初预算的</w:t>
      </w:r>
      <w:r>
        <w:rPr>
          <w:rFonts w:hint="default" w:ascii="Times New Roman" w:hAnsi="Times New Roman" w:eastAsia="仿宋_GB2312" w:cs="Times New Roman"/>
          <w:lang w:val="en-US" w:eastAsia="zh-CN"/>
        </w:rPr>
        <w:t>89.62%。</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小</w:t>
      </w:r>
      <w:r>
        <w:rPr>
          <w:rFonts w:hint="default" w:ascii="Times New Roman" w:hAnsi="Times New Roman" w:eastAsia="仿宋_GB2312" w:cs="Times New Roman"/>
        </w:rPr>
        <w:t>于年初预算数主要原因是</w:t>
      </w:r>
      <w:r>
        <w:rPr>
          <w:rFonts w:hint="default" w:ascii="Times New Roman" w:hAnsi="Times New Roman" w:eastAsia="仿宋_GB2312" w:cs="Times New Roman"/>
          <w:lang w:eastAsia="zh-CN"/>
        </w:rPr>
        <w:t>运行经费减少。</w:t>
      </w:r>
    </w:p>
    <w:p>
      <w:pPr>
        <w:numPr>
          <w:ilvl w:val="0"/>
          <w:numId w:val="1"/>
        </w:num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城乡社区支出</w:t>
      </w:r>
      <w:r>
        <w:rPr>
          <w:rFonts w:hint="default" w:ascii="Times New Roman" w:hAnsi="Times New Roman" w:eastAsia="仿宋_GB2312" w:cs="Times New Roman"/>
        </w:rPr>
        <w:t>年初预算为</w:t>
      </w:r>
      <w:r>
        <w:rPr>
          <w:rFonts w:hint="default" w:ascii="Times New Roman" w:hAnsi="Times New Roman" w:eastAsia="仿宋_GB2312" w:cs="Times New Roman"/>
          <w:lang w:val="en-US" w:eastAsia="zh-CN"/>
        </w:rPr>
        <w:t>46.56</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3957.56</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，完成年初预算的</w:t>
      </w:r>
      <w:r>
        <w:rPr>
          <w:rFonts w:hint="default" w:ascii="Times New Roman" w:hAnsi="Times New Roman" w:eastAsia="仿宋_GB2312" w:cs="Times New Roman"/>
          <w:lang w:val="en-US" w:eastAsia="zh-CN"/>
        </w:rPr>
        <w:t>8499%。</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大</w:t>
      </w:r>
      <w:r>
        <w:rPr>
          <w:rFonts w:hint="default" w:ascii="Times New Roman" w:hAnsi="Times New Roman" w:eastAsia="仿宋_GB2312" w:cs="Times New Roman"/>
        </w:rPr>
        <w:t>于年初预算数主要原因是</w:t>
      </w:r>
      <w:r>
        <w:rPr>
          <w:rFonts w:hint="default" w:ascii="Times New Roman" w:hAnsi="Times New Roman" w:eastAsia="仿宋_GB2312" w:cs="Times New Roman"/>
          <w:lang w:eastAsia="zh-CN"/>
        </w:rPr>
        <w:t>招商增财经费不在年初预算中。</w:t>
      </w:r>
    </w:p>
    <w:p>
      <w:pPr>
        <w:numPr>
          <w:ilvl w:val="0"/>
          <w:numId w:val="1"/>
        </w:num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农林水支出</w:t>
      </w:r>
      <w:r>
        <w:rPr>
          <w:rFonts w:hint="default" w:ascii="Times New Roman" w:hAnsi="Times New Roman" w:eastAsia="仿宋_GB2312" w:cs="Times New Roman"/>
        </w:rPr>
        <w:t>年初预算为</w:t>
      </w:r>
      <w:r>
        <w:rPr>
          <w:rFonts w:hint="default" w:ascii="Times New Roman" w:hAnsi="Times New Roman" w:eastAsia="仿宋_GB2312" w:cs="Times New Roman"/>
          <w:lang w:val="en-US" w:eastAsia="zh-CN"/>
        </w:rPr>
        <w:t>103.31</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1155.98</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，完成年初预算的</w:t>
      </w:r>
      <w:r>
        <w:rPr>
          <w:rFonts w:hint="default" w:ascii="Times New Roman" w:hAnsi="Times New Roman" w:eastAsia="仿宋_GB2312" w:cs="Times New Roman"/>
          <w:lang w:val="en-US" w:eastAsia="zh-CN"/>
        </w:rPr>
        <w:t>1118.94%。</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大</w:t>
      </w:r>
      <w:r>
        <w:rPr>
          <w:rFonts w:hint="default" w:ascii="Times New Roman" w:hAnsi="Times New Roman" w:eastAsia="仿宋_GB2312" w:cs="Times New Roman"/>
        </w:rPr>
        <w:t>于年初预算数主要原因是</w:t>
      </w:r>
      <w:r>
        <w:rPr>
          <w:rFonts w:hint="default" w:ascii="Times New Roman" w:hAnsi="Times New Roman" w:eastAsia="仿宋_GB2312" w:cs="Times New Roman"/>
          <w:lang w:eastAsia="zh-CN"/>
        </w:rPr>
        <w:t>对村民委员会和村党支部的补助不在年初预算中。</w:t>
      </w:r>
    </w:p>
    <w:p>
      <w:pPr>
        <w:numPr>
          <w:ilvl w:val="0"/>
          <w:numId w:val="1"/>
        </w:num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交通运输支出</w:t>
      </w:r>
      <w:r>
        <w:rPr>
          <w:rFonts w:hint="default" w:ascii="Times New Roman" w:hAnsi="Times New Roman" w:eastAsia="仿宋_GB2312" w:cs="Times New Roman"/>
        </w:rPr>
        <w:t>年初预算为</w:t>
      </w:r>
      <w:r>
        <w:rPr>
          <w:rFonts w:hint="default" w:ascii="Times New Roman" w:hAnsi="Times New Roman" w:eastAsia="仿宋_GB2312" w:cs="Times New Roman"/>
          <w:lang w:val="en-US" w:eastAsia="zh-CN"/>
        </w:rPr>
        <w:t>0</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900</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，完成年初预算的</w:t>
      </w:r>
      <w:r>
        <w:rPr>
          <w:rFonts w:hint="default" w:ascii="Times New Roman" w:hAnsi="Times New Roman" w:eastAsia="仿宋_GB2312" w:cs="Times New Roman"/>
          <w:lang w:val="en-US" w:eastAsia="zh-CN"/>
        </w:rPr>
        <w:t>900%。</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大</w:t>
      </w:r>
      <w:r>
        <w:rPr>
          <w:rFonts w:hint="default" w:ascii="Times New Roman" w:hAnsi="Times New Roman" w:eastAsia="仿宋_GB2312" w:cs="Times New Roman"/>
        </w:rPr>
        <w:t>于年初预算数主要原因是</w:t>
      </w:r>
      <w:r>
        <w:rPr>
          <w:rFonts w:hint="default" w:ascii="Times New Roman" w:hAnsi="Times New Roman" w:eastAsia="仿宋_GB2312" w:cs="Times New Roman"/>
          <w:lang w:eastAsia="zh-CN"/>
        </w:rPr>
        <w:t>道路建设支出不在年初预算中。</w:t>
      </w:r>
    </w:p>
    <w:p>
      <w:pPr>
        <w:numPr>
          <w:ilvl w:val="0"/>
          <w:numId w:val="1"/>
        </w:num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自然资源海洋气象等支出</w:t>
      </w:r>
      <w:r>
        <w:rPr>
          <w:rFonts w:hint="default" w:ascii="Times New Roman" w:hAnsi="Times New Roman" w:eastAsia="仿宋_GB2312" w:cs="Times New Roman"/>
        </w:rPr>
        <w:t>年初预算为</w:t>
      </w:r>
      <w:r>
        <w:rPr>
          <w:rFonts w:hint="default" w:ascii="Times New Roman" w:hAnsi="Times New Roman" w:eastAsia="仿宋_GB2312" w:cs="Times New Roman"/>
          <w:lang w:val="en-US" w:eastAsia="zh-CN"/>
        </w:rPr>
        <w:t>0</w:t>
      </w:r>
      <w:r>
        <w:rPr>
          <w:rFonts w:hint="default" w:ascii="Times New Roman" w:hAnsi="Times New Roman" w:eastAsia="仿宋_GB2312" w:cs="Times New Roman"/>
        </w:rPr>
        <w:t>万元，支出决算为</w:t>
      </w:r>
      <w:r>
        <w:rPr>
          <w:rFonts w:hint="default" w:ascii="Times New Roman" w:hAnsi="Times New Roman" w:eastAsia="仿宋_GB2312" w:cs="Times New Roman"/>
          <w:lang w:val="en-US" w:eastAsia="zh-CN"/>
        </w:rPr>
        <w:t>100</w:t>
      </w:r>
      <w:r>
        <w:rPr>
          <w:rFonts w:hint="default" w:ascii="Times New Roman" w:hAnsi="Times New Roman" w:eastAsia="仿宋_GB2312" w:cs="Times New Roman"/>
        </w:rPr>
        <w:t>万元</w:t>
      </w:r>
      <w:r>
        <w:rPr>
          <w:rFonts w:hint="default" w:ascii="Times New Roman" w:hAnsi="Times New Roman" w:eastAsia="仿宋_GB2312" w:cs="Times New Roman"/>
          <w:lang w:eastAsia="zh-CN"/>
        </w:rPr>
        <w:t>，完成年初预算的</w:t>
      </w:r>
      <w:r>
        <w:rPr>
          <w:rFonts w:hint="default" w:ascii="Times New Roman" w:hAnsi="Times New Roman" w:eastAsia="仿宋_GB2312" w:cs="Times New Roman"/>
          <w:lang w:val="en-US" w:eastAsia="zh-CN"/>
        </w:rPr>
        <w:t>100%。</w:t>
      </w:r>
      <w:r>
        <w:rPr>
          <w:rFonts w:hint="default" w:ascii="Times New Roman" w:hAnsi="Times New Roman" w:eastAsia="仿宋_GB2312" w:cs="Times New Roman"/>
        </w:rPr>
        <w:t>决算数</w:t>
      </w:r>
      <w:r>
        <w:rPr>
          <w:rFonts w:hint="default" w:ascii="Times New Roman" w:hAnsi="Times New Roman" w:eastAsia="仿宋_GB2312" w:cs="Times New Roman"/>
          <w:lang w:eastAsia="zh-CN"/>
        </w:rPr>
        <w:t>大</w:t>
      </w:r>
      <w:r>
        <w:rPr>
          <w:rFonts w:hint="default" w:ascii="Times New Roman" w:hAnsi="Times New Roman" w:eastAsia="仿宋_GB2312" w:cs="Times New Roman"/>
        </w:rPr>
        <w:t>于年初预算数主要原因是</w:t>
      </w:r>
      <w:r>
        <w:rPr>
          <w:rFonts w:hint="default" w:ascii="Times New Roman" w:hAnsi="Times New Roman" w:eastAsia="仿宋_GB2312" w:cs="Times New Roman"/>
          <w:lang w:eastAsia="zh-CN"/>
        </w:rPr>
        <w:t>国土整治资金不在年初预算中。</w:t>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六、一般公共预算财政拨款基本支出决算情况说明</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2019年度一般公共预算财政拨款基本支出决</w:t>
      </w:r>
      <w:r>
        <w:rPr>
          <w:rFonts w:hint="default" w:ascii="Times New Roman" w:hAnsi="Times New Roman" w:eastAsia="仿宋_GB2312" w:cs="Times New Roman"/>
          <w:lang w:val="en-US" w:eastAsia="zh-CN"/>
        </w:rPr>
        <w:t>857.59</w:t>
      </w:r>
      <w:r>
        <w:rPr>
          <w:rFonts w:hint="default" w:ascii="Times New Roman" w:hAnsi="Times New Roman" w:eastAsia="仿宋_GB2312" w:cs="Times New Roman"/>
        </w:rPr>
        <w:t>万元，包括人员经费和公用经费，支出具体情况如下：</w:t>
      </w:r>
    </w:p>
    <w:p>
      <w:pPr>
        <w:ind w:firstLine="632" w:firstLineChars="200"/>
        <w:rPr>
          <w:rFonts w:hint="default" w:ascii="Times New Roman" w:hAnsi="Times New Roman" w:eastAsia="仿宋_GB2312" w:cs="Times New Roman"/>
          <w:b/>
          <w:bCs/>
        </w:rPr>
      </w:pPr>
      <w:r>
        <w:rPr>
          <w:rFonts w:hint="default" w:ascii="Times New Roman" w:hAnsi="Times New Roman" w:eastAsia="仿宋_GB2312" w:cs="Times New Roman"/>
        </w:rPr>
        <w:t>人员经费</w:t>
      </w:r>
      <w:r>
        <w:rPr>
          <w:rFonts w:hint="default" w:ascii="Times New Roman" w:hAnsi="Times New Roman" w:eastAsia="仿宋_GB2312" w:cs="Times New Roman"/>
          <w:lang w:val="en-US" w:eastAsia="zh-CN"/>
        </w:rPr>
        <w:t>776.59</w:t>
      </w:r>
      <w:r>
        <w:rPr>
          <w:rFonts w:hint="default" w:ascii="Times New Roman" w:hAnsi="Times New Roman" w:eastAsia="仿宋_GB2312" w:cs="Times New Roman"/>
        </w:rPr>
        <w:t>万元，主要包括：基本工资、津贴补贴、奖金</w:t>
      </w:r>
      <w:r>
        <w:rPr>
          <w:rFonts w:hint="default" w:ascii="Times New Roman" w:hAnsi="Times New Roman" w:eastAsia="仿宋_GB2312" w:cs="Times New Roman"/>
          <w:lang w:eastAsia="zh-CN"/>
        </w:rPr>
        <w:t>、绩效工资、住房公积金、其他工资福利支出</w:t>
      </w:r>
      <w:r>
        <w:rPr>
          <w:rFonts w:hint="default" w:ascii="Times New Roman" w:hAnsi="Times New Roman" w:eastAsia="仿宋_GB2312" w:cs="Times New Roman"/>
        </w:rPr>
        <w:t>等。</w:t>
      </w:r>
    </w:p>
    <w:p>
      <w:pPr>
        <w:ind w:firstLine="632" w:firstLineChars="200"/>
        <w:rPr>
          <w:rFonts w:hint="default" w:ascii="Times New Roman" w:hAnsi="Times New Roman" w:eastAsia="仿宋_GB2312" w:cs="Times New Roman"/>
          <w:b/>
          <w:bCs/>
        </w:rPr>
      </w:pPr>
      <w:r>
        <w:rPr>
          <w:rFonts w:hint="default" w:ascii="Times New Roman" w:hAnsi="Times New Roman" w:eastAsia="仿宋_GB2312" w:cs="Times New Roman"/>
        </w:rPr>
        <w:t>公用经费</w:t>
      </w:r>
      <w:r>
        <w:rPr>
          <w:rFonts w:hint="default" w:ascii="Times New Roman" w:hAnsi="Times New Roman" w:eastAsia="仿宋_GB2312" w:cs="Times New Roman"/>
          <w:lang w:val="en-US" w:eastAsia="zh-CN"/>
        </w:rPr>
        <w:t>81</w:t>
      </w:r>
      <w:r>
        <w:rPr>
          <w:rFonts w:hint="default" w:ascii="Times New Roman" w:hAnsi="Times New Roman" w:eastAsia="仿宋_GB2312" w:cs="Times New Roman"/>
        </w:rPr>
        <w:t>万元，主要包括：</w:t>
      </w:r>
      <w:r>
        <w:rPr>
          <w:rFonts w:hint="default" w:ascii="Times New Roman" w:hAnsi="Times New Roman" w:eastAsia="仿宋_GB2312" w:cs="Times New Roman"/>
          <w:lang w:eastAsia="zh-CN"/>
        </w:rPr>
        <w:t>差旅费、公务用车运行维护费、其他交通费用</w:t>
      </w:r>
      <w:r>
        <w:rPr>
          <w:rFonts w:hint="default" w:ascii="Times New Roman" w:hAnsi="Times New Roman" w:eastAsia="仿宋_GB2312" w:cs="Times New Roman"/>
        </w:rPr>
        <w:t>等。</w:t>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七、一般公共预算财政拨款“三公”经费支出决算情况说明</w:t>
      </w:r>
    </w:p>
    <w:p>
      <w:pPr>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（一）“三公”经费支出决算总体情况及增减变动原因</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一般公共预算财政拨款“三公”经费支出范围包括</w:t>
      </w:r>
      <w:r>
        <w:rPr>
          <w:rFonts w:hint="default" w:ascii="Times New Roman" w:hAnsi="Times New Roman" w:eastAsia="仿宋_GB2312" w:cs="Times New Roman"/>
          <w:lang w:eastAsia="zh-CN"/>
        </w:rPr>
        <w:t>宋村镇人民政府</w:t>
      </w:r>
      <w:r>
        <w:rPr>
          <w:rFonts w:hint="default" w:ascii="Times New Roman" w:hAnsi="Times New Roman" w:eastAsia="仿宋_GB2312" w:cs="Times New Roman"/>
        </w:rPr>
        <w:t>及其所属预算单位，共</w:t>
      </w:r>
      <w:r>
        <w:rPr>
          <w:rFonts w:hint="default" w:ascii="Times New Roman" w:hAnsi="Times New Roman" w:eastAsia="仿宋_GB2312" w:cs="Times New Roman"/>
          <w:lang w:val="en-US" w:eastAsia="zh-CN"/>
        </w:rPr>
        <w:t>6</w:t>
      </w:r>
      <w:r>
        <w:rPr>
          <w:rFonts w:hint="default" w:ascii="Times New Roman" w:hAnsi="Times New Roman" w:eastAsia="仿宋_GB2312" w:cs="Times New Roman"/>
        </w:rPr>
        <w:t>个预算单位。2019年度一般公共预算财政拨款“三公”经费决算数为</w:t>
      </w:r>
      <w:r>
        <w:rPr>
          <w:rFonts w:hint="default" w:ascii="Times New Roman" w:hAnsi="Times New Roman" w:eastAsia="仿宋_GB2312" w:cs="Times New Roman"/>
          <w:lang w:val="en-US" w:eastAsia="zh-CN"/>
        </w:rPr>
        <w:t>19.09</w:t>
      </w:r>
      <w:r>
        <w:rPr>
          <w:rFonts w:hint="default" w:ascii="Times New Roman" w:hAnsi="Times New Roman" w:eastAsia="仿宋_GB2312" w:cs="Times New Roman"/>
        </w:rPr>
        <w:t>万元，完成年初预算的</w:t>
      </w:r>
      <w:r>
        <w:rPr>
          <w:rFonts w:hint="default" w:ascii="Times New Roman" w:hAnsi="Times New Roman" w:eastAsia="仿宋_GB2312" w:cs="Times New Roman"/>
          <w:lang w:val="en-US" w:eastAsia="zh-CN"/>
        </w:rPr>
        <w:t>36.71</w:t>
      </w:r>
      <w:r>
        <w:rPr>
          <w:rFonts w:hint="default" w:ascii="Times New Roman" w:hAnsi="Times New Roman" w:eastAsia="仿宋_GB2312" w:cs="Times New Roman"/>
        </w:rPr>
        <w:t>%，其中：公务用车购置及运行维护费</w:t>
      </w:r>
      <w:r>
        <w:rPr>
          <w:rFonts w:hint="default" w:ascii="Times New Roman" w:hAnsi="Times New Roman" w:eastAsia="仿宋_GB2312" w:cs="Times New Roman"/>
          <w:lang w:val="en-US" w:eastAsia="zh-CN"/>
        </w:rPr>
        <w:t>16.72</w:t>
      </w:r>
      <w:r>
        <w:rPr>
          <w:rFonts w:hint="default" w:ascii="Times New Roman" w:hAnsi="Times New Roman" w:eastAsia="仿宋_GB2312" w:cs="Times New Roman"/>
        </w:rPr>
        <w:t>万元，完成年初预算的</w:t>
      </w:r>
      <w:r>
        <w:rPr>
          <w:rFonts w:hint="default" w:ascii="Times New Roman" w:hAnsi="Times New Roman" w:eastAsia="仿宋_GB2312" w:cs="Times New Roman"/>
          <w:lang w:val="en-US" w:eastAsia="zh-CN"/>
        </w:rPr>
        <w:t>38.89</w:t>
      </w:r>
      <w:r>
        <w:rPr>
          <w:rFonts w:hint="default" w:ascii="Times New Roman" w:hAnsi="Times New Roman" w:eastAsia="仿宋_GB2312" w:cs="Times New Roman"/>
        </w:rPr>
        <w:t>%；公务接待</w:t>
      </w:r>
      <w:r>
        <w:rPr>
          <w:rFonts w:hint="default" w:ascii="Times New Roman" w:hAnsi="Times New Roman" w:eastAsia="仿宋_GB2312" w:cs="Times New Roman"/>
          <w:lang w:val="en-US" w:eastAsia="zh-CN"/>
        </w:rPr>
        <w:t>2.37</w:t>
      </w:r>
      <w:r>
        <w:rPr>
          <w:rFonts w:hint="default" w:ascii="Times New Roman" w:hAnsi="Times New Roman" w:eastAsia="仿宋_GB2312" w:cs="Times New Roman"/>
        </w:rPr>
        <w:t>万元，完成年初预算的</w:t>
      </w:r>
      <w:r>
        <w:rPr>
          <w:rFonts w:hint="default" w:ascii="Times New Roman" w:hAnsi="Times New Roman" w:eastAsia="仿宋_GB2312" w:cs="Times New Roman"/>
          <w:lang w:val="en-US" w:eastAsia="zh-CN"/>
        </w:rPr>
        <w:t>25.76</w:t>
      </w:r>
      <w:r>
        <w:rPr>
          <w:rFonts w:hint="default" w:ascii="Times New Roman" w:hAnsi="Times New Roman" w:eastAsia="仿宋_GB2312" w:cs="Times New Roman"/>
        </w:rPr>
        <w:t>%。</w:t>
      </w:r>
    </w:p>
    <w:p>
      <w:pPr>
        <w:ind w:firstLine="632" w:firstLineChars="200"/>
        <w:rPr>
          <w:rFonts w:hint="default" w:ascii="Times New Roman" w:hAnsi="Times New Roman" w:eastAsia="仿宋_GB2312" w:cs="Times New Roman"/>
          <w:b/>
          <w:bCs/>
          <w:lang w:eastAsia="zh-CN"/>
        </w:rPr>
      </w:pPr>
      <w:r>
        <w:rPr>
          <w:rFonts w:hint="default" w:ascii="Times New Roman" w:hAnsi="Times New Roman" w:eastAsia="仿宋_GB2312" w:cs="Times New Roman"/>
        </w:rPr>
        <w:t>2019年“三公”经费决算比年初预算数减少</w:t>
      </w:r>
      <w:r>
        <w:rPr>
          <w:rFonts w:hint="default" w:ascii="Times New Roman" w:hAnsi="Times New Roman" w:eastAsia="仿宋_GB2312" w:cs="Times New Roman"/>
          <w:lang w:val="en-US" w:eastAsia="zh-CN"/>
        </w:rPr>
        <w:t>23.91</w:t>
      </w:r>
      <w:r>
        <w:rPr>
          <w:rFonts w:hint="default" w:ascii="Times New Roman" w:hAnsi="Times New Roman" w:eastAsia="仿宋_GB2312" w:cs="Times New Roman"/>
        </w:rPr>
        <w:t>万元，主要原因是</w:t>
      </w:r>
      <w:r>
        <w:rPr>
          <w:rFonts w:hint="default" w:ascii="Times New Roman" w:hAnsi="Times New Roman" w:eastAsia="仿宋_GB2312" w:cs="Times New Roman"/>
          <w:lang w:eastAsia="zh-CN"/>
        </w:rPr>
        <w:t>公务用车运行维护费减少，公务接待费用减少</w:t>
      </w:r>
      <w:r>
        <w:rPr>
          <w:rFonts w:hint="default" w:ascii="Times New Roman" w:hAnsi="Times New Roman" w:eastAsia="仿宋_GB2312" w:cs="Times New Roman"/>
        </w:rPr>
        <w:t>。其中：公务用车购置及运行费减少</w:t>
      </w:r>
      <w:r>
        <w:rPr>
          <w:rFonts w:hint="default" w:ascii="Times New Roman" w:hAnsi="Times New Roman" w:eastAsia="仿宋_GB2312" w:cs="Times New Roman"/>
          <w:lang w:val="en-US" w:eastAsia="zh-CN"/>
        </w:rPr>
        <w:t>23.91</w:t>
      </w:r>
      <w:r>
        <w:rPr>
          <w:rFonts w:hint="default" w:ascii="Times New Roman" w:hAnsi="Times New Roman" w:eastAsia="仿宋_GB2312" w:cs="Times New Roman"/>
        </w:rPr>
        <w:t>万元、公务接待费减少</w:t>
      </w:r>
      <w:r>
        <w:rPr>
          <w:rFonts w:hint="default" w:ascii="Times New Roman" w:hAnsi="Times New Roman" w:eastAsia="仿宋_GB2312" w:cs="Times New Roman"/>
          <w:lang w:val="en-US" w:eastAsia="zh-CN"/>
        </w:rPr>
        <w:t>6.83</w:t>
      </w:r>
      <w:r>
        <w:rPr>
          <w:rFonts w:hint="default" w:ascii="Times New Roman" w:hAnsi="Times New Roman" w:eastAsia="仿宋_GB2312" w:cs="Times New Roman"/>
        </w:rPr>
        <w:t>万元。公务用车购置及运行费减少的主要原因是</w:t>
      </w:r>
      <w:r>
        <w:rPr>
          <w:rFonts w:hint="default" w:ascii="Times New Roman" w:hAnsi="Times New Roman" w:eastAsia="仿宋_GB2312" w:cs="Times New Roman"/>
          <w:lang w:eastAsia="zh-CN"/>
        </w:rPr>
        <w:t>压缩公务用车运行维护费减少支出</w:t>
      </w:r>
      <w:r>
        <w:rPr>
          <w:rFonts w:hint="default" w:ascii="Times New Roman" w:hAnsi="Times New Roman" w:eastAsia="仿宋_GB2312" w:cs="Times New Roman"/>
        </w:rPr>
        <w:t>。公务接待费减少的主要原因是</w:t>
      </w:r>
      <w:r>
        <w:rPr>
          <w:rFonts w:hint="default" w:ascii="Times New Roman" w:hAnsi="Times New Roman" w:eastAsia="仿宋_GB2312" w:cs="Times New Roman"/>
          <w:lang w:eastAsia="zh-CN"/>
        </w:rPr>
        <w:t>减少公务接待</w:t>
      </w:r>
      <w:r>
        <w:rPr>
          <w:rFonts w:hint="default" w:ascii="Times New Roman" w:hAnsi="Times New Roman" w:eastAsia="仿宋_GB2312" w:cs="Times New Roman"/>
        </w:rPr>
        <w:t>。</w:t>
      </w:r>
    </w:p>
    <w:p>
      <w:pPr>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（二）“三公”经费支出决算具体情况</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lang w:val="en-US" w:eastAsia="zh-CN"/>
        </w:rPr>
        <w:t>1</w:t>
      </w:r>
      <w:r>
        <w:rPr>
          <w:rFonts w:hint="default" w:ascii="Times New Roman" w:hAnsi="Times New Roman" w:eastAsia="仿宋_GB2312" w:cs="Times New Roman"/>
        </w:rPr>
        <w:t>、公务用车购置及运行维护费决算数为</w:t>
      </w:r>
      <w:r>
        <w:rPr>
          <w:rFonts w:hint="default" w:ascii="Times New Roman" w:hAnsi="Times New Roman" w:eastAsia="仿宋_GB2312" w:cs="Times New Roman"/>
          <w:lang w:val="en-US" w:eastAsia="zh-CN"/>
        </w:rPr>
        <w:t>16.72</w:t>
      </w:r>
      <w:r>
        <w:rPr>
          <w:rFonts w:hint="default" w:ascii="Times New Roman" w:hAnsi="Times New Roman" w:eastAsia="仿宋_GB2312" w:cs="Times New Roman"/>
        </w:rPr>
        <w:t>万元，占一般公共预算财政拨款“三公”经费总数的</w:t>
      </w:r>
      <w:r>
        <w:rPr>
          <w:rFonts w:hint="default" w:ascii="Times New Roman" w:hAnsi="Times New Roman" w:eastAsia="仿宋_GB2312" w:cs="Times New Roman"/>
          <w:lang w:val="en-US" w:eastAsia="zh-CN"/>
        </w:rPr>
        <w:t>87.59</w:t>
      </w:r>
      <w:r>
        <w:rPr>
          <w:rFonts w:hint="default" w:ascii="Times New Roman" w:hAnsi="Times New Roman" w:eastAsia="仿宋_GB2312" w:cs="Times New Roman"/>
        </w:rPr>
        <w:t>%。其中：公务用车运行维护费</w:t>
      </w:r>
      <w:r>
        <w:rPr>
          <w:rFonts w:hint="default" w:ascii="Times New Roman" w:hAnsi="Times New Roman" w:eastAsia="仿宋_GB2312" w:cs="Times New Roman"/>
          <w:lang w:val="en-US" w:eastAsia="zh-CN"/>
        </w:rPr>
        <w:t>16.72</w:t>
      </w:r>
      <w:r>
        <w:rPr>
          <w:rFonts w:hint="default" w:ascii="Times New Roman" w:hAnsi="Times New Roman" w:eastAsia="仿宋_GB2312" w:cs="Times New Roman"/>
        </w:rPr>
        <w:t>万元，主要用于</w:t>
      </w:r>
      <w:r>
        <w:rPr>
          <w:rFonts w:hint="default" w:ascii="Times New Roman" w:hAnsi="Times New Roman" w:eastAsia="仿宋_GB2312" w:cs="Times New Roman"/>
          <w:lang w:eastAsia="zh-CN"/>
        </w:rPr>
        <w:t>车辆维修等费用</w:t>
      </w:r>
      <w:r>
        <w:rPr>
          <w:rFonts w:hint="default" w:ascii="Times New Roman" w:hAnsi="Times New Roman" w:eastAsia="仿宋_GB2312" w:cs="Times New Roman"/>
        </w:rPr>
        <w:t>。2019年</w:t>
      </w:r>
      <w:r>
        <w:rPr>
          <w:rFonts w:hint="default" w:ascii="Times New Roman" w:hAnsi="Times New Roman" w:eastAsia="仿宋_GB2312" w:cs="Times New Roman"/>
          <w:lang w:eastAsia="zh-CN"/>
        </w:rPr>
        <w:t>宋村镇政府</w:t>
      </w:r>
      <w:r>
        <w:rPr>
          <w:rFonts w:hint="default" w:ascii="Times New Roman" w:hAnsi="Times New Roman" w:eastAsia="仿宋_GB2312" w:cs="Times New Roman"/>
        </w:rPr>
        <w:t>等单位财政拨款开支运行维护费的公务用车保有量为</w:t>
      </w:r>
      <w:r>
        <w:rPr>
          <w:rFonts w:hint="default" w:ascii="Times New Roman" w:hAnsi="Times New Roman" w:eastAsia="仿宋_GB2312" w:cs="Times New Roman"/>
          <w:lang w:val="en-US" w:eastAsia="zh-CN"/>
        </w:rPr>
        <w:t>16</w:t>
      </w:r>
      <w:r>
        <w:rPr>
          <w:rFonts w:hint="default" w:ascii="Times New Roman" w:hAnsi="Times New Roman" w:eastAsia="仿宋_GB2312" w:cs="Times New Roman"/>
        </w:rPr>
        <w:t>辆。</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3、公务接待费决算数为</w:t>
      </w:r>
      <w:r>
        <w:rPr>
          <w:rFonts w:hint="default" w:ascii="Times New Roman" w:hAnsi="Times New Roman" w:eastAsia="仿宋_GB2312" w:cs="Times New Roman"/>
          <w:lang w:val="en-US" w:eastAsia="zh-CN"/>
        </w:rPr>
        <w:t>2.37</w:t>
      </w:r>
      <w:r>
        <w:rPr>
          <w:rFonts w:hint="default" w:ascii="Times New Roman" w:hAnsi="Times New Roman" w:eastAsia="仿宋_GB2312" w:cs="Times New Roman"/>
        </w:rPr>
        <w:t>万元，占一般公共预算财政拨款“三公”经费总数的</w:t>
      </w:r>
      <w:r>
        <w:rPr>
          <w:rFonts w:hint="default" w:ascii="Times New Roman" w:hAnsi="Times New Roman" w:eastAsia="仿宋_GB2312" w:cs="Times New Roman"/>
          <w:lang w:val="en-US" w:eastAsia="zh-CN"/>
        </w:rPr>
        <w:t>12.41</w:t>
      </w:r>
      <w:r>
        <w:rPr>
          <w:rFonts w:hint="default" w:ascii="Times New Roman" w:hAnsi="Times New Roman" w:eastAsia="仿宋_GB2312" w:cs="Times New Roman"/>
        </w:rPr>
        <w:t>%。其中：2019年公务接待全部为国内公务接待，主要用于</w:t>
      </w:r>
      <w:r>
        <w:rPr>
          <w:rFonts w:hint="default" w:ascii="Times New Roman" w:hAnsi="Times New Roman" w:eastAsia="仿宋_GB2312" w:cs="Times New Roman"/>
          <w:lang w:eastAsia="zh-CN"/>
        </w:rPr>
        <w:t>日常公务接待</w:t>
      </w:r>
      <w:r>
        <w:rPr>
          <w:rFonts w:hint="default" w:ascii="Times New Roman" w:hAnsi="Times New Roman" w:eastAsia="仿宋_GB2312" w:cs="Times New Roman"/>
        </w:rPr>
        <w:t>，共计接待</w:t>
      </w:r>
      <w:r>
        <w:rPr>
          <w:rFonts w:hint="default" w:ascii="Times New Roman" w:hAnsi="Times New Roman" w:eastAsia="仿宋_GB2312" w:cs="Times New Roman"/>
          <w:lang w:val="en-US" w:eastAsia="zh-CN"/>
        </w:rPr>
        <w:t>30</w:t>
      </w:r>
      <w:r>
        <w:rPr>
          <w:rFonts w:hint="default" w:ascii="Times New Roman" w:hAnsi="Times New Roman" w:eastAsia="仿宋_GB2312" w:cs="Times New Roman"/>
        </w:rPr>
        <w:t>批次、</w:t>
      </w:r>
      <w:r>
        <w:rPr>
          <w:rFonts w:hint="default" w:ascii="Times New Roman" w:hAnsi="Times New Roman" w:eastAsia="仿宋_GB2312" w:cs="Times New Roman"/>
          <w:lang w:val="en-US" w:eastAsia="zh-CN"/>
        </w:rPr>
        <w:t>261</w:t>
      </w:r>
      <w:r>
        <w:rPr>
          <w:rFonts w:hint="default" w:ascii="Times New Roman" w:hAnsi="Times New Roman" w:eastAsia="仿宋_GB2312" w:cs="Times New Roman"/>
        </w:rPr>
        <w:t>人次。</w:t>
      </w:r>
    </w:p>
    <w:p>
      <w:pPr>
        <w:ind w:firstLine="632" w:firstLineChars="200"/>
        <w:rPr>
          <w:rFonts w:hint="default" w:ascii="Times New Roman" w:hAnsi="Times New Roman" w:eastAsia="黑体" w:cs="Times New Roman"/>
        </w:rPr>
      </w:pPr>
      <w:r>
        <w:rPr>
          <w:rFonts w:hint="default" w:ascii="Times New Roman" w:hAnsi="Times New Roman" w:eastAsia="黑体" w:cs="Times New Roman"/>
        </w:rPr>
        <w:t>八、政府性基金预算财政拨款收入支出决算情况说明</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本部门没有政府性基金财政拨款收支。</w:t>
      </w:r>
    </w:p>
    <w:p>
      <w:pPr>
        <w:ind w:firstLine="632" w:firstLineChars="200"/>
        <w:rPr>
          <w:rFonts w:hint="default" w:ascii="Times New Roman" w:hAnsi="Times New Roman" w:eastAsia="黑体" w:cs="Times New Roman"/>
          <w:lang w:eastAsia="zh-CN"/>
        </w:rPr>
      </w:pPr>
      <w:r>
        <w:rPr>
          <w:rFonts w:hint="default" w:ascii="Times New Roman" w:hAnsi="Times New Roman" w:eastAsia="黑体" w:cs="Times New Roman"/>
        </w:rPr>
        <w:t>九、重要事项情况说明</w:t>
      </w:r>
    </w:p>
    <w:p>
      <w:pPr>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（一）机关运行经费支出情况</w:t>
      </w:r>
    </w:p>
    <w:p>
      <w:pPr>
        <w:ind w:firstLine="632" w:firstLineChars="200"/>
        <w:rPr>
          <w:rFonts w:hint="default" w:ascii="Times New Roman" w:hAnsi="Times New Roman" w:eastAsia="仿宋_GB2312" w:cs="Times New Roman"/>
          <w:b/>
          <w:bCs/>
        </w:rPr>
      </w:pPr>
      <w:r>
        <w:rPr>
          <w:rFonts w:hint="default" w:ascii="Times New Roman" w:hAnsi="Times New Roman" w:eastAsia="仿宋_GB2312" w:cs="Times New Roman"/>
        </w:rPr>
        <w:t>2019年度机关运行经费支出</w:t>
      </w:r>
      <w:r>
        <w:rPr>
          <w:rFonts w:hint="default" w:ascii="Times New Roman" w:hAnsi="Times New Roman" w:eastAsia="仿宋_GB2312" w:cs="Times New Roman"/>
          <w:lang w:val="en-US" w:eastAsia="zh-CN"/>
        </w:rPr>
        <w:t>81</w:t>
      </w:r>
      <w:r>
        <w:rPr>
          <w:rFonts w:hint="default" w:ascii="Times New Roman" w:hAnsi="Times New Roman" w:eastAsia="仿宋_GB2312" w:cs="Times New Roman"/>
        </w:rPr>
        <w:t>万元，比年初预算数减少</w:t>
      </w:r>
      <w:r>
        <w:rPr>
          <w:rFonts w:hint="default" w:ascii="Times New Roman" w:hAnsi="Times New Roman" w:eastAsia="仿宋_GB2312" w:cs="Times New Roman"/>
          <w:lang w:val="en-US" w:eastAsia="zh-CN"/>
        </w:rPr>
        <w:t>4</w:t>
      </w:r>
      <w:r>
        <w:rPr>
          <w:rFonts w:hint="default" w:ascii="Times New Roman" w:hAnsi="Times New Roman" w:eastAsia="仿宋_GB2312" w:cs="Times New Roman"/>
        </w:rPr>
        <w:t>万元，降低</w:t>
      </w:r>
      <w:r>
        <w:rPr>
          <w:rFonts w:hint="default" w:ascii="Times New Roman" w:hAnsi="Times New Roman" w:eastAsia="仿宋_GB2312" w:cs="Times New Roman"/>
          <w:lang w:val="en-US" w:eastAsia="zh-CN"/>
        </w:rPr>
        <w:t>4.7</w:t>
      </w:r>
      <w:r>
        <w:rPr>
          <w:rFonts w:hint="default" w:ascii="Times New Roman" w:hAnsi="Times New Roman" w:eastAsia="仿宋_GB2312" w:cs="Times New Roman"/>
        </w:rPr>
        <w:t>%，主要原因是</w:t>
      </w:r>
      <w:r>
        <w:rPr>
          <w:rFonts w:hint="default" w:ascii="Times New Roman" w:hAnsi="Times New Roman" w:eastAsia="仿宋_GB2312" w:cs="Times New Roman"/>
          <w:lang w:eastAsia="zh-CN"/>
        </w:rPr>
        <w:t>缩减机关运行经费，减少支出</w:t>
      </w:r>
      <w:r>
        <w:rPr>
          <w:rFonts w:hint="default" w:ascii="Times New Roman" w:hAnsi="Times New Roman" w:eastAsia="仿宋_GB2312" w:cs="Times New Roman"/>
        </w:rPr>
        <w:t>。</w:t>
      </w:r>
    </w:p>
    <w:p>
      <w:pPr>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（二）政府采购支出情况</w:t>
      </w:r>
    </w:p>
    <w:p>
      <w:pPr>
        <w:ind w:firstLine="632" w:firstLineChars="200"/>
        <w:rPr>
          <w:rFonts w:hint="default" w:ascii="Times New Roman" w:hAnsi="Times New Roman" w:eastAsia="仿宋_GB2312" w:cs="Times New Roman"/>
          <w:lang w:eastAsia="zh-CN"/>
        </w:rPr>
      </w:pPr>
      <w:r>
        <w:rPr>
          <w:rFonts w:hint="default" w:ascii="Times New Roman" w:hAnsi="Times New Roman" w:eastAsia="仿宋_GB2312" w:cs="Times New Roman"/>
        </w:rPr>
        <w:t>本部门无政府采购支出</w:t>
      </w:r>
      <w:r>
        <w:rPr>
          <w:rFonts w:hint="default" w:ascii="Times New Roman" w:hAnsi="Times New Roman" w:eastAsia="仿宋_GB2312" w:cs="Times New Roman"/>
          <w:lang w:eastAsia="zh-CN"/>
        </w:rPr>
        <w:t>。</w:t>
      </w:r>
    </w:p>
    <w:p>
      <w:pPr>
        <w:ind w:firstLine="632" w:firstLineChars="200"/>
        <w:rPr>
          <w:rFonts w:hint="default" w:ascii="Times New Roman" w:hAnsi="Times New Roman" w:eastAsia="楷体_GB2312" w:cs="Times New Roman"/>
          <w:highlight w:val="yellow"/>
        </w:rPr>
      </w:pPr>
      <w:r>
        <w:rPr>
          <w:rFonts w:hint="default" w:ascii="Times New Roman" w:hAnsi="Times New Roman" w:eastAsia="楷体_GB2312" w:cs="Times New Roman"/>
        </w:rPr>
        <w:t>（三）国有资产占用情况</w:t>
      </w:r>
    </w:p>
    <w:p>
      <w:pPr>
        <w:ind w:firstLine="632" w:firstLineChars="200"/>
        <w:rPr>
          <w:rFonts w:hint="default" w:ascii="Times New Roman" w:hAnsi="Times New Roman" w:eastAsia="仿宋_GB2312" w:cs="Times New Roman"/>
        </w:rPr>
      </w:pPr>
      <w:r>
        <w:rPr>
          <w:rFonts w:hint="default" w:ascii="Times New Roman" w:hAnsi="Times New Roman" w:eastAsia="仿宋_GB2312" w:cs="Times New Roman"/>
        </w:rPr>
        <w:t>截至2019年12月31日，部门（单位）共有车辆</w:t>
      </w:r>
      <w:r>
        <w:rPr>
          <w:rFonts w:hint="default" w:ascii="Times New Roman" w:hAnsi="Times New Roman" w:eastAsia="仿宋_GB2312" w:cs="Times New Roman"/>
          <w:lang w:val="en-US" w:eastAsia="zh-CN"/>
        </w:rPr>
        <w:t>16</w:t>
      </w:r>
      <w:r>
        <w:rPr>
          <w:rFonts w:hint="default" w:ascii="Times New Roman" w:hAnsi="Times New Roman" w:eastAsia="仿宋_GB2312" w:cs="Times New Roman"/>
        </w:rPr>
        <w:t>辆，其中，符合规定的机要通信用车</w:t>
      </w:r>
      <w:r>
        <w:rPr>
          <w:rFonts w:hint="default" w:ascii="Times New Roman" w:hAnsi="Times New Roman" w:eastAsia="仿宋_GB2312" w:cs="Times New Roman"/>
          <w:lang w:val="en-US" w:eastAsia="zh-CN"/>
        </w:rPr>
        <w:t>1</w:t>
      </w:r>
      <w:r>
        <w:rPr>
          <w:rFonts w:hint="default" w:ascii="Times New Roman" w:hAnsi="Times New Roman" w:eastAsia="仿宋_GB2312" w:cs="Times New Roman"/>
        </w:rPr>
        <w:t>辆、应急保障用车</w:t>
      </w:r>
      <w:r>
        <w:rPr>
          <w:rFonts w:hint="default" w:ascii="Times New Roman" w:hAnsi="Times New Roman" w:eastAsia="仿宋_GB2312" w:cs="Times New Roman"/>
          <w:lang w:val="en-US" w:eastAsia="zh-CN"/>
        </w:rPr>
        <w:t>1</w:t>
      </w:r>
      <w:r>
        <w:rPr>
          <w:rFonts w:hint="default" w:ascii="Times New Roman" w:hAnsi="Times New Roman" w:eastAsia="仿宋_GB2312" w:cs="Times New Roman"/>
        </w:rPr>
        <w:t>辆</w:t>
      </w:r>
      <w:r>
        <w:rPr>
          <w:rFonts w:hint="default" w:ascii="Times New Roman" w:hAnsi="Times New Roman" w:eastAsia="仿宋_GB2312" w:cs="Times New Roman"/>
          <w:lang w:eastAsia="zh-CN"/>
        </w:rPr>
        <w:t>，</w:t>
      </w:r>
      <w:r>
        <w:rPr>
          <w:rFonts w:hint="default" w:ascii="Times New Roman" w:hAnsi="Times New Roman" w:eastAsia="仿宋_GB2312" w:cs="Times New Roman"/>
        </w:rPr>
        <w:t>其他用车主要是</w:t>
      </w:r>
      <w:r>
        <w:rPr>
          <w:rFonts w:hint="default" w:ascii="Times New Roman" w:hAnsi="Times New Roman" w:eastAsia="仿宋_GB2312" w:cs="Times New Roman"/>
          <w:lang w:eastAsia="zh-CN"/>
        </w:rPr>
        <w:t>实物保障用车</w:t>
      </w:r>
      <w:r>
        <w:rPr>
          <w:rFonts w:hint="default" w:ascii="Times New Roman" w:hAnsi="Times New Roman" w:eastAsia="仿宋_GB2312" w:cs="Times New Roman"/>
          <w:lang w:val="en-US" w:eastAsia="zh-CN"/>
        </w:rPr>
        <w:t>2辆</w:t>
      </w:r>
      <w:r>
        <w:rPr>
          <w:rFonts w:hint="default" w:ascii="Times New Roman" w:hAnsi="Times New Roman" w:eastAsia="仿宋_GB2312" w:cs="Times New Roman"/>
          <w:lang w:eastAsia="zh-CN"/>
        </w:rPr>
        <w:t>、公务用车</w:t>
      </w:r>
      <w:r>
        <w:rPr>
          <w:rFonts w:hint="default" w:ascii="Times New Roman" w:hAnsi="Times New Roman" w:eastAsia="仿宋_GB2312" w:cs="Times New Roman"/>
          <w:lang w:val="en-US" w:eastAsia="zh-CN"/>
        </w:rPr>
        <w:t>4辆</w:t>
      </w:r>
      <w:r>
        <w:rPr>
          <w:rFonts w:hint="default" w:ascii="Times New Roman" w:hAnsi="Times New Roman" w:eastAsia="仿宋_GB2312" w:cs="Times New Roman"/>
          <w:lang w:eastAsia="zh-CN"/>
        </w:rPr>
        <w:t>及环卫用车</w:t>
      </w:r>
      <w:r>
        <w:rPr>
          <w:rFonts w:hint="default" w:ascii="Times New Roman" w:hAnsi="Times New Roman" w:eastAsia="仿宋_GB2312" w:cs="Times New Roman"/>
          <w:lang w:val="en-US" w:eastAsia="zh-CN"/>
        </w:rPr>
        <w:t>8辆</w:t>
      </w:r>
      <w:r>
        <w:rPr>
          <w:rFonts w:hint="default" w:ascii="Times New Roman" w:hAnsi="Times New Roman" w:eastAsia="仿宋_GB2312" w:cs="Times New Roman"/>
        </w:rPr>
        <w:t>。</w:t>
      </w: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r>
        <w:rPr>
          <w:rFonts w:hint="default" w:ascii="Times New Roman" w:hAnsi="Times New Roman" w:eastAsia="方正小标宋简体" w:cs="Times New Roman"/>
          <w:spacing w:val="60"/>
          <w:sz w:val="42"/>
          <w:szCs w:val="42"/>
        </w:rPr>
        <w:t>第四部分</w:t>
      </w:r>
    </w:p>
    <w:p>
      <w:pPr>
        <w:jc w:val="center"/>
        <w:rPr>
          <w:rFonts w:hint="default" w:ascii="Times New Roman" w:hAnsi="Times New Roman" w:eastAsia="方正小标宋简体" w:cs="Times New Roman"/>
          <w:spacing w:val="60"/>
          <w:sz w:val="42"/>
          <w:szCs w:val="42"/>
        </w:rPr>
      </w:pPr>
    </w:p>
    <w:p>
      <w:pPr>
        <w:jc w:val="center"/>
        <w:rPr>
          <w:rFonts w:hint="default" w:ascii="Times New Roman" w:hAnsi="Times New Roman" w:eastAsia="方正小标宋简体" w:cs="Times New Roman"/>
          <w:spacing w:val="60"/>
          <w:sz w:val="42"/>
          <w:szCs w:val="42"/>
        </w:rPr>
      </w:pPr>
    </w:p>
    <w:p>
      <w:pPr>
        <w:jc w:val="center"/>
        <w:rPr>
          <w:rFonts w:hint="default" w:ascii="Times New Roman" w:hAnsi="Times New Roman" w:eastAsia="方正小标宋简体" w:cs="Times New Roman"/>
          <w:spacing w:val="60"/>
          <w:sz w:val="48"/>
          <w:szCs w:val="48"/>
        </w:rPr>
        <w:sectPr>
          <w:pgSz w:w="11906" w:h="16838"/>
          <w:pgMar w:top="1701" w:right="1531" w:bottom="1701" w:left="1531" w:header="0" w:footer="1418" w:gutter="0"/>
          <w:cols w:space="720" w:num="1"/>
          <w:docGrid w:type="linesAndChars" w:linePitch="610" w:charSpace="-849"/>
        </w:sectPr>
      </w:pPr>
      <w:r>
        <w:rPr>
          <w:rFonts w:hint="default" w:ascii="Times New Roman" w:hAnsi="Times New Roman" w:eastAsia="方正小标宋简体" w:cs="Times New Roman"/>
          <w:spacing w:val="60"/>
          <w:sz w:val="48"/>
          <w:szCs w:val="48"/>
        </w:rPr>
        <w:t>名词解释</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color w:val="000000"/>
        </w:rPr>
        <w:t>一、财政拨款收入：</w:t>
      </w:r>
      <w:r>
        <w:rPr>
          <w:rFonts w:hint="default" w:ascii="Times New Roman" w:hAnsi="Times New Roman" w:eastAsia="仿宋_GB2312" w:cs="Times New Roman"/>
        </w:rPr>
        <w:t>指单位从同级财政部门取得的财政预算资金。按现行管理制度，省级部门决算中反映的财政拨款包括一般公共预算财政拨款和政府性基金财政拨款。</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二、上级补助收入：</w:t>
      </w:r>
      <w:r>
        <w:rPr>
          <w:rFonts w:hint="default" w:ascii="Times New Roman" w:hAnsi="Times New Roman" w:eastAsia="仿宋_GB2312" w:cs="Times New Roman"/>
        </w:rPr>
        <w:t>指事业单位从主管部门和上级单位取得的非财政补助收入。</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三、事业收入：</w:t>
      </w:r>
      <w:r>
        <w:rPr>
          <w:rFonts w:hint="default" w:ascii="Times New Roman" w:hAnsi="Times New Roman" w:eastAsia="仿宋_GB2312" w:cs="Times New Roman"/>
        </w:rPr>
        <w:t>指事业单位开展专业业务活动及其辅助活动取得的收入。包括事业单位收到的财政专户实际核拨的教育收费等。</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四、经营收入：</w:t>
      </w:r>
      <w:r>
        <w:rPr>
          <w:rFonts w:hint="default" w:ascii="Times New Roman" w:hAnsi="Times New Roman" w:eastAsia="仿宋_GB2312" w:cs="Times New Roman"/>
        </w:rPr>
        <w:t>指事业单位在专业业务活动及其辅助活动之外开展非独立核算经营活动取得的收入。</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五、附属单位上缴收入：</w:t>
      </w:r>
      <w:r>
        <w:rPr>
          <w:rFonts w:hint="default" w:ascii="Times New Roman" w:hAnsi="Times New Roman" w:eastAsia="仿宋_GB2312" w:cs="Times New Roman"/>
        </w:rPr>
        <w:t>指事业单位附属独立核算单位按照有关规定上缴的收入。</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六、其他收入：</w:t>
      </w:r>
      <w:r>
        <w:rPr>
          <w:rFonts w:hint="default" w:ascii="Times New Roman" w:hAnsi="Times New Roman" w:eastAsia="仿宋_GB2312" w:cs="Times New Roman"/>
        </w:rPr>
        <w:t>指单位取得的除上述“财政拨款收入”“上级补助收入”“事业收入”“经营收入”“附属单位上缴收入”等以外的各项收入。</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七、用事业基金弥补收支差额：</w:t>
      </w:r>
      <w:r>
        <w:rPr>
          <w:rFonts w:hint="default" w:ascii="Times New Roman" w:hAnsi="Times New Roman" w:eastAsia="仿宋_GB2312" w:cs="Times New Roman"/>
        </w:rPr>
        <w:t>指事业单位在用本年的“财政拨款收入”“财政拨款结转和结余资金”“事业收入”“经营收入”“其他收入”等不足以安排当年支出的情况下，使用以前年度积累的事业基金（事业单位当年收支相抵后按国家规定提取、用于弥补以后年度收支差额的基金）弥补本年度收支缺口的资金。</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八、年初结转和结余：</w:t>
      </w:r>
      <w:r>
        <w:rPr>
          <w:rFonts w:hint="default" w:ascii="Times New Roman" w:hAnsi="Times New Roman" w:eastAsia="仿宋_GB2312" w:cs="Times New Roman"/>
        </w:rPr>
        <w:t>指单位以前年度尚未完成、结转到本年仍按原规定用途继续使用的资金，或项目已完成等产生的结余资金。</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九、结余分配：</w:t>
      </w:r>
      <w:r>
        <w:rPr>
          <w:rFonts w:hint="default" w:ascii="Times New Roman" w:hAnsi="Times New Roman" w:eastAsia="仿宋_GB2312" w:cs="Times New Roman"/>
        </w:rPr>
        <w:t>指事业单位按照会计制度规定缴纳的所得税以及从非财政拨款结余或经营结余中提取的各类基金。</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十、年末结转和结余：</w:t>
      </w:r>
      <w:r>
        <w:rPr>
          <w:rFonts w:hint="default" w:ascii="Times New Roman" w:hAnsi="Times New Roman" w:eastAsia="仿宋_GB2312" w:cs="Times New Roman"/>
        </w:rPr>
        <w:t>指单位本年度或以前年度预算安排、因客观条件发生变化未全部执行或未执行，结转到以后年度继续使用的资金，或项目已完成等产生的结余资金。</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十一、基本支出：</w:t>
      </w:r>
      <w:r>
        <w:rPr>
          <w:rFonts w:hint="default" w:ascii="Times New Roman" w:hAnsi="Times New Roman" w:eastAsia="仿宋_GB2312" w:cs="Times New Roman"/>
        </w:rPr>
        <w:t>指单位为保障其机构正常运转、完成日常工作任务而发生的人员支出和日常公用支出。</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十二、项目支出：</w:t>
      </w:r>
      <w:r>
        <w:rPr>
          <w:rFonts w:hint="default" w:ascii="Times New Roman" w:hAnsi="Times New Roman" w:eastAsia="仿宋_GB2312" w:cs="Times New Roman"/>
        </w:rPr>
        <w:t>指单位在基本支出之外为完成特定的工作任务或事业发展目标所发生的支出。</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十三、经营支出：</w:t>
      </w:r>
      <w:r>
        <w:rPr>
          <w:rFonts w:hint="default" w:ascii="Times New Roman" w:hAnsi="Times New Roman" w:eastAsia="仿宋_GB2312" w:cs="Times New Roman"/>
        </w:rPr>
        <w:t>指事业单位在专业业务活动及其辅助活动之外开展非独立核算经营活动发生的支出。</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十四、“三公”经费：</w:t>
      </w:r>
      <w:r>
        <w:rPr>
          <w:rFonts w:hint="default" w:ascii="Times New Roman" w:hAnsi="Times New Roman" w:eastAsia="仿宋_GB2312" w:cs="Times New Roman"/>
        </w:rPr>
        <w:t>指省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pPr>
        <w:ind w:firstLine="632" w:firstLineChars="200"/>
        <w:rPr>
          <w:rFonts w:hint="default" w:ascii="Times New Roman" w:hAnsi="Times New Roman" w:eastAsia="仿宋_GB2312" w:cs="Times New Roman"/>
        </w:rPr>
      </w:pPr>
      <w:r>
        <w:rPr>
          <w:rFonts w:hint="default" w:ascii="Times New Roman" w:hAnsi="Times New Roman" w:eastAsia="黑体" w:cs="Times New Roman"/>
        </w:rPr>
        <w:t>十五、机关运行经费：</w:t>
      </w:r>
      <w:r>
        <w:rPr>
          <w:rFonts w:hint="default" w:ascii="Times New Roman" w:hAnsi="Times New Roman" w:eastAsia="仿宋_GB2312" w:cs="Times New Roman"/>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ind w:firstLine="536" w:firstLineChars="100"/>
        <w:rPr>
          <w:rFonts w:hint="default" w:ascii="Times New Roman" w:hAnsi="Times New Roman" w:eastAsia="方正小标宋简体" w:cs="Times New Roman"/>
          <w:spacing w:val="60"/>
          <w:sz w:val="42"/>
          <w:szCs w:val="42"/>
        </w:rPr>
      </w:pPr>
    </w:p>
    <w:p>
      <w:pPr>
        <w:rPr>
          <w:rFonts w:hint="default" w:ascii="Times New Roman" w:hAnsi="Times New Roman" w:cs="Times New Roman"/>
        </w:rPr>
      </w:pPr>
    </w:p>
    <w:sectPr>
      <w:pgSz w:w="11906" w:h="16838"/>
      <w:pgMar w:top="1701" w:right="1531" w:bottom="1701" w:left="1531" w:header="0" w:footer="1418" w:gutter="0"/>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Fonts w:ascii="宋体"/>
        <w:sz w:val="28"/>
        <w:szCs w:val="28"/>
      </w:rPr>
    </w:pPr>
    <w:r>
      <w:rPr>
        <w:rFonts w:ascii="宋体" w:hAnsi="宋体" w:cs="宋体"/>
        <w:sz w:val="28"/>
        <w:szCs w:val="28"/>
      </w:rPr>
      <w:t xml:space="preserve">— </w:t>
    </w:r>
    <w:r>
      <w:rPr>
        <w:rStyle w:val="8"/>
        <w:rFonts w:ascii="宋体" w:hAnsi="宋体" w:cs="宋体"/>
        <w:sz w:val="28"/>
        <w:szCs w:val="28"/>
      </w:rPr>
      <w:fldChar w:fldCharType="begin"/>
    </w:r>
    <w:r>
      <w:rPr>
        <w:rStyle w:val="8"/>
        <w:rFonts w:ascii="宋体" w:hAnsi="宋体" w:cs="宋体"/>
        <w:sz w:val="28"/>
        <w:szCs w:val="28"/>
      </w:rPr>
      <w:instrText xml:space="preserve">PAGE  </w:instrText>
    </w:r>
    <w:r>
      <w:rPr>
        <w:rStyle w:val="8"/>
        <w:rFonts w:ascii="宋体" w:hAnsi="宋体" w:cs="宋体"/>
        <w:sz w:val="28"/>
        <w:szCs w:val="28"/>
      </w:rPr>
      <w:fldChar w:fldCharType="separate"/>
    </w:r>
    <w:r>
      <w:rPr>
        <w:rStyle w:val="8"/>
        <w:rFonts w:ascii="宋体" w:hAnsi="宋体" w:cs="宋体"/>
        <w:sz w:val="28"/>
        <w:szCs w:val="28"/>
      </w:rPr>
      <w:t>37</w:t>
    </w:r>
    <w:r>
      <w:rPr>
        <w:rStyle w:val="8"/>
        <w:rFonts w:ascii="宋体" w:hAnsi="宋体" w:cs="宋体"/>
        <w:sz w:val="28"/>
        <w:szCs w:val="28"/>
      </w:rPr>
      <w:fldChar w:fldCharType="end"/>
    </w:r>
    <w:r>
      <w:rPr>
        <w:rFonts w:ascii="宋体" w:hAnsi="宋体" w:cs="宋体"/>
        <w:sz w:val="28"/>
        <w:szCs w:val="28"/>
      </w:rPr>
      <w:t xml:space="preserve"> —</w:t>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B27C0FD"/>
    <w:multiLevelType w:val="singleLevel"/>
    <w:tmpl w:val="DB27C0F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1CEB"/>
    <w:rsid w:val="00165DDF"/>
    <w:rsid w:val="0017751F"/>
    <w:rsid w:val="001E5C04"/>
    <w:rsid w:val="003051C2"/>
    <w:rsid w:val="00471901"/>
    <w:rsid w:val="00637F0D"/>
    <w:rsid w:val="007B6BE5"/>
    <w:rsid w:val="0082179D"/>
    <w:rsid w:val="00981E64"/>
    <w:rsid w:val="00A263B4"/>
    <w:rsid w:val="00B15D8F"/>
    <w:rsid w:val="00C36218"/>
    <w:rsid w:val="00C7228F"/>
    <w:rsid w:val="00E44DE2"/>
    <w:rsid w:val="02D71A8B"/>
    <w:rsid w:val="08182CD5"/>
    <w:rsid w:val="0B043FAB"/>
    <w:rsid w:val="0C2B5BCC"/>
    <w:rsid w:val="0E746EBE"/>
    <w:rsid w:val="10F70984"/>
    <w:rsid w:val="13D12810"/>
    <w:rsid w:val="15EB6700"/>
    <w:rsid w:val="183258B2"/>
    <w:rsid w:val="1B19457A"/>
    <w:rsid w:val="1B7B31D8"/>
    <w:rsid w:val="1E040D63"/>
    <w:rsid w:val="1FDC1CA1"/>
    <w:rsid w:val="20195F51"/>
    <w:rsid w:val="20CF4CA6"/>
    <w:rsid w:val="224F3455"/>
    <w:rsid w:val="22C377A2"/>
    <w:rsid w:val="264A49DD"/>
    <w:rsid w:val="275E2CF4"/>
    <w:rsid w:val="294E28EF"/>
    <w:rsid w:val="2EBC2293"/>
    <w:rsid w:val="353A3539"/>
    <w:rsid w:val="372422BE"/>
    <w:rsid w:val="3A214CB4"/>
    <w:rsid w:val="3E105E6A"/>
    <w:rsid w:val="40EF5A59"/>
    <w:rsid w:val="4C575AFA"/>
    <w:rsid w:val="503E585B"/>
    <w:rsid w:val="529C2C19"/>
    <w:rsid w:val="58A7515B"/>
    <w:rsid w:val="5CED31DF"/>
    <w:rsid w:val="5ECC033D"/>
    <w:rsid w:val="61660D05"/>
    <w:rsid w:val="653E58DE"/>
    <w:rsid w:val="654F564F"/>
    <w:rsid w:val="670E64B3"/>
    <w:rsid w:val="6B0073F8"/>
    <w:rsid w:val="6E905DFF"/>
    <w:rsid w:val="6F127385"/>
    <w:rsid w:val="7F665D41"/>
    <w:rsid w:val="7F89319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7">
    <w:name w:val="Default Paragraph Font"/>
    <w:semiHidden/>
    <w:qFormat/>
    <w:uiPriority w:val="99"/>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caption"/>
    <w:basedOn w:val="1"/>
    <w:next w:val="1"/>
    <w:semiHidden/>
    <w:unhideWhenUsed/>
    <w:qFormat/>
    <w:locked/>
    <w:uiPriority w:val="0"/>
    <w:rPr>
      <w:rFonts w:ascii="Arial" w:hAnsi="Arial" w:eastAsia="黑体"/>
      <w:sz w:val="20"/>
    </w:r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8">
    <w:name w:val="page number"/>
    <w:basedOn w:val="7"/>
    <w:qFormat/>
    <w:uiPriority w:val="99"/>
  </w:style>
  <w:style w:type="character" w:customStyle="1" w:styleId="9">
    <w:name w:val="Footer Char"/>
    <w:basedOn w:val="7"/>
    <w:link w:val="3"/>
    <w:semiHidden/>
    <w:qFormat/>
    <w:uiPriority w:val="99"/>
    <w:rPr>
      <w:sz w:val="18"/>
      <w:szCs w:val="18"/>
    </w:rPr>
  </w:style>
  <w:style w:type="character" w:customStyle="1" w:styleId="10">
    <w:name w:val="Header Char"/>
    <w:basedOn w:val="7"/>
    <w:link w:val="4"/>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chart" Target="charts/chart6.xml"/><Relationship Id="rId10" Type="http://schemas.openxmlformats.org/officeDocument/2006/relationships/chart" Target="charts/chart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t>图</a:t>
            </a:r>
            <a:r>
              <a:rPr lang="en-US" altLang="zh-CN" sz="1200"/>
              <a:t>1</a:t>
            </a:r>
            <a:r>
              <a:rPr altLang="en-US" sz="1200"/>
              <a:t>：</a:t>
            </a:r>
            <a:r>
              <a:rPr sz="1200"/>
              <a:t>收入支出决算</a:t>
            </a:r>
            <a:endParaRPr sz="1200"/>
          </a:p>
          <a:p>
            <a:pPr defTabSz="914400">
              <a:defRPr lang="zh-CN" sz="1400" b="0" i="0" u="none" strike="noStrike" kern="1200" spc="0" baseline="0">
                <a:solidFill>
                  <a:schemeClr val="tx1">
                    <a:lumMod val="65000"/>
                    <a:lumOff val="35000"/>
                  </a:schemeClr>
                </a:solidFill>
                <a:latin typeface="+mn-lt"/>
                <a:ea typeface="+mn-ea"/>
                <a:cs typeface="+mn-cs"/>
              </a:defRPr>
            </a:pPr>
            <a:r>
              <a:rPr sz="1200"/>
              <a:t>单位：万元</a:t>
            </a:r>
            <a:endParaRPr sz="1200"/>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2018年</c:v>
                </c:pt>
                <c:pt idx="1">
                  <c:v>2019年</c:v>
                </c:pt>
              </c:strCache>
            </c:strRef>
          </c:cat>
          <c:val>
            <c:numRef>
              <c:f>Sheet1!$B$2:$B$3</c:f>
              <c:numCache>
                <c:formatCode>General</c:formatCode>
                <c:ptCount val="2"/>
                <c:pt idx="0">
                  <c:v>12518.35</c:v>
                </c:pt>
                <c:pt idx="1">
                  <c:v>6850.33</c:v>
                </c:pt>
              </c:numCache>
            </c:numRef>
          </c:val>
        </c:ser>
        <c:dLbls>
          <c:showLegendKey val="0"/>
          <c:showVal val="1"/>
          <c:showCatName val="0"/>
          <c:showSerName val="0"/>
          <c:showPercent val="0"/>
          <c:showBubbleSize val="0"/>
        </c:dLbls>
        <c:gapWidth val="219"/>
        <c:overlap val="-27"/>
        <c:axId val="376605328"/>
        <c:axId val="141917956"/>
      </c:barChart>
      <c:catAx>
        <c:axId val="37660532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1917956"/>
        <c:crosses val="autoZero"/>
        <c:auto val="1"/>
        <c:lblAlgn val="ctr"/>
        <c:lblOffset val="100"/>
        <c:noMultiLvlLbl val="0"/>
      </c:catAx>
      <c:valAx>
        <c:axId val="1419179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6605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收入</c:v>
                </c:pt>
              </c:strCache>
            </c:strRef>
          </c:tx>
          <c:spPr/>
          <c:explosion val="0"/>
          <c:dPt>
            <c:idx val="0"/>
            <c:bubble3D val="0"/>
            <c:spPr>
              <a:solidFill>
                <a:schemeClr val="accent1"/>
              </a:solidFill>
              <a:ln w="19050">
                <a:solidFill>
                  <a:schemeClr val="lt1"/>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财政拨款收入</c:v>
                </c:pt>
              </c:strCache>
            </c:strRef>
          </c:cat>
          <c:val>
            <c:numRef>
              <c:f>Sheet1!$B$2</c:f>
              <c:numCache>
                <c:formatCode>General</c:formatCode>
                <c:ptCount val="1"/>
                <c:pt idx="0">
                  <c:v>6850.33</c:v>
                </c:pt>
              </c:numCache>
            </c:numRef>
          </c:val>
        </c:ser>
        <c:dLbls>
          <c:showLegendKey val="0"/>
          <c:showVal val="1"/>
          <c:showCatName val="0"/>
          <c:showSerName val="0"/>
          <c:showPercent val="0"/>
          <c:showBubbleSize val="0"/>
          <c:showLeaderLines val="1"/>
        </c:dLbls>
        <c:firstSliceAng val="36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支出决算</c:v>
                </c:pt>
              </c:strCache>
            </c:strRef>
          </c:tx>
          <c:spPr/>
          <c:explosion val="0"/>
          <c:dPt>
            <c:idx val="0"/>
            <c:bubble3D val="0"/>
            <c:explosion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857.59</c:v>
                </c:pt>
                <c:pt idx="1">
                  <c:v>5992.75</c:v>
                </c:pt>
              </c:numCache>
            </c:numRef>
          </c:val>
        </c:ser>
        <c:dLbls>
          <c:showLegendKey val="0"/>
          <c:showVal val="1"/>
          <c:showCatName val="1"/>
          <c:showSerName val="0"/>
          <c:showPercent val="0"/>
          <c:showBubbleSize val="0"/>
          <c:showLeaderLines val="1"/>
        </c:dLbls>
        <c:firstSliceAng val="225"/>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t>图</a:t>
            </a:r>
            <a:r>
              <a:rPr lang="en-US" altLang="zh-CN" sz="1200"/>
              <a:t>4</a:t>
            </a:r>
            <a:r>
              <a:rPr altLang="en-US" sz="1200"/>
              <a:t>：财政拨款收入支出决算</a:t>
            </a:r>
            <a:endParaRPr altLang="en-US" sz="1200"/>
          </a:p>
          <a:p>
            <a:pPr defTabSz="914400">
              <a:defRPr lang="zh-CN" sz="1400" b="0" i="0" u="none" strike="noStrike" kern="1200" spc="0" baseline="0">
                <a:solidFill>
                  <a:schemeClr val="tx1">
                    <a:lumMod val="65000"/>
                    <a:lumOff val="35000"/>
                  </a:schemeClr>
                </a:solidFill>
                <a:latin typeface="+mn-lt"/>
                <a:ea typeface="+mn-ea"/>
                <a:cs typeface="+mn-cs"/>
              </a:defRPr>
            </a:pPr>
            <a:r>
              <a:rPr sz="1200"/>
              <a:t>单位：万元</a:t>
            </a:r>
            <a:endParaRPr sz="1200"/>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2018年</c:v>
                </c:pt>
                <c:pt idx="1">
                  <c:v>2019年</c:v>
                </c:pt>
              </c:strCache>
            </c:strRef>
          </c:cat>
          <c:val>
            <c:numRef>
              <c:f>Sheet1!$B$2:$B$3</c:f>
              <c:numCache>
                <c:formatCode>General</c:formatCode>
                <c:ptCount val="2"/>
                <c:pt idx="0">
                  <c:v>12518.35</c:v>
                </c:pt>
                <c:pt idx="1">
                  <c:v>6850.33</c:v>
                </c:pt>
              </c:numCache>
            </c:numRef>
          </c:val>
        </c:ser>
        <c:dLbls>
          <c:showLegendKey val="0"/>
          <c:showVal val="1"/>
          <c:showCatName val="0"/>
          <c:showSerName val="0"/>
          <c:showPercent val="0"/>
          <c:showBubbleSize val="0"/>
        </c:dLbls>
        <c:gapWidth val="219"/>
        <c:overlap val="-27"/>
        <c:axId val="376605328"/>
        <c:axId val="141917956"/>
      </c:barChart>
      <c:catAx>
        <c:axId val="37660532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1917956"/>
        <c:crosses val="autoZero"/>
        <c:auto val="1"/>
        <c:lblAlgn val="ctr"/>
        <c:lblOffset val="100"/>
        <c:noMultiLvlLbl val="0"/>
      </c:catAx>
      <c:valAx>
        <c:axId val="1419179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6605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t>图</a:t>
            </a:r>
            <a:r>
              <a:rPr lang="en-US" altLang="zh-CN" sz="1200"/>
              <a:t>5</a:t>
            </a:r>
            <a:r>
              <a:rPr altLang="en-US" sz="1200"/>
              <a:t>：一般公共预算财政拨款支出决算</a:t>
            </a:r>
            <a:endParaRPr sz="1200"/>
          </a:p>
          <a:p>
            <a:pPr defTabSz="914400">
              <a:defRPr lang="zh-CN" sz="1400" b="0" i="0" u="none" strike="noStrike" kern="1200" spc="0" baseline="0">
                <a:solidFill>
                  <a:schemeClr val="tx1">
                    <a:lumMod val="65000"/>
                    <a:lumOff val="35000"/>
                  </a:schemeClr>
                </a:solidFill>
                <a:latin typeface="+mn-lt"/>
                <a:ea typeface="+mn-ea"/>
                <a:cs typeface="+mn-cs"/>
              </a:defRPr>
            </a:pPr>
            <a:r>
              <a:rPr sz="1200"/>
              <a:t>单位：万元</a:t>
            </a:r>
            <a:endParaRPr sz="1200"/>
          </a:p>
        </c:rich>
      </c:tx>
      <c:layout>
        <c:manualLayout>
          <c:xMode val="edge"/>
          <c:yMode val="edge"/>
          <c:x val="0.254491803278689"/>
          <c:y val="0.0303985588831344"/>
        </c:manualLayout>
      </c:layout>
      <c:overlay val="0"/>
      <c:spPr>
        <a:noFill/>
        <a:ln>
          <a:noFill/>
        </a:ln>
        <a:effectLst/>
      </c:spPr>
    </c:title>
    <c:autoTitleDeleted val="0"/>
    <c:plotArea>
      <c:layout>
        <c:manualLayout>
          <c:layoutTarget val="inner"/>
          <c:xMode val="edge"/>
          <c:yMode val="edge"/>
          <c:x val="0.0905704918032787"/>
          <c:y val="0.226300382796667"/>
          <c:w val="0.87664262295082"/>
          <c:h val="0.664805224048638"/>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2018年</c:v>
                </c:pt>
                <c:pt idx="1">
                  <c:v>2019年</c:v>
                </c:pt>
              </c:strCache>
            </c:strRef>
          </c:cat>
          <c:val>
            <c:numRef>
              <c:f>Sheet1!$B$2:$B$3</c:f>
              <c:numCache>
                <c:formatCode>General</c:formatCode>
                <c:ptCount val="2"/>
                <c:pt idx="0">
                  <c:v>12518.35</c:v>
                </c:pt>
                <c:pt idx="1">
                  <c:v>6850.33</c:v>
                </c:pt>
              </c:numCache>
            </c:numRef>
          </c:val>
        </c:ser>
        <c:dLbls>
          <c:showLegendKey val="0"/>
          <c:showVal val="1"/>
          <c:showCatName val="0"/>
          <c:showSerName val="0"/>
          <c:showPercent val="0"/>
          <c:showBubbleSize val="0"/>
        </c:dLbls>
        <c:gapWidth val="219"/>
        <c:overlap val="-27"/>
        <c:axId val="376605328"/>
        <c:axId val="141917956"/>
      </c:barChart>
      <c:catAx>
        <c:axId val="37660532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1917956"/>
        <c:crosses val="autoZero"/>
        <c:auto val="1"/>
        <c:lblAlgn val="ctr"/>
        <c:lblOffset val="100"/>
        <c:noMultiLvlLbl val="0"/>
      </c:catAx>
      <c:valAx>
        <c:axId val="1419179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6605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一般公共预算财政拨款支出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Lbls>
            <c:delete val="1"/>
          </c:dLbls>
          <c:cat>
            <c:strRef>
              <c:f>Sheet1!$A$2:$A$9</c:f>
              <c:strCache>
                <c:ptCount val="8"/>
                <c:pt idx="0">
                  <c:v>一般公共服务</c:v>
                </c:pt>
                <c:pt idx="1">
                  <c:v>社会保障和就业</c:v>
                </c:pt>
                <c:pt idx="2">
                  <c:v>卫生健康</c:v>
                </c:pt>
                <c:pt idx="3">
                  <c:v>城乡社区</c:v>
                </c:pt>
                <c:pt idx="4">
                  <c:v>农林水</c:v>
                </c:pt>
                <c:pt idx="5">
                  <c:v>交通运输</c:v>
                </c:pt>
                <c:pt idx="6">
                  <c:v>自然资源海洋气象</c:v>
                </c:pt>
                <c:pt idx="7">
                  <c:v>住房保障</c:v>
                </c:pt>
              </c:strCache>
            </c:strRef>
          </c:cat>
          <c:val>
            <c:numRef>
              <c:f>Sheet1!$B$2:$B$9</c:f>
              <c:numCache>
                <c:formatCode>General</c:formatCode>
                <c:ptCount val="8"/>
                <c:pt idx="0">
                  <c:v>489.38</c:v>
                </c:pt>
                <c:pt idx="1">
                  <c:v>107.32</c:v>
                </c:pt>
                <c:pt idx="2">
                  <c:v>70.97</c:v>
                </c:pt>
                <c:pt idx="3">
                  <c:v>3957.56</c:v>
                </c:pt>
                <c:pt idx="4">
                  <c:v>1155.98</c:v>
                </c:pt>
                <c:pt idx="5">
                  <c:v>900</c:v>
                </c:pt>
                <c:pt idx="6">
                  <c:v>100</c:v>
                </c:pt>
                <c:pt idx="7">
                  <c:v>60.11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神剑电脑</Company>
  <Pages>37</Pages>
  <Words>2119</Words>
  <Characters>12082</Characters>
  <Lines>0</Lines>
  <Paragraphs>0</Paragraphs>
  <TotalTime>7</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2020-09-15T01:24:00Z</dcterms:created>
  <dc:creator>王丽靖</dc:creator>
  <cp:lastModifiedBy>Teresa☆</cp:lastModifiedBy>
  <cp:lastPrinted>2020-09-17T06:10:00Z</cp:lastPrinted>
  <dcterms:modified xsi:type="dcterms:W3CDTF">2021-04-20T02:56:28Z</dcterms:modified>
  <dc:title>2019年度</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