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left"/>
        <w:rPr>
          <w:rFonts w:hint="default" w:ascii="Times New Roman" w:hAnsi="Times New Roman" w:eastAsia="方正小标宋简体" w:cs="Times New Roman"/>
          <w:sz w:val="44"/>
          <w:szCs w:val="36"/>
        </w:rPr>
      </w:pPr>
      <w:r>
        <w:rPr>
          <w:rFonts w:hint="default" w:ascii="Times New Roman" w:hAnsi="Times New Roman" w:eastAsia="黑体" w:cs="Times New Roman"/>
          <w:sz w:val="32"/>
          <w:szCs w:val="32"/>
        </w:rPr>
        <w:t>WDDR</w:t>
      </w:r>
      <w:r>
        <w:rPr>
          <w:rFonts w:hint="eastAsia" w:ascii="Times New Roman" w:hAnsi="Times New Roman" w:eastAsia="黑体" w:cs="Times New Roman"/>
          <w:sz w:val="32"/>
          <w:szCs w:val="32"/>
          <w:lang w:eastAsia="zh-CN"/>
        </w:rPr>
        <w:t>—</w:t>
      </w:r>
      <w:r>
        <w:rPr>
          <w:rFonts w:hint="default" w:ascii="Times New Roman" w:hAnsi="Times New Roman" w:eastAsia="黑体" w:cs="Times New Roman"/>
          <w:sz w:val="32"/>
          <w:szCs w:val="32"/>
        </w:rPr>
        <w:t>2021</w:t>
      </w:r>
      <w:r>
        <w:rPr>
          <w:rFonts w:hint="eastAsia" w:ascii="Times New Roman" w:hAnsi="Times New Roman" w:eastAsia="黑体" w:cs="Times New Roman"/>
          <w:sz w:val="32"/>
          <w:szCs w:val="32"/>
          <w:lang w:eastAsia="zh-CN"/>
        </w:rPr>
        <w:t>—</w:t>
      </w:r>
      <w:r>
        <w:rPr>
          <w:rFonts w:hint="default" w:ascii="Times New Roman" w:hAnsi="Times New Roman" w:eastAsia="黑体" w:cs="Times New Roman"/>
          <w:sz w:val="32"/>
          <w:szCs w:val="32"/>
        </w:rPr>
        <w:t>032000</w:t>
      </w:r>
      <w:r>
        <w:rPr>
          <w:rFonts w:hint="eastAsia" w:eastAsia="黑体" w:cs="Times New Roman"/>
          <w:sz w:val="32"/>
          <w:szCs w:val="32"/>
          <w:lang w:val="en-US" w:eastAsia="zh-CN"/>
        </w:rPr>
        <w:t>2</w:t>
      </w:r>
      <w:bookmarkStart w:id="0" w:name="_GoBack"/>
      <w:bookmarkEnd w:id="0"/>
    </w:p>
    <w:p>
      <w:pPr>
        <w:keepNext w:val="0"/>
        <w:keepLines w:val="0"/>
        <w:pageBreakBefore w:val="0"/>
        <w:widowControl w:val="0"/>
        <w:kinsoku/>
        <w:wordWrap/>
        <w:overflowPunct/>
        <w:topLinePunct w:val="0"/>
        <w:autoSpaceDE/>
        <w:autoSpaceDN/>
        <w:bidi w:val="0"/>
        <w:adjustRightInd/>
        <w:spacing w:line="560" w:lineRule="exact"/>
        <w:jc w:val="center"/>
        <w:textAlignment w:val="auto"/>
        <w:rPr>
          <w:rFonts w:hint="default" w:ascii="Times New Roman" w:hAnsi="Times New Roman" w:eastAsia="方正小标宋简体" w:cs="Times New Roman"/>
          <w:sz w:val="44"/>
          <w:szCs w:val="36"/>
        </w:rPr>
      </w:pPr>
    </w:p>
    <w:p>
      <w:pPr>
        <w:keepNext w:val="0"/>
        <w:keepLines w:val="0"/>
        <w:pageBreakBefore w:val="0"/>
        <w:widowControl w:val="0"/>
        <w:kinsoku/>
        <w:wordWrap/>
        <w:overflowPunct/>
        <w:topLinePunct w:val="0"/>
        <w:autoSpaceDE/>
        <w:autoSpaceDN/>
        <w:bidi w:val="0"/>
        <w:adjustRightInd/>
        <w:spacing w:line="560" w:lineRule="exact"/>
        <w:jc w:val="center"/>
        <w:textAlignment w:val="auto"/>
        <w:rPr>
          <w:rFonts w:hint="eastAsia" w:ascii="楷体_GB2312" w:hAnsi="楷体_GB2312" w:eastAsia="楷体_GB2312" w:cs="楷体_GB2312"/>
          <w:sz w:val="32"/>
          <w:szCs w:val="32"/>
          <w:lang w:eastAsia="zh-CN"/>
        </w:rPr>
      </w:pPr>
      <w:r>
        <w:rPr>
          <w:rFonts w:hint="eastAsia" w:ascii="Times New Roman" w:hAnsi="Times New Roman" w:eastAsia="方正小标宋简体" w:cs="Times New Roman"/>
          <w:sz w:val="44"/>
          <w:szCs w:val="36"/>
          <w:lang w:eastAsia="zh-CN"/>
        </w:rPr>
        <w:t>文登区</w:t>
      </w:r>
      <w:r>
        <w:rPr>
          <w:rFonts w:hint="default" w:ascii="Times New Roman" w:hAnsi="Times New Roman" w:eastAsia="方正小标宋简体" w:cs="Times New Roman"/>
          <w:sz w:val="44"/>
          <w:szCs w:val="36"/>
        </w:rPr>
        <w:t>关于推进花饽饽产业发展的扶持意见</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为扩大</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文登花饽饽</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产业规模，提升品牌影响力，增强市场竞争力，推动</w:t>
      </w:r>
      <w:r>
        <w:rPr>
          <w:rFonts w:hint="default" w:ascii="Times New Roman" w:hAnsi="Times New Roman" w:eastAsia="仿宋_GB2312" w:cs="Times New Roman"/>
          <w:sz w:val="32"/>
          <w:szCs w:val="32"/>
          <w:shd w:val="clear" w:color="auto" w:fill="FFFFFF"/>
        </w:rPr>
        <w:t>花饽饽产业快速健康发展，特制订如下扶持意见</w:t>
      </w:r>
      <w:r>
        <w:rPr>
          <w:rFonts w:hint="default" w:ascii="Times New Roman" w:hAnsi="Times New Roman" w:eastAsia="仿宋_GB2312" w:cs="Times New Roman"/>
          <w:sz w:val="32"/>
          <w:szCs w:val="32"/>
        </w:rPr>
        <w:t>。</w:t>
      </w:r>
    </w:p>
    <w:p>
      <w:pPr>
        <w:pStyle w:val="5"/>
        <w:keepNext w:val="0"/>
        <w:keepLines w:val="0"/>
        <w:pageBreakBefore w:val="0"/>
        <w:widowControl w:val="0"/>
        <w:kinsoku/>
        <w:wordWrap/>
        <w:overflowPunct/>
        <w:topLinePunct w:val="0"/>
        <w:autoSpaceDE/>
        <w:autoSpaceDN/>
        <w:bidi w:val="0"/>
        <w:adjustRightInd/>
        <w:snapToGrid w:val="0"/>
        <w:spacing w:line="560" w:lineRule="exact"/>
        <w:ind w:firstLine="640" w:firstLineChars="200"/>
        <w:jc w:val="left"/>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一、适用范围</w:t>
      </w:r>
    </w:p>
    <w:p>
      <w:pPr>
        <w:pStyle w:val="5"/>
        <w:keepNext w:val="0"/>
        <w:keepLines w:val="0"/>
        <w:pageBreakBefore w:val="0"/>
        <w:widowControl w:val="0"/>
        <w:kinsoku/>
        <w:wordWrap/>
        <w:overflowPunct/>
        <w:topLinePunct w:val="0"/>
        <w:autoSpaceDE/>
        <w:autoSpaceDN/>
        <w:bidi w:val="0"/>
        <w:adjustRightInd/>
        <w:snapToGrid w:val="0"/>
        <w:spacing w:line="560" w:lineRule="exact"/>
        <w:ind w:firstLine="640" w:firstLineChars="200"/>
        <w:jc w:val="lef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在我区注册登记、纳税，具有独立法人资格，财务制度健全的花饽饽企业，以及符合条件的单位、组织</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信用等级达到A级</w:t>
      </w:r>
      <w:r>
        <w:rPr>
          <w:rFonts w:hint="eastAsia" w:eastAsia="仿宋_GB2312" w:cs="Times New Roman"/>
          <w:sz w:val="32"/>
          <w:szCs w:val="32"/>
          <w:lang w:val="en-US" w:eastAsia="zh-CN"/>
        </w:rPr>
        <w:t>及</w:t>
      </w:r>
      <w:r>
        <w:rPr>
          <w:rFonts w:hint="default" w:ascii="Times New Roman" w:hAnsi="Times New Roman" w:eastAsia="仿宋_GB2312" w:cs="Times New Roman"/>
          <w:sz w:val="32"/>
          <w:szCs w:val="32"/>
          <w:lang w:val="en-US" w:eastAsia="zh-CN"/>
        </w:rPr>
        <w:t>以上。</w:t>
      </w:r>
    </w:p>
    <w:p>
      <w:pPr>
        <w:pStyle w:val="5"/>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10" w:leftChars="0" w:firstLine="640" w:firstLineChars="0"/>
        <w:jc w:val="left"/>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扶持金额</w:t>
      </w:r>
    </w:p>
    <w:p>
      <w:pPr>
        <w:pStyle w:val="5"/>
        <w:keepNext w:val="0"/>
        <w:keepLines w:val="0"/>
        <w:pageBreakBefore w:val="0"/>
        <w:widowControl w:val="0"/>
        <w:kinsoku/>
        <w:wordWrap/>
        <w:overflowPunct/>
        <w:topLinePunct w:val="0"/>
        <w:autoSpaceDE/>
        <w:autoSpaceDN/>
        <w:bidi w:val="0"/>
        <w:adjustRightInd/>
        <w:snapToGrid w:val="0"/>
        <w:spacing w:line="560" w:lineRule="exact"/>
        <w:ind w:firstLine="640" w:firstLineChars="200"/>
        <w:jc w:val="lef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扶持资金总额为</w:t>
      </w:r>
      <w:r>
        <w:rPr>
          <w:rFonts w:hint="default"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rPr>
        <w:t>00万元。</w:t>
      </w:r>
    </w:p>
    <w:p>
      <w:pPr>
        <w:pStyle w:val="5"/>
        <w:keepNext w:val="0"/>
        <w:keepLines w:val="0"/>
        <w:pageBreakBefore w:val="0"/>
        <w:widowControl w:val="0"/>
        <w:kinsoku/>
        <w:wordWrap/>
        <w:overflowPunct/>
        <w:topLinePunct w:val="0"/>
        <w:autoSpaceDE/>
        <w:autoSpaceDN/>
        <w:bidi w:val="0"/>
        <w:adjustRightInd/>
        <w:snapToGrid w:val="0"/>
        <w:spacing w:line="560"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三、扶持期限</w:t>
      </w:r>
    </w:p>
    <w:p>
      <w:pPr>
        <w:pStyle w:val="5"/>
        <w:keepNext w:val="0"/>
        <w:keepLines w:val="0"/>
        <w:pageBreakBefore w:val="0"/>
        <w:widowControl w:val="0"/>
        <w:kinsoku/>
        <w:wordWrap/>
        <w:overflowPunct/>
        <w:topLinePunct w:val="0"/>
        <w:autoSpaceDE/>
        <w:autoSpaceDN/>
        <w:bidi w:val="0"/>
        <w:adjustRightInd/>
        <w:snapToGrid w:val="0"/>
        <w:spacing w:line="560"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扶持期限为一年。</w:t>
      </w:r>
    </w:p>
    <w:p>
      <w:pPr>
        <w:pStyle w:val="5"/>
        <w:keepNext w:val="0"/>
        <w:keepLines w:val="0"/>
        <w:pageBreakBefore w:val="0"/>
        <w:widowControl w:val="0"/>
        <w:kinsoku/>
        <w:wordWrap/>
        <w:overflowPunct/>
        <w:topLinePunct w:val="0"/>
        <w:autoSpaceDE/>
        <w:autoSpaceDN/>
        <w:bidi w:val="0"/>
        <w:adjustRightInd/>
        <w:snapToGrid w:val="0"/>
        <w:spacing w:line="560" w:lineRule="exact"/>
        <w:ind w:firstLine="640" w:firstLineChars="200"/>
        <w:jc w:val="left"/>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lang w:val="en-US" w:eastAsia="zh-CN"/>
        </w:rPr>
        <w:t>四</w:t>
      </w:r>
      <w:r>
        <w:rPr>
          <w:rFonts w:hint="default" w:ascii="Times New Roman" w:hAnsi="Times New Roman" w:eastAsia="黑体" w:cs="Times New Roman"/>
          <w:sz w:val="32"/>
          <w:szCs w:val="32"/>
        </w:rPr>
        <w:t>、扶持方向和标准</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sz w:val="32"/>
          <w:szCs w:val="32"/>
          <w:lang w:val="en-US" w:eastAsia="zh-CN"/>
        </w:rPr>
        <w:t>（一）鼓励企</w:t>
      </w:r>
      <w:r>
        <w:rPr>
          <w:rFonts w:hint="default" w:ascii="Times New Roman" w:hAnsi="Times New Roman" w:eastAsia="楷体_GB2312" w:cs="Times New Roman"/>
          <w:color w:val="auto"/>
          <w:sz w:val="32"/>
          <w:szCs w:val="32"/>
        </w:rPr>
        <w:t>业</w:t>
      </w:r>
      <w:r>
        <w:rPr>
          <w:rFonts w:hint="default" w:ascii="Times New Roman" w:hAnsi="Times New Roman" w:eastAsia="楷体_GB2312" w:cs="Times New Roman"/>
          <w:color w:val="auto"/>
          <w:sz w:val="32"/>
          <w:szCs w:val="32"/>
          <w:lang w:val="en-US" w:eastAsia="zh-CN"/>
        </w:rPr>
        <w:t>做大规模</w:t>
      </w:r>
      <w:r>
        <w:rPr>
          <w:rFonts w:hint="default" w:ascii="Times New Roman" w:hAnsi="Times New Roman" w:eastAsia="楷体_GB2312" w:cs="Times New Roman"/>
          <w:color w:val="auto"/>
          <w:sz w:val="32"/>
          <w:szCs w:val="32"/>
        </w:rPr>
        <w:t>。</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eastAsia" w:eastAsia="仿宋_GB2312" w:cs="Times New Roman"/>
          <w:color w:val="auto"/>
          <w:sz w:val="32"/>
          <w:szCs w:val="32"/>
          <w:lang w:val="en-US" w:eastAsia="zh-CN"/>
        </w:rPr>
      </w:pPr>
      <w:r>
        <w:rPr>
          <w:rFonts w:hint="eastAsia" w:eastAsia="楷体_GB2312" w:cs="Times New Roman"/>
          <w:color w:val="auto"/>
          <w:sz w:val="32"/>
          <w:szCs w:val="32"/>
          <w:lang w:val="en-US" w:eastAsia="zh-CN"/>
        </w:rPr>
        <w:t>1.</w:t>
      </w:r>
      <w:r>
        <w:rPr>
          <w:rFonts w:hint="eastAsia" w:eastAsia="仿宋_GB2312" w:cs="Times New Roman"/>
          <w:color w:val="auto"/>
          <w:sz w:val="32"/>
          <w:szCs w:val="32"/>
          <w:lang w:eastAsia="zh-CN"/>
        </w:rPr>
        <w:t>对年内月度新增首次纳统的花饽饽生产企业和批发企业给予</w:t>
      </w:r>
      <w:r>
        <w:rPr>
          <w:rFonts w:hint="eastAsia" w:eastAsia="仿宋_GB2312" w:cs="Times New Roman"/>
          <w:color w:val="auto"/>
          <w:sz w:val="32"/>
          <w:szCs w:val="32"/>
          <w:lang w:val="en-US" w:eastAsia="zh-CN"/>
        </w:rPr>
        <w:t>10万元奖励，零售企业给予5万元奖励；</w:t>
      </w:r>
      <w:r>
        <w:rPr>
          <w:rFonts w:hint="eastAsia" w:eastAsia="仿宋_GB2312" w:cs="Times New Roman"/>
          <w:color w:val="auto"/>
          <w:sz w:val="32"/>
          <w:szCs w:val="32"/>
          <w:lang w:eastAsia="zh-CN"/>
        </w:rPr>
        <w:t>对年度首次纳统的花饽饽生产企业给予</w:t>
      </w:r>
      <w:r>
        <w:rPr>
          <w:rFonts w:hint="eastAsia" w:eastAsia="仿宋_GB2312" w:cs="Times New Roman"/>
          <w:color w:val="auto"/>
          <w:sz w:val="32"/>
          <w:szCs w:val="32"/>
          <w:lang w:val="en-US" w:eastAsia="zh-CN"/>
        </w:rPr>
        <w:t>5万元奖励，</w:t>
      </w:r>
      <w:r>
        <w:rPr>
          <w:rFonts w:hint="eastAsia" w:eastAsia="仿宋_GB2312" w:cs="Times New Roman"/>
          <w:color w:val="auto"/>
          <w:sz w:val="32"/>
          <w:szCs w:val="32"/>
          <w:lang w:eastAsia="zh-CN"/>
        </w:rPr>
        <w:t>批发企业给予</w:t>
      </w:r>
      <w:r>
        <w:rPr>
          <w:rFonts w:hint="eastAsia" w:eastAsia="仿宋_GB2312" w:cs="Times New Roman"/>
          <w:color w:val="auto"/>
          <w:sz w:val="32"/>
          <w:szCs w:val="32"/>
          <w:lang w:val="en-US" w:eastAsia="zh-CN"/>
        </w:rPr>
        <w:t>3万元奖励，零售企业给予2万元奖励；</w:t>
      </w:r>
      <w:r>
        <w:rPr>
          <w:rFonts w:hint="eastAsia" w:eastAsia="仿宋_GB2312" w:cs="Times New Roman"/>
          <w:color w:val="auto"/>
          <w:sz w:val="32"/>
          <w:szCs w:val="32"/>
          <w:lang w:eastAsia="zh-CN"/>
        </w:rPr>
        <w:t>对新增首次纳统的花饽饽企业，当年生产、批发主营业务收入达到</w:t>
      </w:r>
      <w:r>
        <w:rPr>
          <w:rFonts w:hint="eastAsia" w:eastAsia="仿宋_GB2312" w:cs="Times New Roman"/>
          <w:color w:val="auto"/>
          <w:sz w:val="32"/>
          <w:szCs w:val="32"/>
          <w:lang w:val="en-US" w:eastAsia="zh-CN"/>
        </w:rPr>
        <w:t>5000万元及以上、零售</w:t>
      </w:r>
      <w:r>
        <w:rPr>
          <w:rFonts w:hint="eastAsia" w:eastAsia="仿宋_GB2312" w:cs="Times New Roman"/>
          <w:color w:val="auto"/>
          <w:sz w:val="32"/>
          <w:szCs w:val="32"/>
          <w:lang w:eastAsia="zh-CN"/>
        </w:rPr>
        <w:t>主营业务收入达到</w:t>
      </w:r>
      <w:r>
        <w:rPr>
          <w:rFonts w:hint="eastAsia" w:eastAsia="仿宋_GB2312" w:cs="Times New Roman"/>
          <w:color w:val="auto"/>
          <w:sz w:val="32"/>
          <w:szCs w:val="32"/>
          <w:lang w:val="en-US" w:eastAsia="zh-CN"/>
        </w:rPr>
        <w:t>2000万元及以上</w:t>
      </w:r>
      <w:r>
        <w:rPr>
          <w:rFonts w:hint="eastAsia" w:eastAsia="仿宋_GB2312" w:cs="Times New Roman"/>
          <w:color w:val="auto"/>
          <w:sz w:val="32"/>
          <w:szCs w:val="32"/>
          <w:lang w:eastAsia="zh-CN"/>
        </w:rPr>
        <w:t>给予</w:t>
      </w:r>
      <w:r>
        <w:rPr>
          <w:rFonts w:hint="eastAsia" w:eastAsia="仿宋_GB2312" w:cs="Times New Roman"/>
          <w:color w:val="auto"/>
          <w:sz w:val="32"/>
          <w:szCs w:val="32"/>
          <w:lang w:val="en-US" w:eastAsia="zh-CN"/>
        </w:rPr>
        <w:t>5万元奖励。</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color w:val="auto"/>
          <w:sz w:val="32"/>
          <w:szCs w:val="32"/>
        </w:rPr>
      </w:pPr>
      <w:r>
        <w:rPr>
          <w:rFonts w:hint="eastAsia"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rPr>
        <w:t>对年</w:t>
      </w:r>
      <w:r>
        <w:rPr>
          <w:rFonts w:hint="eastAsia" w:eastAsia="仿宋_GB2312" w:cs="Times New Roman"/>
          <w:color w:val="auto"/>
          <w:sz w:val="32"/>
          <w:szCs w:val="32"/>
          <w:lang w:eastAsia="zh-CN"/>
        </w:rPr>
        <w:t>主营业务收入达到</w:t>
      </w:r>
      <w:r>
        <w:rPr>
          <w:rFonts w:hint="default" w:ascii="Times New Roman" w:hAnsi="Times New Roman" w:eastAsia="仿宋_GB2312" w:cs="Times New Roman"/>
          <w:color w:val="auto"/>
          <w:sz w:val="32"/>
          <w:szCs w:val="32"/>
          <w:lang w:eastAsia="zh-CN"/>
        </w:rPr>
        <w:t>（专指花饽饽产品）</w:t>
      </w:r>
      <w:r>
        <w:rPr>
          <w:rFonts w:hint="default"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000万元</w:t>
      </w:r>
      <w:r>
        <w:rPr>
          <w:rFonts w:hint="default" w:ascii="Times New Roman" w:hAnsi="Times New Roman" w:eastAsia="仿宋_GB2312" w:cs="Times New Roman"/>
          <w:color w:val="auto"/>
          <w:sz w:val="32"/>
          <w:szCs w:val="32"/>
          <w:lang w:val="en-US" w:eastAsia="zh-CN"/>
        </w:rPr>
        <w:t>以上</w:t>
      </w:r>
      <w:r>
        <w:rPr>
          <w:rFonts w:hint="default" w:ascii="Times New Roman" w:hAnsi="Times New Roman" w:eastAsia="仿宋_GB2312" w:cs="Times New Roman"/>
          <w:color w:val="auto"/>
          <w:sz w:val="32"/>
          <w:szCs w:val="32"/>
        </w:rPr>
        <w:t>的企业，</w:t>
      </w:r>
      <w:r>
        <w:rPr>
          <w:rFonts w:hint="default" w:ascii="Times New Roman" w:hAnsi="Times New Roman" w:eastAsia="仿宋_GB2312" w:cs="Times New Roman"/>
          <w:sz w:val="32"/>
          <w:szCs w:val="32"/>
        </w:rPr>
        <w:t>按</w:t>
      </w:r>
      <w:r>
        <w:rPr>
          <w:rFonts w:hint="default" w:ascii="Times New Roman" w:hAnsi="Times New Roman" w:eastAsia="仿宋_GB2312" w:cs="Times New Roman"/>
          <w:sz w:val="32"/>
          <w:szCs w:val="32"/>
          <w:lang w:val="en-US" w:eastAsia="zh-CN"/>
        </w:rPr>
        <w:t>区级财政</w:t>
      </w:r>
      <w:r>
        <w:rPr>
          <w:rFonts w:hint="default" w:ascii="Times New Roman" w:hAnsi="Times New Roman" w:eastAsia="仿宋_GB2312" w:cs="Times New Roman"/>
          <w:sz w:val="32"/>
          <w:szCs w:val="32"/>
        </w:rPr>
        <w:t>贡献</w:t>
      </w:r>
      <w:r>
        <w:rPr>
          <w:rFonts w:hint="default" w:ascii="Times New Roman" w:hAnsi="Times New Roman" w:eastAsia="仿宋_GB2312" w:cs="Times New Roman"/>
          <w:sz w:val="32"/>
          <w:szCs w:val="32"/>
          <w:lang w:val="en-US" w:eastAsia="zh-CN"/>
        </w:rPr>
        <w:t>给予等额资金扶持</w:t>
      </w:r>
      <w:r>
        <w:rPr>
          <w:rFonts w:hint="default" w:ascii="Times New Roman" w:hAnsi="Times New Roman" w:eastAsia="仿宋_GB2312" w:cs="Times New Roman"/>
          <w:color w:val="auto"/>
          <w:sz w:val="32"/>
          <w:szCs w:val="32"/>
        </w:rPr>
        <w:t>。</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w:t>
      </w:r>
      <w:r>
        <w:rPr>
          <w:rFonts w:hint="eastAsia" w:eastAsia="楷体_GB2312" w:cs="Times New Roman"/>
          <w:sz w:val="32"/>
          <w:szCs w:val="32"/>
          <w:lang w:val="en-US" w:eastAsia="zh-CN"/>
        </w:rPr>
        <w:t>二</w:t>
      </w:r>
      <w:r>
        <w:rPr>
          <w:rFonts w:hint="default" w:ascii="Times New Roman" w:hAnsi="Times New Roman" w:eastAsia="楷体_GB2312" w:cs="Times New Roman"/>
          <w:sz w:val="32"/>
          <w:szCs w:val="32"/>
          <w:lang w:val="en-US" w:eastAsia="zh-CN"/>
        </w:rPr>
        <w:t>）</w:t>
      </w:r>
      <w:r>
        <w:rPr>
          <w:rFonts w:hint="eastAsia" w:ascii="Times New Roman" w:hAnsi="Times New Roman" w:eastAsia="楷体_GB2312" w:cs="Times New Roman"/>
          <w:sz w:val="32"/>
          <w:szCs w:val="32"/>
          <w:lang w:val="en-US" w:eastAsia="zh-CN"/>
        </w:rPr>
        <w:t>鼓励企业设备改造</w:t>
      </w:r>
      <w:r>
        <w:rPr>
          <w:rFonts w:hint="default" w:ascii="Times New Roman" w:hAnsi="Times New Roman" w:eastAsia="楷体_GB2312"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sz w:val="32"/>
          <w:szCs w:val="32"/>
        </w:rPr>
        <w:t>对当年</w:t>
      </w:r>
      <w:r>
        <w:rPr>
          <w:rFonts w:hint="default" w:ascii="Times New Roman" w:hAnsi="Times New Roman" w:eastAsia="仿宋_GB2312" w:cs="Times New Roman"/>
          <w:sz w:val="32"/>
          <w:szCs w:val="32"/>
          <w:lang w:eastAsia="zh-CN"/>
        </w:rPr>
        <w:t>新上</w:t>
      </w:r>
      <w:r>
        <w:rPr>
          <w:rFonts w:hint="default" w:ascii="Times New Roman" w:hAnsi="Times New Roman" w:eastAsia="仿宋_GB2312" w:cs="Times New Roman"/>
          <w:sz w:val="32"/>
          <w:szCs w:val="32"/>
        </w:rPr>
        <w:t>设备</w:t>
      </w:r>
      <w:r>
        <w:rPr>
          <w:rFonts w:hint="default" w:ascii="Times New Roman" w:hAnsi="Times New Roman" w:eastAsia="仿宋_GB2312" w:cs="Times New Roman"/>
          <w:sz w:val="32"/>
          <w:szCs w:val="32"/>
          <w:lang w:val="en-US" w:eastAsia="zh-CN"/>
        </w:rPr>
        <w:t>50万元以上</w:t>
      </w:r>
      <w:r>
        <w:rPr>
          <w:rFonts w:hint="default" w:ascii="Times New Roman" w:hAnsi="Times New Roman" w:eastAsia="仿宋_GB2312" w:cs="Times New Roman"/>
          <w:sz w:val="32"/>
          <w:szCs w:val="32"/>
        </w:rPr>
        <w:t>（以设备购置发票为准），</w:t>
      </w:r>
      <w:r>
        <w:rPr>
          <w:rFonts w:hint="eastAsia" w:ascii="Times New Roman" w:hAnsi="Times New Roman" w:eastAsia="仿宋_GB2312" w:cs="Times New Roman"/>
          <w:sz w:val="32"/>
          <w:szCs w:val="32"/>
          <w:lang w:eastAsia="zh-CN"/>
        </w:rPr>
        <w:t>且年销售额达到</w:t>
      </w:r>
      <w:r>
        <w:rPr>
          <w:rFonts w:hint="eastAsia" w:ascii="Times New Roman" w:hAnsi="Times New Roman" w:eastAsia="仿宋_GB2312" w:cs="Times New Roman"/>
          <w:sz w:val="32"/>
          <w:szCs w:val="32"/>
          <w:lang w:val="en-US" w:eastAsia="zh-CN"/>
        </w:rPr>
        <w:t>1000万元以上的，</w:t>
      </w:r>
      <w:r>
        <w:rPr>
          <w:rFonts w:hint="default" w:ascii="Times New Roman" w:hAnsi="Times New Roman" w:eastAsia="仿宋_GB2312" w:cs="Times New Roman"/>
          <w:sz w:val="32"/>
          <w:szCs w:val="32"/>
        </w:rPr>
        <w:t>按照认定金额的</w:t>
      </w:r>
      <w:r>
        <w:rPr>
          <w:rFonts w:hint="eastAsia"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0%给予补助</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单个企业补助不超过</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color w:val="auto"/>
          <w:sz w:val="32"/>
          <w:szCs w:val="32"/>
        </w:rPr>
        <w:t>0万元。</w:t>
      </w:r>
      <w:r>
        <w:rPr>
          <w:rFonts w:hint="default" w:ascii="Times New Roman" w:hAnsi="Times New Roman" w:eastAsia="仿宋_GB2312" w:cs="Times New Roman"/>
          <w:sz w:val="32"/>
          <w:szCs w:val="32"/>
        </w:rPr>
        <w:t>对</w:t>
      </w:r>
      <w:r>
        <w:rPr>
          <w:rFonts w:hint="eastAsia" w:eastAsia="仿宋_GB2312" w:cs="Times New Roman"/>
          <w:sz w:val="32"/>
          <w:szCs w:val="32"/>
          <w:lang w:eastAsia="zh-CN"/>
        </w:rPr>
        <w:t>纳统企业</w:t>
      </w:r>
      <w:r>
        <w:rPr>
          <w:rFonts w:hint="default" w:ascii="Times New Roman" w:hAnsi="Times New Roman" w:eastAsia="仿宋_GB2312" w:cs="Times New Roman"/>
          <w:sz w:val="32"/>
          <w:szCs w:val="32"/>
        </w:rPr>
        <w:t>当年</w:t>
      </w:r>
      <w:r>
        <w:rPr>
          <w:rFonts w:hint="default" w:ascii="Times New Roman" w:hAnsi="Times New Roman" w:eastAsia="仿宋_GB2312" w:cs="Times New Roman"/>
          <w:sz w:val="32"/>
          <w:szCs w:val="32"/>
          <w:lang w:eastAsia="zh-CN"/>
        </w:rPr>
        <w:t>新上</w:t>
      </w:r>
      <w:r>
        <w:rPr>
          <w:rFonts w:hint="default" w:ascii="Times New Roman" w:hAnsi="Times New Roman" w:eastAsia="仿宋_GB2312" w:cs="Times New Roman"/>
          <w:sz w:val="32"/>
          <w:szCs w:val="32"/>
        </w:rPr>
        <w:t>设备</w:t>
      </w:r>
      <w:r>
        <w:rPr>
          <w:rFonts w:hint="default" w:ascii="Times New Roman" w:hAnsi="Times New Roman" w:eastAsia="仿宋_GB2312" w:cs="Times New Roman"/>
          <w:sz w:val="32"/>
          <w:szCs w:val="32"/>
          <w:lang w:val="en-US" w:eastAsia="zh-CN"/>
        </w:rPr>
        <w:t>50万元以上</w:t>
      </w:r>
      <w:r>
        <w:rPr>
          <w:rFonts w:hint="eastAsia" w:eastAsia="仿宋_GB2312" w:cs="Times New Roman"/>
          <w:sz w:val="32"/>
          <w:szCs w:val="32"/>
          <w:lang w:val="en-US" w:eastAsia="zh-CN"/>
        </w:rPr>
        <w:t>的</w:t>
      </w:r>
      <w:r>
        <w:rPr>
          <w:rFonts w:hint="default" w:ascii="Times New Roman" w:hAnsi="Times New Roman" w:eastAsia="仿宋_GB2312" w:cs="Times New Roman"/>
          <w:sz w:val="32"/>
          <w:szCs w:val="32"/>
        </w:rPr>
        <w:t>（以设备购置发票为准），按照认定金额的</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0%给予补助</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单个企业补助不超过6</w:t>
      </w:r>
      <w:r>
        <w:rPr>
          <w:rFonts w:hint="default" w:ascii="Times New Roman" w:hAnsi="Times New Roman" w:eastAsia="仿宋_GB2312" w:cs="Times New Roman"/>
          <w:color w:val="auto"/>
          <w:sz w:val="32"/>
          <w:szCs w:val="32"/>
        </w:rPr>
        <w:t>0万元。</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w:t>
      </w:r>
      <w:r>
        <w:rPr>
          <w:rFonts w:hint="eastAsia" w:eastAsia="楷体_GB2312" w:cs="Times New Roman"/>
          <w:sz w:val="32"/>
          <w:szCs w:val="32"/>
          <w:lang w:val="en-US" w:eastAsia="zh-CN"/>
        </w:rPr>
        <w:t>三</w:t>
      </w:r>
      <w:r>
        <w:rPr>
          <w:rFonts w:hint="default" w:ascii="Times New Roman" w:hAnsi="Times New Roman" w:eastAsia="楷体_GB2312" w:cs="Times New Roman"/>
          <w:sz w:val="32"/>
          <w:szCs w:val="32"/>
          <w:lang w:val="en-US" w:eastAsia="zh-CN"/>
        </w:rPr>
        <w:t>）扩大品牌宣传。</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sz w:val="32"/>
          <w:szCs w:val="32"/>
        </w:rPr>
      </w:pPr>
      <w:r>
        <w:rPr>
          <w:rFonts w:hint="eastAsia" w:eastAsia="楷体_GB2312" w:cs="Times New Roman"/>
          <w:sz w:val="32"/>
          <w:szCs w:val="32"/>
          <w:lang w:val="en-US" w:eastAsia="zh-CN"/>
        </w:rPr>
        <w:t>1.</w:t>
      </w:r>
      <w:r>
        <w:rPr>
          <w:rFonts w:hint="default" w:ascii="Times New Roman" w:hAnsi="Times New Roman" w:eastAsia="仿宋_GB2312" w:cs="Times New Roman"/>
          <w:sz w:val="32"/>
          <w:szCs w:val="32"/>
        </w:rPr>
        <w:t>每年举办</w:t>
      </w:r>
      <w:r>
        <w:rPr>
          <w:rFonts w:hint="default" w:ascii="Times New Roman" w:hAnsi="Times New Roman" w:eastAsia="仿宋_GB2312" w:cs="Times New Roman"/>
          <w:sz w:val="32"/>
          <w:szCs w:val="32"/>
          <w:shd w:val="clear" w:color="auto" w:fill="FFFFFF"/>
        </w:rPr>
        <w:t>文登花饽饽</w:t>
      </w:r>
      <w:r>
        <w:rPr>
          <w:rFonts w:hint="default" w:ascii="Times New Roman" w:hAnsi="Times New Roman" w:eastAsia="仿宋_GB2312" w:cs="Times New Roman"/>
          <w:sz w:val="32"/>
          <w:szCs w:val="32"/>
          <w:shd w:val="clear" w:color="auto" w:fill="FFFFFF"/>
          <w:lang w:eastAsia="zh-CN"/>
        </w:rPr>
        <w:t>文化节</w:t>
      </w:r>
      <w:r>
        <w:rPr>
          <w:rFonts w:hint="eastAsia" w:eastAsia="仿宋_GB2312" w:cs="Times New Roman"/>
          <w:sz w:val="32"/>
          <w:szCs w:val="32"/>
          <w:shd w:val="clear" w:color="auto" w:fill="FFFFFF"/>
          <w:lang w:eastAsia="zh-CN"/>
        </w:rPr>
        <w:t>及相关</w:t>
      </w:r>
      <w:r>
        <w:rPr>
          <w:rFonts w:hint="default" w:ascii="Times New Roman" w:hAnsi="Times New Roman" w:eastAsia="仿宋_GB2312" w:cs="Times New Roman"/>
          <w:sz w:val="32"/>
          <w:szCs w:val="32"/>
          <w:shd w:val="clear" w:color="auto" w:fill="FFFFFF"/>
          <w:lang w:val="en-US" w:eastAsia="zh-CN"/>
        </w:rPr>
        <w:t>活动</w:t>
      </w:r>
      <w:r>
        <w:rPr>
          <w:rFonts w:hint="eastAsia" w:eastAsia="仿宋_GB2312" w:cs="Times New Roman"/>
          <w:sz w:val="32"/>
          <w:szCs w:val="32"/>
          <w:lang w:eastAsia="zh-CN"/>
        </w:rPr>
        <w:t>，资助资金不超过</w:t>
      </w:r>
      <w:r>
        <w:rPr>
          <w:rFonts w:hint="eastAsia" w:eastAsia="仿宋_GB2312" w:cs="Times New Roman"/>
          <w:sz w:val="32"/>
          <w:szCs w:val="32"/>
          <w:lang w:val="en-US" w:eastAsia="zh-CN"/>
        </w:rPr>
        <w:t>40万元</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default"/>
          <w:lang w:val="en-US" w:eastAsia="zh-CN"/>
        </w:rPr>
      </w:pPr>
      <w:r>
        <w:rPr>
          <w:rFonts w:hint="eastAsia" w:eastAsia="仿宋_GB2312" w:cs="Times New Roman"/>
          <w:sz w:val="32"/>
          <w:szCs w:val="32"/>
          <w:lang w:val="en-US" w:eastAsia="zh-CN"/>
        </w:rPr>
        <w:t>2.开展文登花饽饽品牌标志（LOGO）和品牌宣传广告语（SLOGAN）征集活动并召开发布会，资助资金不超过10万元。</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default" w:eastAsia="仿宋_GB2312" w:cs="Times New Roman"/>
          <w:sz w:val="32"/>
          <w:szCs w:val="32"/>
          <w:lang w:val="en-US" w:eastAsia="zh-CN"/>
        </w:rPr>
      </w:pPr>
      <w:r>
        <w:rPr>
          <w:rFonts w:hint="eastAsia" w:eastAsia="仿宋_GB2312" w:cs="Times New Roman"/>
          <w:sz w:val="32"/>
          <w:szCs w:val="32"/>
          <w:lang w:val="en-US" w:eastAsia="zh-CN"/>
        </w:rPr>
        <w:t>3.在报纸、电视、网站、短视频平台等媒体上开展文登花饽饽品牌宣传及营销策划，资助资金不超过30万元。</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eastAsia="仿宋_GB2312" w:cs="Times New Roman"/>
          <w:sz w:val="32"/>
          <w:szCs w:val="32"/>
          <w:lang w:val="en-US" w:eastAsia="zh-CN"/>
        </w:rPr>
        <w:t>4.</w:t>
      </w:r>
      <w:r>
        <w:rPr>
          <w:rFonts w:hint="default" w:ascii="Times New Roman" w:hAnsi="Times New Roman" w:eastAsia="仿宋_GB2312" w:cs="Times New Roman"/>
          <w:i w:val="0"/>
          <w:iCs w:val="0"/>
          <w:caps w:val="0"/>
          <w:color w:val="auto"/>
          <w:spacing w:val="0"/>
          <w:sz w:val="32"/>
          <w:szCs w:val="32"/>
          <w:shd w:val="clear" w:color="auto" w:fill="FFFFFF"/>
        </w:rPr>
        <w:t>对企业参加经相关主管部门批准的</w:t>
      </w:r>
      <w:r>
        <w:rPr>
          <w:rFonts w:hint="default" w:ascii="Times New Roman" w:hAnsi="Times New Roman" w:eastAsia="仿宋_GB2312" w:cs="Times New Roman"/>
          <w:i w:val="0"/>
          <w:iCs w:val="0"/>
          <w:caps w:val="0"/>
          <w:color w:val="auto"/>
          <w:spacing w:val="0"/>
          <w:sz w:val="32"/>
          <w:szCs w:val="32"/>
          <w:shd w:val="clear" w:color="auto" w:fill="FFFFFF"/>
          <w:lang w:val="en-US" w:eastAsia="zh-CN"/>
        </w:rPr>
        <w:t>全国性</w:t>
      </w:r>
      <w:r>
        <w:rPr>
          <w:rFonts w:hint="default" w:ascii="Times New Roman" w:hAnsi="Times New Roman" w:eastAsia="仿宋_GB2312" w:cs="Times New Roman"/>
          <w:i w:val="0"/>
          <w:iCs w:val="0"/>
          <w:caps w:val="0"/>
          <w:color w:val="auto"/>
          <w:spacing w:val="0"/>
          <w:sz w:val="32"/>
          <w:szCs w:val="32"/>
          <w:shd w:val="clear" w:color="auto" w:fill="FFFFFF"/>
          <w:lang w:eastAsia="zh-CN"/>
        </w:rPr>
        <w:t>展览</w:t>
      </w:r>
      <w:r>
        <w:rPr>
          <w:rFonts w:hint="default" w:ascii="Times New Roman" w:hAnsi="Times New Roman" w:eastAsia="仿宋_GB2312" w:cs="Times New Roman"/>
          <w:i w:val="0"/>
          <w:iCs w:val="0"/>
          <w:caps w:val="0"/>
          <w:color w:val="auto"/>
          <w:spacing w:val="0"/>
          <w:sz w:val="32"/>
          <w:szCs w:val="32"/>
          <w:shd w:val="clear" w:color="auto" w:fill="FFFFFF"/>
        </w:rPr>
        <w:t>会，给予展位费</w:t>
      </w:r>
      <w:r>
        <w:rPr>
          <w:rStyle w:val="12"/>
          <w:rFonts w:hint="default" w:ascii="Times New Roman" w:hAnsi="Times New Roman" w:eastAsia="仿宋_GB2312" w:cs="Times New Roman"/>
          <w:b w:val="0"/>
          <w:bCs w:val="0"/>
          <w:i w:val="0"/>
          <w:iCs w:val="0"/>
          <w:caps w:val="0"/>
          <w:color w:val="auto"/>
          <w:spacing w:val="0"/>
          <w:sz w:val="32"/>
          <w:szCs w:val="32"/>
          <w:shd w:val="clear" w:color="auto" w:fill="FFFFFF"/>
        </w:rPr>
        <w:t>50%</w:t>
      </w:r>
      <w:r>
        <w:rPr>
          <w:rFonts w:hint="default" w:ascii="Times New Roman" w:hAnsi="Times New Roman" w:eastAsia="仿宋_GB2312" w:cs="Times New Roman"/>
          <w:i w:val="0"/>
          <w:iCs w:val="0"/>
          <w:caps w:val="0"/>
          <w:color w:val="auto"/>
          <w:spacing w:val="0"/>
          <w:sz w:val="32"/>
          <w:szCs w:val="32"/>
          <w:shd w:val="clear" w:color="auto" w:fill="FFFFFF"/>
        </w:rPr>
        <w:t>的</w:t>
      </w:r>
      <w:r>
        <w:rPr>
          <w:rFonts w:hint="default" w:ascii="Times New Roman" w:hAnsi="Times New Roman" w:eastAsia="仿宋_GB2312" w:cs="Times New Roman"/>
          <w:i w:val="0"/>
          <w:iCs w:val="0"/>
          <w:caps w:val="0"/>
          <w:color w:val="auto"/>
          <w:spacing w:val="0"/>
          <w:sz w:val="32"/>
          <w:szCs w:val="32"/>
          <w:shd w:val="clear" w:color="auto" w:fill="FFFFFF"/>
          <w:lang w:eastAsia="zh-CN"/>
        </w:rPr>
        <w:t>扶持</w:t>
      </w:r>
      <w:r>
        <w:rPr>
          <w:rFonts w:hint="default" w:ascii="Times New Roman" w:hAnsi="Times New Roman" w:eastAsia="仿宋_GB2312" w:cs="Times New Roman"/>
          <w:i w:val="0"/>
          <w:iCs w:val="0"/>
          <w:caps w:val="0"/>
          <w:color w:val="auto"/>
          <w:spacing w:val="0"/>
          <w:sz w:val="32"/>
          <w:szCs w:val="32"/>
          <w:shd w:val="clear" w:color="auto" w:fill="FFFFFF"/>
        </w:rPr>
        <w:t>，单个标准展位最高限额</w:t>
      </w:r>
      <w:r>
        <w:rPr>
          <w:rStyle w:val="12"/>
          <w:rFonts w:hint="eastAsia" w:eastAsia="仿宋_GB2312" w:cs="Times New Roman"/>
          <w:b w:val="0"/>
          <w:bCs w:val="0"/>
          <w:i w:val="0"/>
          <w:iCs w:val="0"/>
          <w:caps w:val="0"/>
          <w:color w:val="auto"/>
          <w:spacing w:val="0"/>
          <w:sz w:val="32"/>
          <w:szCs w:val="32"/>
          <w:shd w:val="clear" w:color="auto" w:fill="FFFFFF"/>
          <w:lang w:val="en-US" w:eastAsia="zh-CN"/>
        </w:rPr>
        <w:t>2</w:t>
      </w:r>
      <w:r>
        <w:rPr>
          <w:rStyle w:val="12"/>
          <w:rFonts w:hint="default" w:ascii="Times New Roman" w:hAnsi="Times New Roman" w:eastAsia="仿宋_GB2312" w:cs="Times New Roman"/>
          <w:b w:val="0"/>
          <w:bCs w:val="0"/>
          <w:i w:val="0"/>
          <w:iCs w:val="0"/>
          <w:caps w:val="0"/>
          <w:color w:val="auto"/>
          <w:spacing w:val="0"/>
          <w:sz w:val="32"/>
          <w:szCs w:val="32"/>
          <w:shd w:val="clear" w:color="auto" w:fill="FFFFFF"/>
          <w:lang w:val="en-US" w:eastAsia="zh-CN"/>
        </w:rPr>
        <w:t>万</w:t>
      </w:r>
      <w:r>
        <w:rPr>
          <w:rStyle w:val="12"/>
          <w:rFonts w:hint="default" w:ascii="Times New Roman" w:hAnsi="Times New Roman" w:eastAsia="仿宋_GB2312" w:cs="Times New Roman"/>
          <w:b w:val="0"/>
          <w:bCs w:val="0"/>
          <w:i w:val="0"/>
          <w:iCs w:val="0"/>
          <w:caps w:val="0"/>
          <w:color w:val="auto"/>
          <w:spacing w:val="0"/>
          <w:sz w:val="32"/>
          <w:szCs w:val="32"/>
          <w:shd w:val="clear" w:color="auto" w:fill="FFFFFF"/>
        </w:rPr>
        <w:t>元</w:t>
      </w:r>
      <w:r>
        <w:rPr>
          <w:rFonts w:hint="default" w:ascii="Times New Roman" w:hAnsi="Times New Roman" w:eastAsia="仿宋_GB2312" w:cs="Times New Roman"/>
          <w:i w:val="0"/>
          <w:iCs w:val="0"/>
          <w:caps w:val="0"/>
          <w:color w:val="auto"/>
          <w:spacing w:val="0"/>
          <w:sz w:val="32"/>
          <w:szCs w:val="32"/>
          <w:shd w:val="clear" w:color="auto" w:fill="FFFFFF"/>
        </w:rPr>
        <w:t>，单户企业每年</w:t>
      </w:r>
      <w:r>
        <w:rPr>
          <w:rFonts w:hint="default" w:ascii="Times New Roman" w:hAnsi="Times New Roman" w:eastAsia="仿宋_GB2312" w:cs="Times New Roman"/>
          <w:i w:val="0"/>
          <w:iCs w:val="0"/>
          <w:caps w:val="0"/>
          <w:color w:val="auto"/>
          <w:spacing w:val="0"/>
          <w:sz w:val="32"/>
          <w:szCs w:val="32"/>
          <w:shd w:val="clear" w:color="auto" w:fill="FFFFFF"/>
          <w:lang w:eastAsia="zh-CN"/>
        </w:rPr>
        <w:t>扶持金额</w:t>
      </w:r>
      <w:r>
        <w:rPr>
          <w:rFonts w:hint="default" w:ascii="Times New Roman" w:hAnsi="Times New Roman" w:eastAsia="仿宋_GB2312" w:cs="Times New Roman"/>
          <w:i w:val="0"/>
          <w:iCs w:val="0"/>
          <w:caps w:val="0"/>
          <w:color w:val="auto"/>
          <w:spacing w:val="0"/>
          <w:sz w:val="32"/>
          <w:szCs w:val="32"/>
          <w:shd w:val="clear" w:color="auto" w:fill="FFFFFF"/>
        </w:rPr>
        <w:t>最高不超过</w:t>
      </w:r>
      <w:r>
        <w:rPr>
          <w:rStyle w:val="12"/>
          <w:rFonts w:hint="eastAsia" w:eastAsia="仿宋_GB2312" w:cs="Times New Roman"/>
          <w:b w:val="0"/>
          <w:bCs w:val="0"/>
          <w:i w:val="0"/>
          <w:iCs w:val="0"/>
          <w:caps w:val="0"/>
          <w:color w:val="auto"/>
          <w:spacing w:val="0"/>
          <w:sz w:val="32"/>
          <w:szCs w:val="32"/>
          <w:shd w:val="clear" w:color="auto" w:fill="FFFFFF"/>
          <w:lang w:val="en-US" w:eastAsia="zh-CN"/>
        </w:rPr>
        <w:t>4</w:t>
      </w:r>
      <w:r>
        <w:rPr>
          <w:rStyle w:val="12"/>
          <w:rFonts w:hint="default" w:ascii="Times New Roman" w:hAnsi="Times New Roman" w:eastAsia="仿宋_GB2312" w:cs="Times New Roman"/>
          <w:b w:val="0"/>
          <w:bCs w:val="0"/>
          <w:i w:val="0"/>
          <w:iCs w:val="0"/>
          <w:caps w:val="0"/>
          <w:color w:val="auto"/>
          <w:spacing w:val="0"/>
          <w:sz w:val="32"/>
          <w:szCs w:val="32"/>
          <w:shd w:val="clear" w:color="auto" w:fill="FFFFFF"/>
        </w:rPr>
        <w:t>万元</w:t>
      </w:r>
      <w:r>
        <w:rPr>
          <w:rStyle w:val="12"/>
          <w:rFonts w:hint="default" w:ascii="Times New Roman" w:hAnsi="Times New Roman" w:eastAsia="仿宋_GB2312" w:cs="Times New Roman"/>
          <w:b w:val="0"/>
          <w:bCs w:val="0"/>
          <w:i w:val="0"/>
          <w:iCs w:val="0"/>
          <w:caps w:val="0"/>
          <w:color w:val="auto"/>
          <w:spacing w:val="0"/>
          <w:sz w:val="32"/>
          <w:szCs w:val="32"/>
          <w:shd w:val="clear" w:color="auto" w:fill="FFFFFF"/>
          <w:lang w:eastAsia="zh-CN"/>
        </w:rPr>
        <w:t>；</w:t>
      </w:r>
      <w:r>
        <w:rPr>
          <w:rStyle w:val="12"/>
          <w:rFonts w:hint="default" w:ascii="Times New Roman" w:hAnsi="Times New Roman" w:eastAsia="仿宋_GB2312" w:cs="Times New Roman"/>
          <w:b w:val="0"/>
          <w:bCs w:val="0"/>
          <w:i w:val="0"/>
          <w:iCs w:val="0"/>
          <w:caps w:val="0"/>
          <w:color w:val="auto"/>
          <w:spacing w:val="0"/>
          <w:sz w:val="32"/>
          <w:szCs w:val="32"/>
          <w:shd w:val="clear" w:color="auto" w:fill="FFFFFF"/>
          <w:lang w:val="en-US" w:eastAsia="zh-CN"/>
        </w:rPr>
        <w:t>参加全省范围的展览会，</w:t>
      </w:r>
      <w:r>
        <w:rPr>
          <w:rFonts w:hint="default" w:ascii="Times New Roman" w:hAnsi="Times New Roman" w:eastAsia="仿宋_GB2312" w:cs="Times New Roman"/>
          <w:i w:val="0"/>
          <w:iCs w:val="0"/>
          <w:caps w:val="0"/>
          <w:color w:val="auto"/>
          <w:spacing w:val="0"/>
          <w:sz w:val="32"/>
          <w:szCs w:val="32"/>
          <w:shd w:val="clear" w:color="auto" w:fill="FFFFFF"/>
        </w:rPr>
        <w:t>给予展位费</w:t>
      </w:r>
      <w:r>
        <w:rPr>
          <w:rStyle w:val="12"/>
          <w:rFonts w:hint="default" w:ascii="Times New Roman" w:hAnsi="Times New Roman" w:eastAsia="仿宋_GB2312" w:cs="Times New Roman"/>
          <w:b w:val="0"/>
          <w:bCs w:val="0"/>
          <w:i w:val="0"/>
          <w:iCs w:val="0"/>
          <w:caps w:val="0"/>
          <w:color w:val="auto"/>
          <w:spacing w:val="0"/>
          <w:sz w:val="32"/>
          <w:szCs w:val="32"/>
          <w:shd w:val="clear" w:color="auto" w:fill="FFFFFF"/>
          <w:lang w:val="en-US" w:eastAsia="zh-CN"/>
        </w:rPr>
        <w:t>3</w:t>
      </w:r>
      <w:r>
        <w:rPr>
          <w:rStyle w:val="12"/>
          <w:rFonts w:hint="default" w:ascii="Times New Roman" w:hAnsi="Times New Roman" w:eastAsia="仿宋_GB2312" w:cs="Times New Roman"/>
          <w:b w:val="0"/>
          <w:bCs w:val="0"/>
          <w:i w:val="0"/>
          <w:iCs w:val="0"/>
          <w:caps w:val="0"/>
          <w:color w:val="auto"/>
          <w:spacing w:val="0"/>
          <w:sz w:val="32"/>
          <w:szCs w:val="32"/>
          <w:shd w:val="clear" w:color="auto" w:fill="FFFFFF"/>
        </w:rPr>
        <w:t>0%</w:t>
      </w:r>
      <w:r>
        <w:rPr>
          <w:rFonts w:hint="default" w:ascii="Times New Roman" w:hAnsi="Times New Roman" w:eastAsia="仿宋_GB2312" w:cs="Times New Roman"/>
          <w:i w:val="0"/>
          <w:iCs w:val="0"/>
          <w:caps w:val="0"/>
          <w:color w:val="auto"/>
          <w:spacing w:val="0"/>
          <w:sz w:val="32"/>
          <w:szCs w:val="32"/>
          <w:shd w:val="clear" w:color="auto" w:fill="FFFFFF"/>
        </w:rPr>
        <w:t>的</w:t>
      </w:r>
      <w:r>
        <w:rPr>
          <w:rFonts w:hint="default" w:ascii="Times New Roman" w:hAnsi="Times New Roman" w:eastAsia="仿宋_GB2312" w:cs="Times New Roman"/>
          <w:i w:val="0"/>
          <w:iCs w:val="0"/>
          <w:caps w:val="0"/>
          <w:color w:val="auto"/>
          <w:spacing w:val="0"/>
          <w:sz w:val="32"/>
          <w:szCs w:val="32"/>
          <w:shd w:val="clear" w:color="auto" w:fill="FFFFFF"/>
          <w:lang w:eastAsia="zh-CN"/>
        </w:rPr>
        <w:t>扶持</w:t>
      </w:r>
      <w:r>
        <w:rPr>
          <w:rFonts w:hint="default" w:ascii="Times New Roman" w:hAnsi="Times New Roman" w:eastAsia="仿宋_GB2312" w:cs="Times New Roman"/>
          <w:i w:val="0"/>
          <w:iCs w:val="0"/>
          <w:caps w:val="0"/>
          <w:color w:val="auto"/>
          <w:spacing w:val="0"/>
          <w:sz w:val="32"/>
          <w:szCs w:val="32"/>
          <w:shd w:val="clear" w:color="auto" w:fill="FFFFFF"/>
        </w:rPr>
        <w:t>，单个标准展位最高限额</w:t>
      </w:r>
      <w:r>
        <w:rPr>
          <w:rFonts w:hint="eastAsia" w:ascii="Times New Roman" w:hAnsi="Times New Roman" w:eastAsia="仿宋_GB2312" w:cs="Times New Roman"/>
          <w:i w:val="0"/>
          <w:iCs w:val="0"/>
          <w:caps w:val="0"/>
          <w:color w:val="auto"/>
          <w:spacing w:val="0"/>
          <w:sz w:val="32"/>
          <w:szCs w:val="32"/>
          <w:shd w:val="clear" w:color="auto" w:fill="FFFFFF"/>
          <w:lang w:val="en-US" w:eastAsia="zh-CN"/>
        </w:rPr>
        <w:t>2</w:t>
      </w:r>
      <w:r>
        <w:rPr>
          <w:rStyle w:val="12"/>
          <w:rFonts w:hint="default" w:ascii="Times New Roman" w:hAnsi="Times New Roman" w:eastAsia="仿宋_GB2312" w:cs="Times New Roman"/>
          <w:b w:val="0"/>
          <w:bCs w:val="0"/>
          <w:i w:val="0"/>
          <w:iCs w:val="0"/>
          <w:caps w:val="0"/>
          <w:color w:val="auto"/>
          <w:spacing w:val="0"/>
          <w:sz w:val="32"/>
          <w:szCs w:val="32"/>
          <w:shd w:val="clear" w:color="auto" w:fill="FFFFFF"/>
          <w:lang w:val="en-US" w:eastAsia="zh-CN"/>
        </w:rPr>
        <w:t>000</w:t>
      </w:r>
      <w:r>
        <w:rPr>
          <w:rStyle w:val="12"/>
          <w:rFonts w:hint="default" w:ascii="Times New Roman" w:hAnsi="Times New Roman" w:eastAsia="仿宋_GB2312" w:cs="Times New Roman"/>
          <w:b w:val="0"/>
          <w:bCs w:val="0"/>
          <w:i w:val="0"/>
          <w:iCs w:val="0"/>
          <w:caps w:val="0"/>
          <w:color w:val="auto"/>
          <w:spacing w:val="0"/>
          <w:sz w:val="32"/>
          <w:szCs w:val="32"/>
          <w:shd w:val="clear" w:color="auto" w:fill="FFFFFF"/>
        </w:rPr>
        <w:t>元</w:t>
      </w:r>
      <w:r>
        <w:rPr>
          <w:rFonts w:hint="default" w:ascii="Times New Roman" w:hAnsi="Times New Roman" w:eastAsia="仿宋_GB2312" w:cs="Times New Roman"/>
          <w:i w:val="0"/>
          <w:iCs w:val="0"/>
          <w:caps w:val="0"/>
          <w:color w:val="auto"/>
          <w:spacing w:val="0"/>
          <w:sz w:val="32"/>
          <w:szCs w:val="32"/>
          <w:shd w:val="clear" w:color="auto" w:fill="FFFFFF"/>
        </w:rPr>
        <w:t>，单户企业每年</w:t>
      </w:r>
      <w:r>
        <w:rPr>
          <w:rFonts w:hint="default" w:ascii="Times New Roman" w:hAnsi="Times New Roman" w:eastAsia="仿宋_GB2312" w:cs="Times New Roman"/>
          <w:i w:val="0"/>
          <w:iCs w:val="0"/>
          <w:caps w:val="0"/>
          <w:color w:val="auto"/>
          <w:spacing w:val="0"/>
          <w:sz w:val="32"/>
          <w:szCs w:val="32"/>
          <w:shd w:val="clear" w:color="auto" w:fill="FFFFFF"/>
          <w:lang w:eastAsia="zh-CN"/>
        </w:rPr>
        <w:t>扶持金额</w:t>
      </w:r>
      <w:r>
        <w:rPr>
          <w:rFonts w:hint="default" w:ascii="Times New Roman" w:hAnsi="Times New Roman" w:eastAsia="仿宋_GB2312" w:cs="Times New Roman"/>
          <w:i w:val="0"/>
          <w:iCs w:val="0"/>
          <w:caps w:val="0"/>
          <w:color w:val="auto"/>
          <w:spacing w:val="0"/>
          <w:sz w:val="32"/>
          <w:szCs w:val="32"/>
          <w:shd w:val="clear" w:color="auto" w:fill="FFFFFF"/>
        </w:rPr>
        <w:t>最高不超过</w:t>
      </w:r>
      <w:r>
        <w:rPr>
          <w:rFonts w:hint="eastAsia" w:ascii="Times New Roman" w:hAnsi="Times New Roman" w:eastAsia="仿宋_GB2312" w:cs="Times New Roman"/>
          <w:i w:val="0"/>
          <w:iCs w:val="0"/>
          <w:caps w:val="0"/>
          <w:color w:val="auto"/>
          <w:spacing w:val="0"/>
          <w:sz w:val="32"/>
          <w:szCs w:val="32"/>
          <w:shd w:val="clear" w:color="auto" w:fill="FFFFFF"/>
          <w:lang w:val="en-US" w:eastAsia="zh-CN"/>
        </w:rPr>
        <w:t>5</w:t>
      </w:r>
      <w:r>
        <w:rPr>
          <w:rStyle w:val="12"/>
          <w:rFonts w:hint="default" w:ascii="Times New Roman" w:hAnsi="Times New Roman" w:eastAsia="仿宋_GB2312" w:cs="Times New Roman"/>
          <w:b w:val="0"/>
          <w:bCs w:val="0"/>
          <w:i w:val="0"/>
          <w:iCs w:val="0"/>
          <w:caps w:val="0"/>
          <w:color w:val="auto"/>
          <w:spacing w:val="0"/>
          <w:sz w:val="32"/>
          <w:szCs w:val="32"/>
          <w:shd w:val="clear" w:color="auto" w:fill="FFFFFF"/>
          <w:lang w:val="en-US" w:eastAsia="zh-CN"/>
        </w:rPr>
        <w:t>000</w:t>
      </w:r>
      <w:r>
        <w:rPr>
          <w:rStyle w:val="12"/>
          <w:rFonts w:hint="default" w:ascii="Times New Roman" w:hAnsi="Times New Roman" w:eastAsia="仿宋_GB2312" w:cs="Times New Roman"/>
          <w:b w:val="0"/>
          <w:bCs w:val="0"/>
          <w:i w:val="0"/>
          <w:iCs w:val="0"/>
          <w:caps w:val="0"/>
          <w:color w:val="auto"/>
          <w:spacing w:val="0"/>
          <w:sz w:val="32"/>
          <w:szCs w:val="32"/>
          <w:shd w:val="clear" w:color="auto" w:fill="FFFFFF"/>
        </w:rPr>
        <w:t>元</w:t>
      </w:r>
      <w:r>
        <w:rPr>
          <w:rStyle w:val="12"/>
          <w:rFonts w:hint="default" w:ascii="Times New Roman" w:hAnsi="Times New Roman" w:eastAsia="仿宋_GB2312" w:cs="Times New Roman"/>
          <w:b w:val="0"/>
          <w:bCs w:val="0"/>
          <w:i w:val="0"/>
          <w:iCs w:val="0"/>
          <w:caps w:val="0"/>
          <w:color w:val="auto"/>
          <w:spacing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楷体_GB2312" w:cs="Times New Roman"/>
          <w:kern w:val="2"/>
          <w:sz w:val="32"/>
          <w:szCs w:val="32"/>
          <w:lang w:val="en-US" w:eastAsia="zh-CN" w:bidi="ar-SA"/>
        </w:rPr>
      </w:pPr>
      <w:r>
        <w:rPr>
          <w:rFonts w:hint="default" w:ascii="Times New Roman" w:hAnsi="Times New Roman" w:eastAsia="楷体_GB2312" w:cs="Times New Roman"/>
          <w:kern w:val="2"/>
          <w:sz w:val="32"/>
          <w:szCs w:val="32"/>
          <w:lang w:val="en-US" w:eastAsia="zh-CN" w:bidi="ar-SA"/>
        </w:rPr>
        <w:t>（</w:t>
      </w:r>
      <w:r>
        <w:rPr>
          <w:rFonts w:hint="eastAsia" w:eastAsia="楷体_GB2312" w:cs="Times New Roman"/>
          <w:kern w:val="2"/>
          <w:sz w:val="32"/>
          <w:szCs w:val="32"/>
          <w:lang w:val="en-US" w:eastAsia="zh-CN" w:bidi="ar-SA"/>
        </w:rPr>
        <w:t>四</w:t>
      </w:r>
      <w:r>
        <w:rPr>
          <w:rFonts w:hint="default" w:ascii="Times New Roman" w:hAnsi="Times New Roman" w:eastAsia="楷体_GB2312" w:cs="Times New Roman"/>
          <w:kern w:val="2"/>
          <w:sz w:val="32"/>
          <w:szCs w:val="32"/>
          <w:lang w:val="en-US" w:eastAsia="zh-CN" w:bidi="ar-SA"/>
        </w:rPr>
        <w:t>）提升质量水平。</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楷体_GB2312" w:cs="Times New Roman"/>
          <w:color w:val="auto"/>
          <w:kern w:val="2"/>
          <w:sz w:val="32"/>
          <w:szCs w:val="32"/>
          <w:lang w:val="en-US" w:eastAsia="zh-CN" w:bidi="ar-SA"/>
        </w:rPr>
        <w:t>1．</w:t>
      </w:r>
      <w:r>
        <w:rPr>
          <w:rFonts w:hint="default" w:ascii="Times New Roman" w:hAnsi="Times New Roman" w:eastAsia="仿宋_GB2312" w:cs="Times New Roman"/>
          <w:color w:val="auto"/>
          <w:sz w:val="32"/>
          <w:szCs w:val="32"/>
          <w:lang w:val="en-US" w:eastAsia="zh-CN"/>
        </w:rPr>
        <w:t>对于年内新通过ISO9000质量管理体系认证的花饽饽生产企业，每家扶持1万元</w:t>
      </w:r>
      <w:r>
        <w:rPr>
          <w:rFonts w:hint="eastAsia" w:eastAsia="仿宋_GB2312" w:cs="Times New Roman"/>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pacing w:line="560" w:lineRule="exact"/>
        <w:ind w:firstLine="64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对获得中国驰名商标（行政认定）、中国地理标志产品、中国地理标志商标</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山东省优质产品生产基地的单位，按照《威海市实施品牌战略奖励和扶持办法》（威政办发〔2019〕2号）文件规定，市区两级资金1：1给予配套奖励。</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对当年获得授权发明专利，每件扶持2000元；超过5件（含）且得到有效转化实施的，每件扶持5000元。</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对符合《威海市标准化资助资金管理办法》（威政办发〔2019〕7号）文件规定的标准化项目，按照市区两级资金1：1给予配套资助。</w:t>
      </w:r>
    </w:p>
    <w:p>
      <w:pPr>
        <w:pStyle w:val="4"/>
        <w:keepNext w:val="0"/>
        <w:keepLines w:val="0"/>
        <w:pageBreakBefore w:val="0"/>
        <w:widowControl w:val="0"/>
        <w:kinsoku/>
        <w:wordWrap/>
        <w:overflowPunct/>
        <w:topLinePunct w:val="0"/>
        <w:autoSpaceDE/>
        <w:autoSpaceDN/>
        <w:bidi w:val="0"/>
        <w:adjustRightInd/>
        <w:spacing w:line="560" w:lineRule="exact"/>
        <w:ind w:firstLine="640" w:firstLineChars="200"/>
        <w:jc w:val="both"/>
        <w:textAlignment w:val="auto"/>
        <w:rPr>
          <w:rStyle w:val="12"/>
          <w:rFonts w:hint="default" w:ascii="Times New Roman" w:hAnsi="Times New Roman" w:eastAsia="仿宋_GB2312" w:cs="Times New Roman"/>
          <w:b w:val="0"/>
          <w:bCs w:val="0"/>
          <w:i w:val="0"/>
          <w:iCs w:val="0"/>
          <w:caps w:val="0"/>
          <w:color w:val="auto"/>
          <w:spacing w:val="0"/>
          <w:sz w:val="32"/>
          <w:szCs w:val="32"/>
          <w:shd w:val="clear" w:color="auto" w:fill="FFFFFF"/>
          <w:lang w:val="en-US" w:eastAsia="zh-CN"/>
        </w:rPr>
      </w:pPr>
      <w:r>
        <w:rPr>
          <w:rFonts w:hint="default" w:ascii="Times New Roman" w:hAnsi="Times New Roman" w:eastAsia="楷体_GB2312" w:cs="Times New Roman"/>
          <w:kern w:val="2"/>
          <w:sz w:val="32"/>
          <w:szCs w:val="32"/>
          <w:lang w:val="en-US" w:eastAsia="zh-CN" w:bidi="ar-SA"/>
        </w:rPr>
        <w:t>（</w:t>
      </w:r>
      <w:r>
        <w:rPr>
          <w:rFonts w:hint="eastAsia" w:eastAsia="楷体_GB2312" w:cs="Times New Roman"/>
          <w:kern w:val="2"/>
          <w:sz w:val="32"/>
          <w:szCs w:val="32"/>
          <w:lang w:val="en-US" w:eastAsia="zh-CN" w:bidi="ar-SA"/>
        </w:rPr>
        <w:t>五</w:t>
      </w:r>
      <w:r>
        <w:rPr>
          <w:rFonts w:hint="default" w:ascii="Times New Roman" w:hAnsi="Times New Roman" w:eastAsia="楷体_GB2312" w:cs="Times New Roman"/>
          <w:kern w:val="2"/>
          <w:sz w:val="32"/>
          <w:szCs w:val="32"/>
          <w:lang w:val="en-US" w:eastAsia="zh-CN" w:bidi="ar-SA"/>
        </w:rPr>
        <w:t>）传承发扬非遗文化</w:t>
      </w:r>
      <w:r>
        <w:rPr>
          <w:rFonts w:hint="eastAsia" w:eastAsia="楷体_GB2312" w:cs="Times New Roman"/>
          <w:kern w:val="2"/>
          <w:sz w:val="32"/>
          <w:szCs w:val="32"/>
          <w:lang w:val="en-US" w:eastAsia="zh-CN" w:bidi="ar-SA"/>
        </w:rPr>
        <w:t>。</w:t>
      </w:r>
      <w:r>
        <w:rPr>
          <w:rFonts w:hint="default" w:ascii="Times New Roman" w:hAnsi="Times New Roman" w:eastAsia="仿宋_GB2312" w:cs="Times New Roman"/>
          <w:kern w:val="2"/>
          <w:sz w:val="32"/>
          <w:szCs w:val="32"/>
          <w:lang w:val="en-US" w:eastAsia="zh-CN" w:bidi="ar-SA"/>
        </w:rPr>
        <w:t>鼓励社会力量建设花饽饽文化馆、博物馆等文化场馆，规范运行且每年免费对外开放时间不少于200天的，经评审认定，根据社会影响力等</w:t>
      </w:r>
      <w:r>
        <w:rPr>
          <w:rFonts w:hint="eastAsia" w:eastAsia="仿宋_GB2312" w:cs="Times New Roman"/>
          <w:kern w:val="2"/>
          <w:sz w:val="32"/>
          <w:szCs w:val="32"/>
          <w:lang w:val="en-US" w:eastAsia="zh-CN" w:bidi="ar-SA"/>
        </w:rPr>
        <w:t>给予</w:t>
      </w:r>
      <w:r>
        <w:rPr>
          <w:rFonts w:hint="default" w:ascii="Times New Roman" w:hAnsi="Times New Roman" w:eastAsia="仿宋_GB2312" w:cs="Times New Roman"/>
          <w:kern w:val="2"/>
          <w:sz w:val="32"/>
          <w:szCs w:val="32"/>
          <w:lang w:val="en-US" w:eastAsia="zh-CN" w:bidi="ar-SA"/>
        </w:rPr>
        <w:t>5</w:t>
      </w:r>
      <w:r>
        <w:rPr>
          <w:rFonts w:hint="eastAsia" w:eastAsia="仿宋_GB2312" w:cs="Times New Roman"/>
          <w:kern w:val="2"/>
          <w:sz w:val="32"/>
          <w:szCs w:val="32"/>
          <w:lang w:val="en-US" w:eastAsia="zh-CN" w:bidi="ar-SA"/>
        </w:rPr>
        <w:t>-</w:t>
      </w:r>
      <w:r>
        <w:rPr>
          <w:rFonts w:hint="default" w:ascii="Times New Roman" w:hAnsi="Times New Roman" w:eastAsia="仿宋_GB2312" w:cs="Times New Roman"/>
          <w:kern w:val="2"/>
          <w:sz w:val="32"/>
          <w:szCs w:val="32"/>
          <w:lang w:val="en-US" w:eastAsia="zh-CN" w:bidi="ar-SA"/>
        </w:rPr>
        <w:t>20万资金扶持。</w:t>
      </w:r>
    </w:p>
    <w:p>
      <w:pPr>
        <w:pStyle w:val="4"/>
        <w:keepNext w:val="0"/>
        <w:keepLines w:val="0"/>
        <w:pageBreakBefore w:val="0"/>
        <w:widowControl w:val="0"/>
        <w:kinsoku/>
        <w:wordWrap/>
        <w:overflowPunct/>
        <w:topLinePunct w:val="0"/>
        <w:autoSpaceDE/>
        <w:autoSpaceDN/>
        <w:bidi w:val="0"/>
        <w:adjustRightInd/>
        <w:spacing w:line="560" w:lineRule="exact"/>
        <w:ind w:firstLine="640" w:firstLineChars="200"/>
        <w:jc w:val="both"/>
        <w:textAlignment w:val="auto"/>
        <w:rPr>
          <w:rFonts w:hint="eastAsia" w:ascii="仿宋_GB2312" w:hAnsi="仿宋_GB2312" w:eastAsia="仿宋_GB2312" w:cs="仿宋_GB2312"/>
          <w:kern w:val="2"/>
          <w:sz w:val="32"/>
          <w:szCs w:val="32"/>
          <w:lang w:val="en-US" w:eastAsia="zh-CN" w:bidi="ar-SA"/>
        </w:rPr>
      </w:pPr>
      <w:r>
        <w:rPr>
          <w:rFonts w:hint="default" w:ascii="Times New Roman" w:hAnsi="Times New Roman" w:eastAsia="楷体_GB2312" w:cs="Times New Roman"/>
          <w:kern w:val="2"/>
          <w:sz w:val="32"/>
          <w:szCs w:val="32"/>
          <w:lang w:val="en-US" w:eastAsia="zh-CN" w:bidi="ar-SA"/>
        </w:rPr>
        <w:t>（</w:t>
      </w:r>
      <w:r>
        <w:rPr>
          <w:rFonts w:hint="eastAsia" w:eastAsia="楷体_GB2312" w:cs="Times New Roman"/>
          <w:kern w:val="2"/>
          <w:sz w:val="32"/>
          <w:szCs w:val="32"/>
          <w:lang w:val="en-US" w:eastAsia="zh-CN" w:bidi="ar-SA"/>
        </w:rPr>
        <w:t>六</w:t>
      </w:r>
      <w:r>
        <w:rPr>
          <w:rFonts w:hint="default" w:ascii="Times New Roman" w:hAnsi="Times New Roman" w:eastAsia="楷体_GB2312" w:cs="Times New Roman"/>
          <w:kern w:val="2"/>
          <w:sz w:val="32"/>
          <w:szCs w:val="32"/>
          <w:lang w:val="en-US" w:eastAsia="zh-CN" w:bidi="ar-SA"/>
        </w:rPr>
        <w:t>）</w:t>
      </w:r>
      <w:r>
        <w:rPr>
          <w:rFonts w:hint="eastAsia" w:eastAsia="楷体_GB2312" w:cs="Times New Roman"/>
          <w:kern w:val="2"/>
          <w:sz w:val="32"/>
          <w:szCs w:val="32"/>
          <w:lang w:val="en-US" w:eastAsia="zh-CN" w:bidi="ar-SA"/>
        </w:rPr>
        <w:t>突出贡献奖励。</w:t>
      </w:r>
      <w:r>
        <w:rPr>
          <w:rFonts w:hint="eastAsia" w:ascii="仿宋_GB2312" w:hAnsi="仿宋_GB2312" w:eastAsia="仿宋_GB2312" w:cs="仿宋_GB2312"/>
          <w:kern w:val="2"/>
          <w:sz w:val="32"/>
          <w:szCs w:val="32"/>
          <w:lang w:val="en-US" w:eastAsia="zh-CN" w:bidi="ar-SA"/>
        </w:rPr>
        <w:t>对从事花饽饽品牌营销、技术升级改造、重点项目引进、带动种植基地建设和引领乡村振兴等作出突出贡献的，采取一事一议的方式给予奖励。</w:t>
      </w:r>
    </w:p>
    <w:p>
      <w:pPr>
        <w:pStyle w:val="4"/>
        <w:keepNext w:val="0"/>
        <w:keepLines w:val="0"/>
        <w:pageBreakBefore w:val="0"/>
        <w:widowControl w:val="0"/>
        <w:kinsoku/>
        <w:wordWrap/>
        <w:overflowPunct/>
        <w:topLinePunct w:val="0"/>
        <w:autoSpaceDE/>
        <w:autoSpaceDN/>
        <w:bidi w:val="0"/>
        <w:adjustRightInd/>
        <w:spacing w:line="560" w:lineRule="exact"/>
        <w:ind w:firstLine="640" w:firstLineChars="200"/>
        <w:jc w:val="both"/>
        <w:textAlignment w:val="auto"/>
        <w:rPr>
          <w:rFonts w:hint="default" w:ascii="Times New Roman" w:hAnsi="Times New Roman" w:eastAsia="楷体_GB2312" w:cs="Times New Roman"/>
          <w:kern w:val="2"/>
          <w:sz w:val="32"/>
          <w:szCs w:val="32"/>
          <w:lang w:val="en-US" w:eastAsia="zh-CN" w:bidi="ar-SA"/>
        </w:rPr>
      </w:pPr>
      <w:r>
        <w:rPr>
          <w:rFonts w:hint="default" w:ascii="Times New Roman" w:hAnsi="Times New Roman" w:eastAsia="楷体_GB2312" w:cs="Times New Roman"/>
          <w:kern w:val="2"/>
          <w:sz w:val="32"/>
          <w:szCs w:val="32"/>
          <w:lang w:val="en-US" w:eastAsia="zh-CN" w:bidi="ar-SA"/>
        </w:rPr>
        <w:t>（</w:t>
      </w:r>
      <w:r>
        <w:rPr>
          <w:rFonts w:hint="eastAsia" w:eastAsia="楷体_GB2312" w:cs="Times New Roman"/>
          <w:kern w:val="2"/>
          <w:sz w:val="32"/>
          <w:szCs w:val="32"/>
          <w:lang w:val="en-US" w:eastAsia="zh-CN" w:bidi="ar-SA"/>
        </w:rPr>
        <w:t>七</w:t>
      </w:r>
      <w:r>
        <w:rPr>
          <w:rFonts w:hint="default" w:ascii="Times New Roman" w:hAnsi="Times New Roman" w:eastAsia="楷体_GB2312" w:cs="Times New Roman"/>
          <w:kern w:val="2"/>
          <w:sz w:val="32"/>
          <w:szCs w:val="32"/>
          <w:lang w:val="en-US" w:eastAsia="zh-CN" w:bidi="ar-SA"/>
        </w:rPr>
        <w:t>）对符合多项扶持标准的企业，</w:t>
      </w:r>
      <w:r>
        <w:rPr>
          <w:rFonts w:hint="eastAsia" w:eastAsia="楷体_GB2312" w:cs="Times New Roman"/>
          <w:kern w:val="2"/>
          <w:sz w:val="32"/>
          <w:szCs w:val="32"/>
          <w:lang w:val="en-US" w:eastAsia="zh-CN" w:bidi="ar-SA"/>
        </w:rPr>
        <w:t>扶持</w:t>
      </w:r>
      <w:r>
        <w:rPr>
          <w:rFonts w:hint="default" w:ascii="Times New Roman" w:hAnsi="Times New Roman" w:eastAsia="楷体_GB2312" w:cs="Times New Roman"/>
          <w:kern w:val="2"/>
          <w:sz w:val="32"/>
          <w:szCs w:val="32"/>
          <w:lang w:val="en-US" w:eastAsia="zh-CN" w:bidi="ar-SA"/>
        </w:rPr>
        <w:t>资金总额不超过1</w:t>
      </w:r>
      <w:r>
        <w:rPr>
          <w:rFonts w:hint="eastAsia" w:eastAsia="楷体_GB2312" w:cs="Times New Roman"/>
          <w:kern w:val="2"/>
          <w:sz w:val="32"/>
          <w:szCs w:val="32"/>
          <w:lang w:val="en-US" w:eastAsia="zh-CN" w:bidi="ar-SA"/>
        </w:rPr>
        <w:t>5</w:t>
      </w:r>
      <w:r>
        <w:rPr>
          <w:rFonts w:hint="default" w:ascii="Times New Roman" w:hAnsi="Times New Roman" w:eastAsia="楷体_GB2312" w:cs="Times New Roman"/>
          <w:kern w:val="2"/>
          <w:sz w:val="32"/>
          <w:szCs w:val="32"/>
          <w:lang w:val="en-US" w:eastAsia="zh-CN" w:bidi="ar-SA"/>
        </w:rPr>
        <w:t>0万元。</w:t>
      </w:r>
    </w:p>
    <w:p>
      <w:pPr>
        <w:keepNext w:val="0"/>
        <w:keepLines w:val="0"/>
        <w:pageBreakBefore w:val="0"/>
        <w:widowControl w:val="0"/>
        <w:kinsoku/>
        <w:wordWrap/>
        <w:overflowPunct/>
        <w:topLinePunct w:val="0"/>
        <w:autoSpaceDE/>
        <w:autoSpaceDN/>
        <w:bidi w:val="0"/>
        <w:adjustRightInd/>
        <w:spacing w:line="560" w:lineRule="exact"/>
        <w:ind w:right="105" w:rightChars="50" w:firstLine="640" w:firstLineChars="200"/>
        <w:textAlignment w:val="auto"/>
        <w:rPr>
          <w:rFonts w:hint="default" w:ascii="Times New Roman" w:hAnsi="Times New Roman" w:eastAsia="黑体" w:cs="Times New Roman"/>
          <w:bCs/>
          <w:kern w:val="0"/>
          <w:sz w:val="32"/>
          <w:szCs w:val="32"/>
        </w:rPr>
      </w:pPr>
      <w:r>
        <w:rPr>
          <w:rFonts w:hint="default" w:ascii="Times New Roman" w:hAnsi="Times New Roman" w:eastAsia="黑体" w:cs="Times New Roman"/>
          <w:bCs/>
          <w:kern w:val="0"/>
          <w:sz w:val="32"/>
          <w:szCs w:val="32"/>
          <w:lang w:val="en-US" w:eastAsia="zh-CN"/>
        </w:rPr>
        <w:t>五</w:t>
      </w:r>
      <w:r>
        <w:rPr>
          <w:rFonts w:hint="default" w:ascii="Times New Roman" w:hAnsi="Times New Roman" w:eastAsia="黑体" w:cs="Times New Roman"/>
          <w:bCs/>
          <w:kern w:val="0"/>
          <w:sz w:val="32"/>
          <w:szCs w:val="32"/>
        </w:rPr>
        <w:t>、附则</w:t>
      </w:r>
    </w:p>
    <w:p>
      <w:pPr>
        <w:keepNext w:val="0"/>
        <w:keepLines w:val="0"/>
        <w:pageBreakBefore w:val="0"/>
        <w:widowControl w:val="0"/>
        <w:kinsoku/>
        <w:wordWrap/>
        <w:overflowPunct/>
        <w:topLinePunct w:val="0"/>
        <w:autoSpaceDE/>
        <w:autoSpaceDN/>
        <w:bidi w:val="0"/>
        <w:adjustRightInd/>
        <w:spacing w:line="560" w:lineRule="exact"/>
        <w:ind w:firstLine="640" w:firstLineChars="200"/>
        <w:jc w:val="lef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（一）奖励资金仅对新获得品牌项目的单位和个人给予奖励，对同一品牌续展、复评、再认定、再认证等情形不给予奖励。本《意见》与此前相关政策扶持意见不一致的部分，以本意见为准。</w:t>
      </w:r>
      <w:r>
        <w:rPr>
          <w:rFonts w:hint="default" w:ascii="Times New Roman" w:hAnsi="Times New Roman" w:eastAsia="仿宋_GB2312" w:cs="Times New Roman"/>
          <w:sz w:val="32"/>
          <w:szCs w:val="32"/>
          <w:lang w:val="en-US" w:eastAsia="zh-CN"/>
        </w:rPr>
        <w:t>本意见涉及的扶持资金与本区域内其他政策涉及的同类扶持资金不重复执行，按就高原则给予扶持。</w:t>
      </w:r>
    </w:p>
    <w:p>
      <w:pPr>
        <w:keepNext w:val="0"/>
        <w:keepLines w:val="0"/>
        <w:pageBreakBefore w:val="0"/>
        <w:widowControl w:val="0"/>
        <w:kinsoku/>
        <w:wordWrap/>
        <w:overflowPunct/>
        <w:topLinePunct w:val="0"/>
        <w:autoSpaceDE/>
        <w:autoSpaceDN/>
        <w:bidi w:val="0"/>
        <w:adjustRightInd/>
        <w:spacing w:line="560"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w:t>
      </w:r>
      <w:r>
        <w:rPr>
          <w:rStyle w:val="19"/>
          <w:rFonts w:hint="default" w:ascii="Times New Roman" w:hAnsi="Times New Roman" w:eastAsia="仿宋_GB2312" w:cs="Times New Roman"/>
          <w:bCs/>
          <w:sz w:val="32"/>
          <w:szCs w:val="32"/>
        </w:rPr>
        <w:t>本意见自202</w:t>
      </w:r>
      <w:r>
        <w:rPr>
          <w:rStyle w:val="19"/>
          <w:rFonts w:hint="eastAsia" w:eastAsia="仿宋_GB2312" w:cs="Times New Roman"/>
          <w:bCs/>
          <w:sz w:val="32"/>
          <w:szCs w:val="32"/>
          <w:lang w:val="en-US" w:eastAsia="zh-CN"/>
        </w:rPr>
        <w:t>2</w:t>
      </w:r>
      <w:r>
        <w:rPr>
          <w:rStyle w:val="19"/>
          <w:rFonts w:hint="default" w:ascii="Times New Roman" w:hAnsi="Times New Roman" w:eastAsia="仿宋_GB2312" w:cs="Times New Roman"/>
          <w:bCs/>
          <w:sz w:val="32"/>
          <w:szCs w:val="32"/>
        </w:rPr>
        <w:t>年</w:t>
      </w:r>
      <w:r>
        <w:rPr>
          <w:rStyle w:val="19"/>
          <w:rFonts w:hint="eastAsia" w:eastAsia="仿宋_GB2312" w:cs="Times New Roman"/>
          <w:bCs/>
          <w:sz w:val="32"/>
          <w:szCs w:val="32"/>
          <w:lang w:val="en-US" w:eastAsia="zh-CN"/>
        </w:rPr>
        <w:t>1</w:t>
      </w:r>
      <w:r>
        <w:rPr>
          <w:rStyle w:val="19"/>
          <w:rFonts w:hint="default" w:ascii="Times New Roman" w:hAnsi="Times New Roman" w:eastAsia="仿宋_GB2312" w:cs="Times New Roman"/>
          <w:bCs/>
          <w:sz w:val="32"/>
          <w:szCs w:val="32"/>
        </w:rPr>
        <w:t>月</w:t>
      </w:r>
      <w:r>
        <w:rPr>
          <w:rStyle w:val="19"/>
          <w:rFonts w:hint="default" w:ascii="Times New Roman" w:hAnsi="Times New Roman" w:eastAsia="仿宋_GB2312" w:cs="Times New Roman"/>
          <w:bCs/>
          <w:sz w:val="32"/>
          <w:szCs w:val="32"/>
          <w:lang w:val="en-US" w:eastAsia="zh-CN"/>
        </w:rPr>
        <w:t>1</w:t>
      </w:r>
      <w:r>
        <w:rPr>
          <w:rStyle w:val="19"/>
          <w:rFonts w:hint="default" w:ascii="Times New Roman" w:hAnsi="Times New Roman" w:eastAsia="仿宋_GB2312" w:cs="Times New Roman"/>
          <w:bCs/>
          <w:sz w:val="32"/>
          <w:szCs w:val="32"/>
        </w:rPr>
        <w:t>日</w:t>
      </w:r>
      <w:r>
        <w:rPr>
          <w:rStyle w:val="19"/>
          <w:rFonts w:hint="eastAsia" w:eastAsia="仿宋_GB2312" w:cs="Times New Roman"/>
          <w:bCs/>
          <w:sz w:val="32"/>
          <w:szCs w:val="32"/>
          <w:lang w:eastAsia="zh-CN"/>
        </w:rPr>
        <w:t>施行</w:t>
      </w:r>
      <w:r>
        <w:rPr>
          <w:rStyle w:val="19"/>
          <w:rFonts w:hint="default" w:ascii="Times New Roman" w:hAnsi="Times New Roman" w:eastAsia="仿宋_GB2312" w:cs="Times New Roman"/>
          <w:bCs/>
          <w:sz w:val="32"/>
          <w:szCs w:val="32"/>
        </w:rPr>
        <w:t>，有效期至202</w:t>
      </w:r>
      <w:r>
        <w:rPr>
          <w:rStyle w:val="19"/>
          <w:rFonts w:hint="default" w:ascii="Times New Roman" w:hAnsi="Times New Roman" w:eastAsia="仿宋_GB2312" w:cs="Times New Roman"/>
          <w:bCs/>
          <w:sz w:val="32"/>
          <w:szCs w:val="32"/>
          <w:lang w:val="en-US" w:eastAsia="zh-CN"/>
        </w:rPr>
        <w:t>2</w:t>
      </w:r>
      <w:r>
        <w:rPr>
          <w:rStyle w:val="19"/>
          <w:rFonts w:hint="default" w:ascii="Times New Roman" w:hAnsi="Times New Roman" w:eastAsia="仿宋_GB2312" w:cs="Times New Roman"/>
          <w:bCs/>
          <w:sz w:val="32"/>
          <w:szCs w:val="32"/>
        </w:rPr>
        <w:t>年</w:t>
      </w:r>
      <w:r>
        <w:rPr>
          <w:rStyle w:val="19"/>
          <w:rFonts w:hint="eastAsia" w:eastAsia="仿宋_GB2312" w:cs="Times New Roman"/>
          <w:bCs/>
          <w:sz w:val="32"/>
          <w:szCs w:val="32"/>
          <w:lang w:val="en-US" w:eastAsia="zh-CN"/>
        </w:rPr>
        <w:t>12</w:t>
      </w:r>
      <w:r>
        <w:rPr>
          <w:rStyle w:val="19"/>
          <w:rFonts w:hint="default" w:ascii="Times New Roman" w:hAnsi="Times New Roman" w:eastAsia="仿宋_GB2312" w:cs="Times New Roman"/>
          <w:bCs/>
          <w:sz w:val="32"/>
          <w:szCs w:val="32"/>
        </w:rPr>
        <w:t>月</w:t>
      </w:r>
      <w:r>
        <w:rPr>
          <w:rStyle w:val="19"/>
          <w:rFonts w:hint="default" w:ascii="Times New Roman" w:hAnsi="Times New Roman" w:eastAsia="仿宋_GB2312" w:cs="Times New Roman"/>
          <w:bCs/>
          <w:sz w:val="32"/>
          <w:szCs w:val="32"/>
          <w:lang w:val="en-US" w:eastAsia="zh-CN"/>
        </w:rPr>
        <w:t>3</w:t>
      </w:r>
      <w:r>
        <w:rPr>
          <w:rStyle w:val="19"/>
          <w:rFonts w:hint="eastAsia" w:eastAsia="仿宋_GB2312" w:cs="Times New Roman"/>
          <w:bCs/>
          <w:sz w:val="32"/>
          <w:szCs w:val="32"/>
          <w:lang w:val="en-US" w:eastAsia="zh-CN"/>
        </w:rPr>
        <w:t>1</w:t>
      </w:r>
      <w:r>
        <w:rPr>
          <w:rStyle w:val="19"/>
          <w:rFonts w:hint="default" w:ascii="Times New Roman" w:hAnsi="Times New Roman" w:eastAsia="仿宋_GB2312" w:cs="Times New Roman"/>
          <w:bCs/>
          <w:sz w:val="32"/>
          <w:szCs w:val="32"/>
        </w:rPr>
        <w:t>日</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bCs/>
          <w:kern w:val="0"/>
          <w:sz w:val="32"/>
          <w:szCs w:val="32"/>
        </w:rPr>
      </w:pPr>
      <w:r>
        <w:rPr>
          <w:rFonts w:hint="default" w:ascii="Times New Roman" w:hAnsi="Times New Roman" w:eastAsia="仿宋_GB2312" w:cs="Times New Roman"/>
          <w:bCs/>
          <w:sz w:val="32"/>
          <w:szCs w:val="32"/>
        </w:rPr>
        <w:t>（三）本意见由区市场监管局、财政局负责解释。</w:t>
      </w:r>
    </w:p>
    <w:p>
      <w:pPr>
        <w:keepNext w:val="0"/>
        <w:keepLines w:val="0"/>
        <w:pageBreakBefore w:val="0"/>
        <w:widowControl w:val="0"/>
        <w:kinsoku/>
        <w:wordWrap/>
        <w:overflowPunct/>
        <w:topLinePunct w:val="0"/>
        <w:autoSpaceDE/>
        <w:autoSpaceDN/>
        <w:bidi w:val="0"/>
        <w:adjustRightInd/>
        <w:spacing w:line="560" w:lineRule="exact"/>
        <w:ind w:right="105" w:rightChars="50" w:firstLine="640" w:firstLineChars="200"/>
        <w:textAlignment w:val="auto"/>
        <w:rPr>
          <w:rFonts w:hint="default" w:ascii="Times New Roman" w:hAnsi="Times New Roman" w:eastAsia="仿宋_GB2312" w:cs="Times New Roman"/>
          <w:bCs/>
          <w:kern w:val="0"/>
          <w:sz w:val="32"/>
          <w:szCs w:val="32"/>
        </w:rPr>
      </w:pPr>
    </w:p>
    <w:p>
      <w:pPr>
        <w:keepNext w:val="0"/>
        <w:keepLines w:val="0"/>
        <w:pageBreakBefore w:val="0"/>
        <w:widowControl w:val="0"/>
        <w:kinsoku/>
        <w:wordWrap/>
        <w:overflowPunct/>
        <w:topLinePunct w:val="0"/>
        <w:autoSpaceDE/>
        <w:autoSpaceDN/>
        <w:bidi w:val="0"/>
        <w:adjustRightInd/>
        <w:spacing w:line="560" w:lineRule="exact"/>
        <w:ind w:right="105" w:rightChars="50" w:firstLine="640" w:firstLineChars="200"/>
        <w:textAlignment w:val="auto"/>
        <w:rPr>
          <w:rFonts w:hint="default" w:ascii="Times New Roman" w:hAnsi="Times New Roman" w:eastAsia="仿宋_GB2312" w:cs="Times New Roman"/>
          <w:bCs/>
          <w:spacing w:val="-4"/>
          <w:kern w:val="10"/>
          <w:sz w:val="32"/>
          <w:szCs w:val="32"/>
        </w:rPr>
      </w:pPr>
      <w:r>
        <w:rPr>
          <w:rFonts w:hint="eastAsia" w:eastAsia="仿宋_GB2312" w:cs="Times New Roman"/>
          <w:bCs/>
          <w:kern w:val="0"/>
          <w:sz w:val="32"/>
          <w:szCs w:val="32"/>
          <w:lang w:eastAsia="zh-CN"/>
        </w:rPr>
        <w:t>附件</w:t>
      </w:r>
      <w:r>
        <w:rPr>
          <w:rFonts w:hint="default" w:ascii="Times New Roman" w:hAnsi="Times New Roman" w:eastAsia="仿宋_GB2312" w:cs="Times New Roman"/>
          <w:bCs/>
          <w:kern w:val="0"/>
          <w:sz w:val="32"/>
          <w:szCs w:val="32"/>
        </w:rPr>
        <w:t>：</w:t>
      </w:r>
      <w:r>
        <w:rPr>
          <w:rFonts w:hint="default" w:ascii="Times New Roman" w:hAnsi="Times New Roman" w:eastAsia="仿宋_GB2312" w:cs="Times New Roman"/>
          <w:bCs/>
          <w:spacing w:val="-4"/>
          <w:kern w:val="10"/>
          <w:sz w:val="32"/>
          <w:szCs w:val="32"/>
        </w:rPr>
        <w:t>关于推进花饽饽产业发展的扶持意见的认定要求及流</w:t>
      </w:r>
    </w:p>
    <w:p>
      <w:pPr>
        <w:keepNext w:val="0"/>
        <w:keepLines w:val="0"/>
        <w:pageBreakBefore w:val="0"/>
        <w:widowControl w:val="0"/>
        <w:kinsoku/>
        <w:wordWrap/>
        <w:overflowPunct/>
        <w:topLinePunct w:val="0"/>
        <w:autoSpaceDE/>
        <w:autoSpaceDN/>
        <w:bidi w:val="0"/>
        <w:adjustRightInd/>
        <w:spacing w:line="560" w:lineRule="exact"/>
        <w:ind w:right="105" w:rightChars="50" w:firstLine="1560" w:firstLineChars="500"/>
        <w:textAlignment w:val="auto"/>
        <w:rPr>
          <w:rFonts w:hint="default" w:ascii="Times New Roman" w:hAnsi="Times New Roman" w:eastAsia="黑体" w:cs="Times New Roman"/>
          <w:sz w:val="32"/>
          <w:szCs w:val="32"/>
        </w:rPr>
      </w:pPr>
      <w:r>
        <w:rPr>
          <w:rFonts w:hint="default" w:ascii="Times New Roman" w:hAnsi="Times New Roman" w:eastAsia="仿宋_GB2312" w:cs="Times New Roman"/>
          <w:bCs/>
          <w:spacing w:val="-4"/>
          <w:kern w:val="10"/>
          <w:sz w:val="32"/>
          <w:szCs w:val="32"/>
        </w:rPr>
        <w:t>程</w:t>
      </w:r>
    </w:p>
    <w:p>
      <w:pPr>
        <w:pStyle w:val="2"/>
        <w:rPr>
          <w:rFonts w:hint="default" w:ascii="Times New Roman" w:hAnsi="Times New Roman" w:eastAsia="黑体" w:cs="Times New Roman"/>
          <w:sz w:val="32"/>
          <w:szCs w:val="32"/>
        </w:rPr>
      </w:pPr>
    </w:p>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Times New Roman" w:hAnsi="Times New Roman" w:eastAsia="黑体" w:cs="Times New Roman"/>
          <w:sz w:val="32"/>
          <w:szCs w:val="32"/>
        </w:rPr>
      </w:pPr>
    </w:p>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Times New Roman" w:hAnsi="Times New Roman" w:eastAsia="黑体" w:cs="Times New Roman"/>
          <w:sz w:val="32"/>
          <w:szCs w:val="32"/>
        </w:rPr>
      </w:pPr>
    </w:p>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Times New Roman" w:hAnsi="Times New Roman" w:eastAsia="黑体" w:cs="Times New Roman"/>
          <w:sz w:val="32"/>
          <w:szCs w:val="32"/>
        </w:rPr>
      </w:pPr>
    </w:p>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Times New Roman" w:hAnsi="Times New Roman" w:eastAsia="黑体" w:cs="Times New Roman"/>
          <w:sz w:val="32"/>
          <w:szCs w:val="32"/>
        </w:rPr>
      </w:pPr>
    </w:p>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Times New Roman" w:hAnsi="Times New Roman" w:eastAsia="黑体" w:cs="Times New Roman"/>
          <w:sz w:val="32"/>
          <w:szCs w:val="32"/>
        </w:rPr>
      </w:pPr>
    </w:p>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Times New Roman" w:hAnsi="Times New Roman" w:eastAsia="黑体" w:cs="Times New Roman"/>
          <w:sz w:val="32"/>
          <w:szCs w:val="32"/>
        </w:rPr>
      </w:pPr>
    </w:p>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Times New Roman" w:hAnsi="Times New Roman" w:eastAsia="黑体" w:cs="Times New Roman"/>
          <w:sz w:val="32"/>
          <w:szCs w:val="32"/>
        </w:rPr>
      </w:pPr>
    </w:p>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Times New Roman" w:hAnsi="Times New Roman" w:eastAsia="黑体" w:cs="Times New Roman"/>
          <w:sz w:val="32"/>
          <w:szCs w:val="32"/>
        </w:rPr>
      </w:pPr>
    </w:p>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Times New Roman" w:hAnsi="Times New Roman" w:eastAsia="黑体" w:cs="Times New Roman"/>
          <w:sz w:val="32"/>
          <w:szCs w:val="32"/>
        </w:rPr>
      </w:pPr>
    </w:p>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Times New Roman" w:hAnsi="Times New Roman" w:eastAsia="黑体" w:cs="Times New Roman"/>
          <w:sz w:val="32"/>
          <w:szCs w:val="32"/>
        </w:rPr>
      </w:pPr>
    </w:p>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Times New Roman" w:hAnsi="Times New Roman" w:eastAsia="黑体" w:cs="Times New Roman"/>
          <w:sz w:val="32"/>
          <w:szCs w:val="32"/>
        </w:rPr>
      </w:pPr>
    </w:p>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Times New Roman" w:hAnsi="Times New Roman" w:eastAsia="黑体" w:cs="Times New Roman"/>
          <w:sz w:val="32"/>
          <w:szCs w:val="32"/>
        </w:rPr>
      </w:pPr>
    </w:p>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Times New Roman" w:hAnsi="Times New Roman" w:eastAsia="黑体" w:cs="Times New Roman"/>
          <w:sz w:val="32"/>
          <w:szCs w:val="32"/>
        </w:rPr>
      </w:pPr>
    </w:p>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Times New Roman" w:hAnsi="Times New Roman" w:eastAsia="黑体" w:cs="Times New Roman"/>
          <w:sz w:val="32"/>
          <w:szCs w:val="32"/>
        </w:rPr>
      </w:pPr>
    </w:p>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附件</w:t>
      </w:r>
    </w:p>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Times New Roman" w:hAnsi="Times New Roman" w:eastAsia="黑体" w:cs="Times New Roman"/>
          <w:sz w:val="32"/>
          <w:szCs w:val="32"/>
        </w:rPr>
      </w:pPr>
    </w:p>
    <w:p>
      <w:pPr>
        <w:keepNext w:val="0"/>
        <w:keepLines w:val="0"/>
        <w:pageBreakBefore w:val="0"/>
        <w:kinsoku/>
        <w:wordWrap/>
        <w:overflowPunct/>
        <w:topLinePunct w:val="0"/>
        <w:autoSpaceDE/>
        <w:autoSpaceDN/>
        <w:bidi w:val="0"/>
        <w:adjustRightInd/>
        <w:snapToGrid w:val="0"/>
        <w:spacing w:line="560" w:lineRule="exact"/>
        <w:jc w:val="center"/>
        <w:textAlignment w:val="auto"/>
        <w:rPr>
          <w:rFonts w:hint="default" w:ascii="Times New Roman" w:hAnsi="Times New Roman" w:eastAsia="方正小标宋简体" w:cs="Times New Roman"/>
          <w:bCs/>
          <w:kern w:val="0"/>
          <w:sz w:val="44"/>
          <w:szCs w:val="44"/>
        </w:rPr>
      </w:pPr>
      <w:r>
        <w:rPr>
          <w:rFonts w:hint="default" w:ascii="Times New Roman" w:hAnsi="Times New Roman" w:eastAsia="方正小标宋简体" w:cs="Times New Roman"/>
          <w:sz w:val="44"/>
          <w:szCs w:val="44"/>
        </w:rPr>
        <w:t>关于</w:t>
      </w:r>
      <w:r>
        <w:rPr>
          <w:rFonts w:hint="default" w:ascii="Times New Roman" w:hAnsi="Times New Roman" w:eastAsia="方正小标宋简体" w:cs="Times New Roman"/>
          <w:bCs/>
          <w:kern w:val="0"/>
          <w:sz w:val="44"/>
          <w:szCs w:val="44"/>
        </w:rPr>
        <w:t>推进花饽饽产业发展的扶持意见</w:t>
      </w:r>
    </w:p>
    <w:p>
      <w:pPr>
        <w:keepNext w:val="0"/>
        <w:keepLines w:val="0"/>
        <w:pageBreakBefore w:val="0"/>
        <w:kinsoku/>
        <w:wordWrap/>
        <w:overflowPunct/>
        <w:topLinePunct w:val="0"/>
        <w:autoSpaceDE/>
        <w:autoSpaceDN/>
        <w:bidi w:val="0"/>
        <w:adjustRightInd/>
        <w:snapToGrid w:val="0"/>
        <w:spacing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认定要求及流程</w:t>
      </w:r>
    </w:p>
    <w:p>
      <w:pPr>
        <w:pStyle w:val="4"/>
        <w:keepNext w:val="0"/>
        <w:keepLines w:val="0"/>
        <w:pageBreakBefore w:val="0"/>
        <w:kinsoku/>
        <w:wordWrap/>
        <w:overflowPunct/>
        <w:topLinePunct w:val="0"/>
        <w:autoSpaceDE/>
        <w:autoSpaceDN/>
        <w:bidi w:val="0"/>
        <w:adjustRightInd/>
        <w:spacing w:line="560" w:lineRule="exact"/>
        <w:jc w:val="both"/>
        <w:textAlignment w:val="auto"/>
        <w:rPr>
          <w:rFonts w:hint="default" w:ascii="Times New Roman" w:hAnsi="Times New Roman" w:eastAsia="仿宋_GB2312" w:cs="Times New Roman"/>
          <w:sz w:val="32"/>
          <w:szCs w:val="32"/>
        </w:rPr>
      </w:pP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黑体" w:cs="Times New Roman"/>
          <w:bCs/>
          <w:sz w:val="32"/>
          <w:szCs w:val="32"/>
        </w:rPr>
      </w:pPr>
      <w:r>
        <w:rPr>
          <w:rFonts w:hint="default" w:ascii="Times New Roman" w:hAnsi="Times New Roman" w:eastAsia="黑体" w:cs="Times New Roman"/>
          <w:bCs/>
          <w:sz w:val="32"/>
          <w:szCs w:val="32"/>
        </w:rPr>
        <w:t>一、关于对</w:t>
      </w:r>
      <w:r>
        <w:rPr>
          <w:rFonts w:hint="eastAsia" w:eastAsia="黑体" w:cs="Times New Roman"/>
          <w:bCs/>
          <w:sz w:val="32"/>
          <w:szCs w:val="32"/>
          <w:lang w:eastAsia="zh-CN"/>
        </w:rPr>
        <w:t>扩规升级</w:t>
      </w:r>
      <w:r>
        <w:rPr>
          <w:rFonts w:hint="default" w:ascii="Times New Roman" w:hAnsi="Times New Roman" w:eastAsia="黑体" w:cs="Times New Roman"/>
          <w:bCs/>
          <w:sz w:val="32"/>
          <w:szCs w:val="32"/>
        </w:rPr>
        <w:t>奖励方面</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（一）申报材料（</w:t>
      </w:r>
      <w:r>
        <w:rPr>
          <w:rFonts w:hint="default" w:ascii="Times New Roman" w:hAnsi="Times New Roman" w:eastAsia="楷体_GB2312" w:cs="Times New Roman"/>
          <w:bCs/>
          <w:kern w:val="0"/>
          <w:sz w:val="32"/>
          <w:szCs w:val="32"/>
        </w:rPr>
        <w:t>原件审核后退回，复印件加盖公章留存</w:t>
      </w:r>
      <w:r>
        <w:rPr>
          <w:rFonts w:hint="default" w:ascii="Times New Roman" w:hAnsi="Times New Roman" w:eastAsia="楷体_GB2312" w:cs="Times New Roman"/>
          <w:sz w:val="32"/>
          <w:szCs w:val="32"/>
        </w:rPr>
        <w:t>）</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企业营业执照；</w:t>
      </w:r>
    </w:p>
    <w:p>
      <w:pPr>
        <w:pStyle w:val="4"/>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lang w:val="en-US" w:eastAsia="zh-CN"/>
        </w:rPr>
      </w:pPr>
      <w:r>
        <w:rPr>
          <w:rFonts w:hint="default" w:ascii="Times New Roman" w:hAnsi="Times New Roman" w:eastAsia="仿宋_GB2312" w:cs="Times New Roman"/>
          <w:sz w:val="32"/>
          <w:szCs w:val="32"/>
          <w:lang w:val="en-US" w:eastAsia="zh-CN"/>
        </w:rPr>
        <w:t>2．企业提供的花饽饽</w:t>
      </w:r>
      <w:r>
        <w:rPr>
          <w:rFonts w:hint="eastAsia" w:eastAsia="仿宋_GB2312" w:cs="Times New Roman"/>
          <w:sz w:val="32"/>
          <w:szCs w:val="32"/>
          <w:lang w:val="en-US" w:eastAsia="zh-CN"/>
        </w:rPr>
        <w:t>主营业务收入</w:t>
      </w:r>
      <w:r>
        <w:rPr>
          <w:rFonts w:hint="default" w:ascii="Times New Roman" w:hAnsi="Times New Roman" w:eastAsia="仿宋_GB2312" w:cs="Times New Roman"/>
          <w:sz w:val="32"/>
          <w:szCs w:val="32"/>
          <w:lang w:val="en-US" w:eastAsia="zh-CN"/>
        </w:rPr>
        <w:t>凭证；</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税务部门提供的</w:t>
      </w:r>
      <w:r>
        <w:rPr>
          <w:rFonts w:hint="default" w:ascii="Times New Roman" w:hAnsi="Times New Roman" w:eastAsia="仿宋_GB2312" w:cs="Times New Roman"/>
          <w:sz w:val="32"/>
          <w:szCs w:val="32"/>
          <w:lang w:val="en-US" w:eastAsia="zh-CN"/>
        </w:rPr>
        <w:t>纳税凭证</w:t>
      </w:r>
      <w:r>
        <w:rPr>
          <w:rFonts w:hint="default" w:ascii="Times New Roman" w:hAnsi="Times New Roman" w:eastAsia="仿宋_GB2312" w:cs="Times New Roman"/>
          <w:sz w:val="32"/>
          <w:szCs w:val="32"/>
        </w:rPr>
        <w:t>；</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楷体" w:cs="Times New Roman"/>
          <w:sz w:val="32"/>
          <w:szCs w:val="32"/>
        </w:rPr>
      </w:pP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其他相关证明资料。</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（二）区市场监管局根据申报材料提出扶持资金初步意见。</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Times New Roman" w:hAnsi="Times New Roman" w:eastAsia="黑体" w:cs="Times New Roman"/>
          <w:bCs/>
          <w:sz w:val="32"/>
          <w:szCs w:val="32"/>
          <w:lang w:eastAsia="zh-CN"/>
        </w:rPr>
      </w:pPr>
      <w:r>
        <w:rPr>
          <w:rFonts w:hint="default" w:ascii="Times New Roman" w:hAnsi="Times New Roman" w:eastAsia="黑体" w:cs="Times New Roman"/>
          <w:bCs/>
          <w:sz w:val="32"/>
          <w:szCs w:val="32"/>
        </w:rPr>
        <w:t>二、</w:t>
      </w:r>
      <w:r>
        <w:rPr>
          <w:rFonts w:hint="eastAsia" w:eastAsia="黑体" w:cs="Times New Roman"/>
          <w:bCs/>
          <w:sz w:val="32"/>
          <w:szCs w:val="32"/>
          <w:lang w:eastAsia="zh-CN"/>
        </w:rPr>
        <w:t>关于对新增纳统单位奖励方面</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（一）申报材料（</w:t>
      </w:r>
      <w:r>
        <w:rPr>
          <w:rFonts w:hint="default" w:ascii="Times New Roman" w:hAnsi="Times New Roman" w:eastAsia="楷体_GB2312" w:cs="Times New Roman"/>
          <w:bCs/>
          <w:kern w:val="0"/>
          <w:sz w:val="32"/>
          <w:szCs w:val="32"/>
        </w:rPr>
        <w:t>原件审核后退回，复印件加盖公章留存</w:t>
      </w:r>
      <w:r>
        <w:rPr>
          <w:rFonts w:hint="default" w:ascii="Times New Roman" w:hAnsi="Times New Roman" w:eastAsia="楷体_GB2312" w:cs="Times New Roman"/>
          <w:sz w:val="32"/>
          <w:szCs w:val="32"/>
        </w:rPr>
        <w:t>）</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企业营业执照；</w:t>
      </w:r>
    </w:p>
    <w:p>
      <w:pPr>
        <w:pStyle w:val="4"/>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lang w:val="en-US" w:eastAsia="zh-CN"/>
        </w:rPr>
      </w:pPr>
      <w:r>
        <w:rPr>
          <w:rFonts w:hint="default" w:ascii="Times New Roman" w:hAnsi="Times New Roman" w:eastAsia="仿宋_GB2312" w:cs="Times New Roman"/>
          <w:sz w:val="32"/>
          <w:szCs w:val="32"/>
          <w:lang w:val="en-US" w:eastAsia="zh-CN"/>
        </w:rPr>
        <w:t>2．</w:t>
      </w:r>
      <w:r>
        <w:rPr>
          <w:rFonts w:hint="eastAsia" w:ascii="Times New Roman" w:hAnsi="Times New Roman" w:eastAsia="仿宋_GB2312" w:cs="Times New Roman"/>
          <w:sz w:val="32"/>
          <w:szCs w:val="32"/>
          <w:lang w:val="en-US" w:eastAsia="zh-CN"/>
        </w:rPr>
        <w:t>全年</w:t>
      </w:r>
      <w:r>
        <w:rPr>
          <w:rFonts w:hint="eastAsia" w:eastAsia="仿宋_GB2312" w:cs="Times New Roman"/>
          <w:sz w:val="32"/>
          <w:szCs w:val="32"/>
          <w:lang w:val="en-US" w:eastAsia="zh-CN"/>
        </w:rPr>
        <w:t>主营业务收入生产加工业、批发业需达到2000万元及以上，零售业需达到500万元及以上</w:t>
      </w:r>
      <w:r>
        <w:rPr>
          <w:rFonts w:hint="default" w:ascii="Times New Roman" w:hAnsi="Times New Roman" w:eastAsia="仿宋_GB2312" w:cs="Times New Roman"/>
          <w:sz w:val="32"/>
          <w:szCs w:val="32"/>
          <w:lang w:val="en-US" w:eastAsia="zh-CN"/>
        </w:rPr>
        <w:t>；</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3．</w:t>
      </w:r>
      <w:r>
        <w:rPr>
          <w:rFonts w:hint="eastAsia" w:ascii="Times New Roman" w:hAnsi="Times New Roman" w:eastAsia="仿宋_GB2312" w:cs="Times New Roman"/>
          <w:sz w:val="32"/>
          <w:szCs w:val="32"/>
          <w:lang w:val="en-US" w:eastAsia="zh-CN"/>
        </w:rPr>
        <w:t>纳入国家统计局限上名录系统，且每月按时依法上报统计数据，统计报表报送率、及时率、准确率及台账基础性工作达到规范要求</w:t>
      </w:r>
      <w:r>
        <w:rPr>
          <w:rFonts w:hint="default" w:ascii="Times New Roman" w:hAnsi="Times New Roman" w:eastAsia="仿宋_GB2312" w:cs="Times New Roman"/>
          <w:sz w:val="32"/>
          <w:szCs w:val="32"/>
        </w:rPr>
        <w:t>；</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w:t>
      </w:r>
      <w:r>
        <w:rPr>
          <w:rFonts w:hint="eastAsia" w:ascii="Times New Roman" w:hAnsi="Times New Roman" w:eastAsia="仿宋_GB2312" w:cs="Times New Roman"/>
          <w:sz w:val="32"/>
          <w:szCs w:val="32"/>
          <w:lang w:val="en-US" w:eastAsia="zh-CN"/>
        </w:rPr>
        <w:t>企业及企业法人在国家信用信息系统等各级信用信息平台无不良记录，纳统后各项经营活动正常且未被列入经营异常名录；</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楷体" w:cs="Times New Roman"/>
          <w:sz w:val="32"/>
          <w:szCs w:val="32"/>
        </w:rPr>
      </w:pP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其他相关证明资料。</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eastAsia="黑体" w:cs="Times New Roman"/>
          <w:bCs/>
          <w:sz w:val="32"/>
          <w:szCs w:val="32"/>
          <w:lang w:eastAsia="zh-CN"/>
        </w:rPr>
      </w:pPr>
      <w:r>
        <w:rPr>
          <w:rFonts w:hint="default" w:ascii="Times New Roman" w:hAnsi="Times New Roman" w:eastAsia="楷体_GB2312" w:cs="Times New Roman"/>
          <w:sz w:val="32"/>
          <w:szCs w:val="32"/>
        </w:rPr>
        <w:t>（二）区市场监管局</w:t>
      </w:r>
      <w:r>
        <w:rPr>
          <w:rFonts w:hint="eastAsia" w:ascii="Times New Roman" w:hAnsi="Times New Roman" w:eastAsia="楷体_GB2312" w:cs="Times New Roman"/>
          <w:sz w:val="32"/>
          <w:szCs w:val="32"/>
          <w:lang w:eastAsia="zh-CN"/>
        </w:rPr>
        <w:t>、区统计局</w:t>
      </w:r>
      <w:r>
        <w:rPr>
          <w:rFonts w:hint="default" w:ascii="Times New Roman" w:hAnsi="Times New Roman" w:eastAsia="楷体_GB2312" w:cs="Times New Roman"/>
          <w:sz w:val="32"/>
          <w:szCs w:val="32"/>
        </w:rPr>
        <w:t>根据申报材料提出扶持资金初步意见。</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黑体" w:cs="Times New Roman"/>
          <w:bCs/>
          <w:sz w:val="32"/>
          <w:szCs w:val="32"/>
        </w:rPr>
      </w:pPr>
      <w:r>
        <w:rPr>
          <w:rFonts w:hint="eastAsia" w:eastAsia="黑体" w:cs="Times New Roman"/>
          <w:bCs/>
          <w:sz w:val="32"/>
          <w:szCs w:val="32"/>
          <w:lang w:eastAsia="zh-CN"/>
        </w:rPr>
        <w:t>三、</w:t>
      </w:r>
      <w:r>
        <w:rPr>
          <w:rFonts w:hint="default" w:ascii="Times New Roman" w:hAnsi="Times New Roman" w:eastAsia="黑体" w:cs="Times New Roman"/>
          <w:bCs/>
          <w:sz w:val="32"/>
          <w:szCs w:val="32"/>
        </w:rPr>
        <w:t>关于新上设备补助方面</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（一）申报材料（</w:t>
      </w:r>
      <w:r>
        <w:rPr>
          <w:rFonts w:hint="default" w:ascii="Times New Roman" w:hAnsi="Times New Roman" w:eastAsia="楷体_GB2312" w:cs="Times New Roman"/>
          <w:bCs/>
          <w:kern w:val="0"/>
          <w:sz w:val="32"/>
          <w:szCs w:val="32"/>
        </w:rPr>
        <w:t>原件审核后退回，复印件加盖公章留存</w:t>
      </w:r>
      <w:r>
        <w:rPr>
          <w:rFonts w:hint="default" w:ascii="Times New Roman" w:hAnsi="Times New Roman" w:eastAsia="楷体_GB2312" w:cs="Times New Roman"/>
          <w:sz w:val="32"/>
          <w:szCs w:val="32"/>
        </w:rPr>
        <w:t>）</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企业营业执照、食品生产许可证；</w:t>
      </w:r>
    </w:p>
    <w:p>
      <w:pPr>
        <w:pStyle w:val="4"/>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rPr>
      </w:pPr>
      <w:r>
        <w:rPr>
          <w:rFonts w:hint="default" w:ascii="Times New Roman" w:hAnsi="Times New Roman" w:eastAsia="仿宋_GB2312" w:cs="Times New Roman"/>
          <w:sz w:val="32"/>
          <w:szCs w:val="32"/>
          <w:lang w:val="en-US" w:eastAsia="zh-CN"/>
        </w:rPr>
        <w:t>2．企业提供的花饽饽销售额凭证；</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设备供货商提供的正式发票；</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其他相关资质或证明资料。</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（二）区市场监管局根据申报材料提出扶持资金初步意见。</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黑体" w:cs="Times New Roman"/>
          <w:bCs/>
          <w:sz w:val="32"/>
          <w:szCs w:val="32"/>
        </w:rPr>
      </w:pPr>
      <w:r>
        <w:rPr>
          <w:rFonts w:hint="eastAsia" w:eastAsia="黑体" w:cs="Times New Roman"/>
          <w:bCs/>
          <w:sz w:val="32"/>
          <w:szCs w:val="32"/>
          <w:lang w:eastAsia="zh-CN"/>
        </w:rPr>
        <w:t>四</w:t>
      </w:r>
      <w:r>
        <w:rPr>
          <w:rFonts w:hint="default" w:ascii="Times New Roman" w:hAnsi="Times New Roman" w:eastAsia="黑体" w:cs="Times New Roman"/>
          <w:bCs/>
          <w:sz w:val="32"/>
          <w:szCs w:val="32"/>
        </w:rPr>
        <w:t>、关于品牌宣传方面</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（一）申报材料（</w:t>
      </w:r>
      <w:r>
        <w:rPr>
          <w:rFonts w:hint="default" w:ascii="Times New Roman" w:hAnsi="Times New Roman" w:eastAsia="楷体_GB2312" w:cs="Times New Roman"/>
          <w:bCs/>
          <w:kern w:val="0"/>
          <w:sz w:val="32"/>
          <w:szCs w:val="32"/>
        </w:rPr>
        <w:t>原件审核后退回，复印件加盖公章留存</w:t>
      </w:r>
      <w:r>
        <w:rPr>
          <w:rFonts w:hint="default" w:ascii="Times New Roman" w:hAnsi="Times New Roman" w:eastAsia="楷体_GB2312" w:cs="Times New Roman"/>
          <w:sz w:val="32"/>
          <w:szCs w:val="32"/>
        </w:rPr>
        <w:t>）</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活动</w:t>
      </w:r>
      <w:r>
        <w:rPr>
          <w:rFonts w:hint="eastAsia" w:eastAsia="仿宋_GB2312" w:cs="Times New Roman"/>
          <w:sz w:val="32"/>
          <w:szCs w:val="32"/>
          <w:lang w:eastAsia="zh-CN"/>
        </w:rPr>
        <w:t>通知、视频</w:t>
      </w:r>
      <w:r>
        <w:rPr>
          <w:rFonts w:hint="default" w:ascii="Times New Roman" w:hAnsi="Times New Roman" w:eastAsia="仿宋_GB2312" w:cs="Times New Roman"/>
          <w:sz w:val="32"/>
          <w:szCs w:val="32"/>
        </w:rPr>
        <w:t>、文字资料（包括公司名称、展会名称、展位号）；</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2．企业</w:t>
      </w:r>
      <w:r>
        <w:rPr>
          <w:rFonts w:hint="default" w:ascii="Times New Roman" w:hAnsi="Times New Roman" w:eastAsia="仿宋_GB2312" w:cs="Times New Roman"/>
          <w:sz w:val="32"/>
          <w:szCs w:val="32"/>
        </w:rPr>
        <w:t>参展合同（包括展位面积、展位费、展位号、展会日期等内容）或参展通知书</w:t>
      </w:r>
      <w:r>
        <w:rPr>
          <w:rFonts w:hint="default" w:ascii="Times New Roman" w:hAnsi="Times New Roman" w:eastAsia="仿宋_GB2312" w:cs="Times New Roman"/>
          <w:sz w:val="32"/>
          <w:szCs w:val="32"/>
          <w:lang w:eastAsia="zh-CN"/>
        </w:rPr>
        <w:t>；</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w:t>
      </w:r>
      <w:r>
        <w:rPr>
          <w:rFonts w:hint="eastAsia" w:ascii="Times New Roman" w:hAnsi="Times New Roman" w:eastAsia="仿宋_GB2312" w:cs="Times New Roman"/>
          <w:sz w:val="32"/>
          <w:szCs w:val="32"/>
          <w:lang w:val="en-US" w:eastAsia="zh-CN"/>
        </w:rPr>
        <w:t>媒体宣传视频、文字资料；</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cs="Times New Roman"/>
          <w:lang w:val="en-US" w:eastAsia="zh-CN"/>
        </w:rPr>
      </w:pP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相关活动的正式发票</w:t>
      </w:r>
      <w:r>
        <w:rPr>
          <w:rFonts w:hint="default" w:ascii="Times New Roman" w:hAnsi="Times New Roman" w:eastAsia="仿宋_GB2312" w:cs="Times New Roman"/>
          <w:sz w:val="32"/>
          <w:szCs w:val="32"/>
          <w:lang w:eastAsia="zh-CN"/>
        </w:rPr>
        <w:t>及</w:t>
      </w:r>
      <w:r>
        <w:rPr>
          <w:rFonts w:hint="default" w:ascii="Times New Roman" w:hAnsi="Times New Roman" w:eastAsia="仿宋_GB2312" w:cs="Times New Roman"/>
          <w:sz w:val="32"/>
          <w:szCs w:val="32"/>
        </w:rPr>
        <w:t>付款</w:t>
      </w:r>
      <w:r>
        <w:rPr>
          <w:rFonts w:hint="eastAsia" w:eastAsia="仿宋_GB2312" w:cs="Times New Roman"/>
          <w:sz w:val="32"/>
          <w:szCs w:val="32"/>
          <w:lang w:eastAsia="zh-CN"/>
        </w:rPr>
        <w:t>凭证</w:t>
      </w:r>
      <w:r>
        <w:rPr>
          <w:rFonts w:hint="default" w:ascii="Times New Roman" w:hAnsi="Times New Roman" w:eastAsia="仿宋_GB2312" w:cs="Times New Roman"/>
          <w:sz w:val="32"/>
          <w:szCs w:val="32"/>
        </w:rPr>
        <w:t>（银行章、财务章）；</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楷体" w:cs="Times New Roman"/>
          <w:sz w:val="32"/>
          <w:szCs w:val="32"/>
        </w:rPr>
      </w:pP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其他相关资质或证明资料。</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（二）区市场监管局根据申报材料提出扶持资金初步意见。</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黑体" w:cs="Times New Roman"/>
          <w:bCs/>
          <w:sz w:val="32"/>
          <w:szCs w:val="32"/>
          <w:lang w:eastAsia="zh-CN"/>
        </w:rPr>
      </w:pPr>
      <w:r>
        <w:rPr>
          <w:rFonts w:hint="eastAsia" w:eastAsia="黑体" w:cs="Times New Roman"/>
          <w:bCs/>
          <w:sz w:val="32"/>
          <w:szCs w:val="32"/>
          <w:lang w:eastAsia="zh-CN"/>
        </w:rPr>
        <w:t>五</w:t>
      </w:r>
      <w:r>
        <w:rPr>
          <w:rFonts w:hint="default" w:ascii="Times New Roman" w:hAnsi="Times New Roman" w:eastAsia="黑体" w:cs="Times New Roman"/>
          <w:bCs/>
          <w:sz w:val="32"/>
          <w:szCs w:val="32"/>
        </w:rPr>
        <w:t>、</w:t>
      </w:r>
      <w:r>
        <w:rPr>
          <w:rFonts w:hint="default" w:ascii="Times New Roman" w:hAnsi="Times New Roman" w:eastAsia="黑体" w:cs="Times New Roman"/>
          <w:bCs/>
          <w:sz w:val="32"/>
          <w:szCs w:val="32"/>
          <w:lang w:eastAsia="zh-CN"/>
        </w:rPr>
        <w:t>关于质量管理体系认证方面</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（一）申报材料（</w:t>
      </w:r>
      <w:r>
        <w:rPr>
          <w:rFonts w:hint="default" w:ascii="Times New Roman" w:hAnsi="Times New Roman" w:eastAsia="楷体_GB2312" w:cs="Times New Roman"/>
          <w:bCs/>
          <w:kern w:val="0"/>
          <w:sz w:val="32"/>
          <w:szCs w:val="32"/>
        </w:rPr>
        <w:t>原件审核后退回，复印件加盖公章留存</w:t>
      </w:r>
      <w:r>
        <w:rPr>
          <w:rFonts w:hint="default" w:ascii="Times New Roman" w:hAnsi="Times New Roman" w:eastAsia="楷体_GB2312" w:cs="Times New Roman"/>
          <w:sz w:val="32"/>
          <w:szCs w:val="32"/>
        </w:rPr>
        <w:t>）</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企业营业执照；</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lang w:val="en-US" w:eastAsia="zh-CN"/>
        </w:rPr>
        <w:t>．ISO9000质量管理体系认证证书</w:t>
      </w:r>
      <w:r>
        <w:rPr>
          <w:rFonts w:hint="default" w:ascii="Times New Roman" w:hAnsi="Times New Roman" w:eastAsia="仿宋_GB2312" w:cs="Times New Roman"/>
          <w:sz w:val="32"/>
          <w:szCs w:val="32"/>
        </w:rPr>
        <w:t>；</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楷体" w:cs="Times New Roman"/>
          <w:sz w:val="32"/>
          <w:szCs w:val="32"/>
        </w:rPr>
      </w:pPr>
      <w:r>
        <w:rPr>
          <w:rFonts w:hint="default" w:ascii="Times New Roman" w:hAnsi="Times New Roman" w:eastAsia="仿宋_GB2312" w:cs="Times New Roman"/>
          <w:sz w:val="32"/>
          <w:szCs w:val="32"/>
        </w:rPr>
        <w:t>3</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其他证明资料。</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eastAsia="zh-CN"/>
        </w:rPr>
        <w:t>二</w:t>
      </w:r>
      <w:r>
        <w:rPr>
          <w:rFonts w:hint="default" w:ascii="Times New Roman" w:hAnsi="Times New Roman" w:eastAsia="楷体_GB2312" w:cs="Times New Roman"/>
          <w:sz w:val="32"/>
          <w:szCs w:val="32"/>
        </w:rPr>
        <w:t>）区市场监管局根据申报材料提出扶持资金初步意见。</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黑体" w:cs="Times New Roman"/>
          <w:bCs/>
          <w:sz w:val="32"/>
          <w:szCs w:val="32"/>
          <w:lang w:eastAsia="zh-CN"/>
        </w:rPr>
      </w:pPr>
      <w:r>
        <w:rPr>
          <w:rFonts w:hint="eastAsia" w:eastAsia="黑体" w:cs="Times New Roman"/>
          <w:bCs/>
          <w:sz w:val="32"/>
          <w:szCs w:val="32"/>
          <w:lang w:eastAsia="zh-CN"/>
        </w:rPr>
        <w:t>六</w:t>
      </w:r>
      <w:r>
        <w:rPr>
          <w:rFonts w:hint="default" w:ascii="Times New Roman" w:hAnsi="Times New Roman" w:eastAsia="黑体" w:cs="Times New Roman"/>
          <w:bCs/>
          <w:sz w:val="32"/>
          <w:szCs w:val="32"/>
        </w:rPr>
        <w:t>、</w:t>
      </w:r>
      <w:r>
        <w:rPr>
          <w:rFonts w:hint="default" w:ascii="Times New Roman" w:hAnsi="Times New Roman" w:eastAsia="黑体" w:cs="Times New Roman"/>
          <w:bCs/>
          <w:sz w:val="32"/>
          <w:szCs w:val="32"/>
          <w:lang w:eastAsia="zh-CN"/>
        </w:rPr>
        <w:t>关于</w:t>
      </w:r>
      <w:r>
        <w:rPr>
          <w:rFonts w:hint="default" w:ascii="Times New Roman" w:hAnsi="Times New Roman" w:eastAsia="黑体" w:cs="Times New Roman"/>
          <w:bCs/>
          <w:sz w:val="32"/>
          <w:szCs w:val="32"/>
          <w:lang w:val="en-US" w:eastAsia="zh-CN"/>
        </w:rPr>
        <w:t>商标品牌专利</w:t>
      </w:r>
      <w:r>
        <w:rPr>
          <w:rFonts w:hint="default" w:ascii="Times New Roman" w:hAnsi="Times New Roman" w:eastAsia="黑体" w:cs="Times New Roman"/>
          <w:bCs/>
          <w:sz w:val="32"/>
          <w:szCs w:val="32"/>
          <w:lang w:eastAsia="zh-CN"/>
        </w:rPr>
        <w:t>方面</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（一）申报材料（</w:t>
      </w:r>
      <w:r>
        <w:rPr>
          <w:rFonts w:hint="default" w:ascii="Times New Roman" w:hAnsi="Times New Roman" w:eastAsia="楷体_GB2312" w:cs="Times New Roman"/>
          <w:bCs/>
          <w:kern w:val="0"/>
          <w:sz w:val="32"/>
          <w:szCs w:val="32"/>
        </w:rPr>
        <w:t>原件审核后退回，复印件加盖公章留存</w:t>
      </w:r>
      <w:r>
        <w:rPr>
          <w:rFonts w:hint="default" w:ascii="Times New Roman" w:hAnsi="Times New Roman" w:eastAsia="楷体_GB2312" w:cs="Times New Roman"/>
          <w:sz w:val="32"/>
          <w:szCs w:val="32"/>
        </w:rPr>
        <w:t>）</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企业营业执照；</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lang w:val="en-US" w:eastAsia="zh-CN"/>
        </w:rPr>
        <w:t>．获得</w:t>
      </w:r>
      <w:r>
        <w:rPr>
          <w:rFonts w:hint="default" w:ascii="Times New Roman" w:hAnsi="Times New Roman" w:eastAsia="仿宋_GB2312" w:cs="Times New Roman"/>
          <w:sz w:val="32"/>
          <w:szCs w:val="32"/>
        </w:rPr>
        <w:t>中国驰名商标（行政认定）、中国地理标志产品、中国地理标志商标</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山东省优质产品生产基地</w:t>
      </w:r>
      <w:r>
        <w:rPr>
          <w:rFonts w:hint="default" w:ascii="Times New Roman" w:hAnsi="Times New Roman" w:eastAsia="仿宋_GB2312" w:cs="Times New Roman"/>
          <w:sz w:val="32"/>
          <w:szCs w:val="32"/>
          <w:lang w:val="en-US" w:eastAsia="zh-CN"/>
        </w:rPr>
        <w:t>等认证的正式文件</w:t>
      </w:r>
      <w:r>
        <w:rPr>
          <w:rFonts w:hint="default" w:ascii="Times New Roman" w:hAnsi="Times New Roman" w:eastAsia="仿宋_GB2312" w:cs="Times New Roman"/>
          <w:sz w:val="32"/>
          <w:szCs w:val="32"/>
        </w:rPr>
        <w:t>；</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3．当年获得授权发明专利证书及专利转化实施情况说明；</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楷体" w:cs="Times New Roman"/>
          <w:sz w:val="32"/>
          <w:szCs w:val="32"/>
        </w:rPr>
      </w:pP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其他证明资料。</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cs="Times New Roman"/>
          <w:lang w:val="en-US" w:eastAsia="zh-CN"/>
        </w:rPr>
      </w:pP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eastAsia="zh-CN"/>
        </w:rPr>
        <w:t>二</w:t>
      </w:r>
      <w:r>
        <w:rPr>
          <w:rFonts w:hint="default" w:ascii="Times New Roman" w:hAnsi="Times New Roman" w:eastAsia="楷体_GB2312" w:cs="Times New Roman"/>
          <w:sz w:val="32"/>
          <w:szCs w:val="32"/>
        </w:rPr>
        <w:t>）区市场监管局根据申报材料提出扶持资金初步意见。</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黑体" w:cs="Times New Roman"/>
          <w:color w:val="auto"/>
          <w:sz w:val="32"/>
          <w:szCs w:val="32"/>
          <w:lang w:val="en-US" w:eastAsia="zh-CN"/>
        </w:rPr>
      </w:pPr>
      <w:r>
        <w:rPr>
          <w:rFonts w:hint="eastAsia" w:eastAsia="黑体" w:cs="Times New Roman"/>
          <w:color w:val="auto"/>
          <w:sz w:val="32"/>
          <w:szCs w:val="32"/>
          <w:lang w:eastAsia="zh-CN"/>
        </w:rPr>
        <w:t>七</w:t>
      </w:r>
      <w:r>
        <w:rPr>
          <w:rFonts w:hint="default" w:ascii="Times New Roman" w:hAnsi="Times New Roman" w:eastAsia="黑体" w:cs="Times New Roman"/>
          <w:color w:val="auto"/>
          <w:sz w:val="32"/>
          <w:szCs w:val="32"/>
        </w:rPr>
        <w:t>、</w:t>
      </w:r>
      <w:r>
        <w:rPr>
          <w:rFonts w:hint="default" w:ascii="Times New Roman" w:hAnsi="Times New Roman" w:eastAsia="黑体" w:cs="Times New Roman"/>
          <w:color w:val="auto"/>
          <w:sz w:val="32"/>
          <w:szCs w:val="32"/>
          <w:lang w:val="en-US" w:eastAsia="zh-CN"/>
        </w:rPr>
        <w:t>关于扶持企业资质认定方面</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rPr>
        <w:t>（</w:t>
      </w:r>
      <w:r>
        <w:rPr>
          <w:rFonts w:hint="default" w:ascii="Times New Roman" w:hAnsi="Times New Roman" w:eastAsia="楷体" w:cs="Times New Roman"/>
          <w:color w:val="auto"/>
          <w:sz w:val="32"/>
          <w:szCs w:val="32"/>
        </w:rPr>
        <w:t>一</w:t>
      </w:r>
      <w:r>
        <w:rPr>
          <w:rFonts w:hint="default" w:ascii="Times New Roman" w:hAnsi="Times New Roman" w:eastAsia="楷体_GB2312" w:cs="Times New Roman"/>
          <w:color w:val="auto"/>
          <w:sz w:val="32"/>
          <w:szCs w:val="32"/>
        </w:rPr>
        <w:t>）</w:t>
      </w:r>
      <w:r>
        <w:rPr>
          <w:rFonts w:hint="default" w:ascii="Times New Roman" w:hAnsi="Times New Roman" w:eastAsia="楷体" w:cs="Times New Roman"/>
          <w:color w:val="auto"/>
          <w:sz w:val="32"/>
          <w:szCs w:val="32"/>
        </w:rPr>
        <w:t>申报材料</w:t>
      </w:r>
      <w:r>
        <w:rPr>
          <w:rFonts w:hint="default" w:ascii="Times New Roman" w:hAnsi="Times New Roman" w:eastAsia="楷体_GB2312" w:cs="Times New Roman"/>
          <w:color w:val="auto"/>
          <w:sz w:val="32"/>
          <w:szCs w:val="32"/>
        </w:rPr>
        <w:t>（</w:t>
      </w:r>
      <w:r>
        <w:rPr>
          <w:rFonts w:hint="default" w:ascii="Times New Roman" w:hAnsi="Times New Roman" w:eastAsia="楷体" w:cs="Times New Roman"/>
          <w:bCs/>
          <w:color w:val="auto"/>
          <w:kern w:val="0"/>
          <w:sz w:val="32"/>
          <w:szCs w:val="32"/>
        </w:rPr>
        <w:t>原件审核后退回，复印件加盖公章留存</w:t>
      </w:r>
      <w:r>
        <w:rPr>
          <w:rFonts w:hint="default" w:ascii="Times New Roman" w:hAnsi="Times New Roman" w:eastAsia="楷体_GB2312" w:cs="Times New Roman"/>
          <w:color w:val="auto"/>
          <w:sz w:val="32"/>
          <w:szCs w:val="32"/>
        </w:rPr>
        <w:t>）</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color w:val="auto"/>
          <w:sz w:val="32"/>
          <w:szCs w:val="32"/>
          <w:lang w:val="en-US" w:eastAsia="zh-CN"/>
        </w:rPr>
        <w:t>企业信用等级文件</w:t>
      </w:r>
      <w:r>
        <w:rPr>
          <w:rFonts w:hint="default" w:ascii="Times New Roman" w:hAnsi="Times New Roman" w:eastAsia="仿宋_GB2312" w:cs="Times New Roman"/>
          <w:color w:val="auto"/>
          <w:sz w:val="32"/>
          <w:szCs w:val="32"/>
        </w:rPr>
        <w:t>；</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楷体" w:cs="Times New Roman"/>
          <w:color w:val="FF0000"/>
          <w:sz w:val="32"/>
          <w:szCs w:val="32"/>
        </w:rPr>
      </w:pPr>
      <w:r>
        <w:rPr>
          <w:rFonts w:hint="default"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color w:val="auto"/>
          <w:sz w:val="32"/>
          <w:szCs w:val="32"/>
        </w:rPr>
        <w:t>其他相关证明资料。</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rPr>
        <w:t>（二）区市场监管局根据申报材料提出扶持资金初步意见。</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eastAsia="黑体" w:cs="Times New Roman"/>
          <w:sz w:val="32"/>
          <w:szCs w:val="32"/>
          <w:lang w:eastAsia="zh-CN"/>
        </w:rPr>
      </w:pPr>
      <w:r>
        <w:rPr>
          <w:rFonts w:hint="eastAsia" w:eastAsia="黑体" w:cs="Times New Roman"/>
          <w:sz w:val="32"/>
          <w:szCs w:val="32"/>
          <w:lang w:eastAsia="zh-CN"/>
        </w:rPr>
        <w:t>八</w:t>
      </w:r>
      <w:r>
        <w:rPr>
          <w:rFonts w:hint="default" w:ascii="Times New Roman" w:hAnsi="Times New Roman" w:eastAsia="黑体" w:cs="Times New Roman"/>
          <w:sz w:val="32"/>
          <w:szCs w:val="32"/>
        </w:rPr>
        <w:t>、</w:t>
      </w:r>
      <w:r>
        <w:rPr>
          <w:rFonts w:hint="eastAsia" w:eastAsia="黑体" w:cs="Times New Roman"/>
          <w:sz w:val="32"/>
          <w:szCs w:val="32"/>
          <w:lang w:eastAsia="zh-CN"/>
        </w:rPr>
        <w:t>关于文化传承方面</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（一）申报材料（</w:t>
      </w:r>
      <w:r>
        <w:rPr>
          <w:rFonts w:hint="default" w:ascii="Times New Roman" w:hAnsi="Times New Roman" w:eastAsia="楷体_GB2312" w:cs="Times New Roman"/>
          <w:bCs/>
          <w:kern w:val="0"/>
          <w:sz w:val="32"/>
          <w:szCs w:val="32"/>
        </w:rPr>
        <w:t>原件审核后退回，复印件加盖公章留存</w:t>
      </w:r>
      <w:r>
        <w:rPr>
          <w:rFonts w:hint="default" w:ascii="Times New Roman" w:hAnsi="Times New Roman" w:eastAsia="楷体_GB2312" w:cs="Times New Roman"/>
          <w:sz w:val="32"/>
          <w:szCs w:val="32"/>
        </w:rPr>
        <w:t>）</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企业营业执照；</w:t>
      </w:r>
    </w:p>
    <w:p>
      <w:pPr>
        <w:pStyle w:val="4"/>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rPr>
      </w:pPr>
      <w:r>
        <w:rPr>
          <w:rFonts w:hint="default" w:ascii="Times New Roman" w:hAnsi="Times New Roman" w:eastAsia="仿宋_GB2312" w:cs="Times New Roman"/>
          <w:sz w:val="32"/>
          <w:szCs w:val="32"/>
          <w:lang w:val="en-US" w:eastAsia="zh-CN"/>
        </w:rPr>
        <w:t>2．</w:t>
      </w:r>
      <w:r>
        <w:rPr>
          <w:rFonts w:hint="eastAsia" w:ascii="Times New Roman" w:hAnsi="Times New Roman" w:eastAsia="仿宋_GB2312" w:cs="Times New Roman"/>
          <w:sz w:val="32"/>
          <w:szCs w:val="32"/>
          <w:lang w:val="en-US" w:eastAsia="zh-CN"/>
        </w:rPr>
        <w:t>场馆照片、规章制度、建设材料及运行情况报告</w:t>
      </w:r>
      <w:r>
        <w:rPr>
          <w:rFonts w:hint="default" w:ascii="Times New Roman" w:hAnsi="Times New Roman" w:eastAsia="仿宋_GB2312" w:cs="Times New Roman"/>
          <w:sz w:val="32"/>
          <w:szCs w:val="32"/>
          <w:lang w:val="en-US" w:eastAsia="zh-CN"/>
        </w:rPr>
        <w:t>；</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其他相关资质或证明资料。</w:t>
      </w:r>
    </w:p>
    <w:p>
      <w:pPr>
        <w:pStyle w:val="2"/>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lang w:eastAsia="zh-CN"/>
        </w:rPr>
      </w:pPr>
      <w:r>
        <w:rPr>
          <w:rFonts w:hint="default" w:ascii="Times New Roman" w:hAnsi="Times New Roman" w:eastAsia="楷体_GB2312" w:cs="Times New Roman"/>
          <w:sz w:val="32"/>
          <w:szCs w:val="32"/>
        </w:rPr>
        <w:t>（二）区市场监管局根据申报材料提出扶持资金初步意见。</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黑体" w:cs="Times New Roman"/>
          <w:sz w:val="32"/>
          <w:szCs w:val="32"/>
        </w:rPr>
      </w:pPr>
      <w:r>
        <w:rPr>
          <w:rFonts w:hint="eastAsia" w:eastAsia="黑体" w:cs="Times New Roman"/>
          <w:sz w:val="32"/>
          <w:szCs w:val="32"/>
          <w:lang w:eastAsia="zh-CN"/>
        </w:rPr>
        <w:t>九、</w:t>
      </w:r>
      <w:r>
        <w:rPr>
          <w:rFonts w:hint="default" w:ascii="Times New Roman" w:hAnsi="Times New Roman" w:eastAsia="黑体" w:cs="Times New Roman"/>
          <w:sz w:val="32"/>
          <w:szCs w:val="32"/>
        </w:rPr>
        <w:t>附则</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cs="Times New Roman"/>
        </w:rPr>
      </w:pPr>
      <w:r>
        <w:rPr>
          <w:rFonts w:hint="default" w:ascii="Times New Roman" w:hAnsi="Times New Roman" w:eastAsia="仿宋_GB2312" w:cs="Times New Roman"/>
          <w:sz w:val="32"/>
          <w:szCs w:val="32"/>
        </w:rPr>
        <w:t>区市场监管局将上述初审后的证明文件等材料以及初步扶持资金意见进行汇总，报送至区财政局，并根据区财政局的复审意见进行修改完善，由分管区长牵头研究确定后向社会公示，经公示无异议后报区政府审议通过并拨付企业扶持资金。</w:t>
      </w:r>
    </w:p>
    <w:p>
      <w:pPr>
        <w:snapToGrid w:val="0"/>
        <w:spacing w:line="560" w:lineRule="exact"/>
        <w:rPr>
          <w:rFonts w:eastAsia="楷体"/>
          <w:sz w:val="32"/>
          <w:szCs w:val="32"/>
        </w:rPr>
      </w:pPr>
    </w:p>
    <w:p>
      <w:pPr>
        <w:pStyle w:val="2"/>
        <w:rPr>
          <w:rFonts w:eastAsia="楷体"/>
          <w:sz w:val="32"/>
          <w:szCs w:val="32"/>
        </w:rPr>
      </w:pPr>
    </w:p>
    <w:p>
      <w:pPr>
        <w:pStyle w:val="2"/>
        <w:rPr>
          <w:rFonts w:eastAsia="楷体"/>
          <w:sz w:val="32"/>
          <w:szCs w:val="32"/>
        </w:rPr>
      </w:pPr>
    </w:p>
    <w:p>
      <w:pPr>
        <w:pStyle w:val="2"/>
        <w:rPr>
          <w:rFonts w:eastAsia="楷体"/>
          <w:sz w:val="32"/>
          <w:szCs w:val="32"/>
        </w:rPr>
      </w:pPr>
    </w:p>
    <w:p>
      <w:pPr>
        <w:pStyle w:val="2"/>
        <w:rPr>
          <w:rFonts w:eastAsia="楷体"/>
          <w:sz w:val="32"/>
          <w:szCs w:val="32"/>
        </w:rPr>
      </w:pPr>
    </w:p>
    <w:p>
      <w:pPr>
        <w:pStyle w:val="2"/>
        <w:rPr>
          <w:rFonts w:eastAsia="楷体"/>
          <w:sz w:val="32"/>
          <w:szCs w:val="32"/>
        </w:rPr>
      </w:pPr>
    </w:p>
    <w:p>
      <w:pPr>
        <w:pStyle w:val="2"/>
        <w:rPr>
          <w:rFonts w:eastAsia="楷体"/>
          <w:sz w:val="32"/>
          <w:szCs w:val="32"/>
        </w:rPr>
      </w:pPr>
    </w:p>
    <w:p>
      <w:pPr>
        <w:pStyle w:val="2"/>
        <w:rPr>
          <w:rFonts w:eastAsia="楷体"/>
          <w:sz w:val="32"/>
          <w:szCs w:val="32"/>
        </w:rPr>
      </w:pPr>
    </w:p>
    <w:p>
      <w:pPr>
        <w:pStyle w:val="2"/>
        <w:rPr>
          <w:rFonts w:eastAsia="楷体"/>
          <w:sz w:val="32"/>
          <w:szCs w:val="32"/>
        </w:rPr>
      </w:pPr>
    </w:p>
    <w:p>
      <w:pPr>
        <w:pStyle w:val="2"/>
        <w:rPr>
          <w:rFonts w:eastAsia="楷体"/>
          <w:sz w:val="32"/>
          <w:szCs w:val="32"/>
        </w:rPr>
      </w:pPr>
    </w:p>
    <w:p>
      <w:pPr>
        <w:pStyle w:val="2"/>
        <w:rPr>
          <w:rFonts w:eastAsia="楷体"/>
          <w:sz w:val="32"/>
          <w:szCs w:val="32"/>
        </w:rPr>
      </w:pPr>
    </w:p>
    <w:p>
      <w:pPr>
        <w:pStyle w:val="2"/>
        <w:rPr>
          <w:rFonts w:eastAsia="楷体"/>
          <w:sz w:val="32"/>
          <w:szCs w:val="32"/>
        </w:rPr>
      </w:pPr>
    </w:p>
    <w:p>
      <w:pPr>
        <w:pStyle w:val="2"/>
        <w:rPr>
          <w:rFonts w:eastAsia="楷体"/>
          <w:sz w:val="32"/>
          <w:szCs w:val="32"/>
        </w:rPr>
      </w:pPr>
    </w:p>
    <w:p>
      <w:pPr>
        <w:pStyle w:val="2"/>
        <w:rPr>
          <w:rFonts w:eastAsia="楷体"/>
          <w:sz w:val="32"/>
          <w:szCs w:val="32"/>
        </w:rPr>
      </w:pPr>
    </w:p>
    <w:p>
      <w:pPr>
        <w:pStyle w:val="2"/>
        <w:rPr>
          <w:rFonts w:eastAsia="楷体"/>
          <w:sz w:val="32"/>
          <w:szCs w:val="32"/>
        </w:rPr>
      </w:pPr>
    </w:p>
    <w:p>
      <w:pPr>
        <w:pStyle w:val="2"/>
        <w:rPr>
          <w:rFonts w:eastAsia="楷体"/>
          <w:sz w:val="32"/>
          <w:szCs w:val="32"/>
        </w:rPr>
      </w:pPr>
    </w:p>
    <w:p>
      <w:pPr>
        <w:pStyle w:val="2"/>
        <w:rPr>
          <w:rFonts w:eastAsia="楷体"/>
          <w:sz w:val="32"/>
          <w:szCs w:val="32"/>
        </w:rPr>
      </w:pPr>
    </w:p>
    <w:p>
      <w:pPr>
        <w:pStyle w:val="2"/>
        <w:rPr>
          <w:rFonts w:eastAsia="楷体"/>
          <w:sz w:val="32"/>
          <w:szCs w:val="32"/>
        </w:rPr>
      </w:pPr>
    </w:p>
    <w:p>
      <w:pPr>
        <w:pStyle w:val="2"/>
        <w:rPr>
          <w:rFonts w:eastAsia="楷体"/>
          <w:sz w:val="32"/>
          <w:szCs w:val="32"/>
        </w:rPr>
      </w:pPr>
    </w:p>
    <w:p>
      <w:pPr>
        <w:pStyle w:val="2"/>
        <w:rPr>
          <w:rFonts w:eastAsia="楷体"/>
          <w:sz w:val="32"/>
          <w:szCs w:val="32"/>
        </w:rPr>
      </w:pPr>
    </w:p>
    <w:p>
      <w:pPr>
        <w:snapToGrid w:val="0"/>
        <w:spacing w:line="600" w:lineRule="exact"/>
        <w:rPr>
          <w:rFonts w:eastAsia="楷体"/>
          <w:sz w:val="28"/>
          <w:szCs w:val="28"/>
        </w:rPr>
      </w:pPr>
      <w: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414020</wp:posOffset>
                </wp:positionV>
                <wp:extent cx="5595620" cy="635"/>
                <wp:effectExtent l="0" t="0" r="0" b="0"/>
                <wp:wrapNone/>
                <wp:docPr id="2" name="直线 4"/>
                <wp:cNvGraphicFramePr/>
                <a:graphic xmlns:a="http://schemas.openxmlformats.org/drawingml/2006/main">
                  <a:graphicData uri="http://schemas.microsoft.com/office/word/2010/wordprocessingShape">
                    <wps:wsp>
                      <wps:cNvSpPr/>
                      <wps:spPr>
                        <a:xfrm>
                          <a:off x="0" y="0"/>
                          <a:ext cx="5595620" cy="635"/>
                        </a:xfrm>
                        <a:prstGeom prst="line">
                          <a:avLst/>
                        </a:prstGeom>
                        <a:ln w="19050" cap="flat" cmpd="sng">
                          <a:solidFill>
                            <a:srgbClr val="000000"/>
                          </a:solidFill>
                          <a:prstDash val="solid"/>
                          <a:headEnd type="none" w="med" len="med"/>
                          <a:tailEnd type="none" w="med" len="med"/>
                        </a:ln>
                      </wps:spPr>
                      <wps:bodyPr upright="1"/>
                    </wps:wsp>
                  </a:graphicData>
                </a:graphic>
              </wp:anchor>
            </w:drawing>
          </mc:Choice>
          <mc:Fallback>
            <w:pict>
              <v:line id="直线 4" o:spid="_x0000_s1026" o:spt="20" style="position:absolute;left:0pt;margin-left:0pt;margin-top:32.6pt;height:0.05pt;width:440.6pt;z-index:251660288;mso-width-relative:page;mso-height-relative:page;" filled="f" stroked="t" coordsize="21600,21600" o:gfxdata="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A7d/020wAAAAYB&#10;AAAPAAAAAAAAAAEAIAAAACIAAABkcnMvZG93bnJldi54bWxQSwECFAAUAAAACACHTuJAYTYLl+cB&#10;AADeAwAADgAAAAAAAAABACAAAAAiAQAAZHJzL2Uyb0RvYy54bWxQSwUGAAAAAAYABgBZAQAAewUA&#10;AAAA&#10;">
                <v:fill on="f" focussize="0,0"/>
                <v:stroke weight="1.5pt" color="#000000" joinstyle="round"/>
                <v:imagedata o:title=""/>
                <o:lock v:ext="edit" aspectratio="f"/>
              </v:line>
            </w:pict>
          </mc:Fallback>
        </mc:AlternateContent>
      </w:r>
      <w:r>
        <mc:AlternateContent>
          <mc:Choice Requires="wps">
            <w:drawing>
              <wp:anchor distT="0" distB="0" distL="114300" distR="114300" simplePos="0" relativeHeight="251659264" behindDoc="0" locked="0" layoutInCell="1" allowOverlap="1">
                <wp:simplePos x="0" y="0"/>
                <wp:positionH relativeFrom="column">
                  <wp:posOffset>9525</wp:posOffset>
                </wp:positionH>
                <wp:positionV relativeFrom="paragraph">
                  <wp:posOffset>60960</wp:posOffset>
                </wp:positionV>
                <wp:extent cx="5595620" cy="635"/>
                <wp:effectExtent l="0" t="0" r="0" b="0"/>
                <wp:wrapNone/>
                <wp:docPr id="1" name="直线 20"/>
                <wp:cNvGraphicFramePr/>
                <a:graphic xmlns:a="http://schemas.openxmlformats.org/drawingml/2006/main">
                  <a:graphicData uri="http://schemas.microsoft.com/office/word/2010/wordprocessingShape">
                    <wps:wsp>
                      <wps:cNvSpPr/>
                      <wps:spPr>
                        <a:xfrm>
                          <a:off x="0" y="0"/>
                          <a:ext cx="5595620" cy="635"/>
                        </a:xfrm>
                        <a:prstGeom prst="line">
                          <a:avLst/>
                        </a:prstGeom>
                        <a:ln w="19050" cap="flat" cmpd="sng">
                          <a:solidFill>
                            <a:srgbClr val="000000"/>
                          </a:solidFill>
                          <a:prstDash val="solid"/>
                          <a:headEnd type="none" w="med" len="med"/>
                          <a:tailEnd type="none" w="med" len="med"/>
                        </a:ln>
                      </wps:spPr>
                      <wps:bodyPr upright="1"/>
                    </wps:wsp>
                  </a:graphicData>
                </a:graphic>
              </wp:anchor>
            </w:drawing>
          </mc:Choice>
          <mc:Fallback>
            <w:pict>
              <v:line id="直线 20" o:spid="_x0000_s1026" o:spt="20" style="position:absolute;left:0pt;margin-left:0.75pt;margin-top:4.8pt;height:0.05pt;width:440.6pt;z-index:251659264;mso-width-relative:page;mso-height-relative:page;" filled="f" stroked="t" coordsize="21600,21600" o:gfxdata="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DRDEwTSAAAABQEA&#10;AA8AAAAAAAAAAQAgAAAAIgAAAGRycy9kb3ducmV2LnhtbFBLAQIUABQAAAAIAIdO4kCO73zg5wEA&#10;AN8DAAAOAAAAAAAAAAEAIAAAACEBAABkcnMvZTJvRG9jLnhtbFBLBQYAAAAABgAGAFkBAAB6BQAA&#10;AAA=&#10;">
                <v:fill on="f" focussize="0,0"/>
                <v:stroke weight="1.5pt" color="#000000" joinstyle="round"/>
                <v:imagedata o:title=""/>
                <o:lock v:ext="edit" aspectratio="f"/>
              </v:line>
            </w:pict>
          </mc:Fallback>
        </mc:AlternateContent>
      </w:r>
      <w:r>
        <w:rPr>
          <w:rFonts w:eastAsia="仿宋_GB2312"/>
          <w:sz w:val="28"/>
          <w:szCs w:val="28"/>
        </w:rPr>
        <w:t xml:space="preserve">  </w:t>
      </w:r>
      <w:r>
        <w:rPr>
          <w:rFonts w:hint="eastAsia" w:eastAsia="仿宋_GB2312"/>
          <w:sz w:val="28"/>
          <w:szCs w:val="28"/>
        </w:rPr>
        <w:t>威海市文登区</w:t>
      </w:r>
      <w:r>
        <w:rPr>
          <w:rFonts w:hint="eastAsia" w:eastAsia="仿宋_GB2312"/>
          <w:bCs/>
          <w:kern w:val="0"/>
          <w:sz w:val="28"/>
          <w:szCs w:val="28"/>
        </w:rPr>
        <w:t>市场监督管理局</w:t>
      </w:r>
      <w:r>
        <w:rPr>
          <w:rFonts w:eastAsia="仿宋_GB2312"/>
          <w:sz w:val="28"/>
          <w:szCs w:val="28"/>
        </w:rPr>
        <w:t xml:space="preserve">           </w:t>
      </w:r>
      <w:r>
        <w:rPr>
          <w:rFonts w:hint="eastAsia" w:eastAsia="仿宋_GB2312"/>
          <w:sz w:val="28"/>
          <w:szCs w:val="28"/>
          <w:lang w:val="en-US" w:eastAsia="zh-CN"/>
        </w:rPr>
        <w:t xml:space="preserve"> </w:t>
      </w:r>
      <w:r>
        <w:rPr>
          <w:rFonts w:eastAsia="仿宋_GB2312"/>
          <w:sz w:val="28"/>
          <w:szCs w:val="28"/>
        </w:rPr>
        <w:t xml:space="preserve">  202</w:t>
      </w:r>
      <w:r>
        <w:rPr>
          <w:rFonts w:hint="eastAsia" w:eastAsia="仿宋_GB2312"/>
          <w:sz w:val="28"/>
          <w:szCs w:val="28"/>
          <w:lang w:val="en-US" w:eastAsia="zh-CN"/>
        </w:rPr>
        <w:t>1</w:t>
      </w:r>
      <w:r>
        <w:rPr>
          <w:rFonts w:hint="eastAsia" w:eastAsia="仿宋_GB2312"/>
          <w:sz w:val="28"/>
          <w:szCs w:val="28"/>
        </w:rPr>
        <w:t>年</w:t>
      </w:r>
      <w:r>
        <w:rPr>
          <w:rFonts w:hint="eastAsia" w:eastAsia="仿宋_GB2312"/>
          <w:sz w:val="28"/>
          <w:szCs w:val="28"/>
          <w:lang w:val="en-US" w:eastAsia="zh-CN"/>
        </w:rPr>
        <w:t>11</w:t>
      </w:r>
      <w:r>
        <w:rPr>
          <w:rFonts w:hint="eastAsia" w:eastAsia="仿宋_GB2312"/>
          <w:sz w:val="28"/>
          <w:szCs w:val="28"/>
        </w:rPr>
        <w:t>月</w:t>
      </w:r>
      <w:r>
        <w:rPr>
          <w:rFonts w:hint="eastAsia" w:eastAsia="仿宋_GB2312"/>
          <w:sz w:val="28"/>
          <w:szCs w:val="28"/>
          <w:lang w:val="en-US" w:eastAsia="zh-CN"/>
        </w:rPr>
        <w:t>18</w:t>
      </w:r>
      <w:r>
        <w:rPr>
          <w:rFonts w:hint="eastAsia" w:eastAsia="仿宋_GB2312"/>
          <w:sz w:val="28"/>
          <w:szCs w:val="28"/>
        </w:rPr>
        <w:t>日印发</w:t>
      </w:r>
      <w:r>
        <w:rPr>
          <w:rFonts w:eastAsia="仿宋_GB2312"/>
          <w:sz w:val="28"/>
          <w:szCs w:val="28"/>
        </w:rPr>
        <w:t xml:space="preserve">  </w:t>
      </w:r>
    </w:p>
    <w:sectPr>
      <w:headerReference r:id="rId3" w:type="default"/>
      <w:footerReference r:id="rId4" w:type="default"/>
      <w:footerReference r:id="rId5" w:type="even"/>
      <w:pgSz w:w="11906" w:h="16838"/>
      <w:pgMar w:top="2098" w:right="1531" w:bottom="2098" w:left="1531" w:header="851" w:footer="1531"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wordWrap w:val="0"/>
      <w:jc w:val="right"/>
      <w:rPr>
        <w:sz w:val="28"/>
        <w:szCs w:val="28"/>
      </w:rPr>
    </w:pPr>
    <w:r>
      <w:rPr>
        <w:rFonts w:hint="eastAsia" w:hAnsi="宋体"/>
        <w:sz w:val="28"/>
        <w:szCs w:val="28"/>
      </w:rPr>
      <w:t>　</w:t>
    </w:r>
    <w:r>
      <w:rPr>
        <w:sz w:val="28"/>
        <w:szCs w:val="28"/>
      </w:rPr>
      <w:t>—</w:t>
    </w: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1</w:t>
    </w:r>
    <w:r>
      <w:rPr>
        <w:sz w:val="28"/>
        <w:szCs w:val="28"/>
      </w:rPr>
      <w:fldChar w:fldCharType="end"/>
    </w:r>
    <w:r>
      <w:rPr>
        <w:sz w:val="28"/>
        <w:szCs w:val="28"/>
      </w:rPr>
      <w:t>—</w:t>
    </w:r>
    <w:r>
      <w:rPr>
        <w:rFonts w:hint="eastAsia" w:hAnsi="宋体"/>
        <w:sz w:val="28"/>
        <w:szCs w:val="28"/>
      </w:rPr>
      <w:t>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both"/>
      <w:rPr>
        <w:sz w:val="28"/>
        <w:szCs w:val="28"/>
      </w:rPr>
    </w:pPr>
    <w:r>
      <w:rPr>
        <w:rFonts w:hint="eastAsia" w:hAnsi="宋体"/>
        <w:sz w:val="28"/>
        <w:szCs w:val="28"/>
      </w:rPr>
      <w:t>　</w:t>
    </w:r>
    <w:r>
      <w:rPr>
        <w:sz w:val="28"/>
        <w:szCs w:val="28"/>
      </w:rPr>
      <w:t>—</w:t>
    </w: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6</w:t>
    </w:r>
    <w:r>
      <w:rPr>
        <w:sz w:val="28"/>
        <w:szCs w:val="28"/>
      </w:rPr>
      <w:fldChar w:fldCharType="end"/>
    </w:r>
    <w:r>
      <w:rPr>
        <w:sz w:val="28"/>
        <w:szCs w:val="28"/>
      </w:rPr>
      <w:t>—</w:t>
    </w:r>
    <w:r>
      <w:rPr>
        <w:rFonts w:hint="eastAsia" w:hAnsi="宋体"/>
        <w:sz w:val="28"/>
        <w:szCs w:val="28"/>
      </w:rPr>
      <w:t>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E168792"/>
    <w:multiLevelType w:val="singleLevel"/>
    <w:tmpl w:val="4E168792"/>
    <w:lvl w:ilvl="0" w:tentative="0">
      <w:start w:val="2"/>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evenAndOddHeaders w:val="1"/>
  <w:drawingGridVerticalSpacing w:val="156"/>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QzMmU3NzEyMjdiNzhjMzk2NDU5ZjFjMTMzOWZjNjYifQ=="/>
  </w:docVars>
  <w:rsids>
    <w:rsidRoot w:val="2C5B6213"/>
    <w:rsid w:val="000057F4"/>
    <w:rsid w:val="00054B41"/>
    <w:rsid w:val="000E70DA"/>
    <w:rsid w:val="000F2704"/>
    <w:rsid w:val="00112D9E"/>
    <w:rsid w:val="001A6052"/>
    <w:rsid w:val="00246561"/>
    <w:rsid w:val="0029665C"/>
    <w:rsid w:val="003B7AFF"/>
    <w:rsid w:val="005153BE"/>
    <w:rsid w:val="00551204"/>
    <w:rsid w:val="00565DD6"/>
    <w:rsid w:val="006F4088"/>
    <w:rsid w:val="00782396"/>
    <w:rsid w:val="007A0D52"/>
    <w:rsid w:val="007D297F"/>
    <w:rsid w:val="008816B8"/>
    <w:rsid w:val="00900C93"/>
    <w:rsid w:val="009979DE"/>
    <w:rsid w:val="00A905B2"/>
    <w:rsid w:val="00B433CA"/>
    <w:rsid w:val="00C154BF"/>
    <w:rsid w:val="00C35178"/>
    <w:rsid w:val="00C91094"/>
    <w:rsid w:val="00CF7932"/>
    <w:rsid w:val="00D11E7A"/>
    <w:rsid w:val="00D240FC"/>
    <w:rsid w:val="00D40A1C"/>
    <w:rsid w:val="00D95CB6"/>
    <w:rsid w:val="00DA635B"/>
    <w:rsid w:val="00DF69D3"/>
    <w:rsid w:val="00E434D9"/>
    <w:rsid w:val="00E737F6"/>
    <w:rsid w:val="00FA1F26"/>
    <w:rsid w:val="034E630B"/>
    <w:rsid w:val="03EE1A88"/>
    <w:rsid w:val="07C01D22"/>
    <w:rsid w:val="0A981840"/>
    <w:rsid w:val="0C0A0ED3"/>
    <w:rsid w:val="0CDF5F8F"/>
    <w:rsid w:val="0D082077"/>
    <w:rsid w:val="0FA43681"/>
    <w:rsid w:val="120C61C4"/>
    <w:rsid w:val="12E14839"/>
    <w:rsid w:val="12F51112"/>
    <w:rsid w:val="130155F5"/>
    <w:rsid w:val="130E6491"/>
    <w:rsid w:val="132E2A7B"/>
    <w:rsid w:val="136A0BDD"/>
    <w:rsid w:val="139D658F"/>
    <w:rsid w:val="13D03611"/>
    <w:rsid w:val="13FD6DE0"/>
    <w:rsid w:val="14032CAE"/>
    <w:rsid w:val="140C15B2"/>
    <w:rsid w:val="18385520"/>
    <w:rsid w:val="193C53BC"/>
    <w:rsid w:val="19681774"/>
    <w:rsid w:val="1BC026B3"/>
    <w:rsid w:val="1CD37486"/>
    <w:rsid w:val="1F0548DB"/>
    <w:rsid w:val="205F4BBC"/>
    <w:rsid w:val="20CF7D72"/>
    <w:rsid w:val="21211A25"/>
    <w:rsid w:val="24E76046"/>
    <w:rsid w:val="2759176B"/>
    <w:rsid w:val="27F6259F"/>
    <w:rsid w:val="2849684E"/>
    <w:rsid w:val="299867FC"/>
    <w:rsid w:val="29BB0CE9"/>
    <w:rsid w:val="29DC34D5"/>
    <w:rsid w:val="2A5A3A21"/>
    <w:rsid w:val="2A637395"/>
    <w:rsid w:val="2AF25541"/>
    <w:rsid w:val="2BCF7D38"/>
    <w:rsid w:val="2C096439"/>
    <w:rsid w:val="2C5B6213"/>
    <w:rsid w:val="2C6E2FF3"/>
    <w:rsid w:val="2DA87711"/>
    <w:rsid w:val="2DFA6B68"/>
    <w:rsid w:val="2E224D96"/>
    <w:rsid w:val="2EFA294C"/>
    <w:rsid w:val="2F140115"/>
    <w:rsid w:val="2F1F6496"/>
    <w:rsid w:val="2FE04785"/>
    <w:rsid w:val="30245690"/>
    <w:rsid w:val="304830D3"/>
    <w:rsid w:val="31044FF2"/>
    <w:rsid w:val="31E8681C"/>
    <w:rsid w:val="33610ED7"/>
    <w:rsid w:val="33881CED"/>
    <w:rsid w:val="357A1DD4"/>
    <w:rsid w:val="379B71B5"/>
    <w:rsid w:val="37F51049"/>
    <w:rsid w:val="39E367B1"/>
    <w:rsid w:val="3B2E2ED2"/>
    <w:rsid w:val="3CF21165"/>
    <w:rsid w:val="3D107344"/>
    <w:rsid w:val="3E07639F"/>
    <w:rsid w:val="3F2C0F79"/>
    <w:rsid w:val="40210BCD"/>
    <w:rsid w:val="40D27162"/>
    <w:rsid w:val="45DE130F"/>
    <w:rsid w:val="460A305C"/>
    <w:rsid w:val="49C71E73"/>
    <w:rsid w:val="4D436418"/>
    <w:rsid w:val="4F874BF4"/>
    <w:rsid w:val="525F7333"/>
    <w:rsid w:val="52620914"/>
    <w:rsid w:val="54376ADA"/>
    <w:rsid w:val="54C33225"/>
    <w:rsid w:val="552F7899"/>
    <w:rsid w:val="55F304BE"/>
    <w:rsid w:val="57A13261"/>
    <w:rsid w:val="58F4099E"/>
    <w:rsid w:val="5ABA77FD"/>
    <w:rsid w:val="5CF746FC"/>
    <w:rsid w:val="5D043509"/>
    <w:rsid w:val="5D0C16DD"/>
    <w:rsid w:val="5D5D17C2"/>
    <w:rsid w:val="5E4D4C0F"/>
    <w:rsid w:val="5E4E45F5"/>
    <w:rsid w:val="5E9B51FB"/>
    <w:rsid w:val="5EDA5BDF"/>
    <w:rsid w:val="5F5F76F2"/>
    <w:rsid w:val="60742D7B"/>
    <w:rsid w:val="60984997"/>
    <w:rsid w:val="61132F49"/>
    <w:rsid w:val="61BE077C"/>
    <w:rsid w:val="61F160CB"/>
    <w:rsid w:val="63026CE0"/>
    <w:rsid w:val="651B603B"/>
    <w:rsid w:val="652F44F7"/>
    <w:rsid w:val="65A561B9"/>
    <w:rsid w:val="65EE0F2B"/>
    <w:rsid w:val="665B3A5F"/>
    <w:rsid w:val="668279E7"/>
    <w:rsid w:val="68670AC6"/>
    <w:rsid w:val="6CCB4D3B"/>
    <w:rsid w:val="6CE755CF"/>
    <w:rsid w:val="6D47438C"/>
    <w:rsid w:val="71694450"/>
    <w:rsid w:val="71A54681"/>
    <w:rsid w:val="72941D64"/>
    <w:rsid w:val="73DE7B5D"/>
    <w:rsid w:val="764A215E"/>
    <w:rsid w:val="769A092A"/>
    <w:rsid w:val="770E2D07"/>
    <w:rsid w:val="775C16C4"/>
    <w:rsid w:val="77E742D7"/>
    <w:rsid w:val="783849F4"/>
    <w:rsid w:val="78846EFB"/>
    <w:rsid w:val="7D742DC9"/>
    <w:rsid w:val="7DE70307"/>
    <w:rsid w:val="7E8A559C"/>
    <w:rsid w:val="7EAB6502"/>
    <w:rsid w:val="7EAF13AA"/>
    <w:rsid w:val="7EF17A47"/>
    <w:rsid w:val="7F1C3BB9"/>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1"/>
    <w:basedOn w:val="1"/>
    <w:next w:val="1"/>
    <w:link w:val="14"/>
    <w:qFormat/>
    <w:uiPriority w:val="99"/>
    <w:pPr>
      <w:spacing w:beforeAutospacing="1" w:afterAutospacing="1"/>
      <w:jc w:val="left"/>
      <w:outlineLvl w:val="0"/>
    </w:pPr>
    <w:rPr>
      <w:rFonts w:ascii="宋体" w:hAnsi="宋体"/>
      <w:b/>
      <w:kern w:val="44"/>
      <w:sz w:val="48"/>
      <w:szCs w:val="48"/>
    </w:rPr>
  </w:style>
  <w:style w:type="paragraph" w:styleId="4">
    <w:name w:val="heading 2"/>
    <w:basedOn w:val="1"/>
    <w:next w:val="1"/>
    <w:qFormat/>
    <w:locked/>
    <w:uiPriority w:val="0"/>
    <w:pPr>
      <w:spacing w:line="0" w:lineRule="atLeast"/>
      <w:ind w:firstLine="0" w:firstLineChars="0"/>
      <w:jc w:val="center"/>
      <w:outlineLvl w:val="1"/>
    </w:pPr>
    <w:rPr>
      <w:rFonts w:ascii="Times New Roman" w:hAnsi="Times New Roman"/>
      <w:sz w:val="28"/>
    </w:rPr>
  </w:style>
  <w:style w:type="character" w:default="1" w:styleId="11">
    <w:name w:val="Default Paragraph Font"/>
    <w:semiHidden/>
    <w:qFormat/>
    <w:uiPriority w:val="99"/>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footnote text"/>
    <w:basedOn w:val="1"/>
    <w:unhideWhenUsed/>
    <w:qFormat/>
    <w:uiPriority w:val="99"/>
    <w:pPr>
      <w:snapToGrid w:val="0"/>
      <w:jc w:val="left"/>
    </w:pPr>
    <w:rPr>
      <w:sz w:val="18"/>
    </w:rPr>
  </w:style>
  <w:style w:type="paragraph" w:styleId="5">
    <w:name w:val="Body Text"/>
    <w:basedOn w:val="1"/>
    <w:link w:val="15"/>
    <w:qFormat/>
    <w:uiPriority w:val="99"/>
    <w:pPr>
      <w:jc w:val="center"/>
    </w:pPr>
    <w:rPr>
      <w:kern w:val="0"/>
      <w:sz w:val="20"/>
    </w:rPr>
  </w:style>
  <w:style w:type="paragraph" w:styleId="6">
    <w:name w:val="footer"/>
    <w:basedOn w:val="1"/>
    <w:link w:val="16"/>
    <w:qFormat/>
    <w:uiPriority w:val="99"/>
    <w:pPr>
      <w:tabs>
        <w:tab w:val="center" w:pos="4153"/>
        <w:tab w:val="right" w:pos="8306"/>
      </w:tabs>
      <w:snapToGrid w:val="0"/>
      <w:jc w:val="left"/>
    </w:pPr>
    <w:rPr>
      <w:sz w:val="18"/>
      <w:szCs w:val="18"/>
    </w:rPr>
  </w:style>
  <w:style w:type="paragraph" w:styleId="7">
    <w:name w:val="header"/>
    <w:basedOn w:val="1"/>
    <w:link w:val="17"/>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Autospacing="1" w:afterAutospacing="1"/>
      <w:jc w:val="left"/>
    </w:pPr>
    <w:rPr>
      <w:kern w:val="0"/>
      <w:sz w:val="24"/>
    </w:rPr>
  </w:style>
  <w:style w:type="table" w:styleId="10">
    <w:name w:val="Table Grid"/>
    <w:basedOn w:val="9"/>
    <w:qFormat/>
    <w:uiPriority w:val="99"/>
    <w:pPr>
      <w:widowControl w:val="0"/>
      <w:jc w:val="both"/>
    </w:pPr>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2">
    <w:name w:val="Strong"/>
    <w:basedOn w:val="11"/>
    <w:qFormat/>
    <w:locked/>
    <w:uiPriority w:val="0"/>
    <w:rPr>
      <w:b/>
    </w:rPr>
  </w:style>
  <w:style w:type="character" w:styleId="13">
    <w:name w:val="Hyperlink"/>
    <w:basedOn w:val="11"/>
    <w:qFormat/>
    <w:uiPriority w:val="99"/>
    <w:rPr>
      <w:rFonts w:cs="Times New Roman"/>
      <w:color w:val="0000FF"/>
      <w:u w:val="single"/>
    </w:rPr>
  </w:style>
  <w:style w:type="character" w:customStyle="1" w:styleId="14">
    <w:name w:val="Heading 1 Char"/>
    <w:basedOn w:val="11"/>
    <w:link w:val="3"/>
    <w:qFormat/>
    <w:uiPriority w:val="9"/>
    <w:rPr>
      <w:b/>
      <w:bCs/>
      <w:kern w:val="44"/>
      <w:sz w:val="44"/>
      <w:szCs w:val="44"/>
    </w:rPr>
  </w:style>
  <w:style w:type="character" w:customStyle="1" w:styleId="15">
    <w:name w:val="Body Text Char"/>
    <w:basedOn w:val="11"/>
    <w:link w:val="5"/>
    <w:semiHidden/>
    <w:qFormat/>
    <w:uiPriority w:val="99"/>
    <w:rPr>
      <w:szCs w:val="20"/>
    </w:rPr>
  </w:style>
  <w:style w:type="character" w:customStyle="1" w:styleId="16">
    <w:name w:val="Footer Char"/>
    <w:basedOn w:val="11"/>
    <w:link w:val="6"/>
    <w:qFormat/>
    <w:locked/>
    <w:uiPriority w:val="99"/>
    <w:rPr>
      <w:rFonts w:cs="Times New Roman"/>
      <w:kern w:val="2"/>
      <w:sz w:val="18"/>
      <w:szCs w:val="18"/>
    </w:rPr>
  </w:style>
  <w:style w:type="character" w:customStyle="1" w:styleId="17">
    <w:name w:val="Header Char"/>
    <w:basedOn w:val="11"/>
    <w:link w:val="7"/>
    <w:qFormat/>
    <w:locked/>
    <w:uiPriority w:val="99"/>
    <w:rPr>
      <w:rFonts w:cs="Times New Roman"/>
      <w:kern w:val="2"/>
      <w:sz w:val="18"/>
      <w:szCs w:val="18"/>
    </w:rPr>
  </w:style>
  <w:style w:type="paragraph" w:styleId="18">
    <w:name w:val="List Paragraph"/>
    <w:basedOn w:val="1"/>
    <w:qFormat/>
    <w:uiPriority w:val="99"/>
    <w:pPr>
      <w:ind w:firstLine="420" w:firstLineChars="200"/>
    </w:pPr>
    <w:rPr>
      <w:szCs w:val="24"/>
    </w:rPr>
  </w:style>
  <w:style w:type="character" w:customStyle="1" w:styleId="19">
    <w:name w:val="NormalCharacter"/>
    <w:qFormat/>
    <w:uiPriority w:val="99"/>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7</Pages>
  <Words>2002</Words>
  <Characters>2061</Characters>
  <Lines>0</Lines>
  <Paragraphs>0</Paragraphs>
  <TotalTime>21</TotalTime>
  <ScaleCrop>false</ScaleCrop>
  <LinksUpToDate>false</LinksUpToDate>
  <CharactersWithSpaces>2101</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2020-02-28T07:35:00Z</dcterms:created>
  <dc:creator>昱树霖风</dc:creator>
  <cp:lastModifiedBy>羊儿不长角</cp:lastModifiedBy>
  <cp:lastPrinted>2021-11-17T06:10:00Z</cp:lastPrinted>
  <dcterms:modified xsi:type="dcterms:W3CDTF">2023-09-14T01:14:31Z</dcterms:modified>
  <cp:revision>54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FF6691841641489499F13A8C4A8F3E41_13</vt:lpwstr>
  </property>
</Properties>
</file>