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210EC">
      <w:pPr>
        <w:keepNext w:val="0"/>
        <w:keepLines w:val="0"/>
        <w:pageBreakBefore w:val="0"/>
        <w:widowControl/>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r>
        <w:rPr>
          <w:rFonts w:hint="eastAsia" w:ascii="方正小标宋简体" w:hAnsi="方正小标宋简体" w:eastAsia="方正小标宋简体" w:cs="方正小标宋简体"/>
          <w:bCs/>
          <w:color w:val="auto"/>
          <w:kern w:val="0"/>
          <w:sz w:val="36"/>
          <w:szCs w:val="36"/>
          <w:lang w:eastAsia="zh-CN"/>
        </w:rPr>
        <w:t>威海市文登区变更《药品经营许可证》公告（第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w:t>
      </w:r>
      <w:r>
        <w:rPr>
          <w:rFonts w:hint="eastAsia" w:ascii="方正小标宋简体" w:hAnsi="方正小标宋简体" w:eastAsia="方正小标宋简体" w:cs="方正小标宋简体"/>
          <w:bCs/>
          <w:color w:val="auto"/>
          <w:kern w:val="0"/>
          <w:sz w:val="36"/>
          <w:szCs w:val="36"/>
          <w:lang w:val="en-US" w:eastAsia="zh-CN"/>
        </w:rPr>
        <w:t>01</w:t>
      </w:r>
      <w:r>
        <w:rPr>
          <w:rFonts w:hint="eastAsia" w:ascii="方正小标宋简体" w:hAnsi="方正小标宋简体" w:eastAsia="方正小标宋简体" w:cs="方正小标宋简体"/>
          <w:bCs/>
          <w:color w:val="auto"/>
          <w:kern w:val="0"/>
          <w:sz w:val="36"/>
          <w:szCs w:val="36"/>
          <w:lang w:eastAsia="zh-CN"/>
        </w:rPr>
        <w:t>号）</w:t>
      </w:r>
    </w:p>
    <w:p w14:paraId="7FC97A78"/>
    <w:p w14:paraId="2E66C12B"/>
    <w:p w14:paraId="27200F2C">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》的规定，</w:t>
      </w:r>
      <w:r>
        <w:rPr>
          <w:rFonts w:hint="eastAsia" w:ascii="仿宋_GB2312" w:hAnsi="仿宋_GB2312" w:eastAsia="仿宋_GB2312" w:cs="仿宋_GB2312"/>
          <w:sz w:val="32"/>
          <w:szCs w:val="32"/>
        </w:rPr>
        <w:t>经威海市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监督管理局组织审查，以下企业符合规定，</w:t>
      </w:r>
      <w:r>
        <w:rPr>
          <w:rFonts w:hint="eastAsia" w:ascii="仿宋_GB2312" w:hAnsi="仿宋_GB2312" w:eastAsia="仿宋_GB2312" w:cs="仿宋_GB2312"/>
          <w:sz w:val="32"/>
          <w:szCs w:val="32"/>
          <w:lang w:val="en-US" w:eastAsia="zh-CN"/>
        </w:rPr>
        <w:t>准予变更</w:t>
      </w:r>
      <w:r>
        <w:rPr>
          <w:rFonts w:hint="eastAsia" w:ascii="仿宋_GB2312" w:hAnsi="仿宋_GB2312" w:eastAsia="仿宋_GB2312" w:cs="仿宋_GB2312"/>
          <w:sz w:val="32"/>
          <w:szCs w:val="32"/>
        </w:rPr>
        <w:t>《药品经营许可证》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eastAsia="zh-CN"/>
        </w:rPr>
        <w:t>予以公告。</w:t>
      </w:r>
    </w:p>
    <w:p w14:paraId="5F494762">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07F2EBA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1E5E60F9">
      <w:pPr>
        <w:pStyle w:val="2"/>
        <w:keepNext w:val="0"/>
        <w:keepLines w:val="0"/>
        <w:pageBreakBefore w:val="0"/>
        <w:kinsoku/>
        <w:wordWrap/>
        <w:overflowPunct/>
        <w:topLinePunct w:val="0"/>
        <w:autoSpaceDE/>
        <w:autoSpaceDN/>
        <w:bidi w:val="0"/>
        <w:adjustRightInd w:val="0"/>
        <w:snapToGrid w:val="0"/>
        <w:spacing w:line="560" w:lineRule="exact"/>
        <w:ind w:firstLine="8480" w:firstLineChars="26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72F30232">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5年1</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30</w:t>
      </w:r>
      <w:r>
        <w:rPr>
          <w:rFonts w:hint="eastAsia" w:ascii="仿宋_GB2312" w:hAnsi="仿宋_GB2312" w:eastAsia="仿宋_GB2312" w:cs="仿宋_GB2312"/>
          <w:sz w:val="32"/>
          <w:szCs w:val="32"/>
        </w:rPr>
        <w:t>日</w:t>
      </w:r>
    </w:p>
    <w:tbl>
      <w:tblPr>
        <w:tblStyle w:val="4"/>
        <w:tblW w:w="0" w:type="auto"/>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76"/>
        <w:gridCol w:w="1896"/>
        <w:gridCol w:w="7545"/>
      </w:tblGrid>
      <w:tr w14:paraId="772729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3A822107">
            <w:pPr>
              <w:widowControl/>
              <w:jc w:val="center"/>
              <w:rPr>
                <w:rFonts w:ascii="宋体" w:hAnsi="宋体" w:cs="宋体"/>
                <w:color w:val="000000"/>
                <w:kern w:val="0"/>
                <w:sz w:val="24"/>
              </w:rPr>
            </w:pPr>
            <w:r>
              <w:rPr>
                <w:rFonts w:hint="eastAsia" w:ascii="宋体" w:hAnsi="宋体" w:cs="宋体"/>
                <w:color w:val="000000"/>
                <w:kern w:val="0"/>
                <w:sz w:val="24"/>
              </w:rPr>
              <w:t>企业名称</w:t>
            </w:r>
          </w:p>
        </w:tc>
        <w:tc>
          <w:tcPr>
            <w:tcW w:w="1896" w:type="dxa"/>
            <w:noWrap/>
            <w:vAlign w:val="center"/>
          </w:tcPr>
          <w:p w14:paraId="24B2E90B">
            <w:pPr>
              <w:widowControl/>
              <w:jc w:val="center"/>
              <w:rPr>
                <w:rFonts w:ascii="宋体" w:hAnsi="宋体" w:cs="宋体"/>
                <w:color w:val="000000"/>
                <w:kern w:val="0"/>
                <w:sz w:val="24"/>
              </w:rPr>
            </w:pPr>
            <w:r>
              <w:rPr>
                <w:rFonts w:hint="eastAsia" w:ascii="宋体" w:hAnsi="宋体" w:cs="宋体"/>
                <w:color w:val="000000"/>
                <w:kern w:val="0"/>
                <w:sz w:val="24"/>
              </w:rPr>
              <w:t>许可证号</w:t>
            </w:r>
          </w:p>
        </w:tc>
        <w:tc>
          <w:tcPr>
            <w:tcW w:w="7545" w:type="dxa"/>
            <w:noWrap/>
            <w:vAlign w:val="center"/>
          </w:tcPr>
          <w:p w14:paraId="54A395A0">
            <w:pPr>
              <w:widowControl/>
              <w:jc w:val="center"/>
              <w:rPr>
                <w:rFonts w:hint="eastAsia" w:ascii="宋体" w:hAnsi="宋体" w:eastAsia="宋体" w:cs="宋体"/>
                <w:color w:val="000000"/>
                <w:kern w:val="0"/>
                <w:sz w:val="24"/>
                <w:lang w:eastAsia="zh-CN"/>
              </w:rPr>
            </w:pPr>
            <w:r>
              <w:rPr>
                <w:rFonts w:hint="eastAsia" w:ascii="宋体" w:hAnsi="宋体" w:cs="宋体"/>
                <w:color w:val="000000"/>
                <w:kern w:val="0"/>
                <w:sz w:val="24"/>
                <w:lang w:eastAsia="zh-CN"/>
              </w:rPr>
              <w:t>变更事项</w:t>
            </w:r>
          </w:p>
        </w:tc>
      </w:tr>
      <w:tr w14:paraId="34772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058E457C">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 xml:space="preserve"> 威海华佗大药房连锁有限公司美信店</w:t>
            </w:r>
          </w:p>
        </w:tc>
        <w:tc>
          <w:tcPr>
            <w:tcW w:w="1896" w:type="dxa"/>
            <w:noWrap/>
            <w:vAlign w:val="center"/>
          </w:tcPr>
          <w:p w14:paraId="399B6023">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鲁CB631b00642</w:t>
            </w:r>
          </w:p>
        </w:tc>
        <w:tc>
          <w:tcPr>
            <w:tcW w:w="7545" w:type="dxa"/>
            <w:noWrap/>
            <w:vAlign w:val="center"/>
          </w:tcPr>
          <w:p w14:paraId="17874555">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经营范围由中成药,化学药,生物制品（限微生态活菌制品）,以上经营范围不包括含麻醉药品的复方口服溶液等限制类药品变更为中成药,化学药,以上经营范围不包括含麻醉药品的复方口服溶液等限制类药品,企业负责人由刘琳琳变更为张开琴,药学技术人员（一）由刘琳琳变更为张开琴；其他内容不变。</w:t>
            </w:r>
          </w:p>
        </w:tc>
      </w:tr>
      <w:tr w14:paraId="51F03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28B16842">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威海高德堂医药有限公司西于店</w:t>
            </w:r>
          </w:p>
        </w:tc>
        <w:tc>
          <w:tcPr>
            <w:tcW w:w="1896" w:type="dxa"/>
            <w:noWrap/>
            <w:vAlign w:val="center"/>
          </w:tcPr>
          <w:p w14:paraId="724E1272">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鲁DB631b00063</w:t>
            </w:r>
          </w:p>
        </w:tc>
        <w:tc>
          <w:tcPr>
            <w:tcW w:w="7545" w:type="dxa"/>
            <w:noWrap/>
            <w:vAlign w:val="center"/>
          </w:tcPr>
          <w:p w14:paraId="25AE2D8E">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质量负责人由王静怡变更为宋秀燕,药学技术人员（二）由王静怡变更为宋秀燕；其他内容不变。</w:t>
            </w:r>
          </w:p>
        </w:tc>
      </w:tr>
      <w:tr w14:paraId="12B98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4935FC4B">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 xml:space="preserve">山东燕喜堂医药连锁有限公司四百七十二店  </w:t>
            </w:r>
          </w:p>
        </w:tc>
        <w:tc>
          <w:tcPr>
            <w:tcW w:w="1896" w:type="dxa"/>
            <w:noWrap/>
            <w:vAlign w:val="center"/>
          </w:tcPr>
          <w:p w14:paraId="0D966106">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鲁CB631b00027</w:t>
            </w:r>
          </w:p>
        </w:tc>
        <w:tc>
          <w:tcPr>
            <w:tcW w:w="7545" w:type="dxa"/>
            <w:noWrap/>
            <w:vAlign w:val="center"/>
          </w:tcPr>
          <w:p w14:paraId="72141158">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质量负责人由邵政秀变更为刘送花,药学技术人员（二）由邵政秀变更为刘送花；其他内容不变。</w:t>
            </w:r>
          </w:p>
        </w:tc>
      </w:tr>
      <w:tr w14:paraId="4F247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618FE530">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 xml:space="preserve"> 威海立健药店连锁有限公司文登亲子广场店</w:t>
            </w:r>
          </w:p>
        </w:tc>
        <w:tc>
          <w:tcPr>
            <w:tcW w:w="1896" w:type="dxa"/>
            <w:noWrap/>
            <w:vAlign w:val="center"/>
          </w:tcPr>
          <w:p w14:paraId="7703DC31">
            <w:pPr>
              <w:keepNext w:val="0"/>
              <w:keepLines w:val="0"/>
              <w:widowControl/>
              <w:suppressLineNumbers w:val="0"/>
              <w:jc w:val="center"/>
              <w:textAlignment w:val="center"/>
              <w:rPr>
                <w:rFonts w:hint="default"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鲁CB631b00173</w:t>
            </w:r>
          </w:p>
        </w:tc>
        <w:tc>
          <w:tcPr>
            <w:tcW w:w="7545" w:type="dxa"/>
            <w:noWrap/>
            <w:vAlign w:val="center"/>
          </w:tcPr>
          <w:p w14:paraId="6C9B0789">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注册地址由山东省威海市文登区龙山办文山路77-4号变更为山东省威海市文登区龙山街道文山路77-5号；其他内容不变。</w:t>
            </w:r>
          </w:p>
        </w:tc>
      </w:tr>
      <w:tr w14:paraId="2FF28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2967F25D">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威海颐和堂医药连锁有限公司十店</w:t>
            </w:r>
          </w:p>
        </w:tc>
        <w:tc>
          <w:tcPr>
            <w:tcW w:w="1896" w:type="dxa"/>
            <w:noWrap/>
            <w:vAlign w:val="center"/>
          </w:tcPr>
          <w:p w14:paraId="0970601F">
            <w:pPr>
              <w:keepNext w:val="0"/>
              <w:keepLines w:val="0"/>
              <w:widowControl/>
              <w:suppressLineNumbers w:val="0"/>
              <w:jc w:val="center"/>
              <w:textAlignment w:val="center"/>
              <w:rPr>
                <w:rFonts w:hint="default"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鲁CB631b00398</w:t>
            </w:r>
          </w:p>
        </w:tc>
        <w:tc>
          <w:tcPr>
            <w:tcW w:w="7545" w:type="dxa"/>
            <w:noWrap/>
            <w:vAlign w:val="center"/>
          </w:tcPr>
          <w:p w14:paraId="2DE07E03">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经营范围由中药饮片,中成药,化学药,生物制品,以上经营范围不含冷藏冷冻药品变更为中成药,化学药,生物制品（限微生态活菌制品）,以上经营范围不含冷藏冷冻药品,以上经营范围不包括含麻醉药品的复方口服溶液等限制类药品,质量负责人由慕树强变更为迟新斗,药学技术人员（二）由慕树强变更为迟新斗,药学技术人员（三）由迟新斗变更为/；其他内容不变。</w:t>
            </w:r>
          </w:p>
        </w:tc>
      </w:tr>
      <w:tr w14:paraId="5DF04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0A82DFDF">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威海百信大药房有限公司十五店</w:t>
            </w:r>
          </w:p>
        </w:tc>
        <w:tc>
          <w:tcPr>
            <w:tcW w:w="1896" w:type="dxa"/>
            <w:noWrap/>
            <w:vAlign w:val="center"/>
          </w:tcPr>
          <w:p w14:paraId="1B8328EB">
            <w:pPr>
              <w:keepNext w:val="0"/>
              <w:keepLines w:val="0"/>
              <w:widowControl/>
              <w:suppressLineNumbers w:val="0"/>
              <w:jc w:val="center"/>
              <w:textAlignment w:val="center"/>
              <w:rPr>
                <w:rFonts w:hint="default"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鲁DB631b00059</w:t>
            </w:r>
          </w:p>
        </w:tc>
        <w:tc>
          <w:tcPr>
            <w:tcW w:w="7545" w:type="dxa"/>
            <w:noWrap/>
            <w:vAlign w:val="center"/>
          </w:tcPr>
          <w:p w14:paraId="53F5A4B7">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法定代表人由张天鹏变更为孙江超,企业负责人由张天鹏变更为孙江超,药学技术人员（一）由张天鹏变更为孙江超；其他内容不变。</w:t>
            </w:r>
          </w:p>
        </w:tc>
      </w:tr>
      <w:tr w14:paraId="580F2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46530204">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p>
        </w:tc>
        <w:tc>
          <w:tcPr>
            <w:tcW w:w="1896" w:type="dxa"/>
            <w:noWrap/>
            <w:vAlign w:val="center"/>
          </w:tcPr>
          <w:p w14:paraId="7507D457">
            <w:pPr>
              <w:keepNext w:val="0"/>
              <w:keepLines w:val="0"/>
              <w:widowControl/>
              <w:suppressLineNumbers w:val="0"/>
              <w:jc w:val="center"/>
              <w:textAlignment w:val="center"/>
              <w:rPr>
                <w:rFonts w:hint="default" w:ascii="仿宋_GB2312" w:hAnsi="仿宋_GB2312" w:eastAsia="仿宋_GB2312" w:cs="仿宋_GB2312"/>
                <w:sz w:val="21"/>
                <w:szCs w:val="21"/>
                <w:lang w:val="en-US" w:eastAsia="zh-CN"/>
              </w:rPr>
            </w:pPr>
          </w:p>
        </w:tc>
        <w:tc>
          <w:tcPr>
            <w:tcW w:w="7545" w:type="dxa"/>
            <w:noWrap/>
            <w:vAlign w:val="bottom"/>
          </w:tcPr>
          <w:p w14:paraId="7CC9E251">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p>
        </w:tc>
      </w:tr>
      <w:tr w14:paraId="17DE5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4D006913">
            <w:pPr>
              <w:keepNext w:val="0"/>
              <w:keepLines w:val="0"/>
              <w:widowControl/>
              <w:suppressLineNumbers w:val="0"/>
              <w:jc w:val="center"/>
              <w:textAlignment w:val="center"/>
              <w:rPr>
                <w:rFonts w:hint="eastAsia" w:ascii="仿宋_GB2312" w:hAnsi="仿宋_GB2312" w:eastAsia="仿宋_GB2312" w:cs="仿宋_GB2312"/>
                <w:sz w:val="21"/>
                <w:szCs w:val="21"/>
                <w:lang w:eastAsia="zh-CN"/>
              </w:rPr>
            </w:pPr>
          </w:p>
        </w:tc>
        <w:tc>
          <w:tcPr>
            <w:tcW w:w="1896" w:type="dxa"/>
            <w:noWrap/>
            <w:vAlign w:val="center"/>
          </w:tcPr>
          <w:p w14:paraId="6C49A5C0">
            <w:pPr>
              <w:keepNext w:val="0"/>
              <w:keepLines w:val="0"/>
              <w:widowControl/>
              <w:suppressLineNumbers w:val="0"/>
              <w:jc w:val="center"/>
              <w:textAlignment w:val="center"/>
              <w:rPr>
                <w:rFonts w:hint="default" w:ascii="仿宋_GB2312" w:hAnsi="仿宋_GB2312" w:eastAsia="仿宋_GB2312" w:cs="仿宋_GB2312"/>
                <w:sz w:val="21"/>
                <w:szCs w:val="21"/>
                <w:lang w:val="en-US" w:eastAsia="zh-CN"/>
              </w:rPr>
            </w:pPr>
          </w:p>
        </w:tc>
        <w:tc>
          <w:tcPr>
            <w:tcW w:w="7545" w:type="dxa"/>
            <w:noWrap/>
            <w:vAlign w:val="bottom"/>
          </w:tcPr>
          <w:p w14:paraId="5ECD1545">
            <w:pPr>
              <w:keepNext w:val="0"/>
              <w:keepLines w:val="0"/>
              <w:widowControl/>
              <w:suppressLineNumbers w:val="0"/>
              <w:jc w:val="center"/>
              <w:textAlignment w:val="center"/>
              <w:rPr>
                <w:rFonts w:hint="eastAsia" w:ascii="仿宋_GB2312" w:hAnsi="仿宋_GB2312" w:eastAsia="仿宋_GB2312" w:cs="仿宋_GB2312"/>
                <w:sz w:val="21"/>
                <w:szCs w:val="21"/>
                <w:lang w:eastAsia="zh-CN"/>
              </w:rPr>
            </w:pPr>
          </w:p>
        </w:tc>
      </w:tr>
      <w:tr w14:paraId="3C810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176" w:type="dxa"/>
            <w:noWrap/>
            <w:vAlign w:val="center"/>
          </w:tcPr>
          <w:p w14:paraId="4183D611">
            <w:pPr>
              <w:keepNext w:val="0"/>
              <w:keepLines w:val="0"/>
              <w:widowControl/>
              <w:suppressLineNumbers w:val="0"/>
              <w:jc w:val="center"/>
              <w:textAlignment w:val="center"/>
              <w:rPr>
                <w:rFonts w:hint="eastAsia" w:ascii="仿宋_GB2312" w:hAnsi="仿宋_GB2312" w:eastAsia="仿宋_GB2312" w:cs="仿宋_GB2312"/>
                <w:sz w:val="21"/>
                <w:szCs w:val="21"/>
                <w:lang w:eastAsia="zh-CN"/>
              </w:rPr>
            </w:pPr>
          </w:p>
        </w:tc>
        <w:tc>
          <w:tcPr>
            <w:tcW w:w="1896" w:type="dxa"/>
            <w:noWrap/>
            <w:vAlign w:val="center"/>
          </w:tcPr>
          <w:p w14:paraId="3CDA2E5D">
            <w:pPr>
              <w:keepNext w:val="0"/>
              <w:keepLines w:val="0"/>
              <w:widowControl/>
              <w:suppressLineNumbers w:val="0"/>
              <w:jc w:val="center"/>
              <w:textAlignment w:val="center"/>
              <w:rPr>
                <w:rFonts w:hint="default" w:ascii="仿宋_GB2312" w:hAnsi="仿宋_GB2312" w:eastAsia="仿宋_GB2312" w:cs="仿宋_GB2312"/>
                <w:sz w:val="21"/>
                <w:szCs w:val="21"/>
                <w:lang w:val="en-US" w:eastAsia="zh-CN"/>
              </w:rPr>
            </w:pPr>
          </w:p>
        </w:tc>
        <w:tc>
          <w:tcPr>
            <w:tcW w:w="7545" w:type="dxa"/>
            <w:noWrap/>
            <w:vAlign w:val="bottom"/>
          </w:tcPr>
          <w:p w14:paraId="0D81C1DA">
            <w:pPr>
              <w:keepNext w:val="0"/>
              <w:keepLines w:val="0"/>
              <w:widowControl/>
              <w:suppressLineNumbers w:val="0"/>
              <w:jc w:val="center"/>
              <w:textAlignment w:val="center"/>
              <w:rPr>
                <w:rFonts w:hint="eastAsia" w:ascii="仿宋_GB2312" w:hAnsi="仿宋_GB2312" w:eastAsia="仿宋_GB2312" w:cs="仿宋_GB2312"/>
                <w:sz w:val="21"/>
                <w:szCs w:val="21"/>
                <w:lang w:eastAsia="zh-CN"/>
              </w:rPr>
            </w:pPr>
          </w:p>
        </w:tc>
      </w:tr>
    </w:tbl>
    <w:p w14:paraId="0FDC49A5">
      <w:pPr>
        <w:jc w:val="center"/>
        <w:rPr>
          <w:rFonts w:hint="eastAsia" w:ascii="方正小标宋简体" w:hAnsi="方正小标宋简体" w:eastAsia="方正小标宋简体" w:cs="方正小标宋简体"/>
          <w:bCs/>
          <w:color w:val="auto"/>
          <w:kern w:val="0"/>
          <w:sz w:val="36"/>
          <w:szCs w:val="36"/>
          <w:lang w:eastAsia="zh-CN"/>
        </w:rPr>
      </w:pPr>
    </w:p>
    <w:p w14:paraId="04C16396">
      <w:pPr>
        <w:jc w:val="center"/>
        <w:rPr>
          <w:rFonts w:hint="eastAsia" w:ascii="方正小标宋简体" w:hAnsi="方正小标宋简体" w:eastAsia="方正小标宋简体" w:cs="方正小标宋简体"/>
          <w:bCs/>
          <w:color w:val="auto"/>
          <w:kern w:val="0"/>
          <w:sz w:val="36"/>
          <w:szCs w:val="36"/>
          <w:lang w:eastAsia="zh-CN"/>
        </w:rPr>
      </w:pPr>
    </w:p>
    <w:p w14:paraId="326568EC">
      <w:pPr>
        <w:jc w:val="center"/>
        <w:rPr>
          <w:rFonts w:hint="eastAsia" w:ascii="方正小标宋简体" w:hAnsi="方正小标宋简体" w:eastAsia="方正小标宋简体" w:cs="方正小标宋简体"/>
          <w:bCs/>
          <w:color w:val="auto"/>
          <w:kern w:val="0"/>
          <w:sz w:val="36"/>
          <w:szCs w:val="36"/>
          <w:lang w:eastAsia="zh-CN"/>
        </w:rPr>
      </w:pPr>
    </w:p>
    <w:p w14:paraId="6205A0A0">
      <w:pPr>
        <w:jc w:val="center"/>
        <w:rPr>
          <w:rFonts w:hint="eastAsia" w:ascii="方正小标宋简体" w:hAnsi="方正小标宋简体" w:eastAsia="方正小标宋简体" w:cs="方正小标宋简体"/>
          <w:bCs/>
          <w:color w:val="auto"/>
          <w:kern w:val="0"/>
          <w:sz w:val="36"/>
          <w:szCs w:val="36"/>
          <w:lang w:eastAsia="zh-CN"/>
        </w:rPr>
      </w:pPr>
    </w:p>
    <w:p w14:paraId="42B2C718">
      <w:pPr>
        <w:jc w:val="center"/>
        <w:rPr>
          <w:rFonts w:hint="eastAsia" w:ascii="方正小标宋简体" w:hAnsi="方正小标宋简体" w:eastAsia="方正小标宋简体" w:cs="方正小标宋简体"/>
          <w:bCs/>
          <w:color w:val="auto"/>
          <w:kern w:val="0"/>
          <w:sz w:val="36"/>
          <w:szCs w:val="36"/>
          <w:lang w:eastAsia="zh-CN"/>
        </w:rPr>
      </w:pPr>
    </w:p>
    <w:p w14:paraId="5EB558D9">
      <w:pPr>
        <w:jc w:val="center"/>
        <w:rPr>
          <w:rFonts w:hint="eastAsia" w:ascii="方正小标宋简体" w:hAnsi="方正小标宋简体" w:eastAsia="方正小标宋简体" w:cs="方正小标宋简体"/>
          <w:bCs/>
          <w:color w:val="auto"/>
          <w:kern w:val="0"/>
          <w:sz w:val="36"/>
          <w:szCs w:val="36"/>
          <w:lang w:eastAsia="zh-CN"/>
        </w:rPr>
      </w:pPr>
    </w:p>
    <w:p w14:paraId="40C9EE9A">
      <w:pPr>
        <w:jc w:val="center"/>
      </w:pPr>
      <w:r>
        <w:rPr>
          <w:rFonts w:hint="eastAsia" w:ascii="方正小标宋简体" w:hAnsi="方正小标宋简体" w:eastAsia="方正小标宋简体" w:cs="方正小标宋简体"/>
          <w:bCs/>
          <w:color w:val="auto"/>
          <w:kern w:val="0"/>
          <w:sz w:val="36"/>
          <w:szCs w:val="36"/>
          <w:lang w:eastAsia="zh-CN"/>
        </w:rPr>
        <w:t>威海市文登区换发《药品经营许可证》公告（第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000</w:t>
      </w:r>
      <w:r>
        <w:rPr>
          <w:rFonts w:hint="eastAsia" w:ascii="方正小标宋简体" w:hAnsi="方正小标宋简体" w:eastAsia="方正小标宋简体" w:cs="方正小标宋简体"/>
          <w:bCs/>
          <w:color w:val="auto"/>
          <w:kern w:val="0"/>
          <w:sz w:val="36"/>
          <w:szCs w:val="36"/>
          <w:lang w:val="en-US" w:eastAsia="zh-CN"/>
        </w:rPr>
        <w:t>1</w:t>
      </w:r>
      <w:r>
        <w:rPr>
          <w:rFonts w:hint="eastAsia" w:ascii="方正小标宋简体" w:hAnsi="方正小标宋简体" w:eastAsia="方正小标宋简体" w:cs="方正小标宋简体"/>
          <w:bCs/>
          <w:color w:val="auto"/>
          <w:kern w:val="0"/>
          <w:sz w:val="36"/>
          <w:szCs w:val="36"/>
          <w:lang w:eastAsia="zh-CN"/>
        </w:rPr>
        <w:t>号）</w:t>
      </w:r>
    </w:p>
    <w:p w14:paraId="6C1D6622"/>
    <w:p w14:paraId="028B13BF"/>
    <w:p w14:paraId="65549518">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药品经营和使用质量监督管理办法》的规定，经威海市文登区市场监督管理局组织验收、审查，以下企业符合规定，准予换发《药品经营许可证》，现予以公告。</w:t>
      </w:r>
    </w:p>
    <w:p w14:paraId="197B5709">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bookmarkStart w:id="0" w:name="_GoBack"/>
      <w:bookmarkEnd w:id="0"/>
    </w:p>
    <w:p w14:paraId="3EAF16B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1CDF5F2D">
      <w:pPr>
        <w:pStyle w:val="2"/>
        <w:keepNext w:val="0"/>
        <w:keepLines w:val="0"/>
        <w:pageBreakBefore w:val="0"/>
        <w:kinsoku/>
        <w:wordWrap/>
        <w:overflowPunct/>
        <w:topLinePunct w:val="0"/>
        <w:autoSpaceDE/>
        <w:autoSpaceDN/>
        <w:bidi w:val="0"/>
        <w:adjustRightInd w:val="0"/>
        <w:snapToGrid w:val="0"/>
        <w:spacing w:line="560" w:lineRule="exact"/>
        <w:ind w:firstLine="8800" w:firstLineChars="27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威海市文登区市场监督管理局 </w:t>
      </w:r>
    </w:p>
    <w:p w14:paraId="524DA22D">
      <w:pPr>
        <w:pStyle w:val="2"/>
        <w:keepNext w:val="0"/>
        <w:keepLines w:val="0"/>
        <w:pageBreakBefore w:val="0"/>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w:t>
      </w:r>
      <w:r>
        <w:rPr>
          <w:rFonts w:hint="eastAsia" w:ascii="仿宋_GB2312" w:hAnsi="仿宋_GB2312" w:eastAsia="仿宋_GB2312" w:cs="仿宋_GB2312"/>
          <w:sz w:val="32"/>
          <w:szCs w:val="32"/>
          <w:lang w:val="en-US" w:eastAsia="zh-CN"/>
        </w:rPr>
        <w:t>年</w:t>
      </w:r>
      <w:r>
        <w:rPr>
          <w:rFonts w:hint="eastAsia" w:hAnsi="仿宋_GB2312" w:cs="仿宋_GB2312"/>
          <w:sz w:val="32"/>
          <w:szCs w:val="32"/>
          <w:lang w:val="en-US" w:eastAsia="zh-CN"/>
        </w:rPr>
        <w:t>1</w:t>
      </w:r>
      <w:r>
        <w:rPr>
          <w:rFonts w:hint="eastAsia" w:ascii="仿宋_GB2312" w:hAnsi="仿宋_GB2312" w:eastAsia="仿宋_GB2312" w:cs="仿宋_GB2312"/>
          <w:sz w:val="32"/>
          <w:szCs w:val="32"/>
          <w:lang w:val="en-US" w:eastAsia="zh-CN"/>
        </w:rPr>
        <w:t>月3</w:t>
      </w:r>
      <w:r>
        <w:rPr>
          <w:rFonts w:hint="eastAsia" w:hAnsi="仿宋_GB2312" w:cs="仿宋_GB2312"/>
          <w:sz w:val="32"/>
          <w:szCs w:val="32"/>
          <w:lang w:val="en-US" w:eastAsia="zh-CN"/>
        </w:rPr>
        <w:t>0</w:t>
      </w:r>
      <w:r>
        <w:rPr>
          <w:rFonts w:hint="eastAsia" w:ascii="仿宋_GB2312" w:hAnsi="仿宋_GB2312" w:eastAsia="仿宋_GB2312" w:cs="仿宋_GB2312"/>
          <w:sz w:val="32"/>
          <w:szCs w:val="32"/>
          <w:lang w:val="en-US" w:eastAsia="zh-CN"/>
        </w:rPr>
        <w:t>日</w:t>
      </w:r>
    </w:p>
    <w:p w14:paraId="52A20C48"/>
    <w:tbl>
      <w:tblPr>
        <w:tblStyle w:val="4"/>
        <w:tblW w:w="0" w:type="auto"/>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10"/>
        <w:gridCol w:w="1842"/>
        <w:gridCol w:w="1770"/>
        <w:gridCol w:w="2340"/>
        <w:gridCol w:w="2340"/>
      </w:tblGrid>
      <w:tr w14:paraId="306F6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10" w:type="dxa"/>
            <w:noWrap/>
            <w:vAlign w:val="center"/>
          </w:tcPr>
          <w:p w14:paraId="6E7FC549">
            <w:pPr>
              <w:widowControl/>
              <w:jc w:val="center"/>
              <w:rPr>
                <w:rFonts w:ascii="宋体" w:hAnsi="宋体" w:cs="宋体"/>
                <w:color w:val="000000"/>
                <w:kern w:val="0"/>
                <w:sz w:val="24"/>
              </w:rPr>
            </w:pPr>
            <w:r>
              <w:rPr>
                <w:rFonts w:hint="eastAsia" w:ascii="宋体" w:hAnsi="宋体" w:cs="宋体"/>
                <w:color w:val="000000"/>
                <w:kern w:val="0"/>
                <w:sz w:val="24"/>
              </w:rPr>
              <w:t>企业名称</w:t>
            </w:r>
          </w:p>
        </w:tc>
        <w:tc>
          <w:tcPr>
            <w:tcW w:w="1842" w:type="dxa"/>
            <w:noWrap/>
            <w:vAlign w:val="center"/>
          </w:tcPr>
          <w:p w14:paraId="18AD01BB">
            <w:pPr>
              <w:widowControl/>
              <w:jc w:val="center"/>
              <w:rPr>
                <w:rFonts w:ascii="宋体" w:hAnsi="宋体" w:cs="宋体"/>
                <w:color w:val="000000"/>
                <w:kern w:val="0"/>
                <w:sz w:val="24"/>
              </w:rPr>
            </w:pPr>
            <w:r>
              <w:rPr>
                <w:rFonts w:hint="eastAsia" w:ascii="宋体" w:hAnsi="宋体" w:cs="宋体"/>
                <w:color w:val="000000"/>
                <w:kern w:val="0"/>
                <w:sz w:val="24"/>
              </w:rPr>
              <w:t>许可证号</w:t>
            </w:r>
          </w:p>
        </w:tc>
        <w:tc>
          <w:tcPr>
            <w:tcW w:w="1770" w:type="dxa"/>
            <w:noWrap/>
            <w:vAlign w:val="center"/>
          </w:tcPr>
          <w:p w14:paraId="351DDAF0">
            <w:pPr>
              <w:widowControl/>
              <w:jc w:val="center"/>
              <w:rPr>
                <w:rFonts w:hint="eastAsia" w:ascii="宋体" w:hAnsi="宋体" w:eastAsia="宋体" w:cs="宋体"/>
                <w:color w:val="000000"/>
                <w:kern w:val="0"/>
                <w:sz w:val="24"/>
                <w:lang w:eastAsia="zh-CN"/>
              </w:rPr>
            </w:pPr>
            <w:r>
              <w:rPr>
                <w:rFonts w:hint="eastAsia" w:ascii="宋体" w:hAnsi="宋体" w:cs="宋体"/>
                <w:color w:val="000000"/>
                <w:kern w:val="0"/>
                <w:sz w:val="24"/>
                <w:lang w:eastAsia="zh-CN"/>
              </w:rPr>
              <w:t>企业负责人</w:t>
            </w:r>
          </w:p>
        </w:tc>
        <w:tc>
          <w:tcPr>
            <w:tcW w:w="2340" w:type="dxa"/>
            <w:noWrap/>
            <w:vAlign w:val="center"/>
          </w:tcPr>
          <w:p w14:paraId="6A3F3703">
            <w:pPr>
              <w:widowControl/>
              <w:jc w:val="center"/>
              <w:rPr>
                <w:rFonts w:hint="eastAsia" w:ascii="宋体" w:hAnsi="宋体" w:cs="宋体"/>
                <w:color w:val="000000"/>
                <w:kern w:val="0"/>
                <w:sz w:val="24"/>
                <w:lang w:eastAsia="zh-CN"/>
              </w:rPr>
            </w:pPr>
            <w:r>
              <w:rPr>
                <w:rFonts w:hint="eastAsia" w:ascii="宋体" w:hAnsi="宋体" w:cs="宋体"/>
                <w:color w:val="000000"/>
                <w:kern w:val="0"/>
                <w:sz w:val="24"/>
                <w:lang w:eastAsia="zh-CN"/>
              </w:rPr>
              <w:t>发证日期</w:t>
            </w:r>
          </w:p>
        </w:tc>
        <w:tc>
          <w:tcPr>
            <w:tcW w:w="2340" w:type="dxa"/>
            <w:noWrap/>
            <w:vAlign w:val="center"/>
          </w:tcPr>
          <w:p w14:paraId="120F0246">
            <w:pPr>
              <w:widowControl/>
              <w:jc w:val="center"/>
              <w:rPr>
                <w:rFonts w:hint="eastAsia" w:ascii="宋体" w:hAnsi="宋体" w:cs="宋体"/>
                <w:color w:val="000000"/>
                <w:kern w:val="0"/>
                <w:sz w:val="24"/>
                <w:lang w:eastAsia="zh-CN"/>
              </w:rPr>
            </w:pPr>
            <w:r>
              <w:rPr>
                <w:rFonts w:hint="eastAsia" w:ascii="宋体" w:hAnsi="宋体" w:cs="宋体"/>
                <w:color w:val="000000"/>
                <w:kern w:val="0"/>
                <w:sz w:val="24"/>
                <w:lang w:eastAsia="zh-CN"/>
              </w:rPr>
              <w:t>有效期至</w:t>
            </w:r>
          </w:p>
        </w:tc>
      </w:tr>
      <w:tr w14:paraId="3B21D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10" w:type="dxa"/>
            <w:noWrap/>
            <w:vAlign w:val="center"/>
          </w:tcPr>
          <w:p w14:paraId="0338AE83">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威海立健药店连锁有限公司文登中成店</w:t>
            </w:r>
          </w:p>
        </w:tc>
        <w:tc>
          <w:tcPr>
            <w:tcW w:w="1842" w:type="dxa"/>
            <w:noWrap/>
            <w:vAlign w:val="center"/>
          </w:tcPr>
          <w:p w14:paraId="00C6FA3C">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鲁CB631b00652</w:t>
            </w:r>
          </w:p>
        </w:tc>
        <w:tc>
          <w:tcPr>
            <w:tcW w:w="1770" w:type="dxa"/>
            <w:noWrap/>
            <w:vAlign w:val="center"/>
          </w:tcPr>
          <w:p w14:paraId="6E42537F">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r>
              <w:rPr>
                <w:rFonts w:hint="eastAsia" w:ascii="仿宋_GB2312" w:hAnsi="仿宋_GB2312" w:eastAsia="仿宋_GB2312" w:cs="仿宋_GB2312"/>
                <w:sz w:val="21"/>
                <w:szCs w:val="21"/>
                <w:lang w:val="en-US" w:eastAsia="zh-CN"/>
              </w:rPr>
              <w:t>申思</w:t>
            </w:r>
          </w:p>
        </w:tc>
        <w:tc>
          <w:tcPr>
            <w:tcW w:w="2340" w:type="dxa"/>
            <w:noWrap/>
            <w:vAlign w:val="center"/>
          </w:tcPr>
          <w:p w14:paraId="7AA479DA">
            <w:pPr>
              <w:keepNext w:val="0"/>
              <w:keepLines w:val="0"/>
              <w:widowControl/>
              <w:suppressLineNumbers w:val="0"/>
              <w:jc w:val="center"/>
              <w:textAlignment w:val="center"/>
              <w:rPr>
                <w:rFonts w:hint="default" w:ascii="仿宋_GB2312" w:hAnsi="仿宋_GB2312" w:eastAsia="仿宋_GB2312" w:cs="仿宋_GB2312"/>
                <w:sz w:val="21"/>
                <w:szCs w:val="21"/>
                <w:lang w:val="en-US" w:eastAsia="zh-CN"/>
              </w:rPr>
            </w:pPr>
            <w:r>
              <w:rPr>
                <w:rFonts w:hint="default" w:ascii="仿宋_GB2312" w:hAnsi="仿宋_GB2312" w:eastAsia="仿宋_GB2312" w:cs="仿宋_GB2312"/>
                <w:sz w:val="21"/>
                <w:szCs w:val="21"/>
                <w:lang w:val="en-US" w:eastAsia="zh-CN"/>
              </w:rPr>
              <w:t>2025/1/16</w:t>
            </w:r>
          </w:p>
        </w:tc>
        <w:tc>
          <w:tcPr>
            <w:tcW w:w="2340" w:type="dxa"/>
            <w:noWrap/>
            <w:vAlign w:val="center"/>
          </w:tcPr>
          <w:p w14:paraId="3B44ADA1">
            <w:pPr>
              <w:keepNext w:val="0"/>
              <w:keepLines w:val="0"/>
              <w:widowControl/>
              <w:suppressLineNumbers w:val="0"/>
              <w:jc w:val="center"/>
              <w:textAlignment w:val="center"/>
              <w:rPr>
                <w:rFonts w:hint="default" w:ascii="仿宋_GB2312" w:hAnsi="仿宋_GB2312" w:eastAsia="仿宋_GB2312" w:cs="仿宋_GB2312"/>
                <w:sz w:val="21"/>
                <w:szCs w:val="21"/>
                <w:lang w:val="en-US" w:eastAsia="zh-CN"/>
              </w:rPr>
            </w:pPr>
            <w:r>
              <w:rPr>
                <w:rFonts w:hint="default" w:ascii="仿宋_GB2312" w:hAnsi="仿宋_GB2312" w:eastAsia="仿宋_GB2312" w:cs="仿宋_GB2312"/>
                <w:sz w:val="21"/>
                <w:szCs w:val="21"/>
                <w:lang w:val="en-US" w:eastAsia="zh-CN"/>
              </w:rPr>
              <w:t>2030/1/15</w:t>
            </w:r>
          </w:p>
        </w:tc>
      </w:tr>
      <w:tr w14:paraId="315EA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10" w:type="dxa"/>
            <w:noWrap/>
            <w:vAlign w:val="center"/>
          </w:tcPr>
          <w:p w14:paraId="78CEB007">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p>
        </w:tc>
        <w:tc>
          <w:tcPr>
            <w:tcW w:w="1842" w:type="dxa"/>
            <w:noWrap/>
            <w:vAlign w:val="center"/>
          </w:tcPr>
          <w:p w14:paraId="5BAEF154">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p>
        </w:tc>
        <w:tc>
          <w:tcPr>
            <w:tcW w:w="1770" w:type="dxa"/>
            <w:noWrap/>
            <w:vAlign w:val="center"/>
          </w:tcPr>
          <w:p w14:paraId="14D043EC">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p>
        </w:tc>
        <w:tc>
          <w:tcPr>
            <w:tcW w:w="2340" w:type="dxa"/>
            <w:noWrap/>
            <w:vAlign w:val="center"/>
          </w:tcPr>
          <w:p w14:paraId="141E1786">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p>
        </w:tc>
        <w:tc>
          <w:tcPr>
            <w:tcW w:w="2340" w:type="dxa"/>
            <w:noWrap/>
            <w:vAlign w:val="center"/>
          </w:tcPr>
          <w:p w14:paraId="098A3F52">
            <w:pPr>
              <w:keepNext w:val="0"/>
              <w:keepLines w:val="0"/>
              <w:widowControl/>
              <w:suppressLineNumbers w:val="0"/>
              <w:jc w:val="center"/>
              <w:textAlignment w:val="center"/>
              <w:rPr>
                <w:rFonts w:hint="default" w:ascii="仿宋_GB2312" w:hAnsi="仿宋_GB2312" w:eastAsia="仿宋_GB2312" w:cs="仿宋_GB2312"/>
                <w:sz w:val="21"/>
                <w:szCs w:val="21"/>
                <w:lang w:val="en-US" w:eastAsia="zh-CN"/>
              </w:rPr>
            </w:pPr>
          </w:p>
        </w:tc>
      </w:tr>
      <w:tr w14:paraId="08841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10" w:type="dxa"/>
            <w:noWrap/>
            <w:vAlign w:val="center"/>
          </w:tcPr>
          <w:p w14:paraId="7B696CBF">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p>
        </w:tc>
        <w:tc>
          <w:tcPr>
            <w:tcW w:w="1842" w:type="dxa"/>
            <w:noWrap/>
            <w:vAlign w:val="center"/>
          </w:tcPr>
          <w:p w14:paraId="36A3EFA1">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p>
        </w:tc>
        <w:tc>
          <w:tcPr>
            <w:tcW w:w="1770" w:type="dxa"/>
            <w:noWrap/>
            <w:vAlign w:val="center"/>
          </w:tcPr>
          <w:p w14:paraId="5B039F7D">
            <w:pPr>
              <w:keepNext w:val="0"/>
              <w:keepLines w:val="0"/>
              <w:widowControl/>
              <w:suppressLineNumbers w:val="0"/>
              <w:jc w:val="center"/>
              <w:textAlignment w:val="center"/>
              <w:rPr>
                <w:rFonts w:hint="eastAsia" w:ascii="仿宋_GB2312" w:hAnsi="仿宋_GB2312" w:eastAsia="仿宋_GB2312" w:cs="仿宋_GB2312"/>
                <w:sz w:val="21"/>
                <w:szCs w:val="21"/>
                <w:lang w:val="en-US" w:eastAsia="zh-CN"/>
              </w:rPr>
            </w:pPr>
          </w:p>
        </w:tc>
        <w:tc>
          <w:tcPr>
            <w:tcW w:w="2340" w:type="dxa"/>
            <w:noWrap/>
            <w:vAlign w:val="center"/>
          </w:tcPr>
          <w:p w14:paraId="2D80AE6B">
            <w:pPr>
              <w:keepNext w:val="0"/>
              <w:keepLines w:val="0"/>
              <w:widowControl/>
              <w:suppressLineNumbers w:val="0"/>
              <w:jc w:val="center"/>
              <w:textAlignment w:val="center"/>
              <w:rPr>
                <w:rFonts w:hint="default" w:ascii="仿宋_GB2312" w:hAnsi="仿宋_GB2312" w:eastAsia="仿宋_GB2312" w:cs="仿宋_GB2312"/>
                <w:sz w:val="21"/>
                <w:szCs w:val="21"/>
                <w:lang w:val="en-US" w:eastAsia="zh-CN"/>
              </w:rPr>
            </w:pPr>
          </w:p>
        </w:tc>
        <w:tc>
          <w:tcPr>
            <w:tcW w:w="2340" w:type="dxa"/>
            <w:noWrap/>
            <w:vAlign w:val="center"/>
          </w:tcPr>
          <w:p w14:paraId="5DF84A1C">
            <w:pPr>
              <w:keepNext w:val="0"/>
              <w:keepLines w:val="0"/>
              <w:widowControl/>
              <w:suppressLineNumbers w:val="0"/>
              <w:jc w:val="center"/>
              <w:textAlignment w:val="center"/>
              <w:rPr>
                <w:rFonts w:hint="default" w:ascii="仿宋_GB2312" w:hAnsi="仿宋_GB2312" w:eastAsia="仿宋_GB2312" w:cs="仿宋_GB2312"/>
                <w:sz w:val="21"/>
                <w:szCs w:val="21"/>
                <w:lang w:val="en-US" w:eastAsia="zh-CN"/>
              </w:rPr>
            </w:pPr>
          </w:p>
        </w:tc>
      </w:tr>
    </w:tbl>
    <w:p w14:paraId="15C76D57"/>
    <w:p w14:paraId="7D265150"/>
    <w:p w14:paraId="3832A21C">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3Njc3ZDVmMGE2NzgwNDM4ZTIwMjU1ZDNmYTNhMmMifQ=="/>
  </w:docVars>
  <w:rsids>
    <w:rsidRoot w:val="00000000"/>
    <w:rsid w:val="01D062EB"/>
    <w:rsid w:val="027E049D"/>
    <w:rsid w:val="0347397B"/>
    <w:rsid w:val="039C3694"/>
    <w:rsid w:val="03EA6C68"/>
    <w:rsid w:val="08492B0A"/>
    <w:rsid w:val="08A06627"/>
    <w:rsid w:val="08D833D6"/>
    <w:rsid w:val="0A96489D"/>
    <w:rsid w:val="0C652499"/>
    <w:rsid w:val="0CB92F1A"/>
    <w:rsid w:val="12721911"/>
    <w:rsid w:val="12E26181"/>
    <w:rsid w:val="14B6630A"/>
    <w:rsid w:val="159863B3"/>
    <w:rsid w:val="15F65279"/>
    <w:rsid w:val="17500165"/>
    <w:rsid w:val="178C7568"/>
    <w:rsid w:val="17CA6DC1"/>
    <w:rsid w:val="18F633BF"/>
    <w:rsid w:val="1A3C2947"/>
    <w:rsid w:val="1AB75A82"/>
    <w:rsid w:val="1AF437FE"/>
    <w:rsid w:val="1BB50E44"/>
    <w:rsid w:val="1D4D3610"/>
    <w:rsid w:val="1E043B06"/>
    <w:rsid w:val="1F3D48C0"/>
    <w:rsid w:val="20232C98"/>
    <w:rsid w:val="257766DB"/>
    <w:rsid w:val="27B610FF"/>
    <w:rsid w:val="282264E9"/>
    <w:rsid w:val="29A97B01"/>
    <w:rsid w:val="2B406E77"/>
    <w:rsid w:val="2D177CD6"/>
    <w:rsid w:val="31B605E1"/>
    <w:rsid w:val="33F05651"/>
    <w:rsid w:val="3455521C"/>
    <w:rsid w:val="34BC35D7"/>
    <w:rsid w:val="35663F26"/>
    <w:rsid w:val="379A16BD"/>
    <w:rsid w:val="38BA4386"/>
    <w:rsid w:val="3AB40CE8"/>
    <w:rsid w:val="3AF75DBB"/>
    <w:rsid w:val="3BA614BF"/>
    <w:rsid w:val="3D8C7D5B"/>
    <w:rsid w:val="3E815CDE"/>
    <w:rsid w:val="3F9723FC"/>
    <w:rsid w:val="401E67F8"/>
    <w:rsid w:val="405A0017"/>
    <w:rsid w:val="40EF1FA8"/>
    <w:rsid w:val="41C75670"/>
    <w:rsid w:val="444E05C3"/>
    <w:rsid w:val="44F556B1"/>
    <w:rsid w:val="4707219F"/>
    <w:rsid w:val="48EC2F98"/>
    <w:rsid w:val="49042E3A"/>
    <w:rsid w:val="49467720"/>
    <w:rsid w:val="498359BB"/>
    <w:rsid w:val="49851ACC"/>
    <w:rsid w:val="4A927CCB"/>
    <w:rsid w:val="4A963F66"/>
    <w:rsid w:val="4ACB6A7B"/>
    <w:rsid w:val="4B1C36D3"/>
    <w:rsid w:val="4B8B339F"/>
    <w:rsid w:val="4E1A16AB"/>
    <w:rsid w:val="4E8054F0"/>
    <w:rsid w:val="4FAA32A9"/>
    <w:rsid w:val="4FB83E94"/>
    <w:rsid w:val="503C5BB2"/>
    <w:rsid w:val="53431DE5"/>
    <w:rsid w:val="53DF5DF2"/>
    <w:rsid w:val="55D62E6C"/>
    <w:rsid w:val="562A2C1B"/>
    <w:rsid w:val="56743A57"/>
    <w:rsid w:val="57E42F7D"/>
    <w:rsid w:val="58086E0F"/>
    <w:rsid w:val="5869181F"/>
    <w:rsid w:val="588043B2"/>
    <w:rsid w:val="5BBD7474"/>
    <w:rsid w:val="5C052CF3"/>
    <w:rsid w:val="5C1E7819"/>
    <w:rsid w:val="5CA13F40"/>
    <w:rsid w:val="5E8C04BF"/>
    <w:rsid w:val="5F542CA1"/>
    <w:rsid w:val="5FDC20CE"/>
    <w:rsid w:val="607E78B8"/>
    <w:rsid w:val="644632B6"/>
    <w:rsid w:val="65D61F4D"/>
    <w:rsid w:val="6657736E"/>
    <w:rsid w:val="66FF3033"/>
    <w:rsid w:val="67D12E1A"/>
    <w:rsid w:val="69793106"/>
    <w:rsid w:val="698D71C4"/>
    <w:rsid w:val="6AEC27BE"/>
    <w:rsid w:val="6DFE7A96"/>
    <w:rsid w:val="6E1F649C"/>
    <w:rsid w:val="6F082DD5"/>
    <w:rsid w:val="6FDD5985"/>
    <w:rsid w:val="6FE167D8"/>
    <w:rsid w:val="70971289"/>
    <w:rsid w:val="72834520"/>
    <w:rsid w:val="72955935"/>
    <w:rsid w:val="737E1B01"/>
    <w:rsid w:val="73FA1F4F"/>
    <w:rsid w:val="745173B2"/>
    <w:rsid w:val="74952511"/>
    <w:rsid w:val="751175EA"/>
    <w:rsid w:val="758F7BB5"/>
    <w:rsid w:val="75B04CA1"/>
    <w:rsid w:val="76BC60C0"/>
    <w:rsid w:val="77A9745C"/>
    <w:rsid w:val="7A1C14E2"/>
    <w:rsid w:val="7A9F7C1C"/>
    <w:rsid w:val="7E033370"/>
    <w:rsid w:val="7F581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0"/>
    <w:rPr>
      <w:rFonts w:ascii="仿宋_GB2312" w:eastAsia="仿宋_GB2312"/>
      <w:sz w:val="32"/>
    </w:rPr>
  </w:style>
  <w:style w:type="paragraph" w:styleId="3">
    <w:name w:val="Normal (Web)"/>
    <w:basedOn w:val="1"/>
    <w:autoRedefine/>
    <w:qFormat/>
    <w:uiPriority w:val="99"/>
    <w:pPr>
      <w:widowControl/>
      <w:spacing w:before="100" w:beforeAutospacing="1" w:after="100" w:afterAutospacing="1"/>
      <w:jc w:val="left"/>
    </w:pPr>
    <w:rPr>
      <w:rFonts w:ascii="宋体" w:hAnsi="宋体" w:cs="宋体"/>
      <w:kern w:val="0"/>
      <w:sz w:val="24"/>
    </w:rPr>
  </w:style>
  <w:style w:type="character" w:styleId="6">
    <w:name w:val="Strong"/>
    <w:basedOn w:val="5"/>
    <w:qFormat/>
    <w:uiPriority w:val="0"/>
  </w:style>
  <w:style w:type="character" w:styleId="7">
    <w:name w:val="Emphasis"/>
    <w:basedOn w:val="5"/>
    <w:qFormat/>
    <w:uiPriority w:val="0"/>
  </w:style>
  <w:style w:type="character" w:styleId="8">
    <w:name w:val="HTML Definition"/>
    <w:basedOn w:val="5"/>
    <w:qFormat/>
    <w:uiPriority w:val="0"/>
  </w:style>
  <w:style w:type="character" w:styleId="9">
    <w:name w:val="HTML Variable"/>
    <w:basedOn w:val="5"/>
    <w:autoRedefine/>
    <w:qFormat/>
    <w:uiPriority w:val="0"/>
    <w:rPr>
      <w:rFonts w:ascii="Tahoma" w:hAnsi="Tahoma" w:eastAsia="Tahoma" w:cs="Tahoma"/>
      <w:sz w:val="18"/>
      <w:szCs w:val="18"/>
      <w:bdr w:val="single" w:color="FFFFFF" w:sz="6" w:space="0"/>
    </w:rPr>
  </w:style>
  <w:style w:type="character" w:styleId="10">
    <w:name w:val="HTML Code"/>
    <w:basedOn w:val="5"/>
    <w:qFormat/>
    <w:uiPriority w:val="0"/>
    <w:rPr>
      <w:rFonts w:ascii="Courier New" w:hAnsi="Courier New"/>
      <w:sz w:val="20"/>
    </w:rPr>
  </w:style>
  <w:style w:type="character" w:styleId="11">
    <w:name w:val="HTML Cite"/>
    <w:basedOn w:val="5"/>
    <w:qFormat/>
    <w:uiPriority w:val="0"/>
  </w:style>
  <w:style w:type="character" w:customStyle="1" w:styleId="12">
    <w:name w:val="l-tab-strip-text"/>
    <w:basedOn w:val="5"/>
    <w:qFormat/>
    <w:uiPriority w:val="0"/>
    <w:rPr>
      <w:rFonts w:hint="default" w:ascii="Tahoma" w:hAnsi="Tahoma" w:eastAsia="Tahoma" w:cs="Tahoma"/>
      <w:color w:val="416AA3"/>
      <w:sz w:val="18"/>
      <w:szCs w:val="18"/>
    </w:rPr>
  </w:style>
  <w:style w:type="character" w:customStyle="1" w:styleId="13">
    <w:name w:val="l-tab-strip-text1"/>
    <w:basedOn w:val="5"/>
    <w:autoRedefine/>
    <w:qFormat/>
    <w:uiPriority w:val="0"/>
  </w:style>
  <w:style w:type="character" w:customStyle="1" w:styleId="14">
    <w:name w:val="l-tab-strip-text2"/>
    <w:basedOn w:val="5"/>
    <w:autoRedefine/>
    <w:qFormat/>
    <w:uiPriority w:val="0"/>
  </w:style>
  <w:style w:type="character" w:customStyle="1" w:styleId="15">
    <w:name w:val="l-tab-strip-text3"/>
    <w:basedOn w:val="5"/>
    <w:autoRedefine/>
    <w:qFormat/>
    <w:uiPriority w:val="0"/>
    <w:rPr>
      <w:color w:val="15428B"/>
    </w:rPr>
  </w:style>
  <w:style w:type="character" w:customStyle="1" w:styleId="16">
    <w:name w:val="l-tab-strip-text4"/>
    <w:basedOn w:val="5"/>
    <w:autoRedefine/>
    <w:qFormat/>
    <w:uiPriority w:val="0"/>
    <w:rPr>
      <w:b/>
      <w:color w:val="15428B"/>
    </w:rPr>
  </w:style>
  <w:style w:type="character" w:customStyle="1" w:styleId="17">
    <w:name w:val="l-tab-strip-text5"/>
    <w:basedOn w:val="5"/>
    <w:autoRedefine/>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1349</Words>
  <Characters>1780</Characters>
  <Lines>0</Lines>
  <Paragraphs>0</Paragraphs>
  <TotalTime>7</TotalTime>
  <ScaleCrop>false</ScaleCrop>
  <LinksUpToDate>false</LinksUpToDate>
  <CharactersWithSpaces>1979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べò初曼ξ☆</cp:lastModifiedBy>
  <dcterms:modified xsi:type="dcterms:W3CDTF">2025-01-26T01:50:23Z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9175AA0725EA429B9FBBF168379CB4B0_13</vt:lpwstr>
  </property>
  <property fmtid="{D5CDD505-2E9C-101B-9397-08002B2CF9AE}" pid="4" name="KSOTemplateDocerSaveRecord">
    <vt:lpwstr>eyJoZGlkIjoiOWM3Njc3ZDVmMGE2NzgwNDM4ZTIwMjU1ZDNmYTNhMmMiLCJ1c2VySWQiOiIxMDQyNzAzMjgzIn0=</vt:lpwstr>
  </property>
</Properties>
</file>