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default" w:ascii="Times New Roman" w:hAnsi="Times New Roman" w:eastAsia="方正小标宋简体" w:cs="Times New Roman"/>
          <w:b w:val="0"/>
          <w:bCs/>
          <w:i w:val="0"/>
          <w:caps w:val="0"/>
          <w:color w:val="333333"/>
          <w:spacing w:val="0"/>
          <w:sz w:val="44"/>
          <w:szCs w:val="44"/>
          <w:shd w:val="clear" w:fill="FFFFFF"/>
          <w:lang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Times New Roman"/>
          <w:b w:val="0"/>
          <w:bCs/>
          <w:i w:val="0"/>
          <w:caps w:val="0"/>
          <w:color w:val="000000" w:themeColor="text1"/>
          <w:spacing w:val="-17"/>
          <w:sz w:val="44"/>
          <w:szCs w:val="44"/>
          <w:shd w:val="clear" w:fill="FFFFFF"/>
          <w:lang w:val="en-US" w:eastAsia="zh-CN"/>
          <w14:textFill>
            <w14:solidFill>
              <w14:schemeClr w14:val="tx1"/>
            </w14:solidFill>
          </w14:textFill>
        </w:rPr>
      </w:pPr>
      <w:r>
        <w:rPr>
          <w:rFonts w:hint="default" w:ascii="Times New Roman" w:hAnsi="Times New Roman" w:eastAsia="方正小标宋简体" w:cs="Times New Roman"/>
          <w:b w:val="0"/>
          <w:bCs/>
          <w:i w:val="0"/>
          <w:caps w:val="0"/>
          <w:color w:val="000000" w:themeColor="text1"/>
          <w:spacing w:val="-17"/>
          <w:sz w:val="44"/>
          <w:szCs w:val="44"/>
          <w:shd w:val="clear" w:fill="FFFFFF"/>
          <w:lang w:val="en-US" w:eastAsia="zh-CN"/>
          <w14:textFill>
            <w14:solidFill>
              <w14:schemeClr w14:val="tx1"/>
            </w14:solidFill>
          </w14:textFill>
        </w:rPr>
        <w:t>威海市文登区侯家镇人民政府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Times New Roman"/>
          <w:b w:val="0"/>
          <w:bCs/>
          <w:i w:val="0"/>
          <w:caps w:val="0"/>
          <w:color w:val="000000" w:themeColor="text1"/>
          <w:spacing w:val="0"/>
          <w:sz w:val="44"/>
          <w:szCs w:val="44"/>
          <w:lang w:val="en-US" w:eastAsia="zh-CN"/>
          <w14:textFill>
            <w14:solidFill>
              <w14:schemeClr w14:val="tx1"/>
            </w14:solidFill>
          </w14:textFill>
        </w:rPr>
      </w:pPr>
      <w:r>
        <w:rPr>
          <w:rFonts w:hint="default" w:ascii="Times New Roman" w:hAnsi="Times New Roman" w:eastAsia="方正小标宋简体" w:cs="Times New Roman"/>
          <w:b w:val="0"/>
          <w:bCs/>
          <w:i w:val="0"/>
          <w:caps w:val="0"/>
          <w:color w:val="000000" w:themeColor="text1"/>
          <w:spacing w:val="-17"/>
          <w:sz w:val="44"/>
          <w:szCs w:val="44"/>
          <w:shd w:val="clear" w:fill="FFFFFF"/>
          <w:lang w:val="en-US" w:eastAsia="zh-CN"/>
          <w14:textFill>
            <w14:solidFill>
              <w14:schemeClr w14:val="tx1"/>
            </w14:solidFill>
          </w14:textFill>
        </w:rPr>
        <w:t>2023年</w:t>
      </w:r>
      <w:r>
        <w:rPr>
          <w:rFonts w:hint="default" w:ascii="Times New Roman" w:hAnsi="Times New Roman" w:eastAsia="方正小标宋简体" w:cs="Times New Roman"/>
          <w:b w:val="0"/>
          <w:bCs/>
          <w:i w:val="0"/>
          <w:caps w:val="0"/>
          <w:color w:val="000000" w:themeColor="text1"/>
          <w:spacing w:val="-17"/>
          <w:sz w:val="44"/>
          <w:szCs w:val="44"/>
          <w:shd w:val="clear" w:fill="FFFFFF"/>
          <w14:textFill>
            <w14:solidFill>
              <w14:schemeClr w14:val="tx1"/>
            </w14:solidFill>
          </w14:textFill>
        </w:rPr>
        <w:t>政府信息公开工作</w:t>
      </w:r>
      <w:r>
        <w:rPr>
          <w:rFonts w:hint="default" w:ascii="Times New Roman" w:hAnsi="Times New Roman" w:eastAsia="方正小标宋简体" w:cs="Times New Roman"/>
          <w:b w:val="0"/>
          <w:bCs/>
          <w:i w:val="0"/>
          <w:caps w:val="0"/>
          <w:color w:val="000000" w:themeColor="text1"/>
          <w:spacing w:val="0"/>
          <w:sz w:val="44"/>
          <w:szCs w:val="44"/>
          <w:shd w:val="clear" w:fill="FFFFFF"/>
          <w14:textFill>
            <w14:solidFill>
              <w14:schemeClr w14:val="tx1"/>
            </w14:solidFill>
          </w14:textFill>
        </w:rPr>
        <w:t>年度报告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pPr>
        <w:pStyle w:val="3"/>
        <w:keepNext w:val="0"/>
        <w:keepLines w:val="0"/>
        <w:pageBreakBefore w:val="0"/>
        <w:widowControl/>
        <w:suppressLineNumbers w:val="0"/>
        <w:kinsoku/>
        <w:wordWrap w:val="0"/>
        <w:overflowPunct/>
        <w:topLinePunct w:val="0"/>
        <w:autoSpaceDE w:val="0"/>
        <w:autoSpaceDN/>
        <w:bidi w:val="0"/>
        <w:adjustRightInd/>
        <w:snapToGrid/>
        <w:spacing w:before="0" w:beforeAutospacing="0" w:after="0" w:afterAutospacing="0" w:line="560" w:lineRule="exact"/>
        <w:ind w:left="0" w:firstLine="646"/>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根据《中华人民共和国政府信息公开条例》（国务院令第</w:t>
      </w:r>
      <w:r>
        <w:rPr>
          <w:rFonts w:hint="default" w:ascii="Times New Roman" w:hAnsi="Times New Roman" w:cs="Times New Roman"/>
          <w:color w:val="000000" w:themeColor="text1"/>
          <w:sz w:val="32"/>
          <w:szCs w:val="32"/>
          <w14:textFill>
            <w14:solidFill>
              <w14:schemeClr w14:val="tx1"/>
            </w14:solidFill>
          </w14:textFill>
        </w:rPr>
        <w:t>711</w:t>
      </w:r>
      <w:r>
        <w:rPr>
          <w:rFonts w:hint="default" w:ascii="Times New Roman" w:hAnsi="Times New Roman" w:eastAsia="仿宋_GB2312" w:cs="Times New Roman"/>
          <w:color w:val="000000" w:themeColor="text1"/>
          <w:sz w:val="32"/>
          <w:szCs w:val="32"/>
          <w14:textFill>
            <w14:solidFill>
              <w14:schemeClr w14:val="tx1"/>
            </w14:solidFill>
          </w14:textFill>
        </w:rPr>
        <w:t>号，以下简称《条例》）和《中华人民共和国政府信息公开工作年度报告格式》（国办公开办函〔</w:t>
      </w:r>
      <w:r>
        <w:rPr>
          <w:rFonts w:hint="default" w:ascii="Times New Roman" w:hAnsi="Times New Roman" w:cs="Times New Roman"/>
          <w:color w:val="000000" w:themeColor="text1"/>
          <w:sz w:val="32"/>
          <w:szCs w:val="32"/>
          <w14:textFill>
            <w14:solidFill>
              <w14:schemeClr w14:val="tx1"/>
            </w14:solidFill>
          </w14:textFill>
        </w:rPr>
        <w:t>2021</w:t>
      </w:r>
      <w:r>
        <w:rPr>
          <w:rFonts w:hint="default" w:ascii="Times New Roman" w:hAnsi="Times New Roman" w:eastAsia="仿宋_GB2312" w:cs="Times New Roman"/>
          <w:color w:val="000000" w:themeColor="text1"/>
          <w:sz w:val="32"/>
          <w:szCs w:val="32"/>
          <w14:textFill>
            <w14:solidFill>
              <w14:schemeClr w14:val="tx1"/>
            </w14:solidFill>
          </w14:textFill>
        </w:rPr>
        <w:t>〕30号）要求，结合</w:t>
      </w:r>
      <w:r>
        <w:rPr>
          <w:rFonts w:hint="default" w:ascii="Times New Roman" w:hAnsi="Times New Roman" w:cs="Times New Roman"/>
          <w:color w:val="000000" w:themeColor="text1"/>
          <w:sz w:val="32"/>
          <w:szCs w:val="32"/>
          <w14:textFill>
            <w14:solidFill>
              <w14:schemeClr w14:val="tx1"/>
            </w14:solidFill>
          </w14:textFill>
        </w:rPr>
        <w:t>202</w:t>
      </w:r>
      <w:r>
        <w:rPr>
          <w:rFonts w:hint="default" w:ascii="Times New Roman" w:hAnsi="Times New Roman" w:cs="Times New Roman"/>
          <w:color w:val="000000" w:themeColor="text1"/>
          <w:sz w:val="32"/>
          <w:szCs w:val="32"/>
          <w:lang w:val="en-US" w:eastAsia="zh-CN"/>
          <w14:textFill>
            <w14:solidFill>
              <w14:schemeClr w14:val="tx1"/>
            </w14:solidFill>
          </w14:textFill>
        </w:rPr>
        <w:t>3</w:t>
      </w:r>
      <w:r>
        <w:rPr>
          <w:rFonts w:hint="default" w:ascii="Times New Roman" w:hAnsi="Times New Roman" w:eastAsia="仿宋_GB2312" w:cs="Times New Roman"/>
          <w:color w:val="000000" w:themeColor="text1"/>
          <w:sz w:val="32"/>
          <w:szCs w:val="32"/>
          <w14:textFill>
            <w14:solidFill>
              <w14:schemeClr w14:val="tx1"/>
            </w14:solidFill>
          </w14:textFill>
        </w:rPr>
        <w:t>年</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威海市文登区侯家镇</w:t>
      </w:r>
      <w:r>
        <w:rPr>
          <w:rFonts w:hint="default" w:ascii="Times New Roman" w:hAnsi="Times New Roman" w:eastAsia="仿宋_GB2312" w:cs="Times New Roman"/>
          <w:color w:val="000000" w:themeColor="text1"/>
          <w:sz w:val="32"/>
          <w:szCs w:val="32"/>
          <w14:textFill>
            <w14:solidFill>
              <w14:schemeClr w14:val="tx1"/>
            </w14:solidFill>
          </w14:textFill>
        </w:rPr>
        <w:t>政府信息公开工作实际，编制发布本报告。</w:t>
      </w:r>
    </w:p>
    <w:p>
      <w:pPr>
        <w:pStyle w:val="3"/>
        <w:keepNext w:val="0"/>
        <w:keepLines w:val="0"/>
        <w:pageBreakBefore w:val="0"/>
        <w:widowControl/>
        <w:suppressLineNumbers w:val="0"/>
        <w:kinsoku/>
        <w:wordWrap w:val="0"/>
        <w:overflowPunct/>
        <w:topLinePunct w:val="0"/>
        <w:autoSpaceDE w:val="0"/>
        <w:autoSpaceDN/>
        <w:bidi w:val="0"/>
        <w:adjustRightInd/>
        <w:snapToGrid/>
        <w:spacing w:before="0" w:beforeAutospacing="0" w:after="0" w:afterAutospacing="0" w:line="560" w:lineRule="exact"/>
        <w:ind w:left="0" w:firstLine="646"/>
        <w:jc w:val="both"/>
        <w:textAlignment w:val="auto"/>
        <w:rPr>
          <w:rFonts w:hint="default" w:ascii="Times New Roman" w:hAnsi="Times New Roman"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本报告内容包括：总体情况、主动公开政府信息情况、收到和处理政府信息公开申请情况、政府信息公开行政复议</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及</w:t>
      </w:r>
      <w:r>
        <w:rPr>
          <w:rFonts w:hint="default" w:ascii="Times New Roman" w:hAnsi="Times New Roman" w:eastAsia="仿宋_GB2312" w:cs="Times New Roman"/>
          <w:color w:val="000000" w:themeColor="text1"/>
          <w:sz w:val="32"/>
          <w:szCs w:val="32"/>
          <w14:textFill>
            <w14:solidFill>
              <w14:schemeClr w14:val="tx1"/>
            </w14:solidFill>
          </w14:textFill>
        </w:rPr>
        <w:t>行政诉讼情况、存在的主要问题及改进情况、其他事项，以及相关指标统计附表等。报告中所列数据统计期限从</w:t>
      </w:r>
      <w:r>
        <w:rPr>
          <w:rFonts w:hint="default" w:ascii="Times New Roman" w:hAnsi="Times New Roman" w:cs="Times New Roman"/>
          <w:color w:val="000000" w:themeColor="text1"/>
          <w:sz w:val="32"/>
          <w:szCs w:val="32"/>
          <w14:textFill>
            <w14:solidFill>
              <w14:schemeClr w14:val="tx1"/>
            </w14:solidFill>
          </w14:textFill>
        </w:rPr>
        <w:t>202</w:t>
      </w:r>
      <w:r>
        <w:rPr>
          <w:rFonts w:hint="default" w:ascii="Times New Roman" w:hAnsi="Times New Roman" w:cs="Times New Roman"/>
          <w:color w:val="000000" w:themeColor="text1"/>
          <w:sz w:val="32"/>
          <w:szCs w:val="32"/>
          <w:lang w:val="en-US" w:eastAsia="zh-CN"/>
          <w14:textFill>
            <w14:solidFill>
              <w14:schemeClr w14:val="tx1"/>
            </w14:solidFill>
          </w14:textFill>
        </w:rPr>
        <w:t>3</w:t>
      </w:r>
      <w:r>
        <w:rPr>
          <w:rFonts w:hint="default" w:ascii="Times New Roman" w:hAnsi="Times New Roman" w:eastAsia="仿宋_GB2312" w:cs="Times New Roman"/>
          <w:color w:val="000000" w:themeColor="text1"/>
          <w:sz w:val="32"/>
          <w:szCs w:val="32"/>
          <w14:textFill>
            <w14:solidFill>
              <w14:schemeClr w14:val="tx1"/>
            </w14:solidFill>
          </w14:textFill>
        </w:rPr>
        <w:t>年</w:t>
      </w:r>
      <w:r>
        <w:rPr>
          <w:rFonts w:hint="default" w:ascii="Times New Roman" w:hAnsi="Times New Roman" w:cs="Times New Roman"/>
          <w:color w:val="000000" w:themeColor="text1"/>
          <w:sz w:val="32"/>
          <w:szCs w:val="32"/>
          <w14:textFill>
            <w14:solidFill>
              <w14:schemeClr w14:val="tx1"/>
            </w14:solidFill>
          </w14:textFill>
        </w:rPr>
        <w:t>1</w:t>
      </w:r>
      <w:r>
        <w:rPr>
          <w:rFonts w:hint="default" w:ascii="Times New Roman" w:hAnsi="Times New Roman" w:eastAsia="仿宋_GB2312" w:cs="Times New Roman"/>
          <w:color w:val="000000" w:themeColor="text1"/>
          <w:sz w:val="32"/>
          <w:szCs w:val="32"/>
          <w14:textFill>
            <w14:solidFill>
              <w14:schemeClr w14:val="tx1"/>
            </w14:solidFill>
          </w14:textFill>
        </w:rPr>
        <w:t>月</w:t>
      </w:r>
      <w:r>
        <w:rPr>
          <w:rFonts w:hint="default" w:ascii="Times New Roman" w:hAnsi="Times New Roman" w:cs="Times New Roman"/>
          <w:color w:val="000000" w:themeColor="text1"/>
          <w:sz w:val="32"/>
          <w:szCs w:val="32"/>
          <w14:textFill>
            <w14:solidFill>
              <w14:schemeClr w14:val="tx1"/>
            </w14:solidFill>
          </w14:textFill>
        </w:rPr>
        <w:t>1</w:t>
      </w:r>
      <w:r>
        <w:rPr>
          <w:rFonts w:hint="default" w:ascii="Times New Roman" w:hAnsi="Times New Roman" w:eastAsia="仿宋_GB2312" w:cs="Times New Roman"/>
          <w:color w:val="000000" w:themeColor="text1"/>
          <w:sz w:val="32"/>
          <w:szCs w:val="32"/>
          <w14:textFill>
            <w14:solidFill>
              <w14:schemeClr w14:val="tx1"/>
            </w14:solidFill>
          </w14:textFill>
        </w:rPr>
        <w:t>日到</w:t>
      </w:r>
      <w:r>
        <w:rPr>
          <w:rFonts w:hint="default" w:ascii="Times New Roman" w:hAnsi="Times New Roman" w:cs="Times New Roman"/>
          <w:color w:val="000000" w:themeColor="text1"/>
          <w:sz w:val="32"/>
          <w:szCs w:val="32"/>
          <w14:textFill>
            <w14:solidFill>
              <w14:schemeClr w14:val="tx1"/>
            </w14:solidFill>
          </w14:textFill>
        </w:rPr>
        <w:t>12</w:t>
      </w:r>
      <w:r>
        <w:rPr>
          <w:rFonts w:hint="default" w:ascii="Times New Roman" w:hAnsi="Times New Roman" w:eastAsia="仿宋_GB2312" w:cs="Times New Roman"/>
          <w:color w:val="000000" w:themeColor="text1"/>
          <w:sz w:val="32"/>
          <w:szCs w:val="32"/>
          <w14:textFill>
            <w14:solidFill>
              <w14:schemeClr w14:val="tx1"/>
            </w14:solidFill>
          </w14:textFill>
        </w:rPr>
        <w:t>月</w:t>
      </w:r>
      <w:r>
        <w:rPr>
          <w:rFonts w:hint="default" w:ascii="Times New Roman" w:hAnsi="Times New Roman" w:cs="Times New Roman"/>
          <w:color w:val="000000" w:themeColor="text1"/>
          <w:sz w:val="32"/>
          <w:szCs w:val="32"/>
          <w14:textFill>
            <w14:solidFill>
              <w14:schemeClr w14:val="tx1"/>
            </w14:solidFill>
          </w14:textFill>
        </w:rPr>
        <w:t>31</w:t>
      </w:r>
      <w:r>
        <w:rPr>
          <w:rFonts w:hint="default" w:ascii="Times New Roman" w:hAnsi="Times New Roman" w:eastAsia="仿宋_GB2312" w:cs="Times New Roman"/>
          <w:color w:val="000000" w:themeColor="text1"/>
          <w:sz w:val="32"/>
          <w:szCs w:val="32"/>
          <w14:textFill>
            <w14:solidFill>
              <w14:schemeClr w14:val="tx1"/>
            </w14:solidFill>
          </w14:textFill>
        </w:rPr>
        <w:t>日止。报告电子版可从</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威海市文登区人民政府</w:t>
      </w:r>
      <w:r>
        <w:rPr>
          <w:rFonts w:hint="default" w:ascii="Times New Roman" w:hAnsi="Times New Roman" w:eastAsia="仿宋_GB2312" w:cs="Times New Roman"/>
          <w:color w:val="000000" w:themeColor="text1"/>
          <w:sz w:val="32"/>
          <w:szCs w:val="32"/>
          <w14:textFill>
            <w14:solidFill>
              <w14:schemeClr w14:val="tx1"/>
            </w14:solidFill>
          </w14:textFill>
        </w:rPr>
        <w:t>网站（</w:t>
      </w:r>
      <w:r>
        <w:rPr>
          <w:rFonts w:hint="default" w:ascii="Times New Roman" w:hAnsi="Times New Roman" w:eastAsia="仿宋_GB2312" w:cs="Times New Roman"/>
          <w:color w:val="000000" w:themeColor="text1"/>
          <w:sz w:val="32"/>
          <w:szCs w:val="32"/>
          <w:u w:val="none"/>
          <w:lang w:val="en-US" w:eastAsia="zh-CN"/>
          <w14:textFill>
            <w14:solidFill>
              <w14:schemeClr w14:val="tx1"/>
            </w14:solidFill>
          </w14:textFill>
        </w:rPr>
        <w:t>网址：</w:t>
      </w:r>
      <w:r>
        <w:rPr>
          <w:rFonts w:hint="default" w:ascii="Times New Roman" w:hAnsi="Times New Roman" w:eastAsia="仿宋_GB2312" w:cs="Times New Roman"/>
          <w:color w:val="000000" w:themeColor="text1"/>
          <w:sz w:val="32"/>
          <w:szCs w:val="32"/>
          <w:u w:val="none"/>
          <w:lang w:eastAsia="zh-CN"/>
          <w14:textFill>
            <w14:solidFill>
              <w14:schemeClr w14:val="tx1"/>
            </w14:solidFill>
          </w14:textFill>
        </w:rPr>
        <w:t>http://www.wendeng.gov.cn</w:t>
      </w:r>
      <w:r>
        <w:rPr>
          <w:rFonts w:hint="default" w:ascii="Times New Roman" w:hAnsi="Times New Roman" w:eastAsia="仿宋_GB2312" w:cs="Times New Roman"/>
          <w:color w:val="000000" w:themeColor="text1"/>
          <w:sz w:val="32"/>
          <w:szCs w:val="32"/>
          <w14:textFill>
            <w14:solidFill>
              <w14:schemeClr w14:val="tx1"/>
            </w14:solidFill>
          </w14:textFill>
        </w:rPr>
        <w:t>）</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政府信息公开专栏</w:t>
      </w:r>
      <w:r>
        <w:rPr>
          <w:rFonts w:hint="default" w:ascii="Times New Roman" w:hAnsi="Times New Roman" w:eastAsia="仿宋_GB2312" w:cs="Times New Roman"/>
          <w:color w:val="000000" w:themeColor="text1"/>
          <w:sz w:val="32"/>
          <w:szCs w:val="32"/>
          <w14:textFill>
            <w14:solidFill>
              <w14:schemeClr w14:val="tx1"/>
            </w14:solidFill>
          </w14:textFill>
        </w:rPr>
        <w:t>查阅或下载。公众如需进一步咨询了解相关信息，请与</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威海市文登区侯家镇人民政府党政办</w:t>
      </w:r>
      <w:r>
        <w:rPr>
          <w:rFonts w:hint="default" w:ascii="Times New Roman" w:hAnsi="Times New Roman" w:eastAsia="仿宋_GB2312" w:cs="Times New Roman"/>
          <w:color w:val="000000" w:themeColor="text1"/>
          <w:sz w:val="32"/>
          <w:szCs w:val="32"/>
          <w14:textFill>
            <w14:solidFill>
              <w14:schemeClr w14:val="tx1"/>
            </w14:solidFill>
          </w14:textFill>
        </w:rPr>
        <w:t>联系（地址：</w:t>
      </w:r>
      <w:r>
        <w:rPr>
          <w:rFonts w:hint="default" w:ascii="Times New Roman" w:hAnsi="Times New Roman" w:eastAsia="仿宋_GB2312" w:cs="Times New Roman"/>
          <w:color w:val="000000" w:themeColor="text1"/>
          <w:sz w:val="32"/>
          <w:szCs w:val="32"/>
          <w:u w:val="none"/>
          <w:lang w:eastAsia="zh-CN"/>
          <w14:textFill>
            <w14:solidFill>
              <w14:schemeClr w14:val="tx1"/>
            </w14:solidFill>
          </w14:textFill>
        </w:rPr>
        <w:t>威海市文登区侯家镇</w:t>
      </w:r>
      <w:bookmarkStart w:id="0" w:name="OLE_LINK1"/>
      <w:r>
        <w:rPr>
          <w:rFonts w:hint="default" w:ascii="Times New Roman" w:hAnsi="Times New Roman" w:eastAsia="仿宋_GB2312" w:cs="Times New Roman"/>
          <w:color w:val="000000" w:themeColor="text1"/>
          <w:sz w:val="32"/>
          <w:szCs w:val="32"/>
          <w:u w:val="none"/>
          <w:lang w:eastAsia="zh-CN"/>
          <w14:textFill>
            <w14:solidFill>
              <w14:schemeClr w14:val="tx1"/>
            </w14:solidFill>
          </w14:textFill>
        </w:rPr>
        <w:t>爱民路2号</w:t>
      </w:r>
      <w:bookmarkEnd w:id="0"/>
      <w:r>
        <w:rPr>
          <w:rFonts w:hint="default" w:ascii="Times New Roman" w:hAnsi="Times New Roman" w:eastAsia="仿宋_GB2312" w:cs="Times New Roman"/>
          <w:color w:val="000000" w:themeColor="text1"/>
          <w:sz w:val="32"/>
          <w:szCs w:val="32"/>
          <w14:textFill>
            <w14:solidFill>
              <w14:schemeClr w14:val="tx1"/>
            </w14:solidFill>
          </w14:textFill>
        </w:rPr>
        <w:t>，电话：</w:t>
      </w:r>
      <w:r>
        <w:rPr>
          <w:rFonts w:hint="default" w:ascii="Times New Roman" w:hAnsi="Times New Roman" w:eastAsia="仿宋_GB2312" w:cs="Times New Roman"/>
          <w:color w:val="000000" w:themeColor="text1"/>
          <w:sz w:val="32"/>
          <w:szCs w:val="32"/>
          <w:u w:val="none"/>
          <w:lang w:eastAsia="zh-CN"/>
          <w14:textFill>
            <w14:solidFill>
              <w14:schemeClr w14:val="tx1"/>
            </w14:solidFill>
          </w14:textFill>
        </w:rPr>
        <w:t>0631-8727088</w:t>
      </w:r>
      <w:r>
        <w:rPr>
          <w:rFonts w:hint="default" w:ascii="Times New Roman" w:hAnsi="Times New Roman" w:eastAsia="仿宋_GB2312" w:cs="Times New Roman"/>
          <w:color w:val="000000" w:themeColor="text1"/>
          <w:sz w:val="32"/>
          <w:szCs w:val="32"/>
          <w14:textFill>
            <w14:solidFill>
              <w14:schemeClr w14:val="tx1"/>
            </w14:solidFill>
          </w14:textFill>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000000" w:themeColor="text1"/>
          <w:spacing w:val="0"/>
          <w:sz w:val="32"/>
          <w:szCs w:val="32"/>
          <w14:textFill>
            <w14:solidFill>
              <w14:schemeClr w14:val="tx1"/>
            </w14:solidFill>
          </w14:textFill>
        </w:rPr>
      </w:pPr>
      <w:r>
        <w:rPr>
          <w:rFonts w:hint="default" w:ascii="Times New Roman" w:hAnsi="Times New Roman" w:eastAsia="黑体" w:cs="Times New Roman"/>
          <w:b w:val="0"/>
          <w:bCs/>
          <w:i w:val="0"/>
          <w:caps w:val="0"/>
          <w:color w:val="000000" w:themeColor="text1"/>
          <w:spacing w:val="0"/>
          <w:sz w:val="32"/>
          <w:szCs w:val="32"/>
          <w:shd w:val="clear" w:fill="FFFFFF"/>
          <w14:textFill>
            <w14:solidFill>
              <w14:schemeClr w14:val="tx1"/>
            </w14:solidFill>
          </w14:textFill>
        </w:rPr>
        <w:t>一、总体情况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2023年，侯家镇人民政府在区委、区政府的领导下，积极配合区政府政务公开科工作，认真贯彻落实《条例》及有关文件要求，结合工作实际，不断完善政府信息公开机制，提高政务公开工作的透明度，及时、全面、有效地主动公开政府信息。</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color w:val="000000" w:themeColor="text1"/>
          <w:kern w:val="0"/>
          <w:sz w:val="32"/>
          <w:szCs w:val="32"/>
          <w:highlight w:val="none"/>
          <w:shd w:val="clear" w:color="auto" w:fill="FFFFFF"/>
          <w:lang w:val="en-US" w:eastAsia="zh-CN" w:bidi="ar"/>
          <w14:textFill>
            <w14:solidFill>
              <w14:schemeClr w14:val="tx1"/>
            </w14:solidFill>
          </w14:textFill>
        </w:rPr>
      </w:pPr>
      <w:r>
        <w:rPr>
          <w:rFonts w:hint="default" w:ascii="Times New Roman" w:hAnsi="Times New Roman" w:eastAsia="楷体_GB2312" w:cs="Times New Roman"/>
          <w:i w:val="0"/>
          <w:color w:val="000000" w:themeColor="text1"/>
          <w:kern w:val="0"/>
          <w:sz w:val="32"/>
          <w:szCs w:val="32"/>
          <w:shd w:val="clear" w:color="auto" w:fill="FFFFFF"/>
          <w:lang w:val="en-US" w:eastAsia="zh-CN" w:bidi="ar"/>
          <w14:textFill>
            <w14:solidFill>
              <w14:schemeClr w14:val="tx1"/>
            </w14:solidFill>
          </w14:textFill>
        </w:rPr>
        <w:t>（一）主动公开方面。</w:t>
      </w:r>
      <w:r>
        <w:rPr>
          <w:rFonts w:hint="default" w:ascii="Times New Roman" w:hAnsi="Times New Roman" w:eastAsia="仿宋_GB2312" w:cs="Times New Roman"/>
          <w:i w:val="0"/>
          <w:color w:val="000000" w:themeColor="text1"/>
          <w:kern w:val="0"/>
          <w:sz w:val="32"/>
          <w:szCs w:val="32"/>
          <w:shd w:val="clear" w:color="auto" w:fill="FFFFFF"/>
          <w:lang w:val="en-US" w:eastAsia="zh-CN" w:bidi="ar"/>
          <w14:textFill>
            <w14:solidFill>
              <w14:schemeClr w14:val="tx1"/>
            </w14:solidFill>
          </w14:textFill>
        </w:rPr>
        <w:t>按照《条例》第二十条的规定，以及区政府关于全面推进政务公开工作的有关要求，制定《2023年度政务公开重点工作及责任分工方案》，主动及时公开我镇政府信息。</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2023年度通过各类渠道公开政府信息540条，其中通过“灵秀龙乡和美侯家”微信公众号发布消息352条，在文登大众、各级电视台、文登发布等新媒体发表报道38篇，通过威海市文登区人民政府网站发布动态政务信息75篇，从内容分类看，机构职能24条，工作动态36条，重点领域信息公开5条，政务公开组织推进2条，执行公开8条。</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iCs w:val="0"/>
          <w:caps w:val="0"/>
          <w:color w:val="000000" w:themeColor="text1"/>
          <w:spacing w:val="0"/>
          <w:sz w:val="32"/>
          <w:szCs w:val="32"/>
          <w14:textFill>
            <w14:solidFill>
              <w14:schemeClr w14:val="tx1"/>
            </w14:solidFill>
          </w14:textFill>
        </w:rPr>
      </w:pPr>
      <w:r>
        <w:rPr>
          <w:rFonts w:hint="default" w:ascii="Times New Roman" w:hAnsi="Times New Roman" w:eastAsia="楷体_GB2312" w:cs="Times New Roman"/>
          <w:i w:val="0"/>
          <w:iCs w:val="0"/>
          <w:caps w:val="0"/>
          <w:color w:val="000000" w:themeColor="text1"/>
          <w:spacing w:val="0"/>
          <w:sz w:val="32"/>
          <w:szCs w:val="32"/>
          <w:shd w:val="clear" w:fill="FFFFFF"/>
          <w14:textFill>
            <w14:solidFill>
              <w14:schemeClr w14:val="tx1"/>
            </w14:solidFill>
          </w14:textFill>
        </w:rPr>
        <w:t>（二）依申请公开</w:t>
      </w:r>
      <w:r>
        <w:rPr>
          <w:rFonts w:hint="default" w:ascii="Times New Roman" w:hAnsi="Times New Roman" w:eastAsia="楷体_GB2312" w:cs="Times New Roman"/>
          <w:i w:val="0"/>
          <w:iCs w:val="0"/>
          <w:caps w:val="0"/>
          <w:color w:val="000000" w:themeColor="text1"/>
          <w:spacing w:val="0"/>
          <w:sz w:val="32"/>
          <w:szCs w:val="32"/>
          <w:shd w:val="clear" w:fill="FFFFFF"/>
          <w:lang w:val="en-US" w:eastAsia="zh-CN"/>
          <w14:textFill>
            <w14:solidFill>
              <w14:schemeClr w14:val="tx1"/>
            </w14:solidFill>
          </w14:textFill>
        </w:rPr>
        <w:t>工作方面。</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202</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3</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年，我镇未收到政府信息公开申请。</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pPr>
      <w:r>
        <w:rPr>
          <w:rFonts w:hint="default" w:ascii="Times New Roman" w:hAnsi="Times New Roman" w:eastAsia="楷体_GB2312" w:cs="Times New Roman"/>
          <w:i w:val="0"/>
          <w:color w:val="000000" w:themeColor="text1"/>
          <w:kern w:val="0"/>
          <w:sz w:val="32"/>
          <w:szCs w:val="32"/>
          <w:shd w:val="clear" w:color="auto" w:fill="FFFFFF"/>
          <w:lang w:val="en-US" w:eastAsia="zh-CN" w:bidi="ar"/>
          <w14:textFill>
            <w14:solidFill>
              <w14:schemeClr w14:val="tx1"/>
            </w14:solidFill>
          </w14:textFill>
        </w:rPr>
        <w:t>（三）政府信息管理方面。</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一是</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强化</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专人负责</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方面。</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安排专人负责日常政务公开工作</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，为工作开展</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做好</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人员保障，全镇政务公开工作制度向制度化、规范化方向发展。</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二是</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强化信息保密方面。秉承“</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应公开的及时公开、不公开的决不公开</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”原则，健全政府信息公开保密审查制度和责任追究制度，规范审查程序</w:t>
      </w:r>
      <w:r>
        <w:rPr>
          <w:rFonts w:hint="default"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健全</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信息发布保密审查和责任追究制度；</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对各部门每年不予公开的信息以及申请公开较为集中的信息和文件进行全面自查备案。</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严格落实保密审查机制，明确责任人分管负责，开展保密审查时应履行审查审批手续。三是</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强化规范性文件方面。202</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3</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年威海市文登区</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侯家镇</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人民政府未制发或废止规范性文件。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pPr>
      <w:r>
        <w:rPr>
          <w:rFonts w:hint="default" w:ascii="Times New Roman" w:hAnsi="Times New Roman" w:eastAsia="楷体_GB2312" w:cs="Times New Roman"/>
          <w:b w:val="0"/>
          <w:bCs/>
          <w:color w:val="000000" w:themeColor="text1"/>
          <w:sz w:val="32"/>
          <w:szCs w:val="32"/>
          <w:lang w:eastAsia="zh-CN"/>
          <w14:textFill>
            <w14:solidFill>
              <w14:schemeClr w14:val="tx1"/>
            </w14:solidFill>
          </w14:textFill>
        </w:rPr>
        <w:t>（四）</w:t>
      </w:r>
      <w:r>
        <w:rPr>
          <w:rFonts w:hint="default" w:ascii="Times New Roman" w:hAnsi="Times New Roman" w:eastAsia="楷体_GB2312" w:cs="Times New Roman"/>
          <w:b w:val="0"/>
          <w:bCs/>
          <w:color w:val="000000" w:themeColor="text1"/>
          <w:sz w:val="32"/>
          <w:szCs w:val="32"/>
          <w:lang w:val="en-US" w:eastAsia="zh-CN"/>
          <w14:textFill>
            <w14:solidFill>
              <w14:schemeClr w14:val="tx1"/>
            </w14:solidFill>
          </w14:textFill>
        </w:rPr>
        <w:t>平台建设方面。</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202</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3</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年，我镇通过威海市文登区人民政府网站和“</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灵秀龙乡和美侯家</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”微信公众号2个政务公开平台全年不定期更新发布基本情况、工作动态。</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“线上+线下”渠道双结合，</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在</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侯家镇便民服务中心一楼大厅设置政务公开专区，提供各类服务指南和手册等资料，供群众查阅相关信息</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，进一步推动政务公开标准化、规范</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化</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；继续完善各种规章制度，依法、按时公开各种政府信息，积极受理和回复政府信息公开申请。</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pPr>
      <w:r>
        <w:rPr>
          <w:rFonts w:hint="default" w:ascii="Times New Roman" w:hAnsi="Times New Roman" w:eastAsia="楷体_GB2312" w:cs="Times New Roman"/>
          <w:i w:val="0"/>
          <w:color w:val="000000" w:themeColor="text1"/>
          <w:kern w:val="0"/>
          <w:sz w:val="32"/>
          <w:szCs w:val="32"/>
          <w:shd w:val="clear" w:color="auto" w:fill="FFFFFF"/>
          <w:lang w:val="en-US" w:eastAsia="zh-CN" w:bidi="ar"/>
          <w14:textFill>
            <w14:solidFill>
              <w14:schemeClr w14:val="tx1"/>
            </w14:solidFill>
          </w14:textFill>
        </w:rPr>
        <w:t>（五）监督保障方面。</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我镇持续强化“工作人员—分管负责人—主要负责人”三级监督机制监督作用，监督建立健全信息公开工作制度，定期对信息公开工作开展情况进行检查。</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积极举办</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政府开放日活动，开展部门业务政策讲解活动</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，促进政民互动交流，强化社会监督，进一步提升政务公开标准化规范化水平，推动政务公开工作再上新台阶。</w:t>
      </w:r>
    </w:p>
    <w:p>
      <w:pPr>
        <w:rPr>
          <w:rFonts w:hint="default" w:ascii="Times New Roman" w:hAnsi="Times New Roman" w:cs="Times New Roman"/>
        </w:rPr>
      </w:pP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br w:type="page"/>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000000" w:themeColor="text1"/>
          <w:spacing w:val="0"/>
          <w:sz w:val="32"/>
          <w:szCs w:val="32"/>
          <w:shd w:val="clear" w:fill="FFFFFF"/>
          <w14:textFill>
            <w14:solidFill>
              <w14:schemeClr w14:val="tx1"/>
            </w14:solidFill>
          </w14:textFill>
        </w:rPr>
      </w:pPr>
      <w:r>
        <w:rPr>
          <w:rFonts w:hint="default" w:ascii="Times New Roman" w:hAnsi="Times New Roman" w:eastAsia="黑体" w:cs="Times New Roman"/>
          <w:b w:val="0"/>
          <w:bCs/>
          <w:i w:val="0"/>
          <w:caps w:val="0"/>
          <w:color w:val="000000" w:themeColor="text1"/>
          <w:spacing w:val="0"/>
          <w:sz w:val="32"/>
          <w:szCs w:val="32"/>
          <w:shd w:val="clear" w:fill="FFFFFF"/>
          <w14:textFill>
            <w14:solidFill>
              <w14:schemeClr w14:val="tx1"/>
            </w14:solidFill>
          </w14:textFill>
        </w:rPr>
        <w:t>二、主动公开政府信息情况</w:t>
      </w:r>
    </w:p>
    <w:tbl>
      <w:tblPr>
        <w:tblStyle w:val="4"/>
        <w:tblW w:w="8824" w:type="dxa"/>
        <w:jc w:val="center"/>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第二十条第（一）项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现行有效件数</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pPr>
            <w: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pPr>
            <w: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pPr>
            <w: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t>0</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pPr>
            <w: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pPr>
            <w: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pPr>
            <w: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t>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第二十条第（五）项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第二十条第（六）项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pPr>
            <w: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t>0</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pPr>
            <w: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t>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第二十条第（八）项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本年收费金额（单位：万元）</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themeColor="text1"/>
                <w:kern w:val="0"/>
                <w:szCs w:val="21"/>
                <w:lang w:val="en-US" w:eastAsia="zh-CN"/>
                <w14:textFill>
                  <w14:solidFill>
                    <w14:schemeClr w14:val="tx1"/>
                  </w14:solidFill>
                </w14:textFill>
              </w:rPr>
              <w:t>0</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i w:val="0"/>
          <w:caps w:val="0"/>
          <w:color w:val="000000" w:themeColor="text1"/>
          <w:spacing w:val="0"/>
          <w:kern w:val="0"/>
          <w:sz w:val="32"/>
          <w:szCs w:val="32"/>
          <w:shd w:val="clear" w:fill="FFFFFF"/>
          <w:lang w:val="en-US" w:eastAsia="zh-CN" w:bidi="ar"/>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i w:val="0"/>
          <w:caps w:val="0"/>
          <w:color w:val="000000" w:themeColor="text1"/>
          <w:spacing w:val="0"/>
          <w:kern w:val="0"/>
          <w:sz w:val="32"/>
          <w:szCs w:val="32"/>
          <w:shd w:val="clear" w:fill="FFFFFF"/>
          <w:lang w:val="en-US" w:eastAsia="zh-CN" w:bidi="ar"/>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i w:val="0"/>
          <w:caps w:val="0"/>
          <w:color w:val="000000" w:themeColor="text1"/>
          <w:spacing w:val="0"/>
          <w:kern w:val="0"/>
          <w:sz w:val="32"/>
          <w:szCs w:val="32"/>
          <w:shd w:val="clear" w:fill="FFFFFF"/>
          <w:lang w:val="en-US" w:eastAsia="zh-CN" w:bidi="ar"/>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i w:val="0"/>
          <w:caps w:val="0"/>
          <w:color w:val="000000" w:themeColor="text1"/>
          <w:spacing w:val="0"/>
          <w:kern w:val="0"/>
          <w:sz w:val="32"/>
          <w:szCs w:val="32"/>
          <w:shd w:val="clear" w:fill="FFFFFF"/>
          <w:lang w:val="en-US" w:eastAsia="zh-CN" w:bidi="ar"/>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i w:val="0"/>
          <w:caps w:val="0"/>
          <w:color w:val="000000" w:themeColor="text1"/>
          <w:spacing w:val="0"/>
          <w:kern w:val="0"/>
          <w:sz w:val="32"/>
          <w:szCs w:val="32"/>
          <w:shd w:val="clear" w:fill="FFFFFF"/>
          <w:lang w:val="en-US" w:eastAsia="zh-CN" w:bidi="ar"/>
          <w14:textFill>
            <w14:solidFill>
              <w14:schemeClr w14:val="tx1"/>
            </w14:solidFill>
          </w14:textFill>
        </w:rPr>
      </w:pPr>
    </w:p>
    <w:p>
      <w:pPr>
        <w:pStyle w:val="2"/>
        <w:rPr>
          <w:rFonts w:hint="default" w:ascii="Times New Roman" w:hAnsi="Times New Roman" w:cs="Times New Roman"/>
          <w:lang w:val="en-US" w:eastAsia="zh-CN"/>
        </w:rPr>
      </w:pPr>
    </w:p>
    <w:p>
      <w:pPr>
        <w:rPr>
          <w:rFonts w:hint="default" w:ascii="Times New Roman" w:hAnsi="Times New Roman" w:cs="Times New Roman"/>
          <w:lang w:val="en-US" w:eastAsia="zh-CN"/>
        </w:rPr>
      </w:pPr>
      <w:r>
        <w:rPr>
          <w:rFonts w:hint="default" w:ascii="Times New Roman" w:hAnsi="Times New Roman" w:eastAsia="黑体" w:cs="Times New Roman"/>
          <w:b w:val="0"/>
          <w:bCs/>
          <w:i w:val="0"/>
          <w:caps w:val="0"/>
          <w:color w:val="000000" w:themeColor="text1"/>
          <w:spacing w:val="0"/>
          <w:kern w:val="0"/>
          <w:sz w:val="32"/>
          <w:szCs w:val="32"/>
          <w:shd w:val="clear" w:fill="FFFFFF"/>
          <w:lang w:val="en-US" w:eastAsia="zh-CN" w:bidi="ar"/>
          <w14:textFill>
            <w14:solidFill>
              <w14:schemeClr w14:val="tx1"/>
            </w14:solidFill>
          </w14:textFill>
        </w:rPr>
        <w:br w:type="page"/>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lang w:val="en-US" w:eastAsia="zh-CN"/>
        </w:rPr>
      </w:pPr>
      <w:r>
        <w:rPr>
          <w:rFonts w:hint="default" w:ascii="Times New Roman" w:hAnsi="Times New Roman" w:eastAsia="黑体" w:cs="Times New Roman"/>
          <w:b w:val="0"/>
          <w:bCs/>
          <w:i w:val="0"/>
          <w:caps w:val="0"/>
          <w:color w:val="000000" w:themeColor="text1"/>
          <w:spacing w:val="0"/>
          <w:kern w:val="0"/>
          <w:sz w:val="32"/>
          <w:szCs w:val="32"/>
          <w:shd w:val="clear" w:fill="FFFFFF"/>
          <w:lang w:val="en-US" w:eastAsia="zh-CN" w:bidi="ar"/>
          <w14:textFill>
            <w14:solidFill>
              <w14:schemeClr w14:val="tx1"/>
            </w14:solidFill>
          </w14:textFill>
        </w:rPr>
        <w:t>三、收到和处理政府信息公开申请情况</w:t>
      </w:r>
    </w:p>
    <w:tbl>
      <w:tblPr>
        <w:tblStyle w:val="4"/>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2"/>
        <w:gridCol w:w="545"/>
        <w:gridCol w:w="5"/>
        <w:gridCol w:w="4"/>
        <w:gridCol w:w="4"/>
        <w:gridCol w:w="3"/>
        <w:gridCol w:w="3"/>
        <w:gridCol w:w="3"/>
        <w:gridCol w:w="518"/>
        <w:gridCol w:w="720"/>
        <w:gridCol w:w="675"/>
        <w:gridCol w:w="525"/>
        <w:gridCol w:w="1"/>
        <w:gridCol w:w="7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093" w:type="dxa"/>
            <w:gridSpan w:val="3"/>
            <w:vMerge w:val="restart"/>
            <w:shd w:val="clear" w:color="auto" w:fill="auto"/>
            <w:tcMar>
              <w:left w:w="108" w:type="dxa"/>
              <w:right w:w="108" w:type="dxa"/>
            </w:tcMar>
            <w:vAlign w:val="center"/>
          </w:tcPr>
          <w:p>
            <w:pPr>
              <w:widowControl/>
              <w:jc w:val="center"/>
              <w:rPr>
                <w:rFonts w:hint="default" w:ascii="Times New Roman" w:hAnsi="Times New Roman" w:eastAsia="楷体_GB2312" w:cs="Times New Roman"/>
                <w:kern w:val="0"/>
                <w:szCs w:val="21"/>
              </w:rPr>
            </w:pPr>
            <w:r>
              <w:rPr>
                <w:rFonts w:hint="default" w:ascii="Times New Roman" w:hAnsi="Times New Roman" w:eastAsia="楷体_GB2312" w:cs="Times New Roman"/>
                <w:kern w:val="0"/>
                <w:szCs w:val="21"/>
              </w:rPr>
              <w:t>（本列数据的勾稽关系为：第一项加第二项之和，</w:t>
            </w:r>
          </w:p>
          <w:p>
            <w:pPr>
              <w:widowControl/>
              <w:jc w:val="center"/>
              <w:rPr>
                <w:rFonts w:hint="default" w:ascii="Times New Roman" w:hAnsi="Times New Roman" w:eastAsia="仿宋_GB2312" w:cs="Times New Roman"/>
                <w:szCs w:val="21"/>
              </w:rPr>
            </w:pPr>
            <w:r>
              <w:rPr>
                <w:rFonts w:hint="default" w:ascii="Times New Roman" w:hAnsi="Times New Roman" w:eastAsia="楷体_GB2312" w:cs="Times New Roman"/>
                <w:kern w:val="0"/>
                <w:szCs w:val="21"/>
              </w:rPr>
              <w:t>等于第三项加第四项之和）</w:t>
            </w:r>
          </w:p>
        </w:tc>
        <w:tc>
          <w:tcPr>
            <w:tcW w:w="4448" w:type="dxa"/>
            <w:gridSpan w:val="14"/>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093" w:type="dxa"/>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szCs w:val="21"/>
              </w:rPr>
            </w:pPr>
          </w:p>
        </w:tc>
        <w:tc>
          <w:tcPr>
            <w:tcW w:w="742" w:type="dxa"/>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自然人</w:t>
            </w:r>
          </w:p>
        </w:tc>
        <w:tc>
          <w:tcPr>
            <w:tcW w:w="3005" w:type="dxa"/>
            <w:gridSpan w:val="11"/>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法人或其他组织</w:t>
            </w:r>
          </w:p>
        </w:tc>
        <w:tc>
          <w:tcPr>
            <w:tcW w:w="701" w:type="dxa"/>
            <w:gridSpan w:val="2"/>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093" w:type="dxa"/>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szCs w:val="21"/>
              </w:rPr>
            </w:pPr>
          </w:p>
        </w:tc>
        <w:tc>
          <w:tcPr>
            <w:tcW w:w="742" w:type="dxa"/>
            <w:vMerge w:val="continue"/>
            <w:shd w:val="clear" w:color="auto" w:fill="auto"/>
            <w:tcMar>
              <w:left w:w="108" w:type="dxa"/>
              <w:right w:w="108" w:type="dxa"/>
            </w:tcMar>
            <w:vAlign w:val="center"/>
          </w:tcPr>
          <w:p>
            <w:pPr>
              <w:jc w:val="center"/>
              <w:rPr>
                <w:rFonts w:hint="default" w:ascii="Times New Roman" w:hAnsi="Times New Roman" w:eastAsia="黑体" w:cs="Times New Roman"/>
                <w:szCs w:val="21"/>
              </w:rPr>
            </w:pPr>
          </w:p>
        </w:tc>
        <w:tc>
          <w:tcPr>
            <w:tcW w:w="545" w:type="dxa"/>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商业企业</w:t>
            </w:r>
          </w:p>
        </w:tc>
        <w:tc>
          <w:tcPr>
            <w:tcW w:w="540" w:type="dxa"/>
            <w:gridSpan w:val="7"/>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其他</w:t>
            </w:r>
          </w:p>
        </w:tc>
        <w:tc>
          <w:tcPr>
            <w:tcW w:w="701" w:type="dxa"/>
            <w:gridSpan w:val="2"/>
            <w:vMerge w:val="continue"/>
            <w:shd w:val="clear" w:color="auto" w:fill="auto"/>
            <w:tcMar>
              <w:left w:w="108" w:type="dxa"/>
              <w:right w:w="108" w:type="dxa"/>
            </w:tcMar>
            <w:vAlign w:val="center"/>
          </w:tcPr>
          <w:p>
            <w:pPr>
              <w:jc w:val="center"/>
              <w:rPr>
                <w:rFonts w:hint="default" w:ascii="Times New Roman" w:hAnsi="Times New Roman" w:eastAsia="仿宋_GB2312" w:cs="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093" w:type="dxa"/>
            <w:gridSpan w:val="3"/>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一、</w:t>
            </w:r>
            <w:bookmarkStart w:id="1" w:name="_Hlk66973412"/>
            <w:r>
              <w:rPr>
                <w:rFonts w:hint="default" w:ascii="Times New Roman" w:hAnsi="Times New Roman" w:eastAsia="黑体" w:cs="Times New Roman"/>
                <w:kern w:val="0"/>
                <w:szCs w:val="21"/>
              </w:rPr>
              <w:t>本年新收政府信息公开申请数量</w:t>
            </w:r>
            <w:bookmarkEnd w:id="1"/>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4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093" w:type="dxa"/>
            <w:gridSpan w:val="3"/>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二、上年结转政府信息公开申请数量</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4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restart"/>
            <w:shd w:val="clear" w:color="auto" w:fill="auto"/>
            <w:tcMar>
              <w:left w:w="108" w:type="dxa"/>
              <w:right w:w="108" w:type="dxa"/>
            </w:tcMar>
            <w:vAlign w:val="center"/>
          </w:tcPr>
          <w:p>
            <w:pPr>
              <w:widowControl/>
              <w:spacing w:after="180"/>
              <w:rPr>
                <w:rFonts w:hint="default" w:ascii="Times New Roman" w:hAnsi="Times New Roman" w:eastAsia="黑体" w:cs="Times New Roman"/>
                <w:szCs w:val="21"/>
              </w:rPr>
            </w:pPr>
            <w:r>
              <w:rPr>
                <w:rFonts w:hint="default" w:ascii="Times New Roman" w:hAnsi="Times New Roman" w:eastAsia="黑体" w:cs="Times New Roman"/>
                <w:kern w:val="0"/>
                <w:szCs w:val="21"/>
              </w:rPr>
              <w:t>三、本年度办理结果</w:t>
            </w:r>
          </w:p>
        </w:tc>
        <w:tc>
          <w:tcPr>
            <w:tcW w:w="4677" w:type="dxa"/>
            <w:gridSpan w:val="2"/>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（一）予以公开</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50"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（二）部分公开（</w:t>
            </w:r>
            <w:bookmarkStart w:id="2" w:name="_Hlk66973981"/>
            <w:r>
              <w:rPr>
                <w:rFonts w:hint="default" w:ascii="Times New Roman" w:hAnsi="Times New Roman" w:eastAsia="黑体" w:cs="Times New Roman"/>
                <w:kern w:val="0"/>
                <w:szCs w:val="21"/>
              </w:rPr>
              <w:t>区分处理的，只计这一情形，不计其他情形</w:t>
            </w:r>
            <w:bookmarkEnd w:id="2"/>
            <w:r>
              <w:rPr>
                <w:rFonts w:hint="default" w:ascii="Times New Roman" w:hAnsi="Times New Roman" w:eastAsia="黑体" w:cs="Times New Roman"/>
                <w:kern w:val="0"/>
                <w:szCs w:val="21"/>
              </w:rPr>
              <w:t>）</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50"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（三）不予公开</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1.属于国家秘密</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50"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3" w:name="_Hlk66974104"/>
            <w:r>
              <w:rPr>
                <w:rFonts w:hint="default" w:ascii="Times New Roman" w:hAnsi="Times New Roman" w:eastAsia="仿宋_GB2312" w:cs="Times New Roman"/>
                <w:kern w:val="0"/>
                <w:szCs w:val="21"/>
              </w:rPr>
              <w:t>其他法律行政法规禁止公开</w:t>
            </w:r>
            <w:bookmarkEnd w:id="3"/>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5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3.危及“三安全一稳定”</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5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4.</w:t>
            </w:r>
            <w:bookmarkStart w:id="4" w:name="_Hlk66974290"/>
            <w:r>
              <w:rPr>
                <w:rFonts w:hint="default" w:ascii="Times New Roman" w:hAnsi="Times New Roman" w:eastAsia="仿宋_GB2312" w:cs="Times New Roman"/>
                <w:kern w:val="0"/>
                <w:szCs w:val="21"/>
              </w:rPr>
              <w:t>保护第三方合法权益</w:t>
            </w:r>
            <w:bookmarkEnd w:id="4"/>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5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5.属于三类内部事务信息</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58"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6.</w:t>
            </w:r>
            <w:bookmarkStart w:id="5" w:name="_Hlk66974555"/>
            <w:r>
              <w:rPr>
                <w:rFonts w:hint="default" w:ascii="Times New Roman" w:hAnsi="Times New Roman" w:eastAsia="仿宋_GB2312" w:cs="Times New Roman"/>
                <w:kern w:val="0"/>
                <w:szCs w:val="21"/>
              </w:rPr>
              <w:t>属于四类过程性信息</w:t>
            </w:r>
            <w:bookmarkEnd w:id="5"/>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58"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7.属于行政执法案卷</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58"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lang w:eastAsia="zh-CN"/>
              </w:rPr>
            </w:pPr>
            <w:r>
              <w:rPr>
                <w:rFonts w:hint="default" w:ascii="Times New Roman" w:hAnsi="Times New Roman" w:eastAsia="黑体" w:cs="Times New Roman"/>
                <w:szCs w:val="21"/>
                <w:lang w:eastAsia="zh-CN"/>
              </w:rPr>
              <w:t>0</w:t>
            </w: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8.</w:t>
            </w:r>
            <w:bookmarkStart w:id="6" w:name="_Hlk66975211"/>
            <w:r>
              <w:rPr>
                <w:rFonts w:hint="default" w:ascii="Times New Roman" w:hAnsi="Times New Roman" w:eastAsia="仿宋_GB2312" w:cs="Times New Roman"/>
                <w:kern w:val="0"/>
                <w:szCs w:val="21"/>
              </w:rPr>
              <w:t>属于行政查询事项</w:t>
            </w:r>
            <w:bookmarkEnd w:id="6"/>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58"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lang w:eastAsia="zh-CN"/>
              </w:rPr>
            </w:pPr>
            <w:r>
              <w:rPr>
                <w:rFonts w:hint="default" w:ascii="Times New Roman" w:hAnsi="Times New Roman" w:eastAsia="黑体" w:cs="Times New Roman"/>
                <w:szCs w:val="21"/>
                <w:lang w:eastAsia="zh-CN"/>
              </w:rPr>
              <w:t>0</w:t>
            </w: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（四）无法提供</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1.本机关不掌握相关政府信息</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6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7" w:name="_Hlk66975392"/>
            <w:r>
              <w:rPr>
                <w:rFonts w:hint="default" w:ascii="Times New Roman" w:hAnsi="Times New Roman" w:eastAsia="仿宋_GB2312" w:cs="Times New Roman"/>
                <w:kern w:val="0"/>
                <w:szCs w:val="21"/>
              </w:rPr>
              <w:t>没有现成信息需要另行制作</w:t>
            </w:r>
            <w:bookmarkEnd w:id="7"/>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6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w:t>
            </w:r>
            <w:bookmarkStart w:id="8" w:name="_Hlk66975466"/>
            <w:r>
              <w:rPr>
                <w:rFonts w:hint="default" w:ascii="Times New Roman" w:hAnsi="Times New Roman" w:eastAsia="仿宋_GB2312" w:cs="Times New Roman"/>
                <w:kern w:val="0"/>
                <w:szCs w:val="21"/>
              </w:rPr>
              <w:t>补正后申请内容仍不明确</w:t>
            </w:r>
            <w:bookmarkEnd w:id="8"/>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6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（五）不予处理</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w:t>
            </w:r>
            <w:bookmarkStart w:id="9" w:name="_Hlk66975537"/>
            <w:r>
              <w:rPr>
                <w:rFonts w:hint="default" w:ascii="Times New Roman" w:hAnsi="Times New Roman" w:eastAsia="仿宋_GB2312" w:cs="Times New Roman"/>
                <w:kern w:val="0"/>
                <w:szCs w:val="21"/>
              </w:rPr>
              <w:t>信访举报投诉类申请</w:t>
            </w:r>
            <w:bookmarkEnd w:id="9"/>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6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2.重复申请</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64"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lang w:eastAsia="zh-CN"/>
              </w:rPr>
            </w:pPr>
            <w:r>
              <w:rPr>
                <w:rFonts w:hint="default" w:ascii="Times New Roman" w:hAnsi="Times New Roman" w:eastAsia="黑体" w:cs="Times New Roman"/>
                <w:szCs w:val="21"/>
                <w:lang w:eastAsia="zh-CN"/>
              </w:rPr>
              <w:t>0</w:t>
            </w: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3.要求提供公开出版物</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64"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4.无正当理由大量反复申请</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64"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5.要求行政机关确认或重新</w:t>
            </w:r>
          </w:p>
          <w:p>
            <w:pPr>
              <w:widowControl/>
              <w:spacing w:line="300" w:lineRule="exact"/>
              <w:ind w:firstLine="210" w:firstLineChars="100"/>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出具已获取信息</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64"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（六）其他处理</w:t>
            </w:r>
          </w:p>
        </w:tc>
        <w:tc>
          <w:tcPr>
            <w:tcW w:w="2976" w:type="dxa"/>
            <w:shd w:val="clear" w:color="auto" w:fill="auto"/>
            <w:vAlign w:val="center"/>
          </w:tcPr>
          <w:p>
            <w:pPr>
              <w:widowControl/>
              <w:spacing w:line="300" w:lineRule="exact"/>
              <w:rPr>
                <w:rFonts w:hint="default" w:ascii="Times New Roman" w:hAnsi="Times New Roman" w:eastAsia="仿宋_GB2312" w:cs="Times New Roman"/>
              </w:rPr>
            </w:pPr>
            <w:r>
              <w:rPr>
                <w:rFonts w:hint="default" w:ascii="Times New Roman" w:hAnsi="Times New Roman" w:eastAsia="仿宋_GB2312" w:cs="Times New Roman"/>
              </w:rPr>
              <w:t>1.申请人无正当理由逾期不补正、行政机关不再处理其政府信息公开申请</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67"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p>
        </w:tc>
        <w:tc>
          <w:tcPr>
            <w:tcW w:w="2976" w:type="dxa"/>
            <w:shd w:val="clear" w:color="auto" w:fill="auto"/>
            <w:vAlign w:val="center"/>
          </w:tcPr>
          <w:p>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rPr>
              <w:t>2.申请人逾期未按收费通知要求缴纳费用、行政机关不再处理其政府信息公开申请</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67"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p>
        </w:tc>
        <w:tc>
          <w:tcPr>
            <w:tcW w:w="2976" w:type="dxa"/>
            <w:shd w:val="clear" w:color="auto" w:fill="auto"/>
            <w:vAlign w:val="center"/>
          </w:tcPr>
          <w:p>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rPr>
              <w:t>3.其他</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67"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（七）总计</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58"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093" w:type="dxa"/>
            <w:gridSpan w:val="3"/>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四、结转下年度继续办理</w:t>
            </w:r>
          </w:p>
        </w:tc>
        <w:tc>
          <w:tcPr>
            <w:tcW w:w="74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58"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000000" w:themeColor="text1"/>
                <w:szCs w:val="21"/>
                <w:lang w:val="en-US" w:eastAsia="zh-CN"/>
                <w14:textFill>
                  <w14:solidFill>
                    <w14:schemeClr w14:val="tx1"/>
                  </w14:solidFill>
                </w14:textFill>
              </w:rPr>
            </w:pPr>
            <w:r>
              <w:rPr>
                <w:rFonts w:hint="default" w:ascii="Times New Roman" w:hAnsi="Times New Roman" w:eastAsia="仿宋_GB2312" w:cs="Times New Roman"/>
                <w:color w:val="000000" w:themeColor="text1"/>
                <w:szCs w:val="21"/>
                <w:lang w:val="en-US" w:eastAsia="zh-CN"/>
                <w14:textFill>
                  <w14:solidFill>
                    <w14:schemeClr w14:val="tx1"/>
                  </w14:solidFill>
                </w14:textFill>
              </w:rPr>
              <w:t>0</w:t>
            </w:r>
          </w:p>
        </w:tc>
      </w:tr>
    </w:tbl>
    <w:p>
      <w:pPr>
        <w:jc w:val="center"/>
        <w:rPr>
          <w:rFonts w:hint="default" w:ascii="Times New Roman" w:hAnsi="Times New Roman" w:cs="Times New Roman"/>
          <w:lang w:val="en-US" w:eastAsia="zh-CN"/>
        </w:rPr>
      </w:pPr>
      <w:r>
        <w:rPr>
          <w:rFonts w:hint="default" w:ascii="Times New Roman" w:hAnsi="Times New Roman" w:cs="Times New Roman"/>
          <w:lang w:val="en-US" w:eastAsia="zh-CN"/>
        </w:rPr>
        <w:br w:type="page"/>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i w:val="0"/>
          <w:caps w:val="0"/>
          <w:color w:val="000000" w:themeColor="text1"/>
          <w:spacing w:val="0"/>
          <w:kern w:val="0"/>
          <w:sz w:val="32"/>
          <w:szCs w:val="32"/>
          <w:shd w:val="clear" w:fill="FFFFFF"/>
          <w:lang w:val="en-US" w:eastAsia="zh-CN" w:bidi="ar"/>
          <w14:textFill>
            <w14:solidFill>
              <w14:schemeClr w14:val="tx1"/>
            </w14:solidFill>
          </w14:textFill>
        </w:rPr>
      </w:pPr>
      <w:r>
        <w:rPr>
          <w:rFonts w:hint="default" w:ascii="Times New Roman" w:hAnsi="Times New Roman" w:eastAsia="黑体" w:cs="Times New Roman"/>
          <w:b w:val="0"/>
          <w:bCs/>
          <w:i w:val="0"/>
          <w:caps w:val="0"/>
          <w:color w:val="000000" w:themeColor="text1"/>
          <w:spacing w:val="0"/>
          <w:kern w:val="0"/>
          <w:sz w:val="32"/>
          <w:szCs w:val="32"/>
          <w:shd w:val="clear" w:fill="FFFFFF"/>
          <w:lang w:val="en-US" w:eastAsia="zh-CN" w:bidi="ar"/>
          <w14:textFill>
            <w14:solidFill>
              <w14:schemeClr w14:val="tx1"/>
            </w14:solidFill>
          </w14:textFill>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pPr>
              <w:widowControl/>
              <w:ind w:left="-149" w:leftChars="-71" w:right="-170" w:rightChars="-8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pPr>
              <w:widowControl/>
              <w:ind w:left="-118" w:leftChars="-56" w:right="-118" w:rightChars="-56"/>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总</w:t>
            </w:r>
          </w:p>
          <w:p>
            <w:pPr>
              <w:widowControl/>
              <w:spacing w:line="320" w:lineRule="exact"/>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bookmarkStart w:id="10" w:name="_Hlk67039688"/>
            <w:r>
              <w:rPr>
                <w:rFonts w:hint="default" w:ascii="Times New Roman" w:hAnsi="Times New Roman" w:eastAsia="黑体" w:cs="Times New Roman"/>
                <w:kern w:val="0"/>
                <w:sz w:val="20"/>
                <w:szCs w:val="20"/>
              </w:rPr>
              <w:t>复议后起诉</w:t>
            </w:r>
            <w:bookmarkEnd w:id="10"/>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pPr>
              <w:widowControl/>
              <w:ind w:left="-126" w:leftChars="-60" w:right="-136" w:rightChars="-65"/>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pPr>
              <w:widowControl/>
              <w:ind w:left="-164" w:leftChars="-78" w:right="-153" w:rightChars="-73"/>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pPr>
              <w:widowControl/>
              <w:ind w:left="-136" w:leftChars="-65" w:right="-124" w:rightChars="-59"/>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pPr>
              <w:widowControl/>
              <w:ind w:left="-173" w:leftChars="-83" w:right="-134" w:rightChars="-64" w:hanging="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before="180" w:after="180"/>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before="180" w:after="180"/>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before="180" w:after="180"/>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before="180" w:after="180"/>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before="180" w:after="180"/>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before="180" w:after="180"/>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before="180" w:after="180"/>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before="180" w:after="180"/>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before="180" w:after="180"/>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before="180" w:after="180"/>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before="180" w:after="180"/>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before="180" w:after="180"/>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before="180" w:after="180"/>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before="180" w:after="180"/>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before="180" w:after="180"/>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r>
    </w:tbl>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黑体" w:cs="Times New Roman"/>
          <w:b w:val="0"/>
          <w:bCs/>
          <w:i w:val="0"/>
          <w:caps w:val="0"/>
          <w:color w:val="000000" w:themeColor="text1"/>
          <w:spacing w:val="0"/>
          <w:kern w:val="0"/>
          <w:sz w:val="32"/>
          <w:szCs w:val="32"/>
          <w:shd w:val="clear" w:fill="FFFFFF"/>
          <w:lang w:val="en-US" w:eastAsia="zh-CN" w:bidi="ar"/>
          <w14:textFill>
            <w14:solidFill>
              <w14:schemeClr w14:val="tx1"/>
            </w14:solidFill>
          </w14:textFill>
        </w:rPr>
      </w:pPr>
      <w:r>
        <w:rPr>
          <w:rFonts w:hint="default" w:ascii="Times New Roman" w:hAnsi="Times New Roman" w:eastAsia="黑体" w:cs="Times New Roman"/>
          <w:b w:val="0"/>
          <w:bCs/>
          <w:i w:val="0"/>
          <w:caps w:val="0"/>
          <w:color w:val="000000" w:themeColor="text1"/>
          <w:spacing w:val="0"/>
          <w:kern w:val="0"/>
          <w:sz w:val="32"/>
          <w:szCs w:val="32"/>
          <w:shd w:val="clear" w:fill="FFFFFF"/>
          <w:lang w:val="en-US" w:eastAsia="zh-CN" w:bidi="ar"/>
          <w14:textFill>
            <w14:solidFill>
              <w14:schemeClr w14:val="tx1"/>
            </w14:solidFill>
          </w14:textFill>
        </w:rPr>
        <w:t>五、存在的主要问题及改进情况</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pP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202</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3</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年，我镇政府信息公开工作虽取得了一定</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成效</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，但也存在一些问题，主要表现在：一是信息发布的时效性和深入性有欠缺；二是政务公开形式</w:t>
      </w:r>
      <w:r>
        <w:rPr>
          <w:rFonts w:hint="default"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内容</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单一</w:t>
      </w:r>
      <w:r>
        <w:rPr>
          <w:rFonts w:hint="default"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三是</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公开的主动性、及时性不足，长期坚持性欠缺。</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000000" w:themeColor="text1"/>
          <w:spacing w:val="0"/>
          <w:sz w:val="32"/>
          <w:szCs w:val="32"/>
          <w:lang w:eastAsia="zh-CN"/>
          <w14:textFill>
            <w14:solidFill>
              <w14:schemeClr w14:val="tx1"/>
            </w14:solidFill>
          </w14:textFill>
        </w:rPr>
      </w:pP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对此，我镇着力从以下几方面下手，</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逐步将</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政务公开工作</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完善。一是</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实行分类指导，认真总结典型经验，及时推广。对政务公开困难大、问题多的地方，真正做到了深入剖析，找准问题，切实解决，促使本年政务公开工作规范开展</w:t>
      </w:r>
      <w:r>
        <w:rPr>
          <w:rFonts w:hint="default"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二是</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持续创新工作方法，狠抓工作难点，突出工作重点</w:t>
      </w:r>
      <w:r>
        <w:rPr>
          <w:rFonts w:hint="default"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强化信息报送工作力度，使信息公开业务更加有序、便民、高效，保障广大人民群众的知情权、参与权</w:t>
      </w:r>
      <w:r>
        <w:rPr>
          <w:rFonts w:hint="default"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三</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是加大培训指导力度</w:t>
      </w:r>
      <w:r>
        <w:rPr>
          <w:rFonts w:hint="default"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加强沟通，</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进一步加强业务工作人员对《条例》的培训学习，</w:t>
      </w:r>
      <w:r>
        <w:rPr>
          <w:rFonts w:hint="default" w:ascii="Times New Roman" w:hAnsi="Times New Roman" w:eastAsia="仿宋_GB2312" w:cs="Times New Roman"/>
          <w:i w:val="0"/>
          <w:iCs w:val="0"/>
          <w:caps w:val="0"/>
          <w:color w:val="000000" w:themeColor="text1"/>
          <w:spacing w:val="0"/>
          <w:sz w:val="32"/>
          <w:szCs w:val="32"/>
          <w:lang w:eastAsia="zh-CN"/>
          <w14:textFill>
            <w14:solidFill>
              <w14:schemeClr w14:val="tx1"/>
            </w14:solidFill>
          </w14:textFill>
        </w:rPr>
        <w:t>加强相关工作人员的操作能力培训，确保工作人员能够</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熟练掌握政务公开操作流程</w:t>
      </w:r>
      <w:r>
        <w:rPr>
          <w:rFonts w:hint="default" w:ascii="Times New Roman" w:hAnsi="Times New Roman" w:eastAsia="仿宋_GB2312" w:cs="Times New Roman"/>
          <w:i w:val="0"/>
          <w:iCs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依法依规做好依申请公开受理、处理和答复等各项功能，提升政务公开水平</w:t>
      </w:r>
      <w:r>
        <w:rPr>
          <w:rFonts w:hint="default" w:ascii="Times New Roman" w:hAnsi="Times New Roman" w:eastAsia="仿宋_GB2312" w:cs="Times New Roman"/>
          <w:i w:val="0"/>
          <w:iCs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sz w:val="32"/>
          <w:szCs w:val="32"/>
          <w:lang w:eastAsia="zh-CN"/>
          <w14:textFill>
            <w14:solidFill>
              <w14:schemeClr w14:val="tx1"/>
            </w14:solidFill>
          </w14:textFill>
        </w:rPr>
        <w:t>提高群众对我们政府工作的满意度。</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000000" w:themeColor="text1"/>
          <w:spacing w:val="0"/>
          <w:kern w:val="0"/>
          <w:sz w:val="32"/>
          <w:szCs w:val="32"/>
          <w:shd w:val="clear" w:fill="FFFFFF"/>
          <w:lang w:val="en-US" w:eastAsia="zh-CN" w:bidi="ar"/>
          <w14:textFill>
            <w14:solidFill>
              <w14:schemeClr w14:val="tx1"/>
            </w14:solidFill>
          </w14:textFill>
        </w:rPr>
      </w:pPr>
      <w:r>
        <w:rPr>
          <w:rFonts w:hint="default" w:ascii="Times New Roman" w:hAnsi="Times New Roman" w:eastAsia="黑体" w:cs="Times New Roman"/>
          <w:b w:val="0"/>
          <w:bCs/>
          <w:i w:val="0"/>
          <w:caps w:val="0"/>
          <w:color w:val="000000" w:themeColor="text1"/>
          <w:spacing w:val="0"/>
          <w:kern w:val="0"/>
          <w:sz w:val="32"/>
          <w:szCs w:val="32"/>
          <w:shd w:val="clear" w:fill="FFFFFF"/>
          <w:lang w:val="en-US" w:eastAsia="zh-CN" w:bidi="ar"/>
          <w14:textFill>
            <w14:solidFill>
              <w14:schemeClr w14:val="tx1"/>
            </w14:solidFill>
          </w14:textFill>
        </w:rPr>
        <w:t>六、其他需要报告的事项</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eastAsia" w:ascii="Times New Roman" w:hAnsi="Times New Roman" w:eastAsia="楷体_GB2312" w:cs="Times New Roman"/>
          <w:color w:val="000000" w:themeColor="text1"/>
          <w:sz w:val="32"/>
          <w:szCs w:val="32"/>
          <w:lang w:eastAsia="zh-CN"/>
          <w14:textFill>
            <w14:solidFill>
              <w14:schemeClr w14:val="tx1"/>
            </w14:solidFill>
          </w14:textFill>
        </w:rPr>
        <w:t>（</w:t>
      </w:r>
      <w:r>
        <w:rPr>
          <w:rFonts w:hint="eastAsia" w:ascii="Times New Roman" w:hAnsi="Times New Roman" w:eastAsia="楷体_GB2312" w:cs="Times New Roman"/>
          <w:color w:val="000000" w:themeColor="text1"/>
          <w:sz w:val="32"/>
          <w:szCs w:val="32"/>
          <w:lang w:val="en-US" w:eastAsia="zh-CN"/>
          <w14:textFill>
            <w14:solidFill>
              <w14:schemeClr w14:val="tx1"/>
            </w14:solidFill>
          </w14:textFill>
        </w:rPr>
        <w:t>一</w:t>
      </w:r>
      <w:r>
        <w:rPr>
          <w:rFonts w:hint="eastAsia" w:ascii="Times New Roman" w:hAnsi="Times New Roman" w:eastAsia="楷体_GB2312" w:cs="Times New Roman"/>
          <w:color w:val="000000" w:themeColor="text1"/>
          <w:sz w:val="32"/>
          <w:szCs w:val="32"/>
          <w:lang w:eastAsia="zh-CN"/>
          <w14:textFill>
            <w14:solidFill>
              <w14:schemeClr w14:val="tx1"/>
            </w14:solidFill>
          </w14:textFill>
        </w:rPr>
        <w:t>）</w:t>
      </w:r>
      <w:r>
        <w:rPr>
          <w:rFonts w:hint="default" w:ascii="Times New Roman" w:hAnsi="Times New Roman" w:eastAsia="楷体_GB2312" w:cs="Times New Roman"/>
          <w:color w:val="000000" w:themeColor="text1"/>
          <w:sz w:val="32"/>
          <w:szCs w:val="32"/>
          <w14:textFill>
            <w14:solidFill>
              <w14:schemeClr w14:val="tx1"/>
            </w14:solidFill>
          </w14:textFill>
        </w:rPr>
        <w:t>政府信息公开收费方面：</w:t>
      </w:r>
      <w:r>
        <w:rPr>
          <w:rFonts w:hint="default" w:ascii="Times New Roman" w:hAnsi="Times New Roman" w:eastAsia="仿宋_GB2312" w:cs="Times New Roman"/>
          <w:color w:val="000000" w:themeColor="text1"/>
          <w:sz w:val="32"/>
          <w:szCs w:val="32"/>
          <w14:textFill>
            <w14:solidFill>
              <w14:schemeClr w14:val="tx1"/>
            </w14:solidFill>
          </w14:textFill>
        </w:rPr>
        <w:t>202</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3年度本单位</w:t>
      </w:r>
      <w:r>
        <w:rPr>
          <w:rFonts w:hint="default" w:ascii="Times New Roman" w:hAnsi="Times New Roman" w:eastAsia="仿宋_GB2312" w:cs="Times New Roman"/>
          <w:color w:val="000000" w:themeColor="text1"/>
          <w:sz w:val="32"/>
          <w:szCs w:val="32"/>
          <w14:textFill>
            <w14:solidFill>
              <w14:schemeClr w14:val="tx1"/>
            </w14:solidFill>
          </w14:textFill>
        </w:rPr>
        <w:t>未收取政府信息公开信息处理费。</w:t>
      </w:r>
    </w:p>
    <w:p>
      <w:pPr>
        <w:pStyle w:val="2"/>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eastAsia" w:ascii="Times New Roman" w:hAnsi="Times New Roman" w:eastAsia="楷体_GB2312" w:cs="Times New Roman"/>
          <w:color w:val="000000" w:themeColor="text1"/>
          <w:sz w:val="32"/>
          <w:szCs w:val="32"/>
          <w:highlight w:val="none"/>
          <w:lang w:val="en-US" w:eastAsia="zh-CN"/>
          <w14:textFill>
            <w14:solidFill>
              <w14:schemeClr w14:val="tx1"/>
            </w14:solidFill>
          </w14:textFill>
        </w:rPr>
        <w:t>（二）</w:t>
      </w:r>
      <w:r>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t>人大代表建议和政协委员提案办理方面</w:t>
      </w:r>
      <w:r>
        <w:rPr>
          <w:rFonts w:hint="default" w:ascii="Times New Roman" w:hAnsi="Times New Roman" w:eastAsia="楷体_GB2312" w:cs="Times New Roman"/>
          <w:color w:val="000000" w:themeColor="text1"/>
          <w:sz w:val="32"/>
          <w:szCs w:val="32"/>
          <w:highlight w:val="none"/>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202</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3</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年</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本单位</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共承办</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区</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人大代表建议</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0</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件、政协</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委员</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提案</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0</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件。</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pPr>
      <w:r>
        <w:rPr>
          <w:rFonts w:hint="eastAsia" w:ascii="Times New Roman" w:hAnsi="Times New Roman" w:eastAsia="楷体_GB2312" w:cs="Times New Roman"/>
          <w:color w:val="000000" w:themeColor="text1"/>
          <w:sz w:val="32"/>
          <w:szCs w:val="32"/>
          <w:lang w:eastAsia="zh-CN"/>
          <w14:textFill>
            <w14:solidFill>
              <w14:schemeClr w14:val="tx1"/>
            </w14:solidFill>
          </w14:textFill>
        </w:rPr>
        <w:t>（</w:t>
      </w:r>
      <w:r>
        <w:rPr>
          <w:rFonts w:hint="eastAsia" w:ascii="Times New Roman" w:hAnsi="Times New Roman" w:eastAsia="楷体_GB2312" w:cs="Times New Roman"/>
          <w:color w:val="000000" w:themeColor="text1"/>
          <w:sz w:val="32"/>
          <w:szCs w:val="32"/>
          <w:lang w:val="en-US" w:eastAsia="zh-CN"/>
          <w14:textFill>
            <w14:solidFill>
              <w14:schemeClr w14:val="tx1"/>
            </w14:solidFill>
          </w14:textFill>
        </w:rPr>
        <w:t>三</w:t>
      </w:r>
      <w:r>
        <w:rPr>
          <w:rFonts w:hint="eastAsia" w:ascii="Times New Roman" w:hAnsi="Times New Roman" w:eastAsia="楷体_GB2312" w:cs="Times New Roman"/>
          <w:color w:val="000000" w:themeColor="text1"/>
          <w:sz w:val="32"/>
          <w:szCs w:val="32"/>
          <w:lang w:eastAsia="zh-CN"/>
          <w14:textFill>
            <w14:solidFill>
              <w14:schemeClr w14:val="tx1"/>
            </w14:solidFill>
          </w14:textFill>
        </w:rPr>
        <w:t>）</w:t>
      </w:r>
      <w:r>
        <w:rPr>
          <w:rFonts w:hint="default" w:ascii="Times New Roman" w:hAnsi="Times New Roman" w:eastAsia="楷体_GB2312" w:cs="Times New Roman"/>
          <w:color w:val="000000" w:themeColor="text1"/>
          <w:sz w:val="32"/>
          <w:szCs w:val="32"/>
          <w14:textFill>
            <w14:solidFill>
              <w14:schemeClr w14:val="tx1"/>
            </w14:solidFill>
          </w14:textFill>
        </w:rPr>
        <w:t>其他方</w:t>
      </w: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面：</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2023年，我镇</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认真贯彻落实《条例》及有关文件要求，</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按照</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区政府政务公开科工作要求和区级相关政务公开文件，积极开展镇级政务公开学习培训，保质保量完成各项工作。同时，我镇注重创新工作方法，</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“线下+线上”齐发力，线下在镇政府便民服务大厅以高标准打造政务公开专区，</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健全服务设施</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张贴摆放便民明白纸，制作惠民惠农政策宣传展板，全面服务群众；</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线上及时发布公众关注度高、公益性强、涉及面广的重要政策和重大事项等相关信息，</w:t>
      </w: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畅通反馈渠道，</w:t>
      </w:r>
      <w:r>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t>保障群众知情权、参与权和监督权。</w:t>
      </w:r>
    </w:p>
    <w:p>
      <w:pPr>
        <w:pStyle w:val="2"/>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i w:val="0"/>
          <w:iCs w:val="0"/>
          <w:caps w:val="0"/>
          <w:color w:val="000000" w:themeColor="text1"/>
          <w:spacing w:val="0"/>
          <w:sz w:val="32"/>
          <w:szCs w:val="32"/>
          <w:shd w:val="clear" w:fill="FFFFFF"/>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560" w:lineRule="exact"/>
        <w:jc w:val="right"/>
        <w:textAlignment w:val="auto"/>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pP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威海市文登区侯家镇人民政府</w:t>
      </w:r>
    </w:p>
    <w:p>
      <w:pPr>
        <w:pStyle w:val="2"/>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 xml:space="preserve">                         </w:t>
      </w:r>
      <w:r>
        <w:rPr>
          <w:rFonts w:hint="eastAsia"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 xml:space="preserve">   </w:t>
      </w:r>
      <w:bookmarkStart w:id="11" w:name="_GoBack"/>
      <w:bookmarkEnd w:id="11"/>
      <w:r>
        <w:rPr>
          <w:rFonts w:hint="default" w:ascii="Times New Roman" w:hAnsi="Times New Roman" w:eastAsia="仿宋_GB2312" w:cs="Times New Roman"/>
          <w:i w:val="0"/>
          <w:iCs w:val="0"/>
          <w:caps w:val="0"/>
          <w:color w:val="000000" w:themeColor="text1"/>
          <w:spacing w:val="0"/>
          <w:sz w:val="32"/>
          <w:szCs w:val="32"/>
          <w:shd w:val="clear" w:fill="FFFFFF"/>
          <w:lang w:val="en-US" w:eastAsia="zh-CN"/>
          <w14:textFill>
            <w14:solidFill>
              <w14:schemeClr w14:val="tx1"/>
            </w14:solidFill>
          </w14:textFill>
        </w:rPr>
        <w:t xml:space="preserve">  2024年1月22日</w:t>
      </w:r>
    </w:p>
    <w:sectPr>
      <w:pgSz w:w="11906" w:h="16838"/>
      <w:pgMar w:top="2211" w:right="1531" w:bottom="1871"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M2MjM5YzM2ZjExZDY2YjQyOTk0YjFhY2E2NTY3ODkifQ=="/>
  </w:docVars>
  <w:rsids>
    <w:rsidRoot w:val="11AF18C8"/>
    <w:rsid w:val="068E2457"/>
    <w:rsid w:val="08D157AC"/>
    <w:rsid w:val="0B91088F"/>
    <w:rsid w:val="0DB80EE9"/>
    <w:rsid w:val="0F4E7A36"/>
    <w:rsid w:val="11AF18C8"/>
    <w:rsid w:val="138228A6"/>
    <w:rsid w:val="14C23D9E"/>
    <w:rsid w:val="1A6A77C7"/>
    <w:rsid w:val="1B4D72F6"/>
    <w:rsid w:val="21E9640B"/>
    <w:rsid w:val="23A66F4E"/>
    <w:rsid w:val="2891533D"/>
    <w:rsid w:val="2D9467FC"/>
    <w:rsid w:val="31B50E79"/>
    <w:rsid w:val="32E07E7E"/>
    <w:rsid w:val="393B0F64"/>
    <w:rsid w:val="395C545F"/>
    <w:rsid w:val="44475696"/>
    <w:rsid w:val="448939D9"/>
    <w:rsid w:val="46150DA7"/>
    <w:rsid w:val="464F74E8"/>
    <w:rsid w:val="49BA3BC3"/>
    <w:rsid w:val="4C3C1649"/>
    <w:rsid w:val="511E6463"/>
    <w:rsid w:val="54F23AC6"/>
    <w:rsid w:val="55F941A8"/>
    <w:rsid w:val="56F344A5"/>
    <w:rsid w:val="58E6430A"/>
    <w:rsid w:val="58F62A88"/>
    <w:rsid w:val="5C8E0F41"/>
    <w:rsid w:val="5F3BB135"/>
    <w:rsid w:val="606567BD"/>
    <w:rsid w:val="68C9088B"/>
    <w:rsid w:val="6C7C7FF0"/>
    <w:rsid w:val="71FC02A3"/>
    <w:rsid w:val="73277F4A"/>
    <w:rsid w:val="77181135"/>
    <w:rsid w:val="78455938"/>
    <w:rsid w:val="7AAD7B3E"/>
    <w:rsid w:val="7E2277F5"/>
    <w:rsid w:val="7F5139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Note Heading"/>
    <w:basedOn w:val="1"/>
    <w:next w:val="1"/>
    <w:autoRedefine/>
    <w:unhideWhenUsed/>
    <w:qFormat/>
    <w:uiPriority w:val="99"/>
    <w:pPr>
      <w:jc w:val="center"/>
    </w:pPr>
  </w:style>
  <w:style w:type="paragraph" w:styleId="3">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customStyle="1" w:styleId="6">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2349</Words>
  <Characters>2446</Characters>
  <Lines>0</Lines>
  <Paragraphs>0</Paragraphs>
  <TotalTime>1</TotalTime>
  <ScaleCrop>false</ScaleCrop>
  <LinksUpToDate>false</LinksUpToDate>
  <CharactersWithSpaces>2473</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哇哈哈</cp:lastModifiedBy>
  <cp:lastPrinted>2024-01-12T04:26:00Z</cp:lastPrinted>
  <dcterms:modified xsi:type="dcterms:W3CDTF">2024-01-25T07:47:47Z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E69FC135B6704485BACA57740AE2D712</vt:lpwstr>
  </property>
</Properties>
</file>