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N/>
        <w:bidi w:val="0"/>
        <w:adjustRightInd w:val="0"/>
        <w:snapToGrid w:val="0"/>
        <w:spacing w:line="560" w:lineRule="exact"/>
        <w:jc w:val="center"/>
        <w:textAlignment w:val="auto"/>
        <w:rPr>
          <w:rFonts w:ascii="方正小标宋简体" w:eastAsia="方正小标宋简体"/>
          <w:b/>
          <w:bCs/>
          <w:color w:val="333333"/>
          <w:kern w:val="0"/>
          <w:sz w:val="44"/>
          <w:szCs w:val="44"/>
        </w:rPr>
      </w:pPr>
      <w:r>
        <w:rPr>
          <w:rFonts w:hint="eastAsia" w:ascii="方正小标宋简体" w:eastAsia="方正小标宋简体"/>
          <w:b/>
          <w:bCs/>
          <w:color w:val="333333"/>
          <w:kern w:val="0"/>
          <w:sz w:val="44"/>
          <w:szCs w:val="44"/>
          <w:lang w:val="en-US" w:eastAsia="zh-CN"/>
        </w:rPr>
        <w:t>威海市</w:t>
      </w:r>
      <w:r>
        <w:rPr>
          <w:rFonts w:hint="eastAsia" w:ascii="方正小标宋简体" w:eastAsia="方正小标宋简体"/>
          <w:b/>
          <w:bCs/>
          <w:color w:val="333333"/>
          <w:kern w:val="0"/>
          <w:sz w:val="44"/>
          <w:szCs w:val="44"/>
        </w:rPr>
        <w:t>文登区审计局</w:t>
      </w:r>
    </w:p>
    <w:p>
      <w:pPr>
        <w:keepNext w:val="0"/>
        <w:keepLines w:val="0"/>
        <w:pageBreakBefore w:val="0"/>
        <w:widowControl/>
        <w:shd w:val="clear" w:color="auto" w:fill="FFFFFF"/>
        <w:kinsoku/>
        <w:wordWrap/>
        <w:overflowPunct/>
        <w:topLinePunct w:val="0"/>
        <w:autoSpaceDN/>
        <w:bidi w:val="0"/>
        <w:adjustRightInd w:val="0"/>
        <w:snapToGrid w:val="0"/>
        <w:spacing w:line="560" w:lineRule="exact"/>
        <w:jc w:val="center"/>
        <w:textAlignment w:val="auto"/>
        <w:rPr>
          <w:rFonts w:ascii="方正小标宋简体" w:eastAsia="方正小标宋简体"/>
          <w:color w:val="333333"/>
          <w:kern w:val="0"/>
          <w:sz w:val="44"/>
          <w:szCs w:val="44"/>
        </w:rPr>
      </w:pPr>
      <w:r>
        <w:rPr>
          <w:rFonts w:hint="eastAsia" w:ascii="方正小标宋简体" w:eastAsia="方正小标宋简体"/>
          <w:b/>
          <w:bCs/>
          <w:color w:val="333333"/>
          <w:kern w:val="0"/>
          <w:sz w:val="44"/>
          <w:szCs w:val="44"/>
          <w:lang w:val="en-US" w:eastAsia="zh-CN"/>
        </w:rPr>
        <w:t>2020</w:t>
      </w:r>
      <w:r>
        <w:rPr>
          <w:rFonts w:hint="eastAsia" w:ascii="方正小标宋简体" w:eastAsia="方正小标宋简体"/>
          <w:b/>
          <w:bCs/>
          <w:color w:val="333333"/>
          <w:kern w:val="0"/>
          <w:sz w:val="44"/>
          <w:szCs w:val="44"/>
        </w:rPr>
        <w:t>年度政府信息公开工作报告</w:t>
      </w:r>
    </w:p>
    <w:p>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rPr>
      </w:pPr>
    </w:p>
    <w:p>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rPr>
        <w:t>根据《中华人民共和国政府信息公开条例》(以下简称《条例》)、《山东省政府信息公开办法》和《</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年威海市文登区政务公开工作要点的通知》要求，文登区审计局认真落实政务公开相关工作，现将</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年度政务公开工作落实情况汇报如下</w:t>
      </w:r>
      <w:r>
        <w:rPr>
          <w:rFonts w:hint="eastAsia" w:ascii="仿宋_GB2312" w:hAnsi="仿宋_GB2312" w:eastAsia="仿宋_GB2312" w:cs="仿宋_GB2312"/>
          <w:color w:val="000000"/>
          <w:sz w:val="32"/>
          <w:szCs w:val="32"/>
          <w:lang w:eastAsia="zh-CN"/>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i w:val="0"/>
          <w:caps w:val="0"/>
          <w:color w:val="auto"/>
          <w:spacing w:val="0"/>
          <w:sz w:val="32"/>
          <w:szCs w:val="32"/>
          <w:shd w:val="clear" w:fill="FFFFFF"/>
        </w:rPr>
        <w:t>本报告中所列数据的统计时限自</w:t>
      </w:r>
      <w:r>
        <w:rPr>
          <w:rFonts w:hint="eastAsia" w:ascii="仿宋_GB2312" w:hAnsi="仿宋_GB2312" w:eastAsia="仿宋_GB2312" w:cs="仿宋_GB2312"/>
          <w:i w:val="0"/>
          <w:caps w:val="0"/>
          <w:color w:val="auto"/>
          <w:spacing w:val="0"/>
          <w:sz w:val="32"/>
          <w:szCs w:val="32"/>
          <w:shd w:val="clear" w:fill="FFFFFF"/>
          <w:lang w:val="en-US" w:eastAsia="zh-CN"/>
        </w:rPr>
        <w:t>2020</w:t>
      </w:r>
      <w:r>
        <w:rPr>
          <w:rFonts w:hint="eastAsia" w:ascii="仿宋_GB2312" w:hAnsi="仿宋_GB2312" w:eastAsia="仿宋_GB2312" w:cs="仿宋_GB2312"/>
          <w:i w:val="0"/>
          <w:caps w:val="0"/>
          <w:color w:val="auto"/>
          <w:spacing w:val="0"/>
          <w:sz w:val="32"/>
          <w:szCs w:val="32"/>
          <w:shd w:val="clear" w:fill="FFFFFF"/>
        </w:rPr>
        <w:t>年1月1日起至</w:t>
      </w:r>
      <w:r>
        <w:rPr>
          <w:rFonts w:hint="eastAsia" w:ascii="仿宋_GB2312" w:hAnsi="仿宋_GB2312" w:eastAsia="仿宋_GB2312" w:cs="仿宋_GB2312"/>
          <w:i w:val="0"/>
          <w:caps w:val="0"/>
          <w:color w:val="auto"/>
          <w:spacing w:val="0"/>
          <w:sz w:val="32"/>
          <w:szCs w:val="32"/>
          <w:shd w:val="clear" w:fill="FFFFFF"/>
          <w:lang w:val="en-US" w:eastAsia="zh-CN"/>
        </w:rPr>
        <w:t>2020</w:t>
      </w:r>
      <w:r>
        <w:rPr>
          <w:rFonts w:hint="eastAsia" w:ascii="仿宋_GB2312" w:hAnsi="仿宋_GB2312" w:eastAsia="仿宋_GB2312" w:cs="仿宋_GB2312"/>
          <w:i w:val="0"/>
          <w:caps w:val="0"/>
          <w:color w:val="auto"/>
          <w:spacing w:val="0"/>
          <w:sz w:val="32"/>
          <w:szCs w:val="32"/>
          <w:shd w:val="clear" w:fill="FFFFFF"/>
        </w:rPr>
        <w:t>年12月31日止。本报告的电子版可在文登区人民政府门户网站“中国·文登”网(</w:t>
      </w:r>
      <w:r>
        <w:rPr>
          <w:rFonts w:ascii="仿宋_GB2312" w:hAnsi="微软雅黑" w:eastAsia="仿宋_GB2312" w:cs="仿宋_GB2312"/>
          <w:i w:val="0"/>
          <w:caps w:val="0"/>
          <w:color w:val="auto"/>
          <w:spacing w:val="0"/>
          <w:sz w:val="32"/>
          <w:szCs w:val="32"/>
          <w:u w:val="none"/>
        </w:rPr>
        <w:t>/art/2021/1/11/art_75243_2523849.html</w:t>
      </w:r>
      <w:r>
        <w:rPr>
          <w:rFonts w:hint="eastAsia" w:ascii="仿宋_GB2312" w:hAnsi="仿宋_GB2312" w:eastAsia="仿宋_GB2312" w:cs="仿宋_GB2312"/>
          <w:i w:val="0"/>
          <w:caps w:val="0"/>
          <w:color w:val="auto"/>
          <w:spacing w:val="0"/>
          <w:sz w:val="32"/>
          <w:szCs w:val="32"/>
          <w:shd w:val="clear" w:fill="FFFFFF"/>
        </w:rPr>
        <w:t>) 信息公开专栏查阅。如对本报告有疑问，请与文登区审计局办公室联系（地址：文登区环山路88号，邮编：264400，电话：0631—8252882，传真：0631-8258561）</w:t>
      </w:r>
      <w:r>
        <w:rPr>
          <w:rFonts w:hint="eastAsia" w:ascii="仿宋_GB2312" w:hAnsi="仿宋_GB2312" w:eastAsia="仿宋_GB2312" w:cs="仿宋_GB2312"/>
          <w:i w:val="0"/>
          <w:caps w:val="0"/>
          <w:color w:val="auto"/>
          <w:spacing w:val="0"/>
          <w:sz w:val="32"/>
          <w:szCs w:val="32"/>
          <w:shd w:val="clear" w:fill="FFFFFF"/>
          <w:lang w:eastAsia="zh-CN"/>
        </w:rPr>
        <w:t>。</w:t>
      </w:r>
    </w:p>
    <w:p>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640" w:firstLineChars="200"/>
        <w:textAlignment w:val="auto"/>
        <w:rPr>
          <w:rFonts w:ascii="黑体" w:hAnsi="黑体" w:eastAsia="黑体"/>
          <w:color w:val="333333"/>
          <w:kern w:val="0"/>
          <w:sz w:val="32"/>
          <w:szCs w:val="32"/>
        </w:rPr>
      </w:pPr>
      <w:r>
        <w:rPr>
          <w:rFonts w:hint="eastAsia" w:ascii="黑体" w:hAnsi="黑体" w:eastAsia="黑体"/>
          <w:bCs/>
          <w:color w:val="333333"/>
          <w:kern w:val="0"/>
          <w:sz w:val="32"/>
          <w:szCs w:val="32"/>
        </w:rPr>
        <w:t>一、</w:t>
      </w:r>
      <w:r>
        <w:rPr>
          <w:rFonts w:ascii="黑体" w:hAnsi="黑体" w:eastAsia="黑体"/>
          <w:bCs/>
          <w:color w:val="333333"/>
          <w:kern w:val="0"/>
          <w:sz w:val="32"/>
          <w:szCs w:val="32"/>
        </w:rPr>
        <w:t>总体情况</w:t>
      </w:r>
    </w:p>
    <w:p>
      <w:pPr>
        <w:keepNext w:val="0"/>
        <w:keepLines w:val="0"/>
        <w:pageBreakBefore w:val="0"/>
        <w:kinsoku/>
        <w:wordWrap/>
        <w:overflowPunct/>
        <w:topLinePunct w:val="0"/>
        <w:autoSpaceDE w:val="0"/>
        <w:autoSpaceDN/>
        <w:bidi w:val="0"/>
        <w:adjustRightInd w:val="0"/>
        <w:snapToGrid w:val="0"/>
        <w:spacing w:line="560" w:lineRule="exact"/>
        <w:ind w:firstLine="640" w:firstLineChars="200"/>
        <w:jc w:val="left"/>
        <w:textAlignment w:val="auto"/>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w:t>
      </w:r>
      <w:r>
        <w:rPr>
          <w:rFonts w:hint="eastAsia" w:ascii="仿宋_GB2312" w:hAnsi="仿宋_GB2312" w:eastAsia="仿宋_GB2312" w:cs="仿宋_GB2312"/>
          <w:color w:val="000000"/>
          <w:sz w:val="32"/>
          <w:szCs w:val="32"/>
          <w:lang w:val="en-US" w:eastAsia="zh-CN"/>
        </w:rPr>
        <w:t>20</w:t>
      </w:r>
      <w:r>
        <w:rPr>
          <w:rFonts w:hint="eastAsia" w:ascii="仿宋_GB2312" w:hAnsi="仿宋_GB2312" w:eastAsia="仿宋_GB2312" w:cs="仿宋_GB2312"/>
          <w:color w:val="000000"/>
          <w:sz w:val="32"/>
          <w:szCs w:val="32"/>
        </w:rPr>
        <w:t>年，我局以习近平新时代中国特色社会主义思想为指导，深入贯彻落实国家和本区关于推进政务公开工作的系列部署，紧密结合审计工作特点，在主动公开、组织保障、制度建设等方面，积极推进政务公开各项工作顺利开展，不断增强审计权力运行透明度，努力提升政务公开质量和实效。</w:t>
      </w:r>
      <w:r>
        <w:rPr>
          <w:rFonts w:hint="eastAsia" w:ascii="仿宋_GB2312" w:hAnsi="仿宋_GB2312" w:eastAsia="仿宋_GB2312" w:cs="仿宋_GB2312"/>
          <w:color w:val="000000"/>
          <w:sz w:val="32"/>
          <w:szCs w:val="32"/>
          <w:lang w:val="en-US" w:eastAsia="zh-CN"/>
        </w:rPr>
        <w:t>同时，</w:t>
      </w:r>
      <w:r>
        <w:rPr>
          <w:rFonts w:hint="eastAsia" w:ascii="仿宋_GB2312" w:hAnsi="仿宋_GB2312" w:eastAsia="仿宋_GB2312" w:cs="仿宋_GB2312"/>
          <w:i w:val="0"/>
          <w:caps w:val="0"/>
          <w:color w:val="auto"/>
          <w:spacing w:val="0"/>
          <w:sz w:val="32"/>
          <w:szCs w:val="32"/>
          <w:shd w:val="clear" w:fill="FFFFFF"/>
        </w:rPr>
        <w:t>不断创新工作思路，积极拓展政府信息公开途径，政府信息公开工作取得一定成效。根据局领导班子人员和工作分工的变化情况，及时调整充实了威海市文登区</w:t>
      </w:r>
      <w:r>
        <w:rPr>
          <w:rFonts w:hint="eastAsia" w:ascii="仿宋_GB2312" w:hAnsi="仿宋_GB2312" w:eastAsia="仿宋_GB2312" w:cs="仿宋_GB2312"/>
          <w:i w:val="0"/>
          <w:caps w:val="0"/>
          <w:color w:val="auto"/>
          <w:spacing w:val="0"/>
          <w:sz w:val="32"/>
          <w:szCs w:val="32"/>
          <w:shd w:val="clear" w:fill="FFFFFF"/>
          <w:lang w:val="en-US" w:eastAsia="zh-CN"/>
        </w:rPr>
        <w:t>审计局信息化</w:t>
      </w:r>
      <w:r>
        <w:rPr>
          <w:rFonts w:hint="eastAsia" w:ascii="仿宋_GB2312" w:hAnsi="仿宋_GB2312" w:eastAsia="仿宋_GB2312" w:cs="仿宋_GB2312"/>
          <w:i w:val="0"/>
          <w:caps w:val="0"/>
          <w:color w:val="auto"/>
          <w:spacing w:val="0"/>
          <w:sz w:val="32"/>
          <w:szCs w:val="32"/>
          <w:shd w:val="clear" w:fill="FFFFFF"/>
        </w:rPr>
        <w:t>工作领导小组成员，确保组织机构健全、工作人员到位、职责分工明确。</w:t>
      </w:r>
    </w:p>
    <w:p>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i w:val="0"/>
          <w:caps w:val="0"/>
          <w:color w:val="auto"/>
          <w:spacing w:val="0"/>
          <w:sz w:val="32"/>
          <w:szCs w:val="32"/>
          <w:shd w:val="clear" w:fill="FFFFFF"/>
        </w:rPr>
        <w:t>（一）主动公开情况</w:t>
      </w:r>
    </w:p>
    <w:p>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我局认真落实</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政务公开工作要点分工方案，着力加强重点领域信息公开工作，全面公开财政预决算信息，做好行政执法事前与事后公开。继续积极推进审计信息公开工作，及时公开年度审计项目计划、审计工作报告和审计整改情况，不断强化信息公开的全面性，着力提高审计机关行政透明度和办事效率，服务群众需要。截至</w:t>
      </w: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年12月31日我局在区政府官网主动公开政府信息共计</w:t>
      </w:r>
      <w:r>
        <w:rPr>
          <w:rFonts w:hint="eastAsia" w:ascii="仿宋_GB2312" w:hAnsi="仿宋_GB2312" w:eastAsia="仿宋_GB2312" w:cs="仿宋_GB2312"/>
          <w:color w:val="000000"/>
          <w:sz w:val="32"/>
          <w:szCs w:val="32"/>
          <w:lang w:val="en-US" w:eastAsia="zh-CN"/>
        </w:rPr>
        <w:t>655</w:t>
      </w:r>
      <w:r>
        <w:rPr>
          <w:rFonts w:hint="eastAsia" w:ascii="仿宋_GB2312" w:hAnsi="仿宋_GB2312" w:eastAsia="仿宋_GB2312" w:cs="仿宋_GB2312"/>
          <w:color w:val="000000"/>
          <w:sz w:val="32"/>
          <w:szCs w:val="32"/>
        </w:rPr>
        <w:t>条，其中：1．组织机构类信息</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条；2．政策文件及解读类信息</w:t>
      </w:r>
      <w:r>
        <w:rPr>
          <w:rFonts w:hint="eastAsia" w:ascii="仿宋_GB2312" w:hAnsi="仿宋_GB2312" w:eastAsia="仿宋_GB2312" w:cs="仿宋_GB2312"/>
          <w:color w:val="000000"/>
          <w:sz w:val="32"/>
          <w:szCs w:val="32"/>
          <w:lang w:val="en-US" w:eastAsia="zh-CN"/>
        </w:rPr>
        <w:t>26</w:t>
      </w:r>
      <w:r>
        <w:rPr>
          <w:rFonts w:hint="eastAsia" w:ascii="仿宋_GB2312" w:hAnsi="仿宋_GB2312" w:eastAsia="仿宋_GB2312" w:cs="仿宋_GB2312"/>
          <w:color w:val="000000"/>
          <w:sz w:val="32"/>
          <w:szCs w:val="32"/>
        </w:rPr>
        <w:t>条；3．工作动态类信息</w:t>
      </w:r>
      <w:r>
        <w:rPr>
          <w:rFonts w:hint="eastAsia" w:ascii="仿宋_GB2312" w:hAnsi="仿宋_GB2312" w:eastAsia="仿宋_GB2312" w:cs="仿宋_GB2312"/>
          <w:color w:val="000000"/>
          <w:sz w:val="32"/>
          <w:szCs w:val="32"/>
          <w:lang w:val="en-US" w:eastAsia="zh-CN"/>
        </w:rPr>
        <w:t>501</w:t>
      </w:r>
      <w:r>
        <w:rPr>
          <w:rFonts w:hint="eastAsia" w:ascii="仿宋_GB2312" w:hAnsi="仿宋_GB2312" w:eastAsia="仿宋_GB2312" w:cs="仿宋_GB2312"/>
          <w:color w:val="000000"/>
          <w:sz w:val="32"/>
          <w:szCs w:val="32"/>
        </w:rPr>
        <w:t>条；4．财政预决算信息</w:t>
      </w:r>
      <w:r>
        <w:rPr>
          <w:rFonts w:hint="eastAsia" w:ascii="仿宋_GB2312" w:hAnsi="仿宋_GB2312" w:eastAsia="仿宋_GB2312" w:cs="仿宋_GB2312"/>
          <w:color w:val="000000"/>
          <w:sz w:val="32"/>
          <w:szCs w:val="32"/>
          <w:lang w:val="en-US" w:eastAsia="zh-CN"/>
        </w:rPr>
        <w:t>12</w:t>
      </w:r>
      <w:r>
        <w:rPr>
          <w:rFonts w:hint="eastAsia" w:ascii="仿宋_GB2312" w:hAnsi="仿宋_GB2312" w:eastAsia="仿宋_GB2312" w:cs="仿宋_GB2312"/>
          <w:color w:val="000000"/>
          <w:sz w:val="32"/>
          <w:szCs w:val="32"/>
        </w:rPr>
        <w:t>条；5．其他信息</w:t>
      </w:r>
      <w:r>
        <w:rPr>
          <w:rFonts w:hint="eastAsia" w:ascii="仿宋_GB2312" w:hAnsi="仿宋_GB2312" w:eastAsia="仿宋_GB2312" w:cs="仿宋_GB2312"/>
          <w:color w:val="000000"/>
          <w:sz w:val="32"/>
          <w:szCs w:val="32"/>
          <w:lang w:val="en-US" w:eastAsia="zh-CN"/>
        </w:rPr>
        <w:t>104</w:t>
      </w:r>
      <w:r>
        <w:rPr>
          <w:rFonts w:hint="eastAsia" w:ascii="仿宋_GB2312" w:hAnsi="仿宋_GB2312" w:eastAsia="仿宋_GB2312" w:cs="仿宋_GB2312"/>
          <w:color w:val="000000"/>
          <w:sz w:val="32"/>
          <w:szCs w:val="32"/>
        </w:rPr>
        <w:t>条。</w:t>
      </w:r>
      <w:r>
        <w:rPr>
          <w:rFonts w:hint="eastAsia" w:ascii="仿宋_GB2312" w:hAnsi="仿宋_GB2312" w:eastAsia="仿宋_GB2312" w:cs="仿宋_GB2312"/>
          <w:color w:val="000000"/>
          <w:sz w:val="32"/>
          <w:szCs w:val="32"/>
          <w:lang w:val="en-US" w:eastAsia="zh-CN"/>
        </w:rPr>
        <w:t>与2019年相比，新增公开政府信息累计83条，详细对比如下。</w:t>
      </w:r>
    </w:p>
    <w:p>
      <w:pPr>
        <w:keepNext w:val="0"/>
        <w:keepLines w:val="0"/>
        <w:pageBreakBefore w:val="0"/>
        <w:kinsoku/>
        <w:wordWrap/>
        <w:overflowPunct/>
        <w:topLinePunct w:val="0"/>
        <w:autoSpaceDE w:val="0"/>
        <w:autoSpaceDN/>
        <w:bidi w:val="0"/>
        <w:adjustRightInd w:val="0"/>
        <w:snapToGrid w:val="0"/>
        <w:spacing w:line="240" w:lineRule="auto"/>
        <w:jc w:val="center"/>
        <w:textAlignment w:val="auto"/>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drawing>
          <wp:inline distT="0" distB="0" distL="114300" distR="114300">
            <wp:extent cx="5611495" cy="4046855"/>
            <wp:effectExtent l="0" t="0" r="8255" b="10795"/>
            <wp:docPr id="2" name="图片 2" descr="对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对比"/>
                    <pic:cNvPicPr>
                      <a:picLocks noChangeAspect="1"/>
                    </pic:cNvPicPr>
                  </pic:nvPicPr>
                  <pic:blipFill>
                    <a:blip r:embed="rId4"/>
                    <a:stretch>
                      <a:fillRect/>
                    </a:stretch>
                  </pic:blipFill>
                  <pic:spPr>
                    <a:xfrm>
                      <a:off x="0" y="0"/>
                      <a:ext cx="5611495" cy="4046855"/>
                    </a:xfrm>
                    <a:prstGeom prst="rect">
                      <a:avLst/>
                    </a:prstGeom>
                  </pic:spPr>
                </pic:pic>
              </a:graphicData>
            </a:graphic>
          </wp:inline>
        </w:drawing>
      </w:r>
    </w:p>
    <w:p>
      <w:pPr>
        <w:keepNext w:val="0"/>
        <w:keepLines w:val="0"/>
        <w:pageBreakBefore w:val="0"/>
        <w:kinsoku/>
        <w:wordWrap/>
        <w:overflowPunct/>
        <w:topLinePunct w:val="0"/>
        <w:autoSpaceDE w:val="0"/>
        <w:autoSpaceDN/>
        <w:bidi w:val="0"/>
        <w:adjustRightInd w:val="0"/>
        <w:snapToGrid w:val="0"/>
        <w:spacing w:line="240" w:lineRule="auto"/>
        <w:jc w:val="center"/>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drawing>
          <wp:inline distT="0" distB="0" distL="114300" distR="114300">
            <wp:extent cx="5612765" cy="4601845"/>
            <wp:effectExtent l="0" t="0" r="6985" b="8255"/>
            <wp:docPr id="1" name="图片 1" descr="1610328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610328045(1)"/>
                    <pic:cNvPicPr>
                      <a:picLocks noChangeAspect="1"/>
                    </pic:cNvPicPr>
                  </pic:nvPicPr>
                  <pic:blipFill>
                    <a:blip r:embed="rId5"/>
                    <a:stretch>
                      <a:fillRect/>
                    </a:stretch>
                  </pic:blipFill>
                  <pic:spPr>
                    <a:xfrm>
                      <a:off x="0" y="0"/>
                      <a:ext cx="5612765" cy="4601845"/>
                    </a:xfrm>
                    <a:prstGeom prst="rect">
                      <a:avLst/>
                    </a:prstGeom>
                  </pic:spPr>
                </pic:pic>
              </a:graphicData>
            </a:graphic>
          </wp:inline>
        </w:drawing>
      </w:r>
    </w:p>
    <w:p>
      <w:pPr>
        <w:keepNext w:val="0"/>
        <w:keepLines w:val="0"/>
        <w:pageBreakBefore w:val="0"/>
        <w:kinsoku/>
        <w:wordWrap/>
        <w:overflowPunct/>
        <w:topLinePunct w:val="0"/>
        <w:autoSpaceDE w:val="0"/>
        <w:autoSpaceDN/>
        <w:bidi w:val="0"/>
        <w:adjustRightInd w:val="0"/>
        <w:snapToGrid w:val="0"/>
        <w:spacing w:line="240" w:lineRule="auto"/>
        <w:jc w:val="center"/>
        <w:textAlignment w:val="auto"/>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drawing>
          <wp:inline distT="0" distB="0" distL="114300" distR="114300">
            <wp:extent cx="5610225" cy="3237230"/>
            <wp:effectExtent l="0" t="0" r="9525" b="1270"/>
            <wp:docPr id="3" name="图片 3"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
                    <pic:cNvPicPr>
                      <a:picLocks noChangeAspect="1"/>
                    </pic:cNvPicPr>
                  </pic:nvPicPr>
                  <pic:blipFill>
                    <a:blip r:embed="rId6"/>
                    <a:stretch>
                      <a:fillRect/>
                    </a:stretch>
                  </pic:blipFill>
                  <pic:spPr>
                    <a:xfrm>
                      <a:off x="0" y="0"/>
                      <a:ext cx="5610225" cy="3237230"/>
                    </a:xfrm>
                    <a:prstGeom prst="rect">
                      <a:avLst/>
                    </a:prstGeom>
                  </pic:spPr>
                </pic:pic>
              </a:graphicData>
            </a:graphic>
          </wp:inline>
        </w:drawing>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bdr w:val="none" w:color="auto" w:sz="0" w:space="0"/>
          <w:shd w:val="clear" w:fill="FFFFFF"/>
        </w:rPr>
        <w:t>（二）</w:t>
      </w:r>
      <w:r>
        <w:rPr>
          <w:rFonts w:hint="eastAsia" w:ascii="楷体_GB2312" w:hAnsi="楷体_GB2312" w:eastAsia="楷体_GB2312" w:cs="楷体_GB2312"/>
          <w:i w:val="0"/>
          <w:caps w:val="0"/>
          <w:color w:val="333333"/>
          <w:spacing w:val="0"/>
          <w:sz w:val="32"/>
          <w:szCs w:val="32"/>
          <w:bdr w:val="none" w:color="auto" w:sz="0" w:space="0"/>
          <w:shd w:val="clear" w:fill="FFFFFF"/>
        </w:rPr>
        <w:t>依申请公开工作情况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000000"/>
          <w:spacing w:val="0"/>
          <w:sz w:val="32"/>
          <w:szCs w:val="32"/>
          <w:bdr w:val="none" w:color="auto" w:sz="0" w:space="0"/>
          <w:shd w:val="clear" w:fill="FFFFFF"/>
        </w:rPr>
        <w:t>2020年，我单位受理0起政府信息公开申请，未形成不予公开信息。</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bdr w:val="none" w:color="auto" w:sz="0" w:space="0"/>
          <w:shd w:val="clear" w:fill="FFFFFF"/>
        </w:rPr>
        <w:t>（三）政府信息管理情况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0"/>
        <w:rPr>
          <w:rFonts w:hint="eastAsia" w:ascii="仿宋_GB2312" w:hAnsi="仿宋_GB2312" w:eastAsia="仿宋_GB2312" w:cs="仿宋_GB2312"/>
          <w:i w:val="0"/>
          <w:caps w:val="0"/>
          <w:color w:val="333333"/>
          <w:spacing w:val="0"/>
          <w:sz w:val="32"/>
          <w:szCs w:val="32"/>
        </w:rPr>
      </w:pPr>
      <w:r>
        <w:rPr>
          <w:rFonts w:hint="eastAsia" w:ascii="仿宋_GB2312" w:hAnsi="仿宋_GB2312" w:eastAsia="仿宋_GB2312" w:cs="仿宋_GB2312"/>
          <w:i w:val="0"/>
          <w:caps w:val="0"/>
          <w:color w:val="333333"/>
          <w:spacing w:val="0"/>
          <w:sz w:val="32"/>
          <w:szCs w:val="32"/>
          <w:bdr w:val="none" w:color="auto" w:sz="0" w:space="0"/>
          <w:shd w:val="clear" w:fill="FFFFFF"/>
        </w:rPr>
        <w:t>    </w:t>
      </w:r>
      <w:r>
        <w:rPr>
          <w:rFonts w:hint="eastAsia" w:ascii="仿宋_GB2312" w:hAnsi="仿宋_GB2312" w:eastAsia="仿宋_GB2312" w:cs="仿宋_GB2312"/>
          <w:i w:val="0"/>
          <w:caps w:val="0"/>
          <w:color w:val="000000"/>
          <w:spacing w:val="0"/>
          <w:sz w:val="32"/>
          <w:szCs w:val="32"/>
          <w:bdr w:val="none" w:color="auto" w:sz="0" w:space="0"/>
          <w:shd w:val="clear" w:fill="FFFFFF"/>
        </w:rPr>
        <w:t>我局持续抓好政府信息日常管理等方面工作。按时更新发布本部门信息公开指南和主动公开基本目录等，严格规范工作流程，认真落实各项工作部署，建立健全信息公开审核保密制度，全面推进行政决策、执行、管理、服务、结果公开。</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bdr w:val="none" w:color="auto" w:sz="0" w:space="0"/>
          <w:shd w:val="clear" w:fill="FFFFFF"/>
        </w:rPr>
        <w:t>（四）公开平台建设情况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93"/>
        <w:rPr>
          <w:rFonts w:hint="eastAsia" w:ascii="仿宋_GB2312" w:hAnsi="仿宋_GB2312" w:eastAsia="仿宋_GB2312" w:cs="仿宋_GB2312"/>
          <w:i w:val="0"/>
          <w:caps w:val="0"/>
          <w:color w:val="000000"/>
          <w:spacing w:val="0"/>
          <w:sz w:val="32"/>
          <w:szCs w:val="32"/>
          <w:bdr w:val="none" w:color="auto" w:sz="0" w:space="0"/>
          <w:shd w:val="clear" w:fill="FFFFFF"/>
        </w:rPr>
      </w:pPr>
      <w:r>
        <w:rPr>
          <w:rFonts w:hint="eastAsia" w:ascii="仿宋_GB2312" w:hAnsi="仿宋_GB2312" w:eastAsia="仿宋_GB2312" w:cs="仿宋_GB2312"/>
          <w:i w:val="0"/>
          <w:caps w:val="0"/>
          <w:color w:val="000000"/>
          <w:spacing w:val="0"/>
          <w:sz w:val="32"/>
          <w:szCs w:val="32"/>
          <w:bdr w:val="none" w:color="auto" w:sz="0" w:space="0"/>
          <w:shd w:val="clear" w:fill="FFFFFF"/>
        </w:rPr>
        <w:t>结合业务实际与政务公开工作要求，将审计业务动态信息在政府网站发布，方便社会公众及时了解威海市文登区审计工作动态。我局无微信微博等政务新媒体。</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93"/>
        <w:rPr>
          <w:rFonts w:hint="eastAsia" w:ascii="楷体_GB2312" w:hAnsi="楷体_GB2312" w:eastAsia="楷体_GB2312" w:cs="楷体_GB2312"/>
          <w:i w:val="0"/>
          <w:caps w:val="0"/>
          <w:color w:val="333333"/>
          <w:spacing w:val="0"/>
          <w:sz w:val="32"/>
          <w:szCs w:val="32"/>
        </w:rPr>
      </w:pPr>
      <w:r>
        <w:rPr>
          <w:rFonts w:hint="eastAsia" w:ascii="楷体_GB2312" w:hAnsi="楷体_GB2312" w:eastAsia="楷体_GB2312" w:cs="楷体_GB2312"/>
          <w:i w:val="0"/>
          <w:caps w:val="0"/>
          <w:color w:val="000000"/>
          <w:spacing w:val="0"/>
          <w:sz w:val="32"/>
          <w:szCs w:val="32"/>
          <w:bdr w:val="none" w:color="auto" w:sz="0" w:space="0"/>
          <w:shd w:val="clear" w:fill="FFFFFF"/>
        </w:rPr>
        <w:t>（五）监督保障情况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420"/>
        <w:rPr>
          <w:rFonts w:hint="eastAsia" w:ascii="仿宋_GB2312" w:hAnsi="仿宋_GB2312" w:eastAsia="仿宋_GB2312" w:cs="仿宋_GB2312"/>
          <w:bCs/>
          <w:color w:val="333333"/>
          <w:kern w:val="0"/>
          <w:sz w:val="32"/>
          <w:szCs w:val="32"/>
        </w:rPr>
      </w:pPr>
      <w:r>
        <w:rPr>
          <w:rFonts w:hint="eastAsia" w:ascii="仿宋_GB2312" w:hAnsi="仿宋_GB2312" w:eastAsia="仿宋_GB2312" w:cs="仿宋_GB2312"/>
          <w:i w:val="0"/>
          <w:caps w:val="0"/>
          <w:color w:val="000000"/>
          <w:spacing w:val="0"/>
          <w:sz w:val="32"/>
          <w:szCs w:val="32"/>
          <w:bdr w:val="none" w:color="auto" w:sz="0" w:space="0"/>
          <w:shd w:val="clear" w:fill="FFFFFF"/>
        </w:rPr>
        <w:t> 积极落实政府信息公开工作考核制度，配备专职工</w:t>
      </w:r>
      <w:bookmarkStart w:id="0" w:name="_GoBack"/>
      <w:bookmarkEnd w:id="0"/>
      <w:r>
        <w:rPr>
          <w:rFonts w:hint="eastAsia" w:ascii="仿宋_GB2312" w:hAnsi="仿宋_GB2312" w:eastAsia="仿宋_GB2312" w:cs="仿宋_GB2312"/>
          <w:i w:val="0"/>
          <w:caps w:val="0"/>
          <w:color w:val="000000"/>
          <w:spacing w:val="0"/>
          <w:sz w:val="32"/>
          <w:szCs w:val="32"/>
          <w:bdr w:val="none" w:color="auto" w:sz="0" w:space="0"/>
          <w:shd w:val="clear" w:fill="FFFFFF"/>
        </w:rPr>
        <w:t>作人员，将相关考核结果纳入年度考核内容。严格规范程序，信息公开严格把关，将相关考核结果纳入年度考核内容，不断拓宽公开渠道、探新公开方式，设立投诉信箱和监督电话推进信息公开，全面保障群众的知情权、参与权。</w:t>
      </w:r>
    </w:p>
    <w:p>
      <w:pPr>
        <w:keepNext w:val="0"/>
        <w:keepLines w:val="0"/>
        <w:pageBreakBefore w:val="0"/>
        <w:kinsoku/>
        <w:wordWrap/>
        <w:overflowPunct/>
        <w:topLinePunct w:val="0"/>
        <w:autoSpaceDE w:val="0"/>
        <w:autoSpaceDN/>
        <w:bidi w:val="0"/>
        <w:adjustRightInd w:val="0"/>
        <w:snapToGrid w:val="0"/>
        <w:spacing w:line="560" w:lineRule="exact"/>
        <w:ind w:firstLine="640" w:firstLineChars="200"/>
        <w:textAlignment w:val="auto"/>
        <w:rPr>
          <w:rFonts w:ascii="黑体" w:hAnsi="黑体" w:eastAsia="黑体"/>
          <w:bCs/>
          <w:color w:val="333333"/>
          <w:kern w:val="0"/>
          <w:sz w:val="32"/>
          <w:szCs w:val="32"/>
        </w:rPr>
      </w:pPr>
      <w:r>
        <w:rPr>
          <w:rFonts w:ascii="黑体" w:hAnsi="黑体" w:eastAsia="黑体"/>
          <w:bCs/>
          <w:color w:val="333333"/>
          <w:kern w:val="0"/>
          <w:sz w:val="32"/>
          <w:szCs w:val="32"/>
        </w:rPr>
        <w:t>二、主动公开政府信息情况</w:t>
      </w:r>
    </w:p>
    <w:p>
      <w:pPr>
        <w:keepNext w:val="0"/>
        <w:keepLines w:val="0"/>
        <w:pageBreakBefore w:val="0"/>
        <w:kinsoku/>
        <w:wordWrap/>
        <w:overflowPunct/>
        <w:topLinePunct w:val="0"/>
        <w:autoSpaceDN/>
        <w:bidi w:val="0"/>
        <w:adjustRightInd w:val="0"/>
        <w:snapToGrid w:val="0"/>
        <w:spacing w:line="560" w:lineRule="exact"/>
        <w:ind w:firstLine="480"/>
        <w:textAlignment w:val="auto"/>
        <w:rPr>
          <w:rFonts w:ascii="仿宋_GB2312" w:eastAsia="仿宋_GB2312"/>
          <w:kern w:val="0"/>
          <w:sz w:val="32"/>
          <w:szCs w:val="32"/>
        </w:rPr>
      </w:pPr>
      <w:r>
        <w:rPr>
          <w:rFonts w:hint="eastAsia" w:ascii="仿宋_GB2312" w:eastAsia="仿宋_GB2312"/>
          <w:kern w:val="0"/>
          <w:sz w:val="32"/>
          <w:szCs w:val="32"/>
        </w:rPr>
        <w:t>截至</w:t>
      </w:r>
      <w:r>
        <w:rPr>
          <w:rFonts w:hint="eastAsia" w:ascii="仿宋_GB2312" w:eastAsia="仿宋_GB2312"/>
          <w:kern w:val="0"/>
          <w:sz w:val="32"/>
          <w:szCs w:val="32"/>
          <w:lang w:val="en-US" w:eastAsia="zh-CN"/>
        </w:rPr>
        <w:t>2020</w:t>
      </w:r>
      <w:r>
        <w:rPr>
          <w:rFonts w:hint="eastAsia" w:ascii="仿宋_GB2312" w:eastAsia="仿宋_GB2312"/>
          <w:kern w:val="0"/>
          <w:sz w:val="32"/>
          <w:szCs w:val="32"/>
        </w:rPr>
        <w:t>年12月31日对外公开规范性文件共计</w:t>
      </w:r>
      <w:r>
        <w:rPr>
          <w:rFonts w:hint="eastAsia" w:ascii="仿宋_GB2312" w:eastAsia="仿宋_GB2312"/>
          <w:kern w:val="0"/>
          <w:sz w:val="32"/>
          <w:szCs w:val="32"/>
          <w:lang w:val="en-US" w:eastAsia="zh-CN"/>
        </w:rPr>
        <w:t>0</w:t>
      </w:r>
      <w:r>
        <w:rPr>
          <w:rFonts w:hint="eastAsia" w:ascii="仿宋_GB2312" w:eastAsia="仿宋_GB2312"/>
          <w:kern w:val="0"/>
          <w:sz w:val="32"/>
          <w:szCs w:val="32"/>
        </w:rPr>
        <w:t>条，</w:t>
      </w:r>
      <w:r>
        <w:rPr>
          <w:rFonts w:hint="eastAsia" w:ascii="仿宋_GB2312" w:eastAsia="仿宋_GB2312"/>
          <w:kern w:val="0"/>
          <w:sz w:val="32"/>
          <w:szCs w:val="32"/>
          <w:lang w:val="en-US" w:eastAsia="zh-CN"/>
        </w:rPr>
        <w:t>2020</w:t>
      </w:r>
      <w:r>
        <w:rPr>
          <w:rFonts w:hint="eastAsia" w:ascii="仿宋_GB2312" w:eastAsia="仿宋_GB2312"/>
          <w:kern w:val="0"/>
          <w:sz w:val="32"/>
          <w:szCs w:val="32"/>
        </w:rPr>
        <w:t>年新公开</w:t>
      </w:r>
      <w:r>
        <w:rPr>
          <w:rFonts w:hint="eastAsia" w:ascii="仿宋_GB2312" w:eastAsia="仿宋_GB2312"/>
          <w:kern w:val="0"/>
          <w:sz w:val="32"/>
          <w:szCs w:val="32"/>
          <w:lang w:val="en-US" w:eastAsia="zh-CN"/>
        </w:rPr>
        <w:t>0</w:t>
      </w:r>
      <w:r>
        <w:rPr>
          <w:rFonts w:hint="eastAsia" w:ascii="仿宋_GB2312" w:eastAsia="仿宋_GB2312"/>
          <w:kern w:val="0"/>
          <w:sz w:val="32"/>
          <w:szCs w:val="32"/>
        </w:rPr>
        <w:t>条；未处理决定行政许可以及其他对外管理服务事项；未处理决定行政处罚及行政强制等事项。</w:t>
      </w:r>
    </w:p>
    <w:tbl>
      <w:tblPr>
        <w:tblStyle w:val="8"/>
        <w:tblW w:w="9119" w:type="dxa"/>
        <w:jc w:val="center"/>
        <w:tblInd w:w="0" w:type="dxa"/>
        <w:tblLayout w:type="fixed"/>
        <w:tblCellMar>
          <w:top w:w="0" w:type="dxa"/>
          <w:left w:w="0" w:type="dxa"/>
          <w:bottom w:w="0" w:type="dxa"/>
          <w:right w:w="0" w:type="dxa"/>
        </w:tblCellMar>
      </w:tblPr>
      <w:tblGrid>
        <w:gridCol w:w="3801"/>
        <w:gridCol w:w="1875"/>
        <w:gridCol w:w="6"/>
        <w:gridCol w:w="1265"/>
        <w:gridCol w:w="2172"/>
      </w:tblGrid>
      <w:tr>
        <w:tblPrEx>
          <w:tblLayout w:type="fixed"/>
          <w:tblCellMar>
            <w:top w:w="0" w:type="dxa"/>
            <w:left w:w="0" w:type="dxa"/>
            <w:bottom w:w="0" w:type="dxa"/>
            <w:right w:w="0" w:type="dxa"/>
          </w:tblCellMar>
        </w:tblPrEx>
        <w:trPr>
          <w:trHeight w:val="495" w:hRule="atLeast"/>
          <w:jc w:val="center"/>
        </w:trPr>
        <w:tc>
          <w:tcPr>
            <w:tcW w:w="9119" w:type="dxa"/>
            <w:gridSpan w:val="5"/>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第二十条第（一）项</w:t>
            </w:r>
          </w:p>
        </w:tc>
      </w:tr>
      <w:tr>
        <w:tblPrEx>
          <w:tblLayout w:type="fixed"/>
          <w:tblCellMar>
            <w:top w:w="0" w:type="dxa"/>
            <w:left w:w="0" w:type="dxa"/>
            <w:bottom w:w="0" w:type="dxa"/>
            <w:right w:w="0" w:type="dxa"/>
          </w:tblCellMar>
        </w:tblPrEx>
        <w:trPr>
          <w:trHeight w:val="882"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本年新</w:t>
            </w:r>
            <w:r>
              <w:rPr>
                <w:color w:val="000000"/>
                <w:kern w:val="0"/>
                <w:sz w:val="20"/>
                <w:szCs w:val="20"/>
              </w:rPr>
              <w:br w:type="textWrapping"/>
            </w:r>
            <w:r>
              <w:rPr>
                <w:kern w:val="0"/>
                <w:sz w:val="20"/>
                <w:szCs w:val="20"/>
              </w:rPr>
              <w:t>制作数量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本年新</w:t>
            </w:r>
            <w:r>
              <w:rPr>
                <w:color w:val="000000"/>
                <w:kern w:val="0"/>
                <w:sz w:val="20"/>
                <w:szCs w:val="20"/>
              </w:rPr>
              <w:br w:type="textWrapping"/>
            </w:r>
            <w:r>
              <w:rPr>
                <w:kern w:val="0"/>
                <w:sz w:val="20"/>
                <w:szCs w:val="20"/>
              </w:rPr>
              <w:t>公开数量</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对外公开总数量</w:t>
            </w:r>
          </w:p>
        </w:tc>
      </w:tr>
      <w:tr>
        <w:tblPrEx>
          <w:tblLayout w:type="fixed"/>
          <w:tblCellMar>
            <w:top w:w="0" w:type="dxa"/>
            <w:left w:w="0" w:type="dxa"/>
            <w:bottom w:w="0" w:type="dxa"/>
            <w:right w:w="0" w:type="dxa"/>
          </w:tblCellMar>
        </w:tblPrEx>
        <w:trPr>
          <w:trHeight w:val="523"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规章</w:t>
            </w:r>
          </w:p>
        </w:tc>
        <w:tc>
          <w:tcPr>
            <w:tcW w:w="187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r>
      <w:tr>
        <w:tblPrEx>
          <w:tblLayout w:type="fixed"/>
          <w:tblCellMar>
            <w:top w:w="0" w:type="dxa"/>
            <w:left w:w="0" w:type="dxa"/>
            <w:bottom w:w="0" w:type="dxa"/>
            <w:right w:w="0" w:type="dxa"/>
          </w:tblCellMar>
        </w:tblPrEx>
        <w:trPr>
          <w:trHeight w:val="471"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规范性文件</w:t>
            </w:r>
          </w:p>
        </w:tc>
        <w:tc>
          <w:tcPr>
            <w:tcW w:w="187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c>
          <w:tcPr>
            <w:tcW w:w="1271"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rFonts w:hint="eastAsia" w:eastAsia="宋体"/>
                <w:kern w:val="0"/>
                <w:sz w:val="24"/>
                <w:lang w:eastAsia="zh-CN"/>
              </w:rPr>
            </w:pPr>
            <w:r>
              <w:rPr>
                <w:rFonts w:hint="eastAsia"/>
                <w:color w:val="000000"/>
                <w:kern w:val="0"/>
                <w:sz w:val="24"/>
                <w:lang w:val="en-US" w:eastAsia="zh-CN"/>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rFonts w:hint="eastAsia" w:eastAsia="宋体"/>
                <w:kern w:val="0"/>
                <w:sz w:val="24"/>
                <w:lang w:eastAsia="zh-CN"/>
              </w:rPr>
            </w:pPr>
            <w:r>
              <w:rPr>
                <w:rFonts w:hint="eastAsia"/>
                <w:color w:val="000000"/>
                <w:kern w:val="0"/>
                <w:sz w:val="24"/>
                <w:lang w:val="en-US" w:eastAsia="zh-CN"/>
              </w:rPr>
              <w:t>0</w:t>
            </w:r>
          </w:p>
        </w:tc>
      </w:tr>
      <w:tr>
        <w:tblPrEx>
          <w:tblLayout w:type="fixed"/>
          <w:tblCellMar>
            <w:top w:w="0" w:type="dxa"/>
            <w:left w:w="0" w:type="dxa"/>
            <w:bottom w:w="0" w:type="dxa"/>
            <w:right w:w="0" w:type="dxa"/>
          </w:tblCellMar>
        </w:tblPrEx>
        <w:trPr>
          <w:trHeight w:val="480"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第二十条第（五）项</w:t>
            </w:r>
          </w:p>
        </w:tc>
      </w:tr>
      <w:tr>
        <w:tblPrEx>
          <w:tblLayout w:type="fixed"/>
          <w:tblCellMar>
            <w:top w:w="0" w:type="dxa"/>
            <w:left w:w="0" w:type="dxa"/>
            <w:bottom w:w="0" w:type="dxa"/>
            <w:right w:w="0" w:type="dxa"/>
          </w:tblCellMar>
        </w:tblPrEx>
        <w:trPr>
          <w:trHeight w:val="634"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本年增/减</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处理决定数量</w:t>
            </w:r>
          </w:p>
        </w:tc>
      </w:tr>
      <w:tr>
        <w:tblPrEx>
          <w:tblLayout w:type="fixed"/>
          <w:tblCellMar>
            <w:top w:w="0" w:type="dxa"/>
            <w:left w:w="0" w:type="dxa"/>
            <w:bottom w:w="0" w:type="dxa"/>
            <w:right w:w="0" w:type="dxa"/>
          </w:tblCellMar>
        </w:tblPrEx>
        <w:trPr>
          <w:trHeight w:val="528"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行政许可</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tblPrEx>
          <w:tblLayout w:type="fixed"/>
          <w:tblCellMar>
            <w:top w:w="0" w:type="dxa"/>
            <w:left w:w="0" w:type="dxa"/>
            <w:bottom w:w="0" w:type="dxa"/>
            <w:right w:w="0" w:type="dxa"/>
          </w:tblCellMar>
        </w:tblPrEx>
        <w:trPr>
          <w:trHeight w:val="550"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其他对外管理服务事项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tblPrEx>
          <w:tblLayout w:type="fixed"/>
          <w:tblCellMar>
            <w:top w:w="0" w:type="dxa"/>
            <w:left w:w="0" w:type="dxa"/>
            <w:bottom w:w="0" w:type="dxa"/>
            <w:right w:w="0" w:type="dxa"/>
          </w:tblCellMar>
        </w:tblPrEx>
        <w:trPr>
          <w:trHeight w:val="406"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第二十条第（六）项</w:t>
            </w:r>
          </w:p>
        </w:tc>
      </w:tr>
      <w:tr>
        <w:tblPrEx>
          <w:tblLayout w:type="fixed"/>
          <w:tblCellMar>
            <w:top w:w="0" w:type="dxa"/>
            <w:left w:w="0" w:type="dxa"/>
            <w:bottom w:w="0" w:type="dxa"/>
            <w:right w:w="0" w:type="dxa"/>
          </w:tblCellMar>
        </w:tblPrEx>
        <w:trPr>
          <w:trHeight w:val="634"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75" w:type="dxa"/>
            <w:tcBorders>
              <w:top w:val="single" w:color="auto" w:sz="8" w:space="0"/>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上一年项目数量</w:t>
            </w:r>
          </w:p>
        </w:tc>
        <w:tc>
          <w:tcPr>
            <w:tcW w:w="1271" w:type="dxa"/>
            <w:gridSpan w:val="2"/>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本年增/减</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处理决定数量</w:t>
            </w:r>
          </w:p>
        </w:tc>
      </w:tr>
      <w:tr>
        <w:tblPrEx>
          <w:tblLayout w:type="fixed"/>
          <w:tblCellMar>
            <w:top w:w="0" w:type="dxa"/>
            <w:left w:w="0" w:type="dxa"/>
            <w:bottom w:w="0" w:type="dxa"/>
            <w:right w:w="0" w:type="dxa"/>
          </w:tblCellMar>
        </w:tblPrEx>
        <w:trPr>
          <w:trHeight w:val="430"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行政处罚</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tblPrEx>
          <w:tblLayout w:type="fixed"/>
          <w:tblCellMar>
            <w:top w:w="0" w:type="dxa"/>
            <w:left w:w="0" w:type="dxa"/>
            <w:bottom w:w="0" w:type="dxa"/>
            <w:right w:w="0" w:type="dxa"/>
          </w:tblCellMar>
        </w:tblPrEx>
        <w:trPr>
          <w:trHeight w:val="409"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行政强制</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1265"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2172" w:type="dxa"/>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r>
      <w:tr>
        <w:tblPrEx>
          <w:tblLayout w:type="fixed"/>
          <w:tblCellMar>
            <w:top w:w="0" w:type="dxa"/>
            <w:left w:w="0" w:type="dxa"/>
            <w:bottom w:w="0" w:type="dxa"/>
            <w:right w:w="0" w:type="dxa"/>
          </w:tblCellMar>
        </w:tblPrEx>
        <w:trPr>
          <w:trHeight w:val="474"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第二十条第（八）项</w:t>
            </w:r>
          </w:p>
        </w:tc>
      </w:tr>
      <w:tr>
        <w:tblPrEx>
          <w:tblLayout w:type="fixed"/>
          <w:tblCellMar>
            <w:top w:w="0" w:type="dxa"/>
            <w:left w:w="0" w:type="dxa"/>
            <w:bottom w:w="0" w:type="dxa"/>
            <w:right w:w="0" w:type="dxa"/>
          </w:tblCellMar>
        </w:tblPrEx>
        <w:trPr>
          <w:trHeight w:val="270"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上一年项目数量</w:t>
            </w:r>
          </w:p>
        </w:tc>
        <w:tc>
          <w:tcPr>
            <w:tcW w:w="3437"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本年增/减</w:t>
            </w:r>
          </w:p>
        </w:tc>
      </w:tr>
      <w:tr>
        <w:tblPrEx>
          <w:tblLayout w:type="fixed"/>
          <w:tblCellMar>
            <w:top w:w="0" w:type="dxa"/>
            <w:left w:w="0" w:type="dxa"/>
            <w:bottom w:w="0" w:type="dxa"/>
            <w:right w:w="0" w:type="dxa"/>
          </w:tblCellMar>
        </w:tblPrEx>
        <w:trPr>
          <w:trHeight w:val="551"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行政事业性收费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3437"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rFonts w:hint="eastAsia"/>
                <w:color w:val="000000"/>
                <w:kern w:val="0"/>
                <w:sz w:val="20"/>
                <w:szCs w:val="20"/>
              </w:rPr>
              <w:t>0</w:t>
            </w:r>
          </w:p>
        </w:tc>
      </w:tr>
      <w:tr>
        <w:tblPrEx>
          <w:tblLayout w:type="fixed"/>
          <w:tblCellMar>
            <w:top w:w="0" w:type="dxa"/>
            <w:left w:w="0" w:type="dxa"/>
            <w:bottom w:w="0" w:type="dxa"/>
            <w:right w:w="0" w:type="dxa"/>
          </w:tblCellMar>
        </w:tblPrEx>
        <w:trPr>
          <w:trHeight w:val="476" w:hRule="atLeast"/>
          <w:jc w:val="center"/>
        </w:trPr>
        <w:tc>
          <w:tcPr>
            <w:tcW w:w="9119"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第二十条第（九）项</w:t>
            </w:r>
          </w:p>
        </w:tc>
      </w:tr>
      <w:tr>
        <w:tblPrEx>
          <w:tblLayout w:type="fixed"/>
          <w:tblCellMar>
            <w:top w:w="0" w:type="dxa"/>
            <w:left w:w="0" w:type="dxa"/>
            <w:bottom w:w="0" w:type="dxa"/>
            <w:right w:w="0" w:type="dxa"/>
          </w:tblCellMar>
        </w:tblPrEx>
        <w:trPr>
          <w:trHeight w:val="585"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信息内容</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采购项目数量</w:t>
            </w:r>
          </w:p>
        </w:tc>
        <w:tc>
          <w:tcPr>
            <w:tcW w:w="3437" w:type="dxa"/>
            <w:gridSpan w:val="2"/>
            <w:tcBorders>
              <w:top w:val="single" w:color="auto" w:sz="8" w:space="0"/>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采购总金额</w:t>
            </w:r>
          </w:p>
        </w:tc>
      </w:tr>
      <w:tr>
        <w:tblPrEx>
          <w:tblLayout w:type="fixed"/>
          <w:tblCellMar>
            <w:top w:w="0" w:type="dxa"/>
            <w:left w:w="0" w:type="dxa"/>
            <w:bottom w:w="0" w:type="dxa"/>
            <w:right w:w="0" w:type="dxa"/>
          </w:tblCellMar>
        </w:tblPrEx>
        <w:trPr>
          <w:trHeight w:val="539" w:hRule="atLeast"/>
          <w:jc w:val="center"/>
        </w:trPr>
        <w:tc>
          <w:tcPr>
            <w:tcW w:w="3801" w:type="dxa"/>
            <w:tcBorders>
              <w:top w:val="nil"/>
              <w:left w:val="single" w:color="auto" w:sz="8" w:space="0"/>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color w:val="000000"/>
                <w:kern w:val="0"/>
                <w:sz w:val="20"/>
                <w:szCs w:val="20"/>
              </w:rPr>
              <w:t>政府集中采购</w:t>
            </w:r>
          </w:p>
        </w:tc>
        <w:tc>
          <w:tcPr>
            <w:tcW w:w="1881" w:type="dxa"/>
            <w:gridSpan w:val="2"/>
            <w:tcBorders>
              <w:top w:val="nil"/>
              <w:left w:val="nil"/>
              <w:bottom w:val="single" w:color="auto" w:sz="8" w:space="0"/>
              <w:right w:val="single" w:color="auto"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color w:val="000000"/>
                <w:kern w:val="0"/>
                <w:sz w:val="20"/>
                <w:szCs w:val="20"/>
              </w:rPr>
              <w:t>0</w:t>
            </w:r>
          </w:p>
        </w:tc>
        <w:tc>
          <w:tcPr>
            <w:tcW w:w="3437" w:type="dxa"/>
            <w:gridSpan w:val="2"/>
            <w:tcBorders>
              <w:top w:val="nil"/>
              <w:left w:val="nil"/>
              <w:bottom w:val="single" w:color="auto" w:sz="8" w:space="0"/>
              <w:right w:val="single" w:color="000000" w:sz="8" w:space="0"/>
            </w:tcBorders>
            <w:noWrap/>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hint="eastAsia"/>
                <w:kern w:val="0"/>
                <w:sz w:val="24"/>
              </w:rPr>
              <w:t>0</w:t>
            </w:r>
          </w:p>
        </w:tc>
      </w:tr>
    </w:tbl>
    <w:p>
      <w:pPr>
        <w:keepNext w:val="0"/>
        <w:keepLines w:val="0"/>
        <w:pageBreakBefore w:val="0"/>
        <w:widowControl/>
        <w:shd w:val="clear" w:color="auto" w:fill="FFFFFF"/>
        <w:kinsoku/>
        <w:wordWrap/>
        <w:overflowPunct/>
        <w:topLinePunct w:val="0"/>
        <w:autoSpaceDN/>
        <w:bidi w:val="0"/>
        <w:adjustRightInd w:val="0"/>
        <w:snapToGrid w:val="0"/>
        <w:spacing w:after="240" w:line="560" w:lineRule="exact"/>
        <w:ind w:firstLine="480"/>
        <w:textAlignment w:val="auto"/>
        <w:rPr>
          <w:rFonts w:ascii="黑体" w:hAnsi="黑体" w:eastAsia="黑体"/>
          <w:bCs/>
          <w:color w:val="333333"/>
          <w:kern w:val="0"/>
          <w:sz w:val="32"/>
          <w:szCs w:val="32"/>
        </w:rPr>
      </w:pPr>
      <w:r>
        <w:rPr>
          <w:rFonts w:ascii="黑体" w:hAnsi="黑体" w:eastAsia="黑体"/>
          <w:bCs/>
          <w:color w:val="333333"/>
          <w:kern w:val="0"/>
          <w:sz w:val="32"/>
          <w:szCs w:val="32"/>
        </w:rPr>
        <w:t>三、收到和处理政府信息公开申请情况</w:t>
      </w:r>
    </w:p>
    <w:p>
      <w:pPr>
        <w:keepNext w:val="0"/>
        <w:keepLines w:val="0"/>
        <w:pageBreakBefore w:val="0"/>
        <w:kinsoku/>
        <w:wordWrap/>
        <w:overflowPunct/>
        <w:topLinePunct w:val="0"/>
        <w:autoSpaceDN/>
        <w:bidi w:val="0"/>
        <w:adjustRightInd w:val="0"/>
        <w:snapToGrid w:val="0"/>
        <w:spacing w:line="560" w:lineRule="exact"/>
        <w:ind w:firstLine="480"/>
        <w:textAlignment w:val="auto"/>
        <w:rPr>
          <w:rFonts w:ascii="仿宋_GB2312" w:eastAsia="仿宋_GB2312"/>
          <w:kern w:val="0"/>
        </w:rPr>
      </w:pP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年，我单位受理</w:t>
      </w:r>
      <w:r>
        <w:rPr>
          <w:rFonts w:hint="eastAsia" w:ascii="仿宋_GB2312" w:hAnsi="仿宋_GB2312" w:eastAsia="仿宋_GB2312" w:cs="仿宋_GB2312"/>
          <w:color w:val="000000"/>
          <w:sz w:val="32"/>
          <w:szCs w:val="32"/>
          <w:lang w:val="en-US" w:eastAsia="zh-CN"/>
        </w:rPr>
        <w:t>0起</w:t>
      </w:r>
      <w:r>
        <w:rPr>
          <w:rFonts w:hint="eastAsia" w:ascii="仿宋_GB2312" w:hAnsi="仿宋_GB2312" w:eastAsia="仿宋_GB2312" w:cs="仿宋_GB2312"/>
          <w:color w:val="000000"/>
          <w:sz w:val="32"/>
          <w:szCs w:val="32"/>
        </w:rPr>
        <w:t>政府信息公开申请，未形成不予公开信息。</w:t>
      </w:r>
    </w:p>
    <w:tbl>
      <w:tblPr>
        <w:tblStyle w:val="8"/>
        <w:tblW w:w="9114" w:type="dxa"/>
        <w:jc w:val="center"/>
        <w:tblInd w:w="0" w:type="dxa"/>
        <w:tblLayout w:type="fixed"/>
        <w:tblCellMar>
          <w:top w:w="0" w:type="dxa"/>
          <w:left w:w="0" w:type="dxa"/>
          <w:bottom w:w="0" w:type="dxa"/>
          <w:right w:w="0" w:type="dxa"/>
        </w:tblCellMar>
      </w:tblPr>
      <w:tblGrid>
        <w:gridCol w:w="659"/>
        <w:gridCol w:w="854"/>
        <w:gridCol w:w="2084"/>
        <w:gridCol w:w="814"/>
        <w:gridCol w:w="755"/>
        <w:gridCol w:w="755"/>
        <w:gridCol w:w="814"/>
        <w:gridCol w:w="974"/>
        <w:gridCol w:w="711"/>
        <w:gridCol w:w="694"/>
      </w:tblGrid>
      <w:tr>
        <w:tblPrEx>
          <w:tblLayout w:type="fixed"/>
          <w:tblCellMar>
            <w:top w:w="0" w:type="dxa"/>
            <w:left w:w="0" w:type="dxa"/>
            <w:bottom w:w="0" w:type="dxa"/>
            <w:right w:w="0" w:type="dxa"/>
          </w:tblCellMar>
        </w:tblPrEx>
        <w:trPr>
          <w:jc w:val="center"/>
        </w:trPr>
        <w:tc>
          <w:tcPr>
            <w:tcW w:w="3597" w:type="dxa"/>
            <w:gridSpan w:val="3"/>
            <w:vMerge w:val="restart"/>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（本列数据的勾稽关系为：第一项加第二项之和，等于第三项加第四项之和）</w:t>
            </w:r>
          </w:p>
        </w:tc>
        <w:tc>
          <w:tcPr>
            <w:tcW w:w="5517" w:type="dxa"/>
            <w:gridSpan w:val="7"/>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申请人情况</w:t>
            </w:r>
          </w:p>
        </w:tc>
      </w:tr>
      <w:tr>
        <w:tblPrEx>
          <w:tblLayout w:type="fixed"/>
          <w:tblCellMar>
            <w:top w:w="0" w:type="dxa"/>
            <w:left w:w="0" w:type="dxa"/>
            <w:bottom w:w="0" w:type="dxa"/>
            <w:right w:w="0" w:type="dxa"/>
          </w:tblCellMar>
        </w:tblPrEx>
        <w:trPr>
          <w:jc w:val="center"/>
        </w:trPr>
        <w:tc>
          <w:tcPr>
            <w:tcW w:w="3597" w:type="dxa"/>
            <w:gridSpan w:val="3"/>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1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自然人</w:t>
            </w:r>
          </w:p>
        </w:tc>
        <w:tc>
          <w:tcPr>
            <w:tcW w:w="4009"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法人或其他组织</w:t>
            </w:r>
          </w:p>
        </w:tc>
        <w:tc>
          <w:tcPr>
            <w:tcW w:w="69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总计</w:t>
            </w:r>
          </w:p>
        </w:tc>
      </w:tr>
      <w:tr>
        <w:tblPrEx>
          <w:tblLayout w:type="fixed"/>
          <w:tblCellMar>
            <w:top w:w="0" w:type="dxa"/>
            <w:left w:w="0" w:type="dxa"/>
            <w:bottom w:w="0" w:type="dxa"/>
            <w:right w:w="0" w:type="dxa"/>
          </w:tblCellMar>
        </w:tblPrEx>
        <w:trPr>
          <w:jc w:val="center"/>
        </w:trPr>
        <w:tc>
          <w:tcPr>
            <w:tcW w:w="3597" w:type="dxa"/>
            <w:gridSpan w:val="3"/>
            <w:vMerge w:val="continue"/>
            <w:tcBorders>
              <w:top w:val="single" w:color="auto" w:sz="8" w:space="0"/>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1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商业企业</w:t>
            </w:r>
          </w:p>
        </w:tc>
        <w:tc>
          <w:tcPr>
            <w:tcW w:w="75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科研机构</w:t>
            </w:r>
          </w:p>
        </w:tc>
        <w:tc>
          <w:tcPr>
            <w:tcW w:w="81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社会公益组织</w:t>
            </w:r>
          </w:p>
        </w:tc>
        <w:tc>
          <w:tcPr>
            <w:tcW w:w="974"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法律服务机构</w:t>
            </w:r>
          </w:p>
        </w:tc>
        <w:tc>
          <w:tcPr>
            <w:tcW w:w="711"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其他</w:t>
            </w:r>
          </w:p>
        </w:tc>
        <w:tc>
          <w:tcPr>
            <w:tcW w:w="694" w:type="dxa"/>
            <w:vMerge w:val="continue"/>
            <w:tcBorders>
              <w:top w:val="single" w:color="auto" w:sz="8" w:space="0"/>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r>
      <w:tr>
        <w:tblPrEx>
          <w:tblLayout w:type="fixed"/>
          <w:tblCellMar>
            <w:top w:w="0" w:type="dxa"/>
            <w:left w:w="0" w:type="dxa"/>
            <w:bottom w:w="0" w:type="dxa"/>
            <w:right w:w="0" w:type="dxa"/>
          </w:tblCellMar>
        </w:tblPrEx>
        <w:trPr>
          <w:jc w:val="center"/>
        </w:trPr>
        <w:tc>
          <w:tcPr>
            <w:tcW w:w="3597"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kern w:val="0"/>
                <w:sz w:val="20"/>
                <w:szCs w:val="20"/>
              </w:rPr>
              <w:t>一、本年新收政府信息公开申请数量</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r>
      <w:tr>
        <w:tblPrEx>
          <w:tblLayout w:type="fixed"/>
          <w:tblCellMar>
            <w:top w:w="0" w:type="dxa"/>
            <w:left w:w="0" w:type="dxa"/>
            <w:bottom w:w="0" w:type="dxa"/>
            <w:right w:w="0" w:type="dxa"/>
          </w:tblCellMar>
        </w:tblPrEx>
        <w:trPr>
          <w:jc w:val="center"/>
        </w:trPr>
        <w:tc>
          <w:tcPr>
            <w:tcW w:w="3597"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kern w:val="0"/>
                <w:sz w:val="20"/>
                <w:szCs w:val="20"/>
              </w:rPr>
              <w:t>二、上年结转政府信息公开申请数量</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三、本年度办理结果</w:t>
            </w: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（一）予以公开</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（二）部分公开（区分处理的，只计这一情形，不计其他情形）</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（三）不予公开</w:t>
            </w:r>
          </w:p>
        </w:tc>
        <w:tc>
          <w:tcPr>
            <w:tcW w:w="208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single" w:color="auto" w:sz="8" w:space="0"/>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3.危及“三安全一稳定”</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4.保护第三方合法权益</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5.属于三类内部事务信息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6.属于四类过程性信息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7.属于行政执法案卷</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8.属于行政查询事项</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（四）无法提供</w:t>
            </w: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1.本机关不掌握相关政府信息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2.没有现成信息需要另行制作</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3.补正后申请内容仍不明确</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（五）不予处理</w:t>
            </w: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1.信访举报投诉类申请</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2.重复申请</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3.要求提供公开出版物</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4.无正当理由大量反复申请</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85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08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5.要求行政机关确认或重新出具已获取信息</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（六）其他处理</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r>
        <w:tblPrEx>
          <w:tblLayout w:type="fixed"/>
          <w:tblCellMar>
            <w:top w:w="0" w:type="dxa"/>
            <w:left w:w="0" w:type="dxa"/>
            <w:bottom w:w="0" w:type="dxa"/>
            <w:right w:w="0" w:type="dxa"/>
          </w:tblCellMar>
        </w:tblPrEx>
        <w:trPr>
          <w:jc w:val="center"/>
        </w:trPr>
        <w:tc>
          <w:tcPr>
            <w:tcW w:w="659"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2938" w:type="dxa"/>
            <w:gridSpan w:val="2"/>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rFonts w:eastAsia="楷体"/>
                <w:kern w:val="0"/>
                <w:sz w:val="20"/>
                <w:szCs w:val="20"/>
              </w:rPr>
              <w:t>（七）总计</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rPr>
                <w:rFonts w:hint="eastAsia" w:eastAsia="宋体"/>
                <w:lang w:eastAsia="zh-CN"/>
              </w:rPr>
            </w:pPr>
            <w:r>
              <w:rPr>
                <w:rFonts w:hint="eastAsia"/>
                <w:kern w:val="0"/>
                <w:sz w:val="20"/>
                <w:szCs w:val="20"/>
                <w:lang w:val="en-US" w:eastAsia="zh-CN"/>
              </w:rPr>
              <w:t>0</w:t>
            </w:r>
          </w:p>
        </w:tc>
      </w:tr>
      <w:tr>
        <w:tblPrEx>
          <w:tblLayout w:type="fixed"/>
          <w:tblCellMar>
            <w:top w:w="0" w:type="dxa"/>
            <w:left w:w="0" w:type="dxa"/>
            <w:bottom w:w="0" w:type="dxa"/>
            <w:right w:w="0" w:type="dxa"/>
          </w:tblCellMar>
        </w:tblPrEx>
        <w:trPr>
          <w:jc w:val="center"/>
        </w:trPr>
        <w:tc>
          <w:tcPr>
            <w:tcW w:w="3597" w:type="dxa"/>
            <w:gridSpan w:val="3"/>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r>
              <w:rPr>
                <w:kern w:val="0"/>
                <w:sz w:val="20"/>
                <w:szCs w:val="20"/>
              </w:rPr>
              <w:t>四、结转下年度继续办理</w:t>
            </w:r>
          </w:p>
        </w:tc>
        <w:tc>
          <w:tcPr>
            <w:tcW w:w="814"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5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81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97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711"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9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bl>
    <w:p>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color w:val="333333"/>
          <w:kern w:val="0"/>
          <w:sz w:val="24"/>
        </w:rPr>
      </w:pPr>
    </w:p>
    <w:p>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rFonts w:ascii="黑体" w:hAnsi="黑体" w:eastAsia="黑体"/>
          <w:bCs/>
          <w:color w:val="333333"/>
          <w:kern w:val="0"/>
          <w:sz w:val="32"/>
          <w:szCs w:val="32"/>
        </w:rPr>
      </w:pPr>
      <w:r>
        <w:rPr>
          <w:rFonts w:ascii="黑体" w:hAnsi="黑体" w:eastAsia="黑体"/>
          <w:bCs/>
          <w:color w:val="333333"/>
          <w:kern w:val="0"/>
          <w:sz w:val="32"/>
          <w:szCs w:val="32"/>
        </w:rPr>
        <w:t>四、政府信息公开行政复议、行政诉讼情况</w:t>
      </w:r>
    </w:p>
    <w:p>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rFonts w:ascii="仿宋_GB2312" w:eastAsia="仿宋_GB2312"/>
          <w:color w:val="333333"/>
          <w:kern w:val="0"/>
          <w:sz w:val="24"/>
        </w:rPr>
      </w:pPr>
      <w:r>
        <w:rPr>
          <w:rFonts w:hint="eastAsia" w:ascii="仿宋_GB2312" w:hAnsi="仿宋_GB2312" w:eastAsia="仿宋_GB2312" w:cs="仿宋_GB2312"/>
          <w:color w:val="000000"/>
          <w:sz w:val="32"/>
          <w:szCs w:val="32"/>
          <w:lang w:val="en-US" w:eastAsia="zh-CN"/>
        </w:rPr>
        <w:t>2020</w:t>
      </w:r>
      <w:r>
        <w:rPr>
          <w:rFonts w:hint="eastAsia" w:ascii="仿宋_GB2312" w:hAnsi="仿宋_GB2312" w:eastAsia="仿宋_GB2312" w:cs="仿宋_GB2312"/>
          <w:color w:val="000000"/>
          <w:sz w:val="32"/>
          <w:szCs w:val="32"/>
        </w:rPr>
        <w:t>年，我单位对形成的政府信息实现了依法、有序公开，未出现申请行政复议、提起行政诉讼的情况。</w:t>
      </w:r>
    </w:p>
    <w:tbl>
      <w:tblPr>
        <w:tblStyle w:val="8"/>
        <w:tblW w:w="9071" w:type="dxa"/>
        <w:jc w:val="center"/>
        <w:tblInd w:w="0" w:type="dxa"/>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Layout w:type="fixed"/>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行政复议</w:t>
            </w:r>
          </w:p>
        </w:tc>
        <w:tc>
          <w:tcPr>
            <w:tcW w:w="5997" w:type="dxa"/>
            <w:gridSpan w:val="10"/>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行政诉讼</w:t>
            </w:r>
          </w:p>
        </w:tc>
      </w:tr>
      <w:tr>
        <w:tblPrEx>
          <w:tblLayout w:type="fixed"/>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结果维持</w:t>
            </w:r>
          </w:p>
        </w:tc>
        <w:tc>
          <w:tcPr>
            <w:tcW w:w="604" w:type="dxa"/>
            <w:vMerge w:val="restart"/>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尚未审结</w:t>
            </w:r>
          </w:p>
        </w:tc>
        <w:tc>
          <w:tcPr>
            <w:tcW w:w="658" w:type="dxa"/>
            <w:vMerge w:val="restart"/>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总计</w:t>
            </w:r>
          </w:p>
        </w:tc>
        <w:tc>
          <w:tcPr>
            <w:tcW w:w="2970"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复议后起诉</w:t>
            </w:r>
          </w:p>
        </w:tc>
      </w:tr>
      <w:tr>
        <w:tblPrEx>
          <w:tblLayout w:type="fixed"/>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04" w:type="dxa"/>
            <w:vMerge w:val="continue"/>
            <w:tcBorders>
              <w:top w:val="nil"/>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04" w:type="dxa"/>
            <w:vMerge w:val="continue"/>
            <w:tcBorders>
              <w:top w:val="single" w:color="auto" w:sz="8" w:space="0"/>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04" w:type="dxa"/>
            <w:vMerge w:val="continue"/>
            <w:tcBorders>
              <w:top w:val="single" w:color="auto" w:sz="8" w:space="0"/>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658" w:type="dxa"/>
            <w:vMerge w:val="continue"/>
            <w:tcBorders>
              <w:top w:val="single" w:color="auto" w:sz="8" w:space="0"/>
              <w:left w:val="nil"/>
              <w:bottom w:val="single" w:color="auto" w:sz="8" w:space="0"/>
              <w:right w:val="single" w:color="auto" w:sz="8" w:space="0"/>
            </w:tcBorders>
            <w:vAlign w:val="center"/>
          </w:tcPr>
          <w:p>
            <w:pPr>
              <w:keepNext w:val="0"/>
              <w:keepLines w:val="0"/>
              <w:pageBreakBefore w:val="0"/>
              <w:widowControl/>
              <w:kinsoku/>
              <w:wordWrap/>
              <w:overflowPunct/>
              <w:topLinePunct w:val="0"/>
              <w:autoSpaceDN/>
              <w:bidi w:val="0"/>
              <w:adjustRightInd w:val="0"/>
              <w:snapToGrid w:val="0"/>
              <w:spacing w:line="560" w:lineRule="exact"/>
              <w:jc w:val="left"/>
              <w:textAlignment w:val="auto"/>
              <w:rPr>
                <w:kern w:val="0"/>
                <w:sz w:val="24"/>
              </w:rPr>
            </w:pPr>
          </w:p>
        </w:tc>
        <w:tc>
          <w:tcPr>
            <w:tcW w:w="550"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结果维持</w:t>
            </w:r>
          </w:p>
        </w:tc>
        <w:tc>
          <w:tcPr>
            <w:tcW w:w="605" w:type="dxa"/>
            <w:tcBorders>
              <w:top w:val="nil"/>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其他结果</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尚未审结</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总计</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结果维持</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结果纠正</w:t>
            </w:r>
          </w:p>
        </w:tc>
        <w:tc>
          <w:tcPr>
            <w:tcW w:w="605"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其他结果</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kern w:val="0"/>
                <w:sz w:val="20"/>
                <w:szCs w:val="20"/>
              </w:rPr>
              <w:t>尚未审结</w:t>
            </w:r>
          </w:p>
        </w:tc>
        <w:tc>
          <w:tcPr>
            <w:tcW w:w="606"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keepNext w:val="0"/>
              <w:keepLines w:val="0"/>
              <w:pageBreakBefore w:val="0"/>
              <w:widowControl/>
              <w:kinsoku/>
              <w:wordWrap/>
              <w:overflowPunct/>
              <w:topLinePunct w:val="0"/>
              <w:autoSpaceDN/>
              <w:bidi w:val="0"/>
              <w:adjustRightInd w:val="0"/>
              <w:snapToGrid w:val="0"/>
              <w:spacing w:line="560" w:lineRule="exact"/>
              <w:jc w:val="center"/>
              <w:textAlignment w:val="auto"/>
              <w:rPr>
                <w:kern w:val="0"/>
                <w:sz w:val="24"/>
              </w:rPr>
            </w:pPr>
            <w:r>
              <w:rPr>
                <w:color w:val="000000"/>
                <w:kern w:val="0"/>
                <w:sz w:val="20"/>
                <w:szCs w:val="20"/>
              </w:rPr>
              <w:t>总计</w:t>
            </w:r>
          </w:p>
        </w:tc>
      </w:tr>
      <w:tr>
        <w:tblPrEx>
          <w:tblLayout w:type="fixed"/>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4"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58"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550"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5"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c>
          <w:tcPr>
            <w:tcW w:w="606" w:type="dxa"/>
            <w:tcBorders>
              <w:top w:val="nil"/>
              <w:left w:val="nil"/>
              <w:bottom w:val="single" w:color="auto" w:sz="8" w:space="0"/>
              <w:right w:val="single" w:color="auto" w:sz="8" w:space="0"/>
            </w:tcBorders>
            <w:tcMar>
              <w:top w:w="0" w:type="dxa"/>
              <w:left w:w="108" w:type="dxa"/>
              <w:bottom w:w="0" w:type="dxa"/>
              <w:right w:w="108" w:type="dxa"/>
            </w:tcMar>
          </w:tcPr>
          <w:p>
            <w:pPr>
              <w:keepNext w:val="0"/>
              <w:keepLines w:val="0"/>
              <w:pageBreakBefore w:val="0"/>
              <w:kinsoku/>
              <w:wordWrap/>
              <w:overflowPunct/>
              <w:topLinePunct w:val="0"/>
              <w:autoSpaceDN/>
              <w:bidi w:val="0"/>
              <w:adjustRightInd w:val="0"/>
              <w:snapToGrid w:val="0"/>
              <w:spacing w:line="560" w:lineRule="exact"/>
              <w:textAlignment w:val="auto"/>
            </w:pPr>
            <w:r>
              <w:rPr>
                <w:rFonts w:hint="eastAsia"/>
                <w:kern w:val="0"/>
                <w:sz w:val="20"/>
                <w:szCs w:val="20"/>
              </w:rPr>
              <w:t>0</w:t>
            </w:r>
          </w:p>
        </w:tc>
      </w:tr>
    </w:tbl>
    <w:p>
      <w:pPr>
        <w:keepNext w:val="0"/>
        <w:keepLines w:val="0"/>
        <w:pageBreakBefore w:val="0"/>
        <w:widowControl/>
        <w:shd w:val="clear" w:color="auto" w:fill="FFFFFF"/>
        <w:kinsoku/>
        <w:wordWrap/>
        <w:overflowPunct/>
        <w:topLinePunct w:val="0"/>
        <w:autoSpaceDN/>
        <w:bidi w:val="0"/>
        <w:adjustRightInd w:val="0"/>
        <w:snapToGrid w:val="0"/>
        <w:spacing w:line="560" w:lineRule="exact"/>
        <w:jc w:val="center"/>
        <w:textAlignment w:val="auto"/>
        <w:rPr>
          <w:color w:val="333333"/>
          <w:kern w:val="0"/>
          <w:sz w:val="24"/>
        </w:rPr>
      </w:pPr>
    </w:p>
    <w:p>
      <w:pPr>
        <w:keepNext w:val="0"/>
        <w:keepLines w:val="0"/>
        <w:pageBreakBefore w:val="0"/>
        <w:widowControl/>
        <w:shd w:val="clear" w:color="auto" w:fill="FFFFFF"/>
        <w:kinsoku/>
        <w:wordWrap/>
        <w:overflowPunct/>
        <w:topLinePunct w:val="0"/>
        <w:autoSpaceDN/>
        <w:bidi w:val="0"/>
        <w:adjustRightInd w:val="0"/>
        <w:snapToGrid w:val="0"/>
        <w:spacing w:line="560" w:lineRule="exact"/>
        <w:ind w:firstLine="480"/>
        <w:textAlignment w:val="auto"/>
        <w:rPr>
          <w:rFonts w:ascii="仿宋_GB2312" w:eastAsia="仿宋_GB2312"/>
          <w:color w:val="333333"/>
          <w:kern w:val="0"/>
          <w:sz w:val="32"/>
          <w:szCs w:val="32"/>
        </w:rPr>
      </w:pPr>
      <w:r>
        <w:rPr>
          <w:rFonts w:ascii="黑体" w:hAnsi="黑体" w:eastAsia="黑体"/>
          <w:bCs/>
          <w:color w:val="333333"/>
          <w:kern w:val="0"/>
          <w:sz w:val="32"/>
          <w:szCs w:val="32"/>
        </w:rPr>
        <w:t>五、存在的主要问题及改进情况</w:t>
      </w:r>
      <w:r>
        <w:rPr>
          <w:rFonts w:hint="eastAsia" w:ascii="仿宋_GB2312" w:hAnsi="仿宋_GB2312" w:eastAsia="仿宋_GB2312" w:cs="仿宋_GB2312"/>
          <w:color w:val="000000"/>
          <w:sz w:val="32"/>
          <w:szCs w:val="32"/>
        </w:rPr>
        <w:br w:type="textWrapping"/>
      </w:r>
      <w:r>
        <w:rPr>
          <w:rFonts w:hint="eastAsia"/>
          <w:color w:val="333333"/>
          <w:kern w:val="0"/>
          <w:sz w:val="32"/>
          <w:szCs w:val="32"/>
        </w:rPr>
        <w:t xml:space="preserve">    </w:t>
      </w:r>
      <w:r>
        <w:rPr>
          <w:rFonts w:hint="eastAsia" w:ascii="仿宋_GB2312" w:eastAsia="仿宋_GB2312"/>
          <w:color w:val="333333"/>
          <w:kern w:val="0"/>
          <w:sz w:val="32"/>
          <w:szCs w:val="32"/>
          <w:lang w:val="en-US" w:eastAsia="zh-CN"/>
        </w:rPr>
        <w:t>2020</w:t>
      </w:r>
      <w:r>
        <w:rPr>
          <w:rFonts w:hint="eastAsia" w:ascii="仿宋_GB2312" w:eastAsia="仿宋_GB2312"/>
          <w:color w:val="333333"/>
          <w:kern w:val="0"/>
          <w:sz w:val="32"/>
          <w:szCs w:val="32"/>
        </w:rPr>
        <w:t>年，在区政府及上级主管部门的大力指导支持和我局各科室的全力配合协作下，我局政务公开和政府信息公开工作取得了一些成绩，但仍存在着一些短板和不足，如政务公开</w:t>
      </w:r>
      <w:r>
        <w:rPr>
          <w:rFonts w:hint="eastAsia" w:ascii="仿宋_GB2312" w:eastAsia="仿宋_GB2312"/>
          <w:color w:val="333333"/>
          <w:kern w:val="0"/>
          <w:sz w:val="32"/>
          <w:szCs w:val="32"/>
          <w:lang w:val="en-US" w:eastAsia="zh-CN"/>
        </w:rPr>
        <w:t>内容、创新方式、开展政府开放日活动方面有待提升</w:t>
      </w:r>
      <w:r>
        <w:rPr>
          <w:rFonts w:hint="eastAsia" w:ascii="仿宋_GB2312" w:eastAsia="仿宋_GB2312"/>
          <w:color w:val="333333"/>
          <w:kern w:val="0"/>
          <w:sz w:val="32"/>
          <w:szCs w:val="32"/>
        </w:rPr>
        <w:t>。</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firstLine="480"/>
        <w:textAlignment w:val="auto"/>
        <w:rPr>
          <w:rFonts w:hint="eastAsia" w:ascii="仿宋_GB2312" w:eastAsia="仿宋_GB2312"/>
          <w:color w:val="333333"/>
          <w:kern w:val="0"/>
          <w:sz w:val="32"/>
          <w:szCs w:val="32"/>
        </w:rPr>
      </w:pPr>
      <w:r>
        <w:rPr>
          <w:rFonts w:hint="eastAsia" w:ascii="仿宋_GB2312" w:eastAsia="仿宋_GB2312"/>
          <w:color w:val="333333"/>
          <w:kern w:val="0"/>
          <w:sz w:val="32"/>
          <w:szCs w:val="32"/>
        </w:rPr>
        <w:t>202</w:t>
      </w:r>
      <w:r>
        <w:rPr>
          <w:rFonts w:hint="eastAsia" w:ascii="仿宋_GB2312" w:eastAsia="仿宋_GB2312"/>
          <w:color w:val="333333"/>
          <w:kern w:val="0"/>
          <w:sz w:val="32"/>
          <w:szCs w:val="32"/>
          <w:lang w:val="en-US" w:eastAsia="zh-CN"/>
        </w:rPr>
        <w:t>1</w:t>
      </w:r>
      <w:r>
        <w:rPr>
          <w:rFonts w:hint="eastAsia" w:ascii="仿宋_GB2312" w:eastAsia="仿宋_GB2312"/>
          <w:color w:val="333333"/>
          <w:kern w:val="0"/>
          <w:sz w:val="32"/>
          <w:szCs w:val="32"/>
        </w:rPr>
        <w:t>年，我局将根据我区部署的政务公开工作具体要求，进一步提高认识，深入查找政务公开工作各个环节中的薄弱点，加大工作力度，提升公开水平，充分发挥审计在党和国家监督体系中的重要作用。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516"/>
        <w:jc w:val="left"/>
        <w:textAlignment w:val="auto"/>
        <w:rPr>
          <w:rFonts w:hint="eastAsia" w:ascii="仿宋_GB2312" w:hAnsi="仿宋_GB2312" w:eastAsia="仿宋_GB2312" w:cs="仿宋_GB2312"/>
          <w:i w:val="0"/>
          <w:caps w:val="0"/>
          <w:color w:val="3D3D3D"/>
          <w:spacing w:val="0"/>
          <w:sz w:val="32"/>
          <w:szCs w:val="32"/>
          <w:shd w:val="clear" w:fill="FFFFFF"/>
          <w:lang w:val="en-US" w:eastAsia="zh-CN"/>
        </w:rPr>
      </w:pPr>
      <w:r>
        <w:rPr>
          <w:rFonts w:hint="eastAsia" w:ascii="黑体" w:hAnsi="宋体" w:eastAsia="黑体" w:cs="黑体"/>
          <w:i w:val="0"/>
          <w:caps w:val="0"/>
          <w:color w:val="3D3D3D"/>
          <w:spacing w:val="0"/>
          <w:sz w:val="32"/>
          <w:szCs w:val="32"/>
          <w:shd w:val="clear" w:fill="FFFFFF"/>
          <w:lang w:val="en-US" w:eastAsia="zh-CN"/>
        </w:rPr>
        <w:t>六</w:t>
      </w:r>
      <w:r>
        <w:rPr>
          <w:rFonts w:ascii="黑体" w:hAnsi="宋体" w:eastAsia="黑体" w:cs="黑体"/>
          <w:i w:val="0"/>
          <w:caps w:val="0"/>
          <w:color w:val="3D3D3D"/>
          <w:spacing w:val="0"/>
          <w:sz w:val="32"/>
          <w:szCs w:val="32"/>
          <w:shd w:val="clear" w:fill="FFFFFF"/>
        </w:rPr>
        <w:t>、其他需要报告的事项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firstLineChars="200"/>
        <w:jc w:val="left"/>
        <w:textAlignment w:val="auto"/>
        <w:rPr>
          <w:rFonts w:hint="eastAsia" w:ascii="仿宋_GB2312" w:eastAsia="仿宋_GB2312"/>
          <w:color w:val="333333"/>
          <w:kern w:val="0"/>
          <w:sz w:val="32"/>
          <w:szCs w:val="32"/>
        </w:rPr>
      </w:pPr>
      <w:r>
        <w:rPr>
          <w:rFonts w:hint="eastAsia" w:ascii="仿宋_GB2312" w:hAnsi="仿宋_GB2312" w:eastAsia="仿宋_GB2312" w:cs="仿宋_GB2312"/>
          <w:i w:val="0"/>
          <w:caps w:val="0"/>
          <w:color w:val="3D3D3D"/>
          <w:spacing w:val="0"/>
          <w:sz w:val="32"/>
          <w:szCs w:val="32"/>
          <w:shd w:val="clear" w:fill="FFFFFF"/>
          <w:lang w:val="en-US" w:eastAsia="zh-CN"/>
        </w:rPr>
        <w:t>2020</w:t>
      </w:r>
      <w:r>
        <w:rPr>
          <w:rFonts w:hint="eastAsia" w:ascii="仿宋_GB2312" w:hAnsi="仿宋_GB2312" w:eastAsia="仿宋_GB2312" w:cs="仿宋_GB2312"/>
          <w:i w:val="0"/>
          <w:caps w:val="0"/>
          <w:color w:val="3D3D3D"/>
          <w:spacing w:val="0"/>
          <w:sz w:val="32"/>
          <w:szCs w:val="32"/>
          <w:shd w:val="clear" w:fill="FFFFFF"/>
        </w:rPr>
        <w:t>年无</w:t>
      </w:r>
      <w:r>
        <w:rPr>
          <w:rFonts w:hint="eastAsia" w:ascii="仿宋_GB2312" w:hAnsi="仿宋_GB2312" w:eastAsia="仿宋_GB2312" w:cs="仿宋_GB2312"/>
          <w:i w:val="0"/>
          <w:caps w:val="0"/>
          <w:color w:val="111F2C"/>
          <w:spacing w:val="0"/>
          <w:sz w:val="32"/>
          <w:szCs w:val="32"/>
          <w:shd w:val="clear" w:fill="FFFFFF"/>
        </w:rPr>
        <w:t>人大代表建议和政协委员提案办理情况</w:t>
      </w:r>
      <w:r>
        <w:rPr>
          <w:rFonts w:hint="eastAsia" w:ascii="仿宋_GB2312" w:hAnsi="仿宋_GB2312" w:eastAsia="仿宋_GB2312" w:cs="仿宋_GB2312"/>
          <w:i w:val="0"/>
          <w:caps w:val="0"/>
          <w:color w:val="3D3D3D"/>
          <w:spacing w:val="0"/>
          <w:sz w:val="32"/>
          <w:szCs w:val="32"/>
          <w:shd w:val="clear" w:fill="FFFFFF"/>
        </w:rPr>
        <w:t>。</w:t>
      </w:r>
    </w:p>
    <w:p>
      <w:pPr>
        <w:keepNext w:val="0"/>
        <w:keepLines w:val="0"/>
        <w:pageBreakBefore w:val="0"/>
        <w:kinsoku/>
        <w:wordWrap/>
        <w:overflowPunct/>
        <w:topLinePunct w:val="0"/>
        <w:autoSpaceDN/>
        <w:bidi w:val="0"/>
        <w:adjustRightInd w:val="0"/>
        <w:snapToGrid w:val="0"/>
        <w:spacing w:line="560" w:lineRule="exact"/>
        <w:textAlignment w:val="auto"/>
        <w:rPr>
          <w:rFonts w:hint="eastAsia" w:ascii="仿宋_GB2312" w:eastAsia="仿宋_GB2312"/>
          <w:color w:val="333333"/>
          <w:kern w:val="0"/>
          <w:sz w:val="32"/>
          <w:szCs w:val="32"/>
        </w:rPr>
      </w:pPr>
    </w:p>
    <w:p>
      <w:pPr>
        <w:keepNext w:val="0"/>
        <w:keepLines w:val="0"/>
        <w:pageBreakBefore w:val="0"/>
        <w:kinsoku/>
        <w:wordWrap w:val="0"/>
        <w:overflowPunct/>
        <w:topLinePunct w:val="0"/>
        <w:autoSpaceDN/>
        <w:bidi w:val="0"/>
        <w:adjustRightInd w:val="0"/>
        <w:snapToGrid w:val="0"/>
        <w:spacing w:line="560" w:lineRule="exact"/>
        <w:jc w:val="right"/>
        <w:textAlignment w:val="auto"/>
        <w:rPr>
          <w:rFonts w:hint="eastAsia" w:ascii="仿宋_GB2312" w:eastAsia="仿宋_GB2312"/>
          <w:color w:val="333333"/>
          <w:kern w:val="0"/>
          <w:sz w:val="32"/>
          <w:szCs w:val="32"/>
          <w:lang w:val="en-US" w:eastAsia="zh-CN"/>
        </w:rPr>
      </w:pPr>
      <w:r>
        <w:rPr>
          <w:rFonts w:hint="eastAsia" w:ascii="仿宋_GB2312" w:eastAsia="仿宋_GB2312"/>
          <w:color w:val="333333"/>
          <w:kern w:val="0"/>
          <w:sz w:val="32"/>
          <w:szCs w:val="32"/>
          <w:lang w:val="en-US" w:eastAsia="zh-CN"/>
        </w:rPr>
        <w:t xml:space="preserve">威海市文登区审计局       </w:t>
      </w:r>
    </w:p>
    <w:p>
      <w:pPr>
        <w:keepNext w:val="0"/>
        <w:keepLines w:val="0"/>
        <w:pageBreakBefore w:val="0"/>
        <w:kinsoku/>
        <w:wordWrap w:val="0"/>
        <w:overflowPunct/>
        <w:topLinePunct w:val="0"/>
        <w:autoSpaceDN/>
        <w:bidi w:val="0"/>
        <w:adjustRightInd w:val="0"/>
        <w:snapToGrid w:val="0"/>
        <w:spacing w:line="560" w:lineRule="exact"/>
        <w:jc w:val="right"/>
        <w:textAlignment w:val="auto"/>
        <w:rPr>
          <w:rFonts w:hint="eastAsia" w:ascii="仿宋_GB2312" w:eastAsia="仿宋_GB2312"/>
          <w:color w:val="333333"/>
          <w:kern w:val="0"/>
          <w:sz w:val="32"/>
          <w:szCs w:val="32"/>
          <w:lang w:val="en-US" w:eastAsia="zh-CN"/>
        </w:rPr>
      </w:pPr>
      <w:r>
        <w:rPr>
          <w:rFonts w:hint="eastAsia" w:ascii="仿宋_GB2312" w:eastAsia="仿宋_GB2312"/>
          <w:color w:val="333333"/>
          <w:kern w:val="0"/>
          <w:sz w:val="32"/>
          <w:szCs w:val="32"/>
          <w:lang w:val="en-US" w:eastAsia="zh-CN"/>
        </w:rPr>
        <w:t xml:space="preserve">2021年1月11日        </w:t>
      </w:r>
    </w:p>
    <w:sectPr>
      <w:pgSz w:w="11906" w:h="16838"/>
      <w:pgMar w:top="2154" w:right="1531" w:bottom="192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FB63D2"/>
    <w:rsid w:val="00006E76"/>
    <w:rsid w:val="00051864"/>
    <w:rsid w:val="000B39C2"/>
    <w:rsid w:val="00234AFE"/>
    <w:rsid w:val="00260118"/>
    <w:rsid w:val="002C7340"/>
    <w:rsid w:val="002D6434"/>
    <w:rsid w:val="003A195F"/>
    <w:rsid w:val="003A715B"/>
    <w:rsid w:val="003F1FCC"/>
    <w:rsid w:val="004200E5"/>
    <w:rsid w:val="004C3230"/>
    <w:rsid w:val="004D2F29"/>
    <w:rsid w:val="0060199A"/>
    <w:rsid w:val="006506F8"/>
    <w:rsid w:val="006C0CA0"/>
    <w:rsid w:val="00702822"/>
    <w:rsid w:val="007E2575"/>
    <w:rsid w:val="008C4689"/>
    <w:rsid w:val="008C7E3C"/>
    <w:rsid w:val="0094756C"/>
    <w:rsid w:val="009A6D28"/>
    <w:rsid w:val="009B024F"/>
    <w:rsid w:val="00A76D39"/>
    <w:rsid w:val="00A82D1D"/>
    <w:rsid w:val="00AC624C"/>
    <w:rsid w:val="00B03A94"/>
    <w:rsid w:val="00B06AF1"/>
    <w:rsid w:val="00B25059"/>
    <w:rsid w:val="00B37653"/>
    <w:rsid w:val="00B61CC6"/>
    <w:rsid w:val="00B82EA0"/>
    <w:rsid w:val="00BA269B"/>
    <w:rsid w:val="00CA0A18"/>
    <w:rsid w:val="00CA1B36"/>
    <w:rsid w:val="00CB1093"/>
    <w:rsid w:val="00CE6AA2"/>
    <w:rsid w:val="00CF756F"/>
    <w:rsid w:val="00D16E38"/>
    <w:rsid w:val="00D223B0"/>
    <w:rsid w:val="00D606EA"/>
    <w:rsid w:val="00D9081E"/>
    <w:rsid w:val="00D90DDC"/>
    <w:rsid w:val="00DD0CF5"/>
    <w:rsid w:val="00DD3E52"/>
    <w:rsid w:val="00DE7A1C"/>
    <w:rsid w:val="00E21AF0"/>
    <w:rsid w:val="00E32A5B"/>
    <w:rsid w:val="00E35196"/>
    <w:rsid w:val="00E44EE5"/>
    <w:rsid w:val="00E5498D"/>
    <w:rsid w:val="00E66E24"/>
    <w:rsid w:val="00E66E63"/>
    <w:rsid w:val="00EA71A5"/>
    <w:rsid w:val="00EE32DD"/>
    <w:rsid w:val="00F12E39"/>
    <w:rsid w:val="00F47529"/>
    <w:rsid w:val="00FB63D2"/>
    <w:rsid w:val="00FD5387"/>
    <w:rsid w:val="00FF22EE"/>
    <w:rsid w:val="0BCD0246"/>
    <w:rsid w:val="0E10142E"/>
    <w:rsid w:val="18891CB8"/>
    <w:rsid w:val="1CFB57FF"/>
    <w:rsid w:val="558D373C"/>
    <w:rsid w:val="5760063F"/>
    <w:rsid w:val="5AFE63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0"/>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7">
    <w:name w:val="Hyperlink"/>
    <w:basedOn w:val="6"/>
    <w:semiHidden/>
    <w:unhideWhenUsed/>
    <w:qFormat/>
    <w:uiPriority w:val="99"/>
    <w:rPr>
      <w:color w:val="0000FF"/>
      <w:u w:val="single"/>
    </w:rPr>
  </w:style>
  <w:style w:type="character" w:customStyle="1" w:styleId="9">
    <w:name w:val="页眉 Char"/>
    <w:basedOn w:val="6"/>
    <w:link w:val="4"/>
    <w:semiHidden/>
    <w:qFormat/>
    <w:uiPriority w:val="99"/>
    <w:rPr>
      <w:sz w:val="18"/>
      <w:szCs w:val="18"/>
    </w:rPr>
  </w:style>
  <w:style w:type="character" w:customStyle="1" w:styleId="10">
    <w:name w:val="页脚 Char"/>
    <w:basedOn w:val="6"/>
    <w:link w:val="3"/>
    <w:semiHidden/>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Char"/>
    <w:basedOn w:val="6"/>
    <w:link w:val="2"/>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5</Pages>
  <Words>325</Words>
  <Characters>1856</Characters>
  <Lines>15</Lines>
  <Paragraphs>4</Paragraphs>
  <TotalTime>3</TotalTime>
  <ScaleCrop>false</ScaleCrop>
  <LinksUpToDate>false</LinksUpToDate>
  <CharactersWithSpaces>2177</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2019-12-31T06:33:00Z</dcterms:created>
  <dc:creator>User</dc:creator>
  <cp:lastModifiedBy>岁月勿念</cp:lastModifiedBy>
  <dcterms:modified xsi:type="dcterms:W3CDTF">2021-12-15T07:08:30Z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