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default" w:ascii="Times New Roman" w:hAnsi="Times New Roman" w:eastAsia="方正小标宋简体" w:cs="Times New Roman"/>
          <w:b w:val="0"/>
          <w:bCs w:val="0"/>
          <w:color w:val="333333"/>
          <w:kern w:val="0"/>
          <w:sz w:val="44"/>
          <w:szCs w:val="44"/>
        </w:rPr>
      </w:pPr>
      <w:bookmarkStart w:id="0" w:name="OLE_LINK2"/>
      <w:r>
        <w:rPr>
          <w:rFonts w:hint="default" w:ascii="Times New Roman" w:hAnsi="Times New Roman" w:eastAsia="方正小标宋简体" w:cs="Times New Roman"/>
          <w:b w:val="0"/>
          <w:bCs w:val="0"/>
          <w:color w:val="333333"/>
          <w:kern w:val="0"/>
          <w:sz w:val="44"/>
          <w:szCs w:val="44"/>
        </w:rPr>
        <w:t>威海市文登区交通运输局2020年度信息公开工作</w:t>
      </w:r>
      <w:r>
        <w:rPr>
          <w:rFonts w:hint="default" w:ascii="Times New Roman" w:hAnsi="Times New Roman" w:eastAsia="方正小标宋简体" w:cs="Times New Roman"/>
          <w:b w:val="0"/>
          <w:bCs w:val="0"/>
          <w:color w:val="333333"/>
          <w:kern w:val="0"/>
          <w:sz w:val="44"/>
          <w:szCs w:val="44"/>
          <w:lang w:eastAsia="zh-CN"/>
        </w:rPr>
        <w:t>年度</w:t>
      </w:r>
      <w:r>
        <w:rPr>
          <w:rFonts w:hint="default" w:ascii="Times New Roman" w:hAnsi="Times New Roman" w:eastAsia="方正小标宋简体" w:cs="Times New Roman"/>
          <w:b w:val="0"/>
          <w:bCs w:val="0"/>
          <w:color w:val="333333"/>
          <w:kern w:val="0"/>
          <w:sz w:val="44"/>
          <w:szCs w:val="44"/>
        </w:rPr>
        <w:t>报告</w:t>
      </w:r>
    </w:p>
    <w:bookmarkEnd w:id="0"/>
    <w:p>
      <w:pPr>
        <w:widowControl/>
        <w:shd w:val="clear" w:color="auto" w:fill="FFFFFF"/>
        <w:ind w:firstLine="480"/>
        <w:rPr>
          <w:rFonts w:hint="default" w:ascii="Times New Roman" w:hAnsi="Times New Roman" w:cs="Times New Roman"/>
          <w:color w:val="333333"/>
          <w:kern w:val="0"/>
          <w:sz w:val="2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420"/>
        <w:rPr>
          <w:rFonts w:hint="default" w:ascii="Times New Roman" w:hAnsi="Times New Roman" w:eastAsia="仿宋_GB2312" w:cs="Times New Roman"/>
          <w:i w:val="0"/>
          <w:iCs w:val="0"/>
          <w:caps w:val="0"/>
          <w:color w:val="333333"/>
          <w:spacing w:val="0"/>
          <w:sz w:val="31"/>
          <w:szCs w:val="31"/>
          <w:shd w:val="clear" w:fill="FFFFFF"/>
          <w:lang w:eastAsia="zh-CN"/>
        </w:rPr>
      </w:pPr>
      <w:bookmarkStart w:id="1" w:name="_GoBack"/>
      <w:r>
        <w:rPr>
          <w:rFonts w:hint="default" w:ascii="Times New Roman" w:hAnsi="Times New Roman" w:eastAsia="仿宋_GB2312" w:cs="Times New Roman"/>
          <w:i w:val="0"/>
          <w:iCs w:val="0"/>
          <w:caps w:val="0"/>
          <w:color w:val="333333"/>
          <w:spacing w:val="0"/>
          <w:sz w:val="31"/>
          <w:szCs w:val="31"/>
          <w:shd w:val="clear" w:fill="FFFFFF"/>
        </w:rPr>
        <w:t>根据《中华人民共和国政府信息公开条例》</w:t>
      </w:r>
      <w:r>
        <w:rPr>
          <w:rFonts w:hint="default" w:ascii="Times New Roman" w:hAnsi="Times New Roman" w:eastAsia="仿宋_GB2312" w:cs="Times New Roman"/>
          <w:i w:val="0"/>
          <w:iCs w:val="0"/>
          <w:caps w:val="0"/>
          <w:color w:val="333333"/>
          <w:spacing w:val="0"/>
          <w:sz w:val="31"/>
          <w:szCs w:val="31"/>
          <w:shd w:val="clear" w:fill="FFFFFF"/>
        </w:rPr>
        <w:t>(以下简称《条例》)、《山东省政府信息公开办法》和《2020年威海市文登区政务公开工作要点的通知》要求，文登区交通运输局认真落实政务公开相关工作，现</w:t>
      </w:r>
      <w:r>
        <w:rPr>
          <w:rFonts w:hint="default" w:ascii="Times New Roman" w:hAnsi="Times New Roman" w:eastAsia="仿宋_GB2312" w:cs="Times New Roman"/>
          <w:i w:val="0"/>
          <w:iCs w:val="0"/>
          <w:caps w:val="0"/>
          <w:color w:val="333333"/>
          <w:spacing w:val="0"/>
          <w:sz w:val="31"/>
          <w:szCs w:val="31"/>
          <w:shd w:val="clear" w:fill="FFFFFF"/>
          <w:lang w:eastAsia="zh-CN"/>
        </w:rPr>
        <w:t>公布</w:t>
      </w:r>
      <w:r>
        <w:rPr>
          <w:rFonts w:hint="default" w:ascii="Times New Roman" w:hAnsi="Times New Roman" w:eastAsia="仿宋_GB2312" w:cs="Times New Roman"/>
          <w:i w:val="0"/>
          <w:iCs w:val="0"/>
          <w:caps w:val="0"/>
          <w:color w:val="333333"/>
          <w:spacing w:val="0"/>
          <w:sz w:val="31"/>
          <w:szCs w:val="31"/>
          <w:shd w:val="clear" w:fill="FFFFFF"/>
        </w:rPr>
        <w:t>2020年度政务公开工作落实情况</w:t>
      </w:r>
      <w:r>
        <w:rPr>
          <w:rFonts w:hint="default" w:ascii="Times New Roman" w:hAnsi="Times New Roman" w:eastAsia="仿宋_GB2312" w:cs="Times New Roman"/>
          <w:i w:val="0"/>
          <w:iCs w:val="0"/>
          <w:caps w:val="0"/>
          <w:color w:val="333333"/>
          <w:spacing w:val="0"/>
          <w:sz w:val="31"/>
          <w:szCs w:val="31"/>
          <w:shd w:val="clear" w:fill="FFFFFF"/>
          <w:lang w:eastAsia="zh-CN"/>
        </w:rPr>
        <w:t>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rPr>
          <w:rFonts w:hint="default" w:ascii="Times New Roman" w:hAnsi="Times New Roman" w:eastAsia="仿宋_GB2312" w:cs="Times New Roman"/>
          <w:i w:val="0"/>
          <w:iCs w:val="0"/>
          <w:caps w:val="0"/>
          <w:color w:val="333333"/>
          <w:spacing w:val="0"/>
          <w:sz w:val="31"/>
          <w:szCs w:val="31"/>
          <w:shd w:val="clear" w:fill="FFFFFF"/>
        </w:rPr>
      </w:pPr>
      <w:r>
        <w:rPr>
          <w:rFonts w:hint="default" w:ascii="Times New Roman" w:hAnsi="Times New Roman" w:eastAsia="仿宋_GB2312" w:cs="Times New Roman"/>
          <w:i w:val="0"/>
          <w:iCs w:val="0"/>
          <w:caps w:val="0"/>
          <w:color w:val="333333"/>
          <w:spacing w:val="0"/>
          <w:sz w:val="31"/>
          <w:szCs w:val="31"/>
          <w:shd w:val="clear" w:fill="FFFFFF"/>
        </w:rPr>
        <w:t>本报告由总体情况</w:t>
      </w:r>
      <w:r>
        <w:rPr>
          <w:rFonts w:hint="default" w:ascii="Times New Roman" w:hAnsi="Times New Roman" w:eastAsia="仿宋_GB2312" w:cs="Times New Roman"/>
          <w:i w:val="0"/>
          <w:iCs w:val="0"/>
          <w:caps w:val="0"/>
          <w:color w:val="333333"/>
          <w:spacing w:val="0"/>
          <w:sz w:val="31"/>
          <w:szCs w:val="31"/>
          <w:shd w:val="clear" w:fill="FFFFFF"/>
          <w:lang w:eastAsia="zh-CN"/>
        </w:rPr>
        <w:t>，</w:t>
      </w:r>
      <w:r>
        <w:rPr>
          <w:rFonts w:hint="default" w:ascii="Times New Roman" w:hAnsi="Times New Roman" w:eastAsia="仿宋_GB2312" w:cs="Times New Roman"/>
          <w:i w:val="0"/>
          <w:iCs w:val="0"/>
          <w:caps w:val="0"/>
          <w:color w:val="333333"/>
          <w:spacing w:val="0"/>
          <w:sz w:val="31"/>
          <w:szCs w:val="31"/>
          <w:shd w:val="clear" w:fill="FFFFFF"/>
        </w:rPr>
        <w:t>主动公开政府信息情况，依申请公开办理情况</w:t>
      </w:r>
      <w:r>
        <w:rPr>
          <w:rFonts w:hint="default" w:ascii="Times New Roman" w:hAnsi="Times New Roman" w:eastAsia="仿宋_GB2312" w:cs="Times New Roman"/>
          <w:i w:val="0"/>
          <w:iCs w:val="0"/>
          <w:caps w:val="0"/>
          <w:color w:val="333333"/>
          <w:spacing w:val="0"/>
          <w:sz w:val="31"/>
          <w:szCs w:val="31"/>
          <w:shd w:val="clear" w:fill="FFFFFF"/>
        </w:rPr>
        <w:t>，政府信息公开行政复议、行政诉讼情况</w:t>
      </w:r>
      <w:r>
        <w:rPr>
          <w:rFonts w:hint="default" w:ascii="Times New Roman" w:hAnsi="Times New Roman" w:eastAsia="仿宋_GB2312" w:cs="Times New Roman"/>
          <w:i w:val="0"/>
          <w:iCs w:val="0"/>
          <w:caps w:val="0"/>
          <w:color w:val="333333"/>
          <w:spacing w:val="0"/>
          <w:sz w:val="31"/>
          <w:szCs w:val="31"/>
          <w:shd w:val="clear" w:fill="FFFFFF"/>
        </w:rPr>
        <w:t>，存在的主要问题及改进</w:t>
      </w:r>
      <w:r>
        <w:rPr>
          <w:rFonts w:hint="default" w:ascii="Times New Roman" w:hAnsi="Times New Roman" w:eastAsia="仿宋_GB2312" w:cs="Times New Roman"/>
          <w:i w:val="0"/>
          <w:iCs w:val="0"/>
          <w:caps w:val="0"/>
          <w:color w:val="333333"/>
          <w:spacing w:val="0"/>
          <w:sz w:val="31"/>
          <w:szCs w:val="31"/>
          <w:shd w:val="clear" w:fill="FFFFFF"/>
          <w:lang w:eastAsia="zh-CN"/>
        </w:rPr>
        <w:t>情况</w:t>
      </w:r>
      <w:r>
        <w:rPr>
          <w:rFonts w:hint="default" w:ascii="Times New Roman" w:hAnsi="Times New Roman" w:eastAsia="仿宋_GB2312" w:cs="Times New Roman"/>
          <w:i w:val="0"/>
          <w:iCs w:val="0"/>
          <w:caps w:val="0"/>
          <w:color w:val="333333"/>
          <w:spacing w:val="0"/>
          <w:sz w:val="31"/>
          <w:szCs w:val="31"/>
          <w:shd w:val="clear" w:fill="FFFFFF"/>
        </w:rPr>
        <w:t>，其他需要报告的事项</w:t>
      </w:r>
      <w:r>
        <w:rPr>
          <w:rFonts w:hint="default" w:ascii="Times New Roman" w:hAnsi="Times New Roman" w:eastAsia="仿宋_GB2312" w:cs="Times New Roman"/>
          <w:i w:val="0"/>
          <w:iCs w:val="0"/>
          <w:caps w:val="0"/>
          <w:color w:val="333333"/>
          <w:spacing w:val="0"/>
          <w:sz w:val="31"/>
          <w:szCs w:val="31"/>
          <w:shd w:val="clear" w:fill="FFFFFF"/>
        </w:rPr>
        <w:t>共</w:t>
      </w:r>
      <w:r>
        <w:rPr>
          <w:rFonts w:hint="default" w:ascii="Times New Roman" w:hAnsi="Times New Roman" w:eastAsia="仿宋_GB2312" w:cs="Times New Roman"/>
          <w:i w:val="0"/>
          <w:iCs w:val="0"/>
          <w:caps w:val="0"/>
          <w:color w:val="333333"/>
          <w:spacing w:val="0"/>
          <w:sz w:val="31"/>
          <w:szCs w:val="31"/>
          <w:shd w:val="clear" w:fill="FFFFFF"/>
          <w:lang w:val="en-US" w:eastAsia="zh-CN"/>
        </w:rPr>
        <w:t>6</w:t>
      </w:r>
      <w:r>
        <w:rPr>
          <w:rFonts w:hint="default" w:ascii="Times New Roman" w:hAnsi="Times New Roman" w:eastAsia="仿宋_GB2312" w:cs="Times New Roman"/>
          <w:i w:val="0"/>
          <w:iCs w:val="0"/>
          <w:caps w:val="0"/>
          <w:color w:val="333333"/>
          <w:spacing w:val="0"/>
          <w:sz w:val="31"/>
          <w:szCs w:val="31"/>
          <w:shd w:val="clear" w:fill="FFFFFF"/>
        </w:rPr>
        <w:t>部分组成。</w:t>
      </w:r>
    </w:p>
    <w:bookmarkEnd w:id="1"/>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420"/>
        <w:rPr>
          <w:rFonts w:hint="default" w:ascii="Times New Roman" w:hAnsi="Times New Roman" w:cs="Times New Roman"/>
          <w:color w:val="333333"/>
          <w:kern w:val="0"/>
          <w:sz w:val="24"/>
        </w:rPr>
      </w:pPr>
      <w:r>
        <w:rPr>
          <w:rFonts w:hint="default" w:ascii="Times New Roman" w:hAnsi="Times New Roman" w:eastAsia="仿宋_GB2312" w:cs="Times New Roman"/>
          <w:i w:val="0"/>
          <w:iCs w:val="0"/>
          <w:caps w:val="0"/>
          <w:color w:val="333333"/>
          <w:spacing w:val="0"/>
          <w:sz w:val="31"/>
          <w:szCs w:val="31"/>
          <w:shd w:val="clear" w:fill="FFFFFF"/>
        </w:rPr>
        <w:t>本报告中所列数据的统计时限自2020年1月1日起至2020年12月31日止，本报告的电子版可在威海市文登区人民政府网站（http://www.wendeng.gov.cn/）信息公开专栏查阅。联系方式：文登区交通运输局办公室（地址：威海市文登区米山路69号，邮编：264400，电话（0631-8252122）。</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rPr>
          <w:rFonts w:hint="default" w:ascii="Times New Roman" w:hAnsi="Times New Roman" w:eastAsia="微软雅黑" w:cs="Times New Roman"/>
          <w:i w:val="0"/>
          <w:caps w:val="0"/>
          <w:color w:val="333333"/>
          <w:spacing w:val="0"/>
          <w:sz w:val="21"/>
          <w:szCs w:val="21"/>
        </w:rPr>
      </w:pPr>
      <w:r>
        <w:rPr>
          <w:rStyle w:val="7"/>
          <w:rFonts w:hint="default" w:ascii="Times New Roman" w:hAnsi="Times New Roman" w:eastAsia="微软雅黑" w:cs="Times New Roman"/>
          <w:b/>
          <w:i w:val="0"/>
          <w:caps w:val="0"/>
          <w:color w:val="333333"/>
          <w:spacing w:val="0"/>
          <w:sz w:val="31"/>
          <w:szCs w:val="31"/>
          <w:shd w:val="clear" w:fill="FFFFFF"/>
        </w:rPr>
        <w:t>一、</w:t>
      </w:r>
      <w:r>
        <w:rPr>
          <w:rFonts w:hint="default" w:ascii="Times New Roman" w:hAnsi="Times New Roman" w:eastAsia="黑体" w:cs="Times New Roman"/>
          <w:i w:val="0"/>
          <w:caps w:val="0"/>
          <w:color w:val="333333"/>
          <w:spacing w:val="0"/>
          <w:sz w:val="31"/>
          <w:szCs w:val="31"/>
          <w:shd w:val="clear" w:fill="FFFFFF"/>
        </w:rPr>
        <w:t>总体情况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5"/>
        <w:rPr>
          <w:rFonts w:hint="default" w:ascii="Times New Roman" w:hAnsi="Times New Roman" w:eastAsia="微软雅黑" w:cs="Times New Roman"/>
          <w:i w:val="0"/>
          <w:caps w:val="0"/>
          <w:color w:val="333333"/>
          <w:spacing w:val="0"/>
          <w:sz w:val="21"/>
          <w:szCs w:val="21"/>
        </w:rPr>
      </w:pPr>
      <w:r>
        <w:rPr>
          <w:rFonts w:hint="default" w:ascii="Times New Roman" w:hAnsi="Times New Roman" w:eastAsia="仿宋_GB2312" w:cs="Times New Roman"/>
          <w:i w:val="0"/>
          <w:caps w:val="0"/>
          <w:color w:val="333333"/>
          <w:spacing w:val="0"/>
          <w:sz w:val="31"/>
          <w:szCs w:val="31"/>
          <w:shd w:val="clear" w:fill="FFFFFF"/>
        </w:rPr>
        <w:t>文登区交通运输局是文登区人民政府的组成部门，下设办公室（挂交通战备办公室牌子）、政工科、规划基建科、财务审计科、政策法规科（挂行政许可科牌子）、安全监督科、综合运输科7个科室，区交通运输局高度重视政府信息公开工作，认真贯彻落实国务院《中华人民共和国政府信息公开条例》《山东省政府信息公开办法》关于编制政府信息公开工作年度报告的有关规定和《威海市人民政府办公室关于做好政府信息公开年度报告编制发布工作的通知》要求以及区政府关于政府信息公开工作的相关文件要求，结合我局工作实际，认真梳理政府信息公开工作目标任务，加大领导力度，采取有效措施，推进政府信息公开工作扎实有序开展。通过网站、微信等多种途径，公开政务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5"/>
        <w:rPr>
          <w:rFonts w:hint="default" w:ascii="Times New Roman" w:hAnsi="Times New Roman" w:eastAsia="微软雅黑" w:cs="Times New Roman"/>
          <w:i w:val="0"/>
          <w:caps w:val="0"/>
          <w:color w:val="333333"/>
          <w:spacing w:val="0"/>
          <w:sz w:val="27"/>
          <w:szCs w:val="27"/>
        </w:rPr>
      </w:pPr>
      <w:r>
        <w:rPr>
          <w:rFonts w:hint="default" w:ascii="Times New Roman" w:hAnsi="Times New Roman" w:eastAsia="楷体_GB2312" w:cs="Times New Roman"/>
          <w:i w:val="0"/>
          <w:caps w:val="0"/>
          <w:color w:val="333333"/>
          <w:spacing w:val="0"/>
          <w:sz w:val="31"/>
          <w:szCs w:val="31"/>
          <w:shd w:val="clear" w:fill="FFFFFF"/>
        </w:rPr>
        <w:t>(一)主动公开</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5"/>
        <w:rPr>
          <w:rFonts w:hint="default" w:ascii="Times New Roman" w:hAnsi="Times New Roman" w:eastAsia="仿宋_GB2312" w:cs="Times New Roman"/>
          <w:i w:val="0"/>
          <w:caps w:val="0"/>
          <w:color w:val="333333"/>
          <w:spacing w:val="0"/>
          <w:sz w:val="31"/>
          <w:szCs w:val="31"/>
          <w:shd w:val="clear" w:fill="FFFFFF"/>
        </w:rPr>
      </w:pPr>
      <w:r>
        <w:rPr>
          <w:rFonts w:hint="default" w:ascii="Times New Roman" w:hAnsi="Times New Roman" w:eastAsia="仿宋_GB2312" w:cs="Times New Roman"/>
          <w:i w:val="0"/>
          <w:caps w:val="0"/>
          <w:color w:val="333333"/>
          <w:spacing w:val="0"/>
          <w:sz w:val="31"/>
          <w:szCs w:val="31"/>
          <w:shd w:val="clear" w:fill="FFFFFF"/>
        </w:rPr>
        <w:t>文登区交通运输局共主动公开各类法律法规、业务工作、重大建设项目信息等政府服务信息190条，其中工作动态120条，公告公示24条，政策文件及解读18条，重点领域信息公开28条。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right="0"/>
        <w:jc w:val="center"/>
        <w:rPr>
          <w:rFonts w:hint="default" w:ascii="Times New Roman" w:hAnsi="Times New Roman" w:eastAsia="仿宋_GB2312" w:cs="Times New Roman"/>
          <w:i w:val="0"/>
          <w:caps w:val="0"/>
          <w:color w:val="333333"/>
          <w:spacing w:val="0"/>
          <w:sz w:val="31"/>
          <w:szCs w:val="31"/>
          <w:shd w:val="clear" w:fill="FFFFFF"/>
        </w:rPr>
      </w:pPr>
      <w:r>
        <w:rPr>
          <w:rFonts w:hint="default" w:ascii="Times New Roman" w:hAnsi="Times New Roman" w:cs="Times New Roman"/>
        </w:rPr>
        <w:drawing>
          <wp:inline distT="0" distB="0" distL="114300" distR="114300">
            <wp:extent cx="4572000" cy="2743200"/>
            <wp:effectExtent l="4445" t="4445" r="14605" b="14605"/>
            <wp:docPr id="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5"/>
        <w:rPr>
          <w:rFonts w:hint="default" w:ascii="Times New Roman" w:hAnsi="Times New Roman" w:eastAsia="微软雅黑" w:cs="Times New Roman"/>
          <w:i w:val="0"/>
          <w:caps w:val="0"/>
          <w:color w:val="333333"/>
          <w:spacing w:val="0"/>
          <w:sz w:val="27"/>
          <w:szCs w:val="27"/>
        </w:rPr>
      </w:pPr>
      <w:r>
        <w:rPr>
          <w:rFonts w:hint="default" w:ascii="Times New Roman" w:hAnsi="Times New Roman" w:eastAsia="楷体_GB2312" w:cs="Times New Roman"/>
          <w:i w:val="0"/>
          <w:caps w:val="0"/>
          <w:color w:val="333333"/>
          <w:spacing w:val="0"/>
          <w:sz w:val="31"/>
          <w:szCs w:val="31"/>
          <w:shd w:val="clear" w:fill="FFFFFF"/>
        </w:rPr>
        <w:t>（二）依申请公开情况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rPr>
          <w:rFonts w:hint="default" w:ascii="Times New Roman" w:hAnsi="Times New Roman" w:eastAsia="微软雅黑" w:cs="Times New Roman"/>
          <w:i w:val="0"/>
          <w:caps w:val="0"/>
          <w:color w:val="333333"/>
          <w:spacing w:val="0"/>
          <w:sz w:val="27"/>
          <w:szCs w:val="27"/>
        </w:rPr>
      </w:pPr>
      <w:r>
        <w:rPr>
          <w:rFonts w:hint="default" w:ascii="Times New Roman" w:hAnsi="Times New Roman" w:eastAsia="仿宋_GB2312" w:cs="Times New Roman"/>
          <w:i w:val="0"/>
          <w:caps w:val="0"/>
          <w:color w:val="333333"/>
          <w:spacing w:val="0"/>
          <w:sz w:val="31"/>
          <w:szCs w:val="31"/>
          <w:shd w:val="clear" w:fill="FFFFFF"/>
        </w:rPr>
        <w:t>2020年度，我局共受理政府信息公开申请0条。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5"/>
        <w:rPr>
          <w:rFonts w:hint="default" w:ascii="Times New Roman" w:hAnsi="Times New Roman" w:eastAsia="微软雅黑" w:cs="Times New Roman"/>
          <w:i w:val="0"/>
          <w:caps w:val="0"/>
          <w:color w:val="333333"/>
          <w:spacing w:val="0"/>
          <w:sz w:val="27"/>
          <w:szCs w:val="27"/>
        </w:rPr>
      </w:pPr>
      <w:r>
        <w:rPr>
          <w:rFonts w:hint="default" w:ascii="Times New Roman" w:hAnsi="Times New Roman" w:eastAsia="楷体_GB2312" w:cs="Times New Roman"/>
          <w:i w:val="0"/>
          <w:caps w:val="0"/>
          <w:color w:val="333333"/>
          <w:spacing w:val="0"/>
          <w:sz w:val="31"/>
          <w:szCs w:val="31"/>
          <w:shd w:val="clear" w:fill="FFFFFF"/>
        </w:rPr>
        <w:t>（三）政府信息管理情况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rPr>
          <w:rFonts w:hint="default" w:ascii="Times New Roman" w:hAnsi="Times New Roman" w:eastAsia="仿宋_GB2312" w:cs="Times New Roman"/>
          <w:i w:val="0"/>
          <w:caps w:val="0"/>
          <w:color w:val="333333"/>
          <w:spacing w:val="0"/>
          <w:sz w:val="31"/>
          <w:szCs w:val="31"/>
          <w:shd w:val="clear" w:fill="FFFFFF"/>
        </w:rPr>
      </w:pPr>
      <w:r>
        <w:rPr>
          <w:rFonts w:hint="default" w:ascii="Times New Roman" w:hAnsi="Times New Roman" w:eastAsia="仿宋_GB2312" w:cs="Times New Roman"/>
          <w:i w:val="0"/>
          <w:caps w:val="0"/>
          <w:color w:val="333333"/>
          <w:spacing w:val="0"/>
          <w:sz w:val="31"/>
          <w:szCs w:val="31"/>
          <w:shd w:val="clear" w:fill="FFFFFF"/>
        </w:rPr>
        <w:t>今年以来，区交通运输局在区委、区政府的正确领导下，聚焦中心工作，全力落实好区委区政府各项重要决策和重点工作目标，高度重视政府信息公开工作，坚持把政府信息公开工作列入重要议事日程，与业务工作同步研究、同步部署、同步落实。我局由局办公室牵头，加大推进和协调工作的力度,并根据工作分工变化情况，及时调整充实政府信息公开工作领导小组成员，确保组织机构健全、工作人员到位、职责分工明确。在工作中，完善依申请公开、限时公开、申请受理、考核监督、保密审查、责任追究等工作机制，进一步规范工作流程和工作标准，确保政府信息公开工作安全、有效、有序进行。配备了1名工作人员，1名部门负责人，1名分管领导的政务公开小组专班，专门负责做好信息维护、更新等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jc w:val="center"/>
        <w:rPr>
          <w:rFonts w:hint="default" w:ascii="Times New Roman" w:hAnsi="Times New Roman" w:eastAsia="仿宋_GB2312" w:cs="Times New Roman"/>
          <w:i w:val="0"/>
          <w:caps w:val="0"/>
          <w:color w:val="333333"/>
          <w:spacing w:val="0"/>
          <w:sz w:val="31"/>
          <w:szCs w:val="31"/>
          <w:shd w:val="clear" w:fill="FFFFFF"/>
          <w:lang w:eastAsia="zh-CN"/>
        </w:rPr>
      </w:pPr>
      <w:r>
        <w:rPr>
          <w:rFonts w:hint="default" w:ascii="Times New Roman" w:hAnsi="Times New Roman" w:eastAsia="仿宋_GB2312" w:cs="Times New Roman"/>
          <w:i w:val="0"/>
          <w:caps w:val="0"/>
          <w:color w:val="333333"/>
          <w:spacing w:val="0"/>
          <w:sz w:val="31"/>
          <w:szCs w:val="31"/>
          <w:shd w:val="clear" w:fill="FFFFFF"/>
          <w:lang w:eastAsia="zh-CN"/>
        </w:rPr>
        <w:drawing>
          <wp:inline distT="0" distB="0" distL="114300" distR="114300">
            <wp:extent cx="5272405" cy="3333750"/>
            <wp:effectExtent l="0" t="0" r="4445" b="0"/>
            <wp:docPr id="3" name="图片 3" descr="微信截图_20210520153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截图_20210520153242"/>
                    <pic:cNvPicPr>
                      <a:picLocks noChangeAspect="1"/>
                    </pic:cNvPicPr>
                  </pic:nvPicPr>
                  <pic:blipFill>
                    <a:blip r:embed="rId5"/>
                    <a:stretch>
                      <a:fillRect/>
                    </a:stretch>
                  </pic:blipFill>
                  <pic:spPr>
                    <a:xfrm>
                      <a:off x="0" y="0"/>
                      <a:ext cx="5272405" cy="3333750"/>
                    </a:xfrm>
                    <a:prstGeom prst="rect">
                      <a:avLst/>
                    </a:prstGeom>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5"/>
        <w:rPr>
          <w:rFonts w:hint="default" w:ascii="Times New Roman" w:hAnsi="Times New Roman" w:eastAsia="微软雅黑" w:cs="Times New Roman"/>
          <w:i w:val="0"/>
          <w:caps w:val="0"/>
          <w:color w:val="333333"/>
          <w:spacing w:val="0"/>
          <w:sz w:val="27"/>
          <w:szCs w:val="27"/>
        </w:rPr>
      </w:pPr>
      <w:r>
        <w:rPr>
          <w:rFonts w:hint="default" w:ascii="Times New Roman" w:hAnsi="Times New Roman" w:eastAsia="楷体_GB2312" w:cs="Times New Roman"/>
          <w:i w:val="0"/>
          <w:caps w:val="0"/>
          <w:color w:val="333333"/>
          <w:spacing w:val="0"/>
          <w:sz w:val="31"/>
          <w:szCs w:val="31"/>
          <w:shd w:val="clear" w:fill="FFFFFF"/>
        </w:rPr>
        <w:t>（四）平台建设情况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rPr>
          <w:rFonts w:hint="default" w:ascii="Times New Roman" w:hAnsi="Times New Roman" w:eastAsia="仿宋_GB2312" w:cs="Times New Roman"/>
          <w:i w:val="0"/>
          <w:caps w:val="0"/>
          <w:color w:val="333333"/>
          <w:spacing w:val="0"/>
          <w:sz w:val="31"/>
          <w:szCs w:val="31"/>
          <w:shd w:val="clear" w:fill="FFFFFF"/>
        </w:rPr>
      </w:pPr>
      <w:r>
        <w:rPr>
          <w:rFonts w:hint="default" w:ascii="Times New Roman" w:hAnsi="Times New Roman" w:eastAsia="仿宋_GB2312" w:cs="Times New Roman"/>
          <w:i w:val="0"/>
          <w:caps w:val="0"/>
          <w:color w:val="333333"/>
          <w:spacing w:val="0"/>
          <w:sz w:val="31"/>
          <w:szCs w:val="31"/>
          <w:shd w:val="clear" w:fill="FFFFFF"/>
        </w:rPr>
        <w:t>我局依托威海市文登区人民政府门户网站，优化电视、报纸等传统媒体与微信等新兴媒体相结合的方式，构建了较为完善的信息发布与政府信息公开一体的服务平台体系。2020年，我局先后2次参加“行风热线”栏目，在线和群众分享与交通运输行业密切相关的最新情况，并进行现场互动。利用区交通运输局官方微信公众号、局大楼LED电子屏幕、屏幕广告机、公交站亭电子站牌、汽车站大厅电子屏幕等新媒体向群众推送交通信息，据初步统计全年共发布信息400余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drawing>
          <wp:inline distT="0" distB="0" distL="114300" distR="114300">
            <wp:extent cx="5269865" cy="6813550"/>
            <wp:effectExtent l="0" t="0" r="6985" b="6350"/>
            <wp:docPr id="1" name="图片 1" descr="微信截图_2021052015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截图_20210520152223"/>
                    <pic:cNvPicPr>
                      <a:picLocks noChangeAspect="1"/>
                    </pic:cNvPicPr>
                  </pic:nvPicPr>
                  <pic:blipFill>
                    <a:blip r:embed="rId6"/>
                    <a:stretch>
                      <a:fillRect/>
                    </a:stretch>
                  </pic:blipFill>
                  <pic:spPr>
                    <a:xfrm>
                      <a:off x="0" y="0"/>
                      <a:ext cx="5269865" cy="6813550"/>
                    </a:xfrm>
                    <a:prstGeom prst="rect">
                      <a:avLst/>
                    </a:prstGeom>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drawing>
          <wp:inline distT="0" distB="0" distL="114300" distR="114300">
            <wp:extent cx="5266690" cy="3851275"/>
            <wp:effectExtent l="0" t="0" r="10160" b="15875"/>
            <wp:docPr id="2" name="图片 2" descr="微信截图_20210520152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截图_20210520152359"/>
                    <pic:cNvPicPr>
                      <a:picLocks noChangeAspect="1"/>
                    </pic:cNvPicPr>
                  </pic:nvPicPr>
                  <pic:blipFill>
                    <a:blip r:embed="rId7"/>
                    <a:stretch>
                      <a:fillRect/>
                    </a:stretch>
                  </pic:blipFill>
                  <pic:spPr>
                    <a:xfrm>
                      <a:off x="0" y="0"/>
                      <a:ext cx="5266690" cy="3851275"/>
                    </a:xfrm>
                    <a:prstGeom prst="rect">
                      <a:avLst/>
                    </a:prstGeom>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5"/>
        <w:rPr>
          <w:rFonts w:hint="default" w:ascii="Times New Roman" w:hAnsi="Times New Roman" w:eastAsia="微软雅黑" w:cs="Times New Roman"/>
          <w:i w:val="0"/>
          <w:caps w:val="0"/>
          <w:color w:val="333333"/>
          <w:spacing w:val="0"/>
          <w:sz w:val="27"/>
          <w:szCs w:val="27"/>
        </w:rPr>
      </w:pPr>
      <w:r>
        <w:rPr>
          <w:rFonts w:hint="default" w:ascii="Times New Roman" w:hAnsi="Times New Roman" w:eastAsia="楷体_GB2312" w:cs="Times New Roman"/>
          <w:i w:val="0"/>
          <w:caps w:val="0"/>
          <w:color w:val="333333"/>
          <w:spacing w:val="0"/>
          <w:sz w:val="31"/>
          <w:szCs w:val="31"/>
          <w:shd w:val="clear" w:fill="FFFFFF"/>
        </w:rPr>
        <w:t>（五）监督保障情况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rPr>
          <w:rFonts w:hint="default" w:ascii="Times New Roman" w:hAnsi="Times New Roman" w:eastAsia="微软雅黑" w:cs="Times New Roman"/>
          <w:i w:val="0"/>
          <w:caps w:val="0"/>
          <w:color w:val="333333"/>
          <w:spacing w:val="0"/>
          <w:sz w:val="27"/>
          <w:szCs w:val="27"/>
        </w:rPr>
      </w:pPr>
      <w:r>
        <w:rPr>
          <w:rFonts w:hint="default" w:ascii="Times New Roman" w:hAnsi="Times New Roman" w:eastAsia="仿宋_GB2312" w:cs="Times New Roman"/>
          <w:i w:val="0"/>
          <w:caps w:val="0"/>
          <w:color w:val="333333"/>
          <w:spacing w:val="0"/>
          <w:sz w:val="31"/>
          <w:szCs w:val="31"/>
          <w:shd w:val="clear" w:fill="FFFFFF"/>
        </w:rPr>
        <w:t>积极落实政府信息公开工作考核制度，将相关考核结果纳入年度考核内容。完善社会评议制度和责任追究制度，欢迎群众对我局政府信息公开工作进行评议监督，保障人民群众的监督权，确保及时补差补缺，完善服务。</w:t>
      </w:r>
    </w:p>
    <w:p>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50" w:lineRule="atLeast"/>
        <w:ind w:left="0" w:right="0" w:firstLine="480"/>
        <w:rPr>
          <w:rFonts w:hint="default" w:ascii="Times New Roman" w:hAnsi="Times New Roman" w:eastAsia="黑体" w:cs="Times New Roman"/>
          <w:i w:val="0"/>
          <w:caps w:val="0"/>
          <w:color w:val="333333"/>
          <w:spacing w:val="0"/>
          <w:sz w:val="31"/>
          <w:szCs w:val="31"/>
          <w:shd w:val="clear" w:fill="FFFFFF"/>
        </w:rPr>
      </w:pPr>
      <w:r>
        <w:rPr>
          <w:rFonts w:hint="default" w:ascii="Times New Roman" w:hAnsi="Times New Roman" w:eastAsia="黑体" w:cs="Times New Roman"/>
          <w:i w:val="0"/>
          <w:caps w:val="0"/>
          <w:color w:val="333333"/>
          <w:spacing w:val="0"/>
          <w:sz w:val="31"/>
          <w:szCs w:val="31"/>
          <w:shd w:val="clear" w:fill="FFFFFF"/>
        </w:rPr>
        <w:t>主动公开政府信息情况</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50" w:lineRule="atLeast"/>
        <w:ind w:right="0" w:rightChars="0"/>
        <w:jc w:val="left"/>
        <w:rPr>
          <w:rFonts w:hint="default" w:ascii="Times New Roman" w:hAnsi="Times New Roman" w:eastAsia="黑体" w:cs="Times New Roman"/>
          <w:i w:val="0"/>
          <w:caps w:val="0"/>
          <w:color w:val="333333"/>
          <w:spacing w:val="0"/>
          <w:sz w:val="31"/>
          <w:szCs w:val="31"/>
          <w:shd w:val="clear" w:fill="FFFFFF"/>
        </w:rPr>
      </w:pP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50" w:lineRule="atLeast"/>
        <w:ind w:right="0" w:rightChars="0"/>
        <w:jc w:val="left"/>
        <w:rPr>
          <w:rFonts w:hint="default" w:ascii="Times New Roman" w:hAnsi="Times New Roman" w:eastAsia="黑体" w:cs="Times New Roman"/>
          <w:i w:val="0"/>
          <w:caps w:val="0"/>
          <w:color w:val="333333"/>
          <w:spacing w:val="0"/>
          <w:sz w:val="31"/>
          <w:szCs w:val="31"/>
          <w:shd w:val="clear" w:fill="FFFFFF"/>
        </w:rPr>
      </w:pP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50" w:lineRule="atLeast"/>
        <w:ind w:right="0" w:rightChars="0"/>
        <w:jc w:val="left"/>
        <w:rPr>
          <w:rFonts w:hint="default" w:ascii="Times New Roman" w:hAnsi="Times New Roman" w:eastAsia="黑体" w:cs="Times New Roman"/>
          <w:i w:val="0"/>
          <w:caps w:val="0"/>
          <w:color w:val="333333"/>
          <w:spacing w:val="0"/>
          <w:sz w:val="31"/>
          <w:szCs w:val="31"/>
          <w:shd w:val="clear" w:fill="FFFFFF"/>
        </w:rPr>
      </w:pP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50" w:lineRule="atLeast"/>
        <w:ind w:right="0" w:rightChars="0"/>
        <w:jc w:val="left"/>
        <w:rPr>
          <w:rFonts w:hint="default" w:ascii="Times New Roman" w:hAnsi="Times New Roman" w:eastAsia="黑体" w:cs="Times New Roman"/>
          <w:i w:val="0"/>
          <w:caps w:val="0"/>
          <w:color w:val="333333"/>
          <w:spacing w:val="0"/>
          <w:sz w:val="31"/>
          <w:szCs w:val="31"/>
          <w:shd w:val="clear" w:fill="FFFFFF"/>
        </w:rPr>
      </w:pPr>
    </w:p>
    <w:tbl>
      <w:tblPr>
        <w:tblStyle w:val="5"/>
        <w:tblW w:w="0" w:type="auto"/>
        <w:jc w:val="center"/>
        <w:shd w:val="clear" w:color="auto" w:fill="auto"/>
        <w:tblLayout w:type="autofit"/>
        <w:tblCellMar>
          <w:top w:w="0" w:type="dxa"/>
          <w:left w:w="0" w:type="dxa"/>
          <w:bottom w:w="0" w:type="dxa"/>
          <w:right w:w="0" w:type="dxa"/>
        </w:tblCellMar>
      </w:tblPr>
      <w:tblGrid>
        <w:gridCol w:w="3120"/>
        <w:gridCol w:w="1875"/>
        <w:gridCol w:w="6"/>
        <w:gridCol w:w="1269"/>
        <w:gridCol w:w="1884"/>
      </w:tblGrid>
      <w:tr>
        <w:tblPrEx>
          <w:shd w:val="clear" w:color="auto" w:fill="auto"/>
          <w:tblCellMar>
            <w:top w:w="0" w:type="dxa"/>
            <w:left w:w="0" w:type="dxa"/>
            <w:bottom w:w="0" w:type="dxa"/>
            <w:right w:w="0" w:type="dxa"/>
          </w:tblCellMar>
        </w:tblPrEx>
        <w:trPr>
          <w:trHeight w:val="495" w:hRule="atLeast"/>
          <w:jc w:val="center"/>
        </w:trPr>
        <w:tc>
          <w:tcPr>
            <w:tcW w:w="8145" w:type="dxa"/>
            <w:gridSpan w:val="5"/>
            <w:tcBorders>
              <w:top w:val="single" w:color="auto" w:sz="6" w:space="0"/>
              <w:left w:val="single" w:color="auto" w:sz="6" w:space="0"/>
              <w:bottom w:val="single" w:color="auto" w:sz="6" w:space="0"/>
              <w:right w:val="single" w:color="auto" w:sz="6" w:space="0"/>
            </w:tcBorders>
            <w:shd w:val="clear" w:color="auto" w:fill="C6D9F1"/>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u w:val="none"/>
              </w:rPr>
              <w:t>第二十条第（一）项</w:t>
            </w:r>
          </w:p>
        </w:tc>
      </w:tr>
      <w:tr>
        <w:tblPrEx>
          <w:shd w:val="clear" w:color="auto" w:fill="auto"/>
          <w:tblCellMar>
            <w:top w:w="0" w:type="dxa"/>
            <w:left w:w="0" w:type="dxa"/>
            <w:bottom w:w="0" w:type="dxa"/>
            <w:right w:w="0" w:type="dxa"/>
          </w:tblCellMar>
        </w:tblPrEx>
        <w:trPr>
          <w:trHeight w:val="885" w:hRule="atLeast"/>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信息内容</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本年新</w:t>
            </w:r>
            <w:r>
              <w:rPr>
                <w:rFonts w:hint="default" w:ascii="Times New Roman" w:hAnsi="Times New Roman" w:cs="Times New Roman"/>
                <w:color w:val="000000"/>
                <w:sz w:val="19"/>
                <w:szCs w:val="19"/>
              </w:rPr>
              <w:br w:type="textWrapping"/>
            </w:r>
            <w:r>
              <w:rPr>
                <w:rFonts w:hint="default" w:ascii="Times New Roman" w:hAnsi="Times New Roman" w:cs="Times New Roman"/>
                <w:color w:val="000000"/>
                <w:sz w:val="19"/>
                <w:szCs w:val="19"/>
              </w:rPr>
              <w:t>  </w:t>
            </w:r>
            <w:r>
              <w:rPr>
                <w:rFonts w:hint="default" w:ascii="Times New Roman" w:hAnsi="Times New Roman" w:eastAsia="宋体" w:cs="Times New Roman"/>
                <w:sz w:val="19"/>
                <w:szCs w:val="19"/>
              </w:rPr>
              <w:t>制作数量</w:t>
            </w:r>
          </w:p>
        </w:tc>
        <w:tc>
          <w:tcPr>
            <w:tcW w:w="127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本年新</w:t>
            </w:r>
            <w:r>
              <w:rPr>
                <w:rFonts w:hint="default" w:ascii="Times New Roman" w:hAnsi="Times New Roman" w:cs="Times New Roman"/>
                <w:color w:val="000000"/>
                <w:sz w:val="19"/>
                <w:szCs w:val="19"/>
              </w:rPr>
              <w:br w:type="textWrapping"/>
            </w:r>
            <w:r>
              <w:rPr>
                <w:rFonts w:hint="default" w:ascii="Times New Roman" w:hAnsi="Times New Roman" w:cs="Times New Roman"/>
                <w:color w:val="000000"/>
                <w:sz w:val="19"/>
                <w:szCs w:val="19"/>
              </w:rPr>
              <w:t>  </w:t>
            </w:r>
            <w:r>
              <w:rPr>
                <w:rFonts w:hint="default" w:ascii="Times New Roman" w:hAnsi="Times New Roman" w:eastAsia="宋体" w:cs="Times New Roman"/>
                <w:sz w:val="19"/>
                <w:szCs w:val="19"/>
              </w:rPr>
              <w:t>公开数量</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对外公开总数量</w:t>
            </w:r>
          </w:p>
        </w:tc>
      </w:tr>
      <w:tr>
        <w:tblPrEx>
          <w:shd w:val="clear" w:color="auto" w:fill="auto"/>
          <w:tblCellMar>
            <w:top w:w="0" w:type="dxa"/>
            <w:left w:w="0" w:type="dxa"/>
            <w:bottom w:w="0" w:type="dxa"/>
            <w:right w:w="0" w:type="dxa"/>
          </w:tblCellMar>
        </w:tblPrEx>
        <w:trPr>
          <w:trHeight w:val="525" w:hRule="atLeast"/>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规章</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val="en-US" w:eastAsia="zh-CN"/>
              </w:rPr>
              <w:t>0</w:t>
            </w:r>
          </w:p>
        </w:tc>
        <w:tc>
          <w:tcPr>
            <w:tcW w:w="127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eastAsia="zh-CN"/>
              </w:rPr>
            </w:pPr>
            <w:r>
              <w:rPr>
                <w:rFonts w:hint="default" w:ascii="Times New Roman" w:hAnsi="Times New Roman" w:cs="Times New Roman"/>
                <w:color w:val="000000"/>
                <w:sz w:val="19"/>
                <w:szCs w:val="19"/>
                <w:lang w:val="en-US" w:eastAsia="zh-CN"/>
              </w:rPr>
              <w:t>0</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val="en-US" w:eastAsia="zh-CN"/>
              </w:rPr>
              <w:t>0</w:t>
            </w:r>
          </w:p>
        </w:tc>
      </w:tr>
      <w:tr>
        <w:tblPrEx>
          <w:shd w:val="clear" w:color="auto" w:fill="auto"/>
          <w:tblCellMar>
            <w:top w:w="0" w:type="dxa"/>
            <w:left w:w="0" w:type="dxa"/>
            <w:bottom w:w="0" w:type="dxa"/>
            <w:right w:w="0" w:type="dxa"/>
          </w:tblCellMar>
        </w:tblPrEx>
        <w:trPr>
          <w:trHeight w:val="465" w:hRule="atLeast"/>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规范性文件</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val="en-US" w:eastAsia="zh-CN"/>
              </w:rPr>
              <w:t>0</w:t>
            </w:r>
          </w:p>
        </w:tc>
        <w:tc>
          <w:tcPr>
            <w:tcW w:w="127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eastAsia="zh-CN"/>
              </w:rPr>
            </w:pPr>
            <w:r>
              <w:rPr>
                <w:rFonts w:hint="default" w:ascii="Times New Roman" w:hAnsi="Times New Roman" w:cs="Times New Roman"/>
                <w:color w:val="000000"/>
                <w:sz w:val="19"/>
                <w:szCs w:val="19"/>
                <w:lang w:val="en-US" w:eastAsia="zh-CN"/>
              </w:rPr>
              <w:t>0</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val="en-US" w:eastAsia="zh-CN"/>
              </w:rPr>
              <w:t>0</w:t>
            </w:r>
          </w:p>
        </w:tc>
      </w:tr>
      <w:tr>
        <w:tblPrEx>
          <w:shd w:val="clear" w:color="auto" w:fill="auto"/>
          <w:tblCellMar>
            <w:top w:w="0" w:type="dxa"/>
            <w:left w:w="0" w:type="dxa"/>
            <w:bottom w:w="0" w:type="dxa"/>
            <w:right w:w="0" w:type="dxa"/>
          </w:tblCellMar>
        </w:tblPrEx>
        <w:trPr>
          <w:trHeight w:val="480" w:hRule="atLeast"/>
          <w:jc w:val="center"/>
        </w:trPr>
        <w:tc>
          <w:tcPr>
            <w:tcW w:w="8145" w:type="dxa"/>
            <w:gridSpan w:val="5"/>
            <w:tcBorders>
              <w:top w:val="nil"/>
              <w:left w:val="single" w:color="auto" w:sz="6" w:space="0"/>
              <w:bottom w:val="single" w:color="auto" w:sz="6" w:space="0"/>
              <w:right w:val="single" w:color="auto" w:sz="6" w:space="0"/>
            </w:tcBorders>
            <w:shd w:val="clear" w:color="auto" w:fill="C6D9F1"/>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第二十条第（五）项</w:t>
            </w:r>
          </w:p>
        </w:tc>
      </w:tr>
      <w:tr>
        <w:tblPrEx>
          <w:shd w:val="clear" w:color="auto" w:fill="auto"/>
          <w:tblCellMar>
            <w:top w:w="0" w:type="dxa"/>
            <w:left w:w="0" w:type="dxa"/>
            <w:bottom w:w="0" w:type="dxa"/>
            <w:right w:w="0" w:type="dxa"/>
          </w:tblCellMar>
        </w:tblPrEx>
        <w:trPr>
          <w:trHeight w:val="630" w:hRule="atLeast"/>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信息内容</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上一年项目数量</w:t>
            </w:r>
          </w:p>
        </w:tc>
        <w:tc>
          <w:tcPr>
            <w:tcW w:w="127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本年增</w:t>
            </w:r>
            <w:r>
              <w:rPr>
                <w:rFonts w:hint="default" w:ascii="Times New Roman" w:hAnsi="Times New Roman" w:cs="Times New Roman"/>
                <w:color w:val="000000"/>
                <w:sz w:val="19"/>
                <w:szCs w:val="19"/>
              </w:rPr>
              <w:t>/</w:t>
            </w:r>
            <w:r>
              <w:rPr>
                <w:rFonts w:hint="default" w:ascii="Times New Roman" w:hAnsi="Times New Roman" w:eastAsia="宋体" w:cs="Times New Roman"/>
                <w:color w:val="000000"/>
                <w:sz w:val="19"/>
                <w:szCs w:val="19"/>
              </w:rPr>
              <w:t>减</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处理决定数量</w:t>
            </w:r>
          </w:p>
        </w:tc>
      </w:tr>
      <w:tr>
        <w:tblPrEx>
          <w:shd w:val="clear" w:color="auto" w:fill="auto"/>
          <w:tblCellMar>
            <w:top w:w="0" w:type="dxa"/>
            <w:left w:w="0" w:type="dxa"/>
            <w:bottom w:w="0" w:type="dxa"/>
            <w:right w:w="0" w:type="dxa"/>
          </w:tblCellMar>
        </w:tblPrEx>
        <w:trPr>
          <w:trHeight w:val="525" w:hRule="atLeast"/>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行政许可</w:t>
            </w:r>
          </w:p>
        </w:tc>
        <w:tc>
          <w:tcPr>
            <w:tcW w:w="187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val="en-US" w:eastAsia="zh-CN"/>
              </w:rPr>
              <w:t>0</w:t>
            </w:r>
          </w:p>
        </w:tc>
        <w:tc>
          <w:tcPr>
            <w:tcW w:w="126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val="en-US" w:eastAsia="zh-CN"/>
              </w:rPr>
              <w:t>0</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val="en-US" w:eastAsia="zh-CN"/>
              </w:rPr>
              <w:t>0</w:t>
            </w:r>
          </w:p>
        </w:tc>
      </w:tr>
      <w:tr>
        <w:tblPrEx>
          <w:shd w:val="clear" w:color="auto" w:fill="auto"/>
          <w:tblCellMar>
            <w:top w:w="0" w:type="dxa"/>
            <w:left w:w="0" w:type="dxa"/>
            <w:bottom w:w="0" w:type="dxa"/>
            <w:right w:w="0" w:type="dxa"/>
          </w:tblCellMar>
        </w:tblPrEx>
        <w:trPr>
          <w:trHeight w:val="555" w:hRule="atLeast"/>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其他对外管理服务事项</w:t>
            </w:r>
          </w:p>
        </w:tc>
        <w:tc>
          <w:tcPr>
            <w:tcW w:w="187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45</w:t>
            </w:r>
          </w:p>
        </w:tc>
        <w:tc>
          <w:tcPr>
            <w:tcW w:w="126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val="en-US" w:eastAsia="zh-CN"/>
              </w:rPr>
              <w:t>2</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17190</w:t>
            </w:r>
          </w:p>
        </w:tc>
      </w:tr>
      <w:tr>
        <w:tblPrEx>
          <w:shd w:val="clear" w:color="auto" w:fill="auto"/>
          <w:tblCellMar>
            <w:top w:w="0" w:type="dxa"/>
            <w:left w:w="0" w:type="dxa"/>
            <w:bottom w:w="0" w:type="dxa"/>
            <w:right w:w="0" w:type="dxa"/>
          </w:tblCellMar>
        </w:tblPrEx>
        <w:trPr>
          <w:trHeight w:val="405" w:hRule="atLeast"/>
          <w:jc w:val="center"/>
        </w:trPr>
        <w:tc>
          <w:tcPr>
            <w:tcW w:w="8145" w:type="dxa"/>
            <w:gridSpan w:val="5"/>
            <w:tcBorders>
              <w:top w:val="nil"/>
              <w:left w:val="single" w:color="auto" w:sz="6" w:space="0"/>
              <w:bottom w:val="single" w:color="auto" w:sz="6" w:space="0"/>
              <w:right w:val="single" w:color="auto" w:sz="6" w:space="0"/>
            </w:tcBorders>
            <w:shd w:val="clear" w:color="auto" w:fill="C6D9F1"/>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第二十条第（六）项</w:t>
            </w:r>
          </w:p>
        </w:tc>
      </w:tr>
      <w:tr>
        <w:tblPrEx>
          <w:shd w:val="clear" w:color="auto" w:fill="auto"/>
          <w:tblCellMar>
            <w:top w:w="0" w:type="dxa"/>
            <w:left w:w="0" w:type="dxa"/>
            <w:bottom w:w="0" w:type="dxa"/>
            <w:right w:w="0" w:type="dxa"/>
          </w:tblCellMar>
        </w:tblPrEx>
        <w:trPr>
          <w:trHeight w:val="630" w:hRule="atLeast"/>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信息内容</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上一年项目数量</w:t>
            </w:r>
          </w:p>
        </w:tc>
        <w:tc>
          <w:tcPr>
            <w:tcW w:w="127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本年增</w:t>
            </w:r>
            <w:r>
              <w:rPr>
                <w:rFonts w:hint="default" w:ascii="Times New Roman" w:hAnsi="Times New Roman" w:cs="Times New Roman"/>
                <w:color w:val="000000"/>
                <w:sz w:val="19"/>
                <w:szCs w:val="19"/>
              </w:rPr>
              <w:t>/</w:t>
            </w:r>
            <w:r>
              <w:rPr>
                <w:rFonts w:hint="default" w:ascii="Times New Roman" w:hAnsi="Times New Roman" w:eastAsia="宋体" w:cs="Times New Roman"/>
                <w:color w:val="000000"/>
                <w:sz w:val="19"/>
                <w:szCs w:val="19"/>
              </w:rPr>
              <w:t>减</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处理决定数量</w:t>
            </w:r>
          </w:p>
        </w:tc>
      </w:tr>
      <w:tr>
        <w:tblPrEx>
          <w:shd w:val="clear" w:color="auto" w:fill="auto"/>
          <w:tblCellMar>
            <w:top w:w="0" w:type="dxa"/>
            <w:left w:w="0" w:type="dxa"/>
            <w:bottom w:w="0" w:type="dxa"/>
            <w:right w:w="0" w:type="dxa"/>
          </w:tblCellMar>
        </w:tblPrEx>
        <w:trPr>
          <w:trHeight w:val="435" w:hRule="atLeast"/>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行政处罚</w:t>
            </w:r>
          </w:p>
        </w:tc>
        <w:tc>
          <w:tcPr>
            <w:tcW w:w="187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210</w:t>
            </w:r>
          </w:p>
        </w:tc>
        <w:tc>
          <w:tcPr>
            <w:tcW w:w="126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-80</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130</w:t>
            </w:r>
          </w:p>
        </w:tc>
      </w:tr>
      <w:tr>
        <w:tblPrEx>
          <w:shd w:val="clear" w:color="auto" w:fill="auto"/>
          <w:tblCellMar>
            <w:top w:w="0" w:type="dxa"/>
            <w:left w:w="0" w:type="dxa"/>
            <w:bottom w:w="0" w:type="dxa"/>
            <w:right w:w="0" w:type="dxa"/>
          </w:tblCellMar>
        </w:tblPrEx>
        <w:trPr>
          <w:trHeight w:val="405" w:hRule="atLeast"/>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行政强制</w:t>
            </w:r>
          </w:p>
        </w:tc>
        <w:tc>
          <w:tcPr>
            <w:tcW w:w="187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210</w:t>
            </w:r>
          </w:p>
        </w:tc>
        <w:tc>
          <w:tcPr>
            <w:tcW w:w="126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-120</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90</w:t>
            </w:r>
          </w:p>
        </w:tc>
      </w:tr>
      <w:tr>
        <w:tblPrEx>
          <w:shd w:val="clear" w:color="auto" w:fill="auto"/>
          <w:tblCellMar>
            <w:top w:w="0" w:type="dxa"/>
            <w:left w:w="0" w:type="dxa"/>
            <w:bottom w:w="0" w:type="dxa"/>
            <w:right w:w="0" w:type="dxa"/>
          </w:tblCellMar>
        </w:tblPrEx>
        <w:trPr>
          <w:trHeight w:val="480" w:hRule="atLeast"/>
          <w:jc w:val="center"/>
        </w:trPr>
        <w:tc>
          <w:tcPr>
            <w:tcW w:w="8145" w:type="dxa"/>
            <w:gridSpan w:val="5"/>
            <w:tcBorders>
              <w:top w:val="nil"/>
              <w:left w:val="single" w:color="auto" w:sz="6" w:space="0"/>
              <w:bottom w:val="single" w:color="auto" w:sz="6" w:space="0"/>
              <w:right w:val="single" w:color="auto" w:sz="6" w:space="0"/>
            </w:tcBorders>
            <w:shd w:val="clear" w:color="auto" w:fill="C6D9F1"/>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第二十条第（八）项</w:t>
            </w:r>
          </w:p>
        </w:tc>
      </w:tr>
      <w:tr>
        <w:tblPrEx>
          <w:shd w:val="clear" w:color="auto" w:fill="auto"/>
          <w:tblCellMar>
            <w:top w:w="0" w:type="dxa"/>
            <w:left w:w="0" w:type="dxa"/>
            <w:bottom w:w="0" w:type="dxa"/>
            <w:right w:w="0" w:type="dxa"/>
          </w:tblCellMar>
        </w:tblPrEx>
        <w:trPr>
          <w:trHeight w:val="271" w:hRule="atLeast"/>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信息内容</w:t>
            </w:r>
          </w:p>
        </w:tc>
        <w:tc>
          <w:tcPr>
            <w:tcW w:w="187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上一年项目数量</w:t>
            </w:r>
          </w:p>
        </w:tc>
        <w:tc>
          <w:tcPr>
            <w:tcW w:w="31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本年增</w:t>
            </w:r>
            <w:r>
              <w:rPr>
                <w:rFonts w:hint="default" w:ascii="Times New Roman" w:hAnsi="Times New Roman" w:cs="Times New Roman"/>
                <w:color w:val="000000"/>
                <w:sz w:val="19"/>
                <w:szCs w:val="19"/>
              </w:rPr>
              <w:t>/</w:t>
            </w:r>
            <w:r>
              <w:rPr>
                <w:rFonts w:hint="default" w:ascii="Times New Roman" w:hAnsi="Times New Roman" w:eastAsia="宋体" w:cs="Times New Roman"/>
                <w:color w:val="000000"/>
                <w:sz w:val="19"/>
                <w:szCs w:val="19"/>
              </w:rPr>
              <w:t>减</w:t>
            </w:r>
          </w:p>
        </w:tc>
      </w:tr>
      <w:tr>
        <w:tblPrEx>
          <w:shd w:val="clear" w:color="auto" w:fill="auto"/>
          <w:tblCellMar>
            <w:top w:w="0" w:type="dxa"/>
            <w:left w:w="0" w:type="dxa"/>
            <w:bottom w:w="0" w:type="dxa"/>
            <w:right w:w="0" w:type="dxa"/>
          </w:tblCellMar>
        </w:tblPrEx>
        <w:trPr>
          <w:trHeight w:val="555" w:hRule="atLeast"/>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行政事业性收费</w:t>
            </w:r>
          </w:p>
        </w:tc>
        <w:tc>
          <w:tcPr>
            <w:tcW w:w="187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31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r>
      <w:tr>
        <w:tblPrEx>
          <w:shd w:val="clear" w:color="auto" w:fill="auto"/>
          <w:tblCellMar>
            <w:top w:w="0" w:type="dxa"/>
            <w:left w:w="0" w:type="dxa"/>
            <w:bottom w:w="0" w:type="dxa"/>
            <w:right w:w="0" w:type="dxa"/>
          </w:tblCellMar>
        </w:tblPrEx>
        <w:trPr>
          <w:trHeight w:val="480" w:hRule="atLeast"/>
          <w:jc w:val="center"/>
        </w:trPr>
        <w:tc>
          <w:tcPr>
            <w:tcW w:w="8145" w:type="dxa"/>
            <w:gridSpan w:val="5"/>
            <w:tcBorders>
              <w:top w:val="nil"/>
              <w:left w:val="single" w:color="auto" w:sz="6" w:space="0"/>
              <w:bottom w:val="single" w:color="auto" w:sz="6" w:space="0"/>
              <w:right w:val="single" w:color="auto" w:sz="6" w:space="0"/>
            </w:tcBorders>
            <w:shd w:val="clear" w:color="auto" w:fill="C6D9F1"/>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第二十条第（九）项</w:t>
            </w:r>
          </w:p>
        </w:tc>
      </w:tr>
      <w:tr>
        <w:tblPrEx>
          <w:shd w:val="clear" w:color="auto" w:fill="auto"/>
          <w:tblCellMar>
            <w:top w:w="0" w:type="dxa"/>
            <w:left w:w="0" w:type="dxa"/>
            <w:bottom w:w="0" w:type="dxa"/>
            <w:right w:w="0" w:type="dxa"/>
          </w:tblCellMar>
        </w:tblPrEx>
        <w:trPr>
          <w:trHeight w:val="585" w:hRule="atLeast"/>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信息内容</w:t>
            </w:r>
          </w:p>
        </w:tc>
        <w:tc>
          <w:tcPr>
            <w:tcW w:w="187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采购项目数量</w:t>
            </w:r>
          </w:p>
        </w:tc>
        <w:tc>
          <w:tcPr>
            <w:tcW w:w="31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采购总金额</w:t>
            </w:r>
          </w:p>
        </w:tc>
      </w:tr>
      <w:tr>
        <w:tblPrEx>
          <w:tblCellMar>
            <w:top w:w="0" w:type="dxa"/>
            <w:left w:w="0" w:type="dxa"/>
            <w:bottom w:w="0" w:type="dxa"/>
            <w:right w:w="0" w:type="dxa"/>
          </w:tblCellMar>
        </w:tblPrEx>
        <w:trPr>
          <w:trHeight w:val="540" w:hRule="atLeast"/>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政府集中采购</w:t>
            </w:r>
          </w:p>
        </w:tc>
        <w:tc>
          <w:tcPr>
            <w:tcW w:w="187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eastAsia="zh-CN"/>
              </w:rPr>
            </w:pPr>
            <w:r>
              <w:rPr>
                <w:rFonts w:hint="default" w:ascii="Times New Roman" w:hAnsi="Times New Roman" w:cs="Times New Roman"/>
                <w:color w:val="000000"/>
                <w:sz w:val="19"/>
                <w:szCs w:val="19"/>
                <w:lang w:val="en-US" w:eastAsia="zh-CN"/>
              </w:rPr>
              <w:t>3</w:t>
            </w:r>
          </w:p>
        </w:tc>
        <w:tc>
          <w:tcPr>
            <w:tcW w:w="31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4"/>
                <w:szCs w:val="24"/>
                <w:lang w:val="en-US" w:eastAsia="zh-CN"/>
              </w:rPr>
              <w:t>52400000.00</w:t>
            </w:r>
          </w:p>
        </w:tc>
      </w:tr>
      <w:tr>
        <w:tblPrEx>
          <w:tblCellMar>
            <w:top w:w="0" w:type="dxa"/>
            <w:left w:w="0" w:type="dxa"/>
            <w:bottom w:w="0" w:type="dxa"/>
            <w:right w:w="0" w:type="dxa"/>
          </w:tblCellMar>
        </w:tblPrEx>
        <w:trPr>
          <w:jc w:val="center"/>
        </w:trPr>
        <w:tc>
          <w:tcPr>
            <w:tcW w:w="31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187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126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187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rPr>
          <w:rFonts w:hint="default" w:ascii="Times New Roman" w:hAnsi="Times New Roman" w:eastAsia="微软雅黑" w:cs="Times New Roman"/>
          <w:i w:val="0"/>
          <w:caps w:val="0"/>
          <w:color w:val="333333"/>
          <w:spacing w:val="0"/>
          <w:sz w:val="21"/>
          <w:szCs w:val="21"/>
        </w:rPr>
      </w:pPr>
      <w:r>
        <w:rPr>
          <w:rFonts w:hint="default" w:ascii="Times New Roman" w:hAnsi="Times New Roman" w:eastAsia="微软雅黑" w:cs="Times New Roman"/>
          <w:i w:val="0"/>
          <w:caps w:val="0"/>
          <w:color w:val="333333"/>
          <w:spacing w:val="0"/>
          <w:sz w:val="24"/>
          <w:szCs w:val="24"/>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rPr>
          <w:rFonts w:hint="default" w:ascii="Times New Roman" w:hAnsi="Times New Roman" w:eastAsia="微软雅黑" w:cs="Times New Roman"/>
          <w:i w:val="0"/>
          <w:caps w:val="0"/>
          <w:color w:val="333333"/>
          <w:spacing w:val="0"/>
          <w:sz w:val="21"/>
          <w:szCs w:val="21"/>
        </w:rPr>
      </w:pPr>
      <w:r>
        <w:rPr>
          <w:rFonts w:hint="default" w:ascii="Times New Roman" w:hAnsi="Times New Roman" w:eastAsia="微软雅黑" w:cs="Times New Roman"/>
          <w:i w:val="0"/>
          <w:caps w:val="0"/>
          <w:color w:val="333333"/>
          <w:spacing w:val="0"/>
          <w:sz w:val="24"/>
          <w:szCs w:val="24"/>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50" w:lineRule="atLeast"/>
        <w:ind w:left="0" w:right="0" w:firstLine="480"/>
        <w:rPr>
          <w:rFonts w:hint="default" w:ascii="Times New Roman" w:hAnsi="Times New Roman" w:eastAsia="微软雅黑" w:cs="Times New Roman"/>
          <w:i w:val="0"/>
          <w:caps w:val="0"/>
          <w:color w:val="333333"/>
          <w:spacing w:val="0"/>
          <w:sz w:val="21"/>
          <w:szCs w:val="21"/>
        </w:rPr>
      </w:pPr>
      <w:r>
        <w:rPr>
          <w:rFonts w:hint="default" w:ascii="Times New Roman" w:hAnsi="Times New Roman" w:eastAsia="黑体" w:cs="Times New Roman"/>
          <w:i w:val="0"/>
          <w:caps w:val="0"/>
          <w:color w:val="333333"/>
          <w:spacing w:val="0"/>
          <w:sz w:val="31"/>
          <w:szCs w:val="31"/>
          <w:shd w:val="clear" w:fill="FFFFFF"/>
        </w:rPr>
        <w:t>三、依申请公开办理情况</w:t>
      </w:r>
    </w:p>
    <w:tbl>
      <w:tblPr>
        <w:tblStyle w:val="5"/>
        <w:tblW w:w="0" w:type="auto"/>
        <w:jc w:val="center"/>
        <w:shd w:val="clear" w:color="auto" w:fill="auto"/>
        <w:tblLayout w:type="autofit"/>
        <w:tblCellMar>
          <w:top w:w="0" w:type="dxa"/>
          <w:left w:w="0" w:type="dxa"/>
          <w:bottom w:w="0" w:type="dxa"/>
          <w:right w:w="0" w:type="dxa"/>
        </w:tblCellMar>
      </w:tblPr>
      <w:tblGrid>
        <w:gridCol w:w="611"/>
        <w:gridCol w:w="844"/>
        <w:gridCol w:w="1872"/>
        <w:gridCol w:w="756"/>
        <w:gridCol w:w="704"/>
        <w:gridCol w:w="704"/>
        <w:gridCol w:w="756"/>
        <w:gridCol w:w="899"/>
        <w:gridCol w:w="678"/>
        <w:gridCol w:w="692"/>
      </w:tblGrid>
      <w:tr>
        <w:tblPrEx>
          <w:shd w:val="clear" w:color="auto" w:fill="auto"/>
          <w:tblCellMar>
            <w:top w:w="0" w:type="dxa"/>
            <w:left w:w="0" w:type="dxa"/>
            <w:bottom w:w="0" w:type="dxa"/>
            <w:right w:w="0" w:type="dxa"/>
          </w:tblCellMar>
        </w:tblPrEx>
        <w:trPr>
          <w:jc w:val="center"/>
        </w:trPr>
        <w:tc>
          <w:tcPr>
            <w:tcW w:w="3555" w:type="dxa"/>
            <w:gridSpan w:val="3"/>
            <w:vMerge w:val="restart"/>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（本列数据的勾稽关系为：第一项加第二项之和，等于第三项加第四项之和）</w:t>
            </w:r>
          </w:p>
        </w:tc>
        <w:tc>
          <w:tcPr>
            <w:tcW w:w="5520" w:type="dxa"/>
            <w:gridSpan w:val="7"/>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申请人情况</w:t>
            </w:r>
          </w:p>
        </w:tc>
      </w:tr>
      <w:tr>
        <w:tblPrEx>
          <w:shd w:val="clear" w:color="auto" w:fill="auto"/>
          <w:tblCellMar>
            <w:top w:w="0" w:type="dxa"/>
            <w:left w:w="0" w:type="dxa"/>
            <w:bottom w:w="0" w:type="dxa"/>
            <w:right w:w="0" w:type="dxa"/>
          </w:tblCellMar>
        </w:tblPrEx>
        <w:trPr>
          <w:jc w:val="center"/>
        </w:trPr>
        <w:tc>
          <w:tcPr>
            <w:tcW w:w="3555" w:type="dxa"/>
            <w:gridSpan w:val="3"/>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1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自然人</w:t>
            </w:r>
          </w:p>
        </w:tc>
        <w:tc>
          <w:tcPr>
            <w:tcW w:w="4005" w:type="dxa"/>
            <w:gridSpan w:val="5"/>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法人或其他组织</w:t>
            </w:r>
          </w:p>
        </w:tc>
        <w:tc>
          <w:tcPr>
            <w:tcW w:w="69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总计</w:t>
            </w:r>
          </w:p>
        </w:tc>
      </w:tr>
      <w:tr>
        <w:tblPrEx>
          <w:shd w:val="clear" w:color="auto" w:fill="auto"/>
          <w:tblCellMar>
            <w:top w:w="0" w:type="dxa"/>
            <w:left w:w="0" w:type="dxa"/>
            <w:bottom w:w="0" w:type="dxa"/>
            <w:right w:w="0" w:type="dxa"/>
          </w:tblCellMar>
        </w:tblPrEx>
        <w:trPr>
          <w:jc w:val="center"/>
        </w:trPr>
        <w:tc>
          <w:tcPr>
            <w:tcW w:w="3555" w:type="dxa"/>
            <w:gridSpan w:val="3"/>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1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商业企业</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科研机构</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社会公益组织</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法律服务机构</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其他</w:t>
            </w:r>
          </w:p>
        </w:tc>
        <w:tc>
          <w:tcPr>
            <w:tcW w:w="69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r>
      <w:tr>
        <w:tblPrEx>
          <w:shd w:val="clear" w:color="auto" w:fill="auto"/>
          <w:tblCellMar>
            <w:top w:w="0" w:type="dxa"/>
            <w:left w:w="0" w:type="dxa"/>
            <w:bottom w:w="0" w:type="dxa"/>
            <w:right w:w="0" w:type="dxa"/>
          </w:tblCellMar>
        </w:tblPrEx>
        <w:trPr>
          <w:jc w:val="center"/>
        </w:trPr>
        <w:tc>
          <w:tcPr>
            <w:tcW w:w="3555" w:type="dxa"/>
            <w:gridSpan w:val="3"/>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宋体" w:cs="Times New Roman"/>
                <w:sz w:val="19"/>
                <w:szCs w:val="19"/>
              </w:rPr>
              <w:t>一、本年新收政府信息公开申请数量</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0 </w:t>
            </w:r>
          </w:p>
        </w:tc>
      </w:tr>
      <w:tr>
        <w:tblPrEx>
          <w:shd w:val="clear" w:color="auto" w:fill="auto"/>
          <w:tblCellMar>
            <w:top w:w="0" w:type="dxa"/>
            <w:left w:w="0" w:type="dxa"/>
            <w:bottom w:w="0" w:type="dxa"/>
            <w:right w:w="0" w:type="dxa"/>
          </w:tblCellMar>
        </w:tblPrEx>
        <w:trPr>
          <w:jc w:val="center"/>
        </w:trPr>
        <w:tc>
          <w:tcPr>
            <w:tcW w:w="3555" w:type="dxa"/>
            <w:gridSpan w:val="3"/>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宋体" w:cs="Times New Roman"/>
                <w:sz w:val="19"/>
                <w:szCs w:val="19"/>
              </w:rPr>
              <w:t>二、上年结转政府信息公开申请数量</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0 </w:t>
            </w:r>
          </w:p>
        </w:tc>
      </w:tr>
      <w:tr>
        <w:tblPrEx>
          <w:shd w:val="clear" w:color="auto" w:fill="auto"/>
          <w:tblCellMar>
            <w:top w:w="0" w:type="dxa"/>
            <w:left w:w="0" w:type="dxa"/>
            <w:bottom w:w="0" w:type="dxa"/>
            <w:right w:w="0" w:type="dxa"/>
          </w:tblCellMar>
        </w:tblPrEx>
        <w:trPr>
          <w:jc w:val="center"/>
        </w:trPr>
        <w:tc>
          <w:tcPr>
            <w:tcW w:w="615"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三、本年度办理结果</w:t>
            </w:r>
          </w:p>
        </w:tc>
        <w:tc>
          <w:tcPr>
            <w:tcW w:w="294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楷体" w:cs="Times New Roman"/>
                <w:sz w:val="19"/>
                <w:szCs w:val="19"/>
              </w:rPr>
              <w:t>（一）予以公开</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 0</w:t>
            </w:r>
          </w:p>
        </w:tc>
      </w:tr>
      <w:tr>
        <w:tblPrEx>
          <w:shd w:val="clear" w:color="auto" w:fill="auto"/>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294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楷体" w:cs="Times New Roman"/>
                <w:sz w:val="19"/>
                <w:szCs w:val="19"/>
              </w:rPr>
              <w:t>（二）部分公开（区分处理的，只计这一情形，不计其他情形）</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 0</w:t>
            </w:r>
          </w:p>
        </w:tc>
      </w:tr>
      <w:tr>
        <w:tblPrEx>
          <w:shd w:val="clear" w:color="auto" w:fill="auto"/>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5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楷体" w:cs="Times New Roman"/>
                <w:sz w:val="19"/>
                <w:szCs w:val="19"/>
              </w:rPr>
              <w:t>（三）不予公开</w:t>
            </w: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19"/>
                <w:szCs w:val="19"/>
              </w:rPr>
              <w:t>1.</w:t>
            </w:r>
            <w:r>
              <w:rPr>
                <w:rFonts w:hint="default" w:ascii="Times New Roman" w:hAnsi="Times New Roman" w:eastAsia="楷体" w:cs="Times New Roman"/>
                <w:sz w:val="19"/>
                <w:szCs w:val="19"/>
              </w:rPr>
              <w:t>属于国家秘密</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 0</w:t>
            </w:r>
          </w:p>
        </w:tc>
      </w:tr>
      <w:tr>
        <w:tblPrEx>
          <w:shd w:val="clear" w:color="auto" w:fill="auto"/>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19"/>
                <w:szCs w:val="19"/>
              </w:rPr>
              <w:t>2.</w:t>
            </w:r>
            <w:r>
              <w:rPr>
                <w:rFonts w:hint="default" w:ascii="Times New Roman" w:hAnsi="Times New Roman" w:eastAsia="楷体" w:cs="Times New Roman"/>
                <w:sz w:val="19"/>
                <w:szCs w:val="19"/>
              </w:rPr>
              <w:t>其他法律行政法规禁止公开</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 0</w:t>
            </w:r>
          </w:p>
        </w:tc>
      </w:tr>
      <w:tr>
        <w:tblPrEx>
          <w:shd w:val="clear" w:color="auto" w:fill="auto"/>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19"/>
                <w:szCs w:val="19"/>
              </w:rPr>
              <w:t>3.</w:t>
            </w:r>
            <w:r>
              <w:rPr>
                <w:rFonts w:hint="default" w:ascii="Times New Roman" w:hAnsi="Times New Roman" w:eastAsia="楷体" w:cs="Times New Roman"/>
                <w:sz w:val="19"/>
                <w:szCs w:val="19"/>
              </w:rPr>
              <w:t>危及</w:t>
            </w:r>
            <w:r>
              <w:rPr>
                <w:rFonts w:hint="default" w:ascii="Times New Roman" w:hAnsi="Times New Roman" w:cs="Times New Roman"/>
                <w:sz w:val="19"/>
                <w:szCs w:val="19"/>
              </w:rPr>
              <w:t>“</w:t>
            </w:r>
            <w:r>
              <w:rPr>
                <w:rFonts w:hint="default" w:ascii="Times New Roman" w:hAnsi="Times New Roman" w:eastAsia="楷体" w:cs="Times New Roman"/>
                <w:sz w:val="19"/>
                <w:szCs w:val="19"/>
              </w:rPr>
              <w:t>三安全一稳定</w:t>
            </w:r>
            <w:r>
              <w:rPr>
                <w:rFonts w:hint="default" w:ascii="Times New Roman" w:hAnsi="Times New Roman" w:cs="Times New Roman"/>
                <w:sz w:val="19"/>
                <w:szCs w:val="19"/>
              </w:rPr>
              <w:t>”</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 0</w:t>
            </w:r>
          </w:p>
        </w:tc>
      </w:tr>
      <w:tr>
        <w:tblPrEx>
          <w:shd w:val="clear" w:color="auto" w:fill="auto"/>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19"/>
                <w:szCs w:val="19"/>
              </w:rPr>
              <w:t>4.</w:t>
            </w:r>
            <w:r>
              <w:rPr>
                <w:rFonts w:hint="default" w:ascii="Times New Roman" w:hAnsi="Times New Roman" w:eastAsia="楷体" w:cs="Times New Roman"/>
                <w:sz w:val="19"/>
                <w:szCs w:val="19"/>
              </w:rPr>
              <w:t>保护第三方合法权益</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 0</w:t>
            </w:r>
          </w:p>
        </w:tc>
      </w:tr>
      <w:tr>
        <w:tblPrEx>
          <w:shd w:val="clear" w:color="auto" w:fill="auto"/>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19"/>
                <w:szCs w:val="19"/>
              </w:rPr>
              <w:t>5.</w:t>
            </w:r>
            <w:r>
              <w:rPr>
                <w:rFonts w:hint="default" w:ascii="Times New Roman" w:hAnsi="Times New Roman" w:eastAsia="楷体" w:cs="Times New Roman"/>
                <w:sz w:val="19"/>
                <w:szCs w:val="19"/>
              </w:rPr>
              <w:t>属于三类内部事务信息</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0 </w:t>
            </w:r>
          </w:p>
        </w:tc>
      </w:tr>
      <w:tr>
        <w:tblPrEx>
          <w:shd w:val="clear" w:color="auto" w:fill="auto"/>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19"/>
                <w:szCs w:val="19"/>
              </w:rPr>
              <w:t>6.</w:t>
            </w:r>
            <w:r>
              <w:rPr>
                <w:rFonts w:hint="default" w:ascii="Times New Roman" w:hAnsi="Times New Roman" w:eastAsia="楷体" w:cs="Times New Roman"/>
                <w:sz w:val="19"/>
                <w:szCs w:val="19"/>
              </w:rPr>
              <w:t>属于四类过程性信息</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 0</w:t>
            </w:r>
          </w:p>
        </w:tc>
      </w:tr>
      <w:tr>
        <w:tblPrEx>
          <w:shd w:val="clear" w:color="auto" w:fill="auto"/>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19"/>
                <w:szCs w:val="19"/>
              </w:rPr>
              <w:t>7.</w:t>
            </w:r>
            <w:r>
              <w:rPr>
                <w:rFonts w:hint="default" w:ascii="Times New Roman" w:hAnsi="Times New Roman" w:eastAsia="楷体" w:cs="Times New Roman"/>
                <w:sz w:val="19"/>
                <w:szCs w:val="19"/>
              </w:rPr>
              <w:t>属于行政执法案卷</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 0</w:t>
            </w:r>
          </w:p>
        </w:tc>
      </w:tr>
      <w:tr>
        <w:tblPrEx>
          <w:shd w:val="clear" w:color="auto" w:fill="auto"/>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19"/>
                <w:szCs w:val="19"/>
              </w:rPr>
              <w:t>8.</w:t>
            </w:r>
            <w:r>
              <w:rPr>
                <w:rFonts w:hint="default" w:ascii="Times New Roman" w:hAnsi="Times New Roman" w:eastAsia="楷体" w:cs="Times New Roman"/>
                <w:sz w:val="19"/>
                <w:szCs w:val="19"/>
              </w:rPr>
              <w:t>属于行政查询事项</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 0</w:t>
            </w:r>
          </w:p>
        </w:tc>
      </w:tr>
      <w:tr>
        <w:tblPrEx>
          <w:shd w:val="clear" w:color="auto" w:fill="auto"/>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5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楷体" w:cs="Times New Roman"/>
                <w:sz w:val="19"/>
                <w:szCs w:val="19"/>
              </w:rPr>
              <w:t>（四）无法提供</w:t>
            </w: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19"/>
                <w:szCs w:val="19"/>
              </w:rPr>
              <w:t>1.</w:t>
            </w:r>
            <w:r>
              <w:rPr>
                <w:rFonts w:hint="default" w:ascii="Times New Roman" w:hAnsi="Times New Roman" w:eastAsia="楷体" w:cs="Times New Roman"/>
                <w:sz w:val="19"/>
                <w:szCs w:val="19"/>
              </w:rPr>
              <w:t>本机关不掌握相关政府信息</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 0</w:t>
            </w:r>
          </w:p>
        </w:tc>
      </w:tr>
      <w:tr>
        <w:tblPrEx>
          <w:shd w:val="clear" w:color="auto" w:fill="auto"/>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19"/>
                <w:szCs w:val="19"/>
              </w:rPr>
              <w:t>2.</w:t>
            </w:r>
            <w:r>
              <w:rPr>
                <w:rFonts w:hint="default" w:ascii="Times New Roman" w:hAnsi="Times New Roman" w:eastAsia="楷体" w:cs="Times New Roman"/>
                <w:sz w:val="19"/>
                <w:szCs w:val="19"/>
              </w:rPr>
              <w:t>没有现成信息需要另行制作</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 0</w:t>
            </w:r>
          </w:p>
        </w:tc>
      </w:tr>
      <w:tr>
        <w:tblPrEx>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19"/>
                <w:szCs w:val="19"/>
              </w:rPr>
              <w:t>3.</w:t>
            </w:r>
            <w:r>
              <w:rPr>
                <w:rFonts w:hint="default" w:ascii="Times New Roman" w:hAnsi="Times New Roman" w:eastAsia="楷体" w:cs="Times New Roman"/>
                <w:sz w:val="19"/>
                <w:szCs w:val="19"/>
              </w:rPr>
              <w:t>补正后申请内容仍不明确</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 0</w:t>
            </w:r>
          </w:p>
        </w:tc>
      </w:tr>
      <w:tr>
        <w:tblPrEx>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5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楷体" w:cs="Times New Roman"/>
                <w:sz w:val="19"/>
                <w:szCs w:val="19"/>
              </w:rPr>
              <w:t>（五）不予处理</w:t>
            </w: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19"/>
                <w:szCs w:val="19"/>
              </w:rPr>
              <w:t>1.</w:t>
            </w:r>
            <w:r>
              <w:rPr>
                <w:rFonts w:hint="default" w:ascii="Times New Roman" w:hAnsi="Times New Roman" w:eastAsia="楷体" w:cs="Times New Roman"/>
                <w:sz w:val="19"/>
                <w:szCs w:val="19"/>
              </w:rPr>
              <w:t>信访举报投诉类申请</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 0</w:t>
            </w:r>
          </w:p>
        </w:tc>
      </w:tr>
      <w:tr>
        <w:tblPrEx>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19"/>
                <w:szCs w:val="19"/>
              </w:rPr>
              <w:t>2.</w:t>
            </w:r>
            <w:r>
              <w:rPr>
                <w:rFonts w:hint="default" w:ascii="Times New Roman" w:hAnsi="Times New Roman" w:eastAsia="楷体" w:cs="Times New Roman"/>
                <w:sz w:val="19"/>
                <w:szCs w:val="19"/>
              </w:rPr>
              <w:t>重复申请</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0 </w:t>
            </w:r>
          </w:p>
        </w:tc>
      </w:tr>
      <w:tr>
        <w:tblPrEx>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19"/>
                <w:szCs w:val="19"/>
              </w:rPr>
              <w:t>3.</w:t>
            </w:r>
            <w:r>
              <w:rPr>
                <w:rFonts w:hint="default" w:ascii="Times New Roman" w:hAnsi="Times New Roman" w:eastAsia="楷体" w:cs="Times New Roman"/>
                <w:sz w:val="19"/>
                <w:szCs w:val="19"/>
              </w:rPr>
              <w:t>要求提供公开出版物</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0 </w:t>
            </w:r>
          </w:p>
        </w:tc>
      </w:tr>
      <w:tr>
        <w:tblPrEx>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19"/>
                <w:szCs w:val="19"/>
              </w:rPr>
              <w:t>4.</w:t>
            </w:r>
            <w:r>
              <w:rPr>
                <w:rFonts w:hint="default" w:ascii="Times New Roman" w:hAnsi="Times New Roman" w:eastAsia="楷体" w:cs="Times New Roman"/>
                <w:sz w:val="19"/>
                <w:szCs w:val="19"/>
              </w:rPr>
              <w:t>无正当理由大量反复申请</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 0</w:t>
            </w:r>
          </w:p>
        </w:tc>
      </w:tr>
      <w:tr>
        <w:tblPrEx>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19"/>
                <w:szCs w:val="19"/>
              </w:rPr>
              <w:t>5.</w:t>
            </w:r>
            <w:r>
              <w:rPr>
                <w:rFonts w:hint="default" w:ascii="Times New Roman" w:hAnsi="Times New Roman" w:eastAsia="楷体" w:cs="Times New Roman"/>
                <w:sz w:val="19"/>
                <w:szCs w:val="19"/>
              </w:rPr>
              <w:t>要求行政机关确认或重新出具已获取信息</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 0</w:t>
            </w:r>
          </w:p>
        </w:tc>
      </w:tr>
      <w:tr>
        <w:tblPrEx>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294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楷体" w:cs="Times New Roman"/>
                <w:sz w:val="19"/>
                <w:szCs w:val="19"/>
              </w:rPr>
              <w:t>（六）其他处理</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 0</w:t>
            </w:r>
          </w:p>
        </w:tc>
      </w:tr>
      <w:tr>
        <w:tblPrEx>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294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楷体" w:cs="Times New Roman"/>
                <w:sz w:val="19"/>
                <w:szCs w:val="19"/>
              </w:rPr>
              <w:t>（七）总计</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 0</w:t>
            </w:r>
          </w:p>
        </w:tc>
      </w:tr>
      <w:tr>
        <w:tblPrEx>
          <w:tblCellMar>
            <w:top w:w="0" w:type="dxa"/>
            <w:left w:w="0" w:type="dxa"/>
            <w:bottom w:w="0" w:type="dxa"/>
            <w:right w:w="0" w:type="dxa"/>
          </w:tblCellMar>
        </w:tblPrEx>
        <w:trPr>
          <w:jc w:val="center"/>
        </w:trPr>
        <w:tc>
          <w:tcPr>
            <w:tcW w:w="3555" w:type="dxa"/>
            <w:gridSpan w:val="3"/>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宋体" w:cs="Times New Roman"/>
                <w:sz w:val="19"/>
                <w:szCs w:val="19"/>
              </w:rPr>
              <w:t>四、结转下年度继续办理</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24"/>
                <w:szCs w:val="24"/>
              </w:rPr>
              <w:t>  0</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rPr>
          <w:rFonts w:hint="default" w:ascii="Times New Roman" w:hAnsi="Times New Roman" w:eastAsia="微软雅黑" w:cs="Times New Roman"/>
          <w:i w:val="0"/>
          <w:caps w:val="0"/>
          <w:color w:val="333333"/>
          <w:spacing w:val="0"/>
          <w:sz w:val="21"/>
          <w:szCs w:val="21"/>
        </w:rPr>
      </w:pPr>
      <w:r>
        <w:rPr>
          <w:rFonts w:hint="default" w:ascii="Times New Roman" w:hAnsi="Times New Roman" w:eastAsia="微软雅黑" w:cs="Times New Roman"/>
          <w:i w:val="0"/>
          <w:caps w:val="0"/>
          <w:color w:val="333333"/>
          <w:spacing w:val="0"/>
          <w:sz w:val="24"/>
          <w:szCs w:val="24"/>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rPr>
          <w:rFonts w:hint="default" w:ascii="Times New Roman" w:hAnsi="Times New Roman" w:eastAsia="微软雅黑" w:cs="Times New Roman"/>
          <w:i w:val="0"/>
          <w:caps w:val="0"/>
          <w:color w:val="333333"/>
          <w:spacing w:val="0"/>
          <w:sz w:val="21"/>
          <w:szCs w:val="21"/>
        </w:rPr>
      </w:pPr>
      <w:r>
        <w:rPr>
          <w:rFonts w:hint="default" w:ascii="Times New Roman" w:hAnsi="Times New Roman" w:eastAsia="黑体" w:cs="Times New Roman"/>
          <w:i w:val="0"/>
          <w:caps w:val="0"/>
          <w:color w:val="333333"/>
          <w:spacing w:val="0"/>
          <w:sz w:val="31"/>
          <w:szCs w:val="31"/>
          <w:shd w:val="clear" w:fill="FFFFFF"/>
        </w:rPr>
        <w:t>四、政府信息公开行政复议、行政诉讼情况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rPr>
          <w:rFonts w:hint="default" w:ascii="Times New Roman" w:hAnsi="Times New Roman" w:eastAsia="微软雅黑" w:cs="Times New Roman"/>
          <w:i w:val="0"/>
          <w:caps w:val="0"/>
          <w:color w:val="333333"/>
          <w:spacing w:val="0"/>
          <w:sz w:val="21"/>
          <w:szCs w:val="21"/>
        </w:rPr>
      </w:pPr>
      <w:r>
        <w:rPr>
          <w:rFonts w:hint="default" w:ascii="Times New Roman" w:hAnsi="Times New Roman" w:eastAsia="微软雅黑" w:cs="Times New Roman"/>
          <w:i w:val="0"/>
          <w:caps w:val="0"/>
          <w:color w:val="333333"/>
          <w:spacing w:val="0"/>
          <w:sz w:val="24"/>
          <w:szCs w:val="24"/>
          <w:shd w:val="clear" w:fill="FFFFFF"/>
        </w:rPr>
        <w:t> </w:t>
      </w:r>
    </w:p>
    <w:tbl>
      <w:tblPr>
        <w:tblStyle w:val="5"/>
        <w:tblW w:w="0" w:type="auto"/>
        <w:jc w:val="center"/>
        <w:shd w:val="clear" w:color="auto" w:fill="auto"/>
        <w:tblLayout w:type="autofit"/>
        <w:tblCellMar>
          <w:top w:w="0" w:type="dxa"/>
          <w:left w:w="0" w:type="dxa"/>
          <w:bottom w:w="0" w:type="dxa"/>
          <w:right w:w="0" w:type="dxa"/>
        </w:tblCellMar>
      </w:tblPr>
      <w:tblGrid>
        <w:gridCol w:w="563"/>
        <w:gridCol w:w="563"/>
        <w:gridCol w:w="563"/>
        <w:gridCol w:w="563"/>
        <w:gridCol w:w="625"/>
        <w:gridCol w:w="527"/>
        <w:gridCol w:w="564"/>
        <w:gridCol w:w="564"/>
        <w:gridCol w:w="564"/>
        <w:gridCol w:w="576"/>
        <w:gridCol w:w="564"/>
        <w:gridCol w:w="564"/>
        <w:gridCol w:w="564"/>
        <w:gridCol w:w="564"/>
        <w:gridCol w:w="588"/>
      </w:tblGrid>
      <w:tr>
        <w:tblPrEx>
          <w:shd w:val="clear" w:color="auto" w:fill="auto"/>
          <w:tblCellMar>
            <w:top w:w="0" w:type="dxa"/>
            <w:left w:w="0" w:type="dxa"/>
            <w:bottom w:w="0" w:type="dxa"/>
            <w:right w:w="0" w:type="dxa"/>
          </w:tblCellMar>
        </w:tblPrEx>
        <w:trPr>
          <w:jc w:val="center"/>
        </w:trPr>
        <w:tc>
          <w:tcPr>
            <w:tcW w:w="3075" w:type="dxa"/>
            <w:gridSpan w:val="5"/>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行政复议</w:t>
            </w:r>
          </w:p>
        </w:tc>
        <w:tc>
          <w:tcPr>
            <w:tcW w:w="6000" w:type="dxa"/>
            <w:gridSpan w:val="10"/>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行政诉讼</w:t>
            </w:r>
          </w:p>
        </w:tc>
      </w:tr>
      <w:tr>
        <w:tblPrEx>
          <w:tblCellMar>
            <w:top w:w="0" w:type="dxa"/>
            <w:left w:w="0" w:type="dxa"/>
            <w:bottom w:w="0" w:type="dxa"/>
            <w:right w:w="0" w:type="dxa"/>
          </w:tblCellMar>
        </w:tblPrEx>
        <w:trPr>
          <w:jc w:val="center"/>
        </w:trPr>
        <w:tc>
          <w:tcPr>
            <w:tcW w:w="60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结果维持</w:t>
            </w:r>
          </w:p>
        </w:tc>
        <w:tc>
          <w:tcPr>
            <w:tcW w:w="60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结果纠正</w:t>
            </w:r>
          </w:p>
        </w:tc>
        <w:tc>
          <w:tcPr>
            <w:tcW w:w="60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其他结果</w:t>
            </w:r>
          </w:p>
        </w:tc>
        <w:tc>
          <w:tcPr>
            <w:tcW w:w="60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尚未审结</w:t>
            </w:r>
          </w:p>
        </w:tc>
        <w:tc>
          <w:tcPr>
            <w:tcW w:w="66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总计</w:t>
            </w:r>
          </w:p>
        </w:tc>
        <w:tc>
          <w:tcPr>
            <w:tcW w:w="2970" w:type="dxa"/>
            <w:gridSpan w:val="5"/>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未经复议直接起诉</w:t>
            </w:r>
          </w:p>
        </w:tc>
        <w:tc>
          <w:tcPr>
            <w:tcW w:w="3030" w:type="dxa"/>
            <w:gridSpan w:val="5"/>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复议后起诉</w:t>
            </w:r>
          </w:p>
        </w:tc>
      </w:tr>
      <w:tr>
        <w:tblPrEx>
          <w:tblCellMar>
            <w:top w:w="0" w:type="dxa"/>
            <w:left w:w="0" w:type="dxa"/>
            <w:bottom w:w="0" w:type="dxa"/>
            <w:right w:w="0" w:type="dxa"/>
          </w:tblCellMar>
        </w:tblPrEx>
        <w:trPr>
          <w:jc w:val="center"/>
        </w:trPr>
        <w:tc>
          <w:tcPr>
            <w:tcW w:w="60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60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60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60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66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5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结果维持</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结果纠正</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其他结果</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尚未审结</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总计</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结果维持</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结果纠正</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其他结果</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尚未审结</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总计</w:t>
            </w:r>
          </w:p>
        </w:tc>
      </w:tr>
      <w:tr>
        <w:tblPrEx>
          <w:tblCellMar>
            <w:top w:w="0" w:type="dxa"/>
            <w:left w:w="0" w:type="dxa"/>
            <w:bottom w:w="0" w:type="dxa"/>
            <w:right w:w="0" w:type="dxa"/>
          </w:tblCellMar>
        </w:tblPrEx>
        <w:trPr>
          <w:jc w:val="center"/>
        </w:trPr>
        <w:tc>
          <w:tcPr>
            <w:tcW w:w="6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6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0 </w:t>
            </w:r>
          </w:p>
        </w:tc>
        <w:tc>
          <w:tcPr>
            <w:tcW w:w="55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color w:val="000000"/>
                <w:sz w:val="19"/>
                <w:szCs w:val="19"/>
              </w:rPr>
              <w:t>0 </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24"/>
                <w:szCs w:val="24"/>
              </w:rPr>
              <w:t> 0</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default" w:ascii="Times New Roman" w:hAnsi="Times New Roman" w:eastAsia="微软雅黑" w:cs="Times New Roman"/>
          <w:i w:val="0"/>
          <w:caps w:val="0"/>
          <w:color w:val="333333"/>
          <w:spacing w:val="0"/>
          <w:sz w:val="21"/>
          <w:szCs w:val="21"/>
        </w:rPr>
      </w:pPr>
      <w:r>
        <w:rPr>
          <w:rFonts w:hint="default" w:ascii="Times New Roman" w:hAnsi="Times New Roman" w:eastAsia="微软雅黑" w:cs="Times New Roman"/>
          <w:i w:val="0"/>
          <w:caps w:val="0"/>
          <w:color w:val="333333"/>
          <w:spacing w:val="0"/>
          <w:sz w:val="24"/>
          <w:szCs w:val="24"/>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rPr>
          <w:rFonts w:hint="default" w:ascii="Times New Roman" w:hAnsi="Times New Roman" w:eastAsia="微软雅黑" w:cs="Times New Roman"/>
          <w:i w:val="0"/>
          <w:caps w:val="0"/>
          <w:color w:val="333333"/>
          <w:spacing w:val="0"/>
          <w:sz w:val="21"/>
          <w:szCs w:val="21"/>
        </w:rPr>
      </w:pPr>
      <w:r>
        <w:rPr>
          <w:rFonts w:hint="default" w:ascii="Times New Roman" w:hAnsi="Times New Roman" w:eastAsia="黑体" w:cs="Times New Roman"/>
          <w:i w:val="0"/>
          <w:caps w:val="0"/>
          <w:color w:val="333333"/>
          <w:spacing w:val="0"/>
          <w:sz w:val="31"/>
          <w:szCs w:val="31"/>
          <w:shd w:val="clear" w:fill="FFFFFF"/>
        </w:rPr>
        <w:t>五、存在的主要问题及改进情况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5"/>
        <w:jc w:val="left"/>
        <w:rPr>
          <w:rFonts w:hint="default" w:ascii="Times New Roman" w:hAnsi="Times New Roman" w:eastAsia="微软雅黑" w:cs="Times New Roman"/>
          <w:i w:val="0"/>
          <w:caps w:val="0"/>
          <w:color w:val="333333"/>
          <w:spacing w:val="0"/>
          <w:sz w:val="21"/>
          <w:szCs w:val="21"/>
        </w:rPr>
      </w:pPr>
      <w:r>
        <w:rPr>
          <w:rFonts w:hint="default" w:ascii="Times New Roman" w:hAnsi="Times New Roman" w:eastAsia="仿宋_GB2312" w:cs="Times New Roman"/>
          <w:i w:val="0"/>
          <w:caps w:val="0"/>
          <w:color w:val="333333"/>
          <w:spacing w:val="0"/>
          <w:sz w:val="31"/>
          <w:szCs w:val="31"/>
          <w:shd w:val="clear" w:fill="FFFFFF"/>
        </w:rPr>
        <w:t>2020年，我局在加强政府信息公开基础性工作方面取得了新的进展。目前，在政务信息公开工作方面还存在一些问题，主要是在面向群众关心的民生领域方面，公开受众仍有限，与群众畅连不佳。2021年，我局将继续加强政府信息公开工作力度，抓住关键问题，突出群众关心、社会关注的交通领域事项，从内容和形式上不断丰富完善政务公开信息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rPr>
          <w:rFonts w:hint="default" w:ascii="Times New Roman" w:hAnsi="Times New Roman" w:eastAsia="微软雅黑" w:cs="Times New Roman"/>
          <w:i w:val="0"/>
          <w:caps w:val="0"/>
          <w:color w:val="333333"/>
          <w:spacing w:val="0"/>
          <w:sz w:val="21"/>
          <w:szCs w:val="21"/>
        </w:rPr>
      </w:pPr>
      <w:r>
        <w:rPr>
          <w:rFonts w:hint="default" w:ascii="Times New Roman" w:hAnsi="Times New Roman" w:eastAsia="黑体" w:cs="Times New Roman"/>
          <w:i w:val="0"/>
          <w:caps w:val="0"/>
          <w:color w:val="333333"/>
          <w:spacing w:val="0"/>
          <w:sz w:val="31"/>
          <w:szCs w:val="31"/>
          <w:shd w:val="clear" w:fill="FFFFFF"/>
        </w:rPr>
        <w:t>六、其他需要报告的事项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rPr>
          <w:rFonts w:hint="default" w:ascii="Times New Roman" w:hAnsi="Times New Roman" w:eastAsia="仿宋_GB2312" w:cs="Times New Roman"/>
          <w:i w:val="0"/>
          <w:caps w:val="0"/>
          <w:color w:val="333333"/>
          <w:spacing w:val="0"/>
          <w:sz w:val="31"/>
          <w:szCs w:val="31"/>
          <w:shd w:val="clear" w:fill="FFFFFF"/>
        </w:rPr>
      </w:pPr>
      <w:r>
        <w:rPr>
          <w:rFonts w:hint="default" w:ascii="Times New Roman" w:hAnsi="Times New Roman" w:eastAsia="仿宋_GB2312" w:cs="Times New Roman"/>
          <w:i w:val="0"/>
          <w:caps w:val="0"/>
          <w:color w:val="333333"/>
          <w:spacing w:val="0"/>
          <w:sz w:val="31"/>
          <w:szCs w:val="31"/>
          <w:shd w:val="clear" w:fill="FFFFFF"/>
        </w:rPr>
        <w:t>人大代表、政协委员提案办理情况：2020年区交通运输局共办理人大代表建议5件，政协委员提案2件。办理了关于区人大十八届四次会议第16号关于加大交通运力，有效解决群众出行问题的答复。办理了区人大十八届四次会议第15号关于部分调整公交线路的答复。办理了区人大十八届四次会议第14号关于姜家寨至茅埠屯公交车修改线路的答复。办理了区人大十八届四次会议第12号关于在乡村公交站点安装太阳能灯的答复。办理了区人大十八届四次会议第11号关于在高铁文登站设立接客厅的答复。办理了区政协十届四次会议第106号威青高速文登段本地车辆免费通行的提案的答复。办理了区政协十届四次会议第45号威青高速文登服务区修建标准化公厕的提案的答复。截至目前，办理的人大建议5件和政协提案2件全部办结，办结率100%，办结满意率100%。</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jc w:val="center"/>
        <w:rPr>
          <w:rFonts w:hint="default" w:ascii="Times New Roman" w:hAnsi="Times New Roman" w:eastAsia="仿宋_GB2312" w:cs="Times New Roman"/>
          <w:i w:val="0"/>
          <w:caps w:val="0"/>
          <w:color w:val="333333"/>
          <w:spacing w:val="0"/>
          <w:sz w:val="31"/>
          <w:szCs w:val="31"/>
          <w:shd w:val="clear" w:fill="FFFFFF"/>
        </w:rPr>
      </w:pPr>
      <w:r>
        <w:rPr>
          <w:rFonts w:hint="default" w:ascii="Times New Roman" w:hAnsi="Times New Roman" w:eastAsia="宋体" w:cs="Times New Roman"/>
          <w:b/>
          <w:bCs/>
          <w:color w:val="333333"/>
          <w:kern w:val="0"/>
          <w:sz w:val="24"/>
          <w:lang w:eastAsia="zh-CN"/>
        </w:rPr>
        <w:drawing>
          <wp:inline distT="0" distB="0" distL="114300" distR="114300">
            <wp:extent cx="5269865" cy="3975100"/>
            <wp:effectExtent l="0" t="0" r="6985" b="6350"/>
            <wp:docPr id="5" name="图片 5" descr="微信截图_20210520152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截图_20210520152527"/>
                    <pic:cNvPicPr>
                      <a:picLocks noChangeAspect="1"/>
                    </pic:cNvPicPr>
                  </pic:nvPicPr>
                  <pic:blipFill>
                    <a:blip r:embed="rId8"/>
                    <a:stretch>
                      <a:fillRect/>
                    </a:stretch>
                  </pic:blipFill>
                  <pic:spPr>
                    <a:xfrm>
                      <a:off x="0" y="0"/>
                      <a:ext cx="5269865" cy="3975100"/>
                    </a:xfrm>
                    <a:prstGeom prst="rect">
                      <a:avLst/>
                    </a:prstGeom>
                  </pic:spPr>
                </pic:pic>
              </a:graphicData>
            </a:graphic>
          </wp:inline>
        </w:drawing>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0" w:lineRule="atLeast"/>
        <w:ind w:left="0" w:right="840" w:rightChars="400" w:firstLine="0"/>
        <w:jc w:val="right"/>
        <w:textAlignment w:val="auto"/>
        <w:rPr>
          <w:rFonts w:hint="default" w:ascii="Times New Roman" w:hAnsi="Times New Roman" w:eastAsia="仿宋_GB2312" w:cs="Times New Roman"/>
          <w:i w:val="0"/>
          <w:caps w:val="0"/>
          <w:color w:val="333333"/>
          <w:spacing w:val="0"/>
          <w:sz w:val="31"/>
          <w:szCs w:val="31"/>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0" w:lineRule="atLeast"/>
        <w:ind w:left="0" w:right="840" w:rightChars="400" w:firstLine="0"/>
        <w:jc w:val="right"/>
        <w:textAlignment w:val="auto"/>
        <w:rPr>
          <w:rFonts w:hint="default" w:ascii="Times New Roman" w:hAnsi="Times New Roman" w:eastAsia="仿宋_GB2312" w:cs="Times New Roman"/>
          <w:i w:val="0"/>
          <w:caps w:val="0"/>
          <w:color w:val="333333"/>
          <w:spacing w:val="0"/>
          <w:sz w:val="31"/>
          <w:szCs w:val="31"/>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0" w:lineRule="atLeast"/>
        <w:ind w:left="0" w:right="840" w:rightChars="400" w:firstLine="0"/>
        <w:jc w:val="right"/>
        <w:textAlignment w:val="auto"/>
        <w:rPr>
          <w:rFonts w:hint="default" w:ascii="Times New Roman" w:hAnsi="Times New Roman" w:eastAsia="微软雅黑" w:cs="Times New Roman"/>
          <w:i w:val="0"/>
          <w:caps w:val="0"/>
          <w:color w:val="333333"/>
          <w:spacing w:val="0"/>
          <w:sz w:val="21"/>
          <w:szCs w:val="21"/>
        </w:rPr>
      </w:pPr>
      <w:r>
        <w:rPr>
          <w:rFonts w:hint="default" w:ascii="Times New Roman" w:hAnsi="Times New Roman" w:eastAsia="仿宋_GB2312" w:cs="Times New Roman"/>
          <w:i w:val="0"/>
          <w:caps w:val="0"/>
          <w:color w:val="333333"/>
          <w:spacing w:val="0"/>
          <w:sz w:val="31"/>
          <w:szCs w:val="31"/>
          <w:shd w:val="clear" w:fill="FFFFFF"/>
        </w:rPr>
        <w:t>威海市文登区交通运输局</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840" w:firstLine="0"/>
        <w:jc w:val="right"/>
        <w:rPr>
          <w:rFonts w:hint="default" w:ascii="Times New Roman" w:hAnsi="Times New Roman" w:eastAsia="仿宋_GB2312" w:cs="Times New Roman"/>
          <w:i w:val="0"/>
          <w:caps w:val="0"/>
          <w:color w:val="333333"/>
          <w:spacing w:val="0"/>
          <w:sz w:val="21"/>
          <w:szCs w:val="21"/>
          <w:lang w:val="en-US" w:eastAsia="zh-CN"/>
        </w:rPr>
      </w:pPr>
      <w:r>
        <w:rPr>
          <w:rFonts w:hint="default" w:ascii="Times New Roman" w:hAnsi="Times New Roman" w:eastAsia="仿宋_GB2312" w:cs="Times New Roman"/>
          <w:i w:val="0"/>
          <w:caps w:val="0"/>
          <w:color w:val="333333"/>
          <w:spacing w:val="0"/>
          <w:sz w:val="31"/>
          <w:szCs w:val="31"/>
          <w:shd w:val="clear" w:fill="FFFFFF"/>
        </w:rPr>
        <w:t>2021年1月</w:t>
      </w:r>
      <w:r>
        <w:rPr>
          <w:rFonts w:hint="default" w:ascii="Times New Roman" w:hAnsi="Times New Roman" w:eastAsia="仿宋_GB2312" w:cs="Times New Roman"/>
          <w:i w:val="0"/>
          <w:caps w:val="0"/>
          <w:color w:val="333333"/>
          <w:spacing w:val="0"/>
          <w:sz w:val="31"/>
          <w:szCs w:val="31"/>
          <w:shd w:val="clear" w:fill="FFFFFF"/>
          <w:lang w:val="en-US" w:eastAsia="zh-CN"/>
        </w:rPr>
        <w:t>31</w:t>
      </w:r>
      <w:r>
        <w:rPr>
          <w:rFonts w:hint="default" w:ascii="Times New Roman" w:hAnsi="Times New Roman" w:eastAsia="仿宋_GB2312" w:cs="Times New Roman"/>
          <w:i w:val="0"/>
          <w:caps w:val="0"/>
          <w:color w:val="333333"/>
          <w:spacing w:val="0"/>
          <w:sz w:val="31"/>
          <w:szCs w:val="31"/>
          <w:shd w:val="clear" w:fill="FFFFFF"/>
        </w:rPr>
        <w:t>日</w:t>
      </w:r>
      <w:r>
        <w:rPr>
          <w:rFonts w:hint="default" w:ascii="Times New Roman" w:hAnsi="Times New Roman" w:eastAsia="仿宋_GB2312" w:cs="Times New Roman"/>
          <w:i w:val="0"/>
          <w:caps w:val="0"/>
          <w:color w:val="333333"/>
          <w:spacing w:val="0"/>
          <w:sz w:val="31"/>
          <w:szCs w:val="31"/>
          <w:shd w:val="clear" w:fill="FFFFFF"/>
          <w:lang w:val="en-US" w:eastAsia="zh-CN"/>
        </w:rPr>
        <w:t xml:space="preserve">    </w:t>
      </w:r>
    </w:p>
    <w:p>
      <w:pPr>
        <w:ind w:right="840" w:rightChars="400"/>
        <w:jc w:val="right"/>
        <w:rPr>
          <w:rFonts w:hint="default" w:ascii="Times New Roman" w:hAnsi="Times New Roman" w:eastAsia="仿宋_GB2312" w:cs="Times New Roman"/>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05FD82"/>
    <w:multiLevelType w:val="singleLevel"/>
    <w:tmpl w:val="BC05FD82"/>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252"/>
    <w:rsid w:val="001C6B68"/>
    <w:rsid w:val="00330A28"/>
    <w:rsid w:val="00524D8F"/>
    <w:rsid w:val="00671C90"/>
    <w:rsid w:val="006D36F0"/>
    <w:rsid w:val="006E6947"/>
    <w:rsid w:val="00893ED2"/>
    <w:rsid w:val="00895EAB"/>
    <w:rsid w:val="00A11CEB"/>
    <w:rsid w:val="00A73252"/>
    <w:rsid w:val="00A86712"/>
    <w:rsid w:val="00BD006D"/>
    <w:rsid w:val="00C00525"/>
    <w:rsid w:val="00CC1FCA"/>
    <w:rsid w:val="00F24852"/>
    <w:rsid w:val="0447729F"/>
    <w:rsid w:val="0FCE322F"/>
    <w:rsid w:val="11B127FC"/>
    <w:rsid w:val="190D08F7"/>
    <w:rsid w:val="1B537B7A"/>
    <w:rsid w:val="1C9B79D3"/>
    <w:rsid w:val="1FB17DE4"/>
    <w:rsid w:val="208B7FBE"/>
    <w:rsid w:val="2BA06B0F"/>
    <w:rsid w:val="351003F0"/>
    <w:rsid w:val="3F4C492D"/>
    <w:rsid w:val="466868AC"/>
    <w:rsid w:val="4D6A093D"/>
    <w:rsid w:val="5A927EB8"/>
    <w:rsid w:val="71272A4B"/>
    <w:rsid w:val="71A0521E"/>
    <w:rsid w:val="7692778F"/>
    <w:rsid w:val="782E50F9"/>
    <w:rsid w:val="798548D7"/>
    <w:rsid w:val="7D3A0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line="420" w:lineRule="atLeast"/>
      <w:jc w:val="left"/>
    </w:pPr>
    <w:rPr>
      <w:kern w:val="0"/>
      <w:sz w:val="24"/>
    </w:rPr>
  </w:style>
  <w:style w:type="character" w:styleId="7">
    <w:name w:val="Strong"/>
    <w:basedOn w:val="6"/>
    <w:qFormat/>
    <w:uiPriority w:val="0"/>
    <w:rPr>
      <w:b/>
    </w:rPr>
  </w:style>
  <w:style w:type="character" w:customStyle="1" w:styleId="8">
    <w:name w:val="页眉 Char"/>
    <w:basedOn w:val="6"/>
    <w:link w:val="3"/>
    <w:qFormat/>
    <w:uiPriority w:val="0"/>
    <w:rPr>
      <w:rFonts w:ascii="Times New Roman" w:hAnsi="Times New Roman"/>
      <w:kern w:val="2"/>
      <w:sz w:val="18"/>
      <w:szCs w:val="18"/>
    </w:rPr>
  </w:style>
  <w:style w:type="character" w:customStyle="1" w:styleId="9">
    <w:name w:val="页脚 Char"/>
    <w:basedOn w:val="6"/>
    <w:link w:val="2"/>
    <w:qFormat/>
    <w:uiPriority w:val="0"/>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[工作簿1]Sheet1!$B$1</c:f>
              <c:strCache>
                <c:ptCount val="1"/>
                <c:pt idx="0">
                  <c:v>2019</c:v>
                </c:pt>
              </c:strCache>
            </c:strRef>
          </c:tx>
          <c:spPr>
            <a:solidFill>
              <a:schemeClr val="accent1"/>
            </a:solidFill>
            <a:ln>
              <a:noFill/>
            </a:ln>
            <a:effectLst/>
          </c:spPr>
          <c:invertIfNegative val="0"/>
          <c:dLbls>
            <c:delete val="1"/>
          </c:dLbls>
          <c:cat>
            <c:strRef>
              <c:f>[工作簿1]Sheet1!$A$2:$A$5</c:f>
              <c:strCache>
                <c:ptCount val="4"/>
                <c:pt idx="0">
                  <c:v>工作动态</c:v>
                </c:pt>
                <c:pt idx="1">
                  <c:v>公示公告</c:v>
                </c:pt>
                <c:pt idx="2">
                  <c:v>政策文件及解读</c:v>
                </c:pt>
                <c:pt idx="3">
                  <c:v>重点领域信息公开</c:v>
                </c:pt>
              </c:strCache>
            </c:strRef>
          </c:cat>
          <c:val>
            <c:numRef>
              <c:f>[工作簿1]Sheet1!$B$2:$B$5</c:f>
              <c:numCache>
                <c:formatCode>General</c:formatCode>
                <c:ptCount val="4"/>
                <c:pt idx="0">
                  <c:v>80</c:v>
                </c:pt>
                <c:pt idx="1">
                  <c:v>30</c:v>
                </c:pt>
                <c:pt idx="2">
                  <c:v>12</c:v>
                </c:pt>
                <c:pt idx="3">
                  <c:v>19</c:v>
                </c:pt>
              </c:numCache>
            </c:numRef>
          </c:val>
        </c:ser>
        <c:ser>
          <c:idx val="1"/>
          <c:order val="1"/>
          <c:tx>
            <c:strRef>
              <c:f>[工作簿1]Sheet1!$C$1</c:f>
              <c:strCache>
                <c:ptCount val="1"/>
                <c:pt idx="0">
                  <c:v>2020</c:v>
                </c:pt>
              </c:strCache>
            </c:strRef>
          </c:tx>
          <c:spPr>
            <a:solidFill>
              <a:schemeClr val="accent2"/>
            </a:solidFill>
            <a:ln>
              <a:noFill/>
            </a:ln>
            <a:effectLst/>
          </c:spPr>
          <c:invertIfNegative val="0"/>
          <c:dLbls>
            <c:delete val="1"/>
          </c:dLbls>
          <c:cat>
            <c:strRef>
              <c:f>[工作簿1]Sheet1!$A$2:$A$5</c:f>
              <c:strCache>
                <c:ptCount val="4"/>
                <c:pt idx="0">
                  <c:v>工作动态</c:v>
                </c:pt>
                <c:pt idx="1">
                  <c:v>公示公告</c:v>
                </c:pt>
                <c:pt idx="2">
                  <c:v>政策文件及解读</c:v>
                </c:pt>
                <c:pt idx="3">
                  <c:v>重点领域信息公开</c:v>
                </c:pt>
              </c:strCache>
            </c:strRef>
          </c:cat>
          <c:val>
            <c:numRef>
              <c:f>[工作簿1]Sheet1!$C$2:$C$5</c:f>
              <c:numCache>
                <c:formatCode>General</c:formatCode>
                <c:ptCount val="4"/>
                <c:pt idx="0">
                  <c:v>120</c:v>
                </c:pt>
                <c:pt idx="1">
                  <c:v>24</c:v>
                </c:pt>
                <c:pt idx="2">
                  <c:v>18</c:v>
                </c:pt>
                <c:pt idx="3">
                  <c:v>28</c:v>
                </c:pt>
              </c:numCache>
            </c:numRef>
          </c:val>
        </c:ser>
        <c:dLbls>
          <c:showLegendKey val="0"/>
          <c:showVal val="0"/>
          <c:showCatName val="0"/>
          <c:showSerName val="0"/>
          <c:showPercent val="0"/>
          <c:showBubbleSize val="0"/>
        </c:dLbls>
        <c:gapWidth val="219"/>
        <c:overlap val="-27"/>
        <c:axId val="453439292"/>
        <c:axId val="72658937"/>
      </c:barChart>
      <c:catAx>
        <c:axId val="45343929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658937"/>
        <c:crosses val="autoZero"/>
        <c:auto val="1"/>
        <c:lblAlgn val="ctr"/>
        <c:lblOffset val="100"/>
        <c:noMultiLvlLbl val="0"/>
      </c:catAx>
      <c:valAx>
        <c:axId val="7265893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343929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449</Words>
  <Characters>2565</Characters>
  <Lines>21</Lines>
  <Paragraphs>6</Paragraphs>
  <TotalTime>1</TotalTime>
  <ScaleCrop>false</ScaleCrop>
  <LinksUpToDate>false</LinksUpToDate>
  <CharactersWithSpaces>3008</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2021-01-31T06:13:00Z</dcterms:created>
  <dc:creator>Administrator</dc:creator>
  <cp:lastModifiedBy>橙鱼</cp:lastModifiedBy>
  <cp:lastPrinted>2020-01-08T01:59:00Z</cp:lastPrinted>
  <dcterms:modified xsi:type="dcterms:W3CDTF">2021-12-15T09:13:34Z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D62152E7803E452380F632246C9CEE6E</vt:lpwstr>
  </property>
</Properties>
</file>