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pacing w:val="8"/>
          <w:w w:val="95"/>
          <w:sz w:val="72"/>
          <w:highlight w:val="none"/>
          <w:lang w:val="en-US" w:eastAsia="zh-CN"/>
        </w:rPr>
      </w:pPr>
    </w:p>
    <w:p>
      <w:pPr>
        <w:jc w:val="center"/>
        <w:rPr>
          <w:rFonts w:hint="eastAsia" w:ascii="方正小标宋简体" w:hAnsi="方正小标宋简体" w:eastAsia="方正小标宋简体" w:cs="方正小标宋简体"/>
          <w:spacing w:val="4"/>
          <w:w w:val="95"/>
          <w:sz w:val="70"/>
          <w:szCs w:val="70"/>
          <w:highlight w:val="none"/>
          <w:lang w:eastAsia="zh-CN"/>
        </w:rPr>
      </w:pPr>
      <w:r>
        <w:rPr>
          <w:rFonts w:hint="eastAsia" w:ascii="方正小标宋简体" w:hAnsi="方正小标宋简体" w:eastAsia="方正小标宋简体" w:cs="方正小标宋简体"/>
          <w:spacing w:val="8"/>
          <w:w w:val="95"/>
          <w:sz w:val="70"/>
          <w:szCs w:val="70"/>
          <w:highlight w:val="none"/>
          <w:lang w:val="en-US" w:eastAsia="zh-CN"/>
        </w:rPr>
        <w:t>2023</w:t>
      </w:r>
      <w:r>
        <w:rPr>
          <w:rFonts w:hint="eastAsia" w:ascii="方正小标宋简体" w:hAnsi="方正小标宋简体" w:eastAsia="方正小标宋简体" w:cs="方正小标宋简体"/>
          <w:spacing w:val="4"/>
          <w:w w:val="95"/>
          <w:sz w:val="70"/>
          <w:szCs w:val="70"/>
          <w:highlight w:val="none"/>
        </w:rPr>
        <w:t>年</w:t>
      </w:r>
      <w:r>
        <w:rPr>
          <w:rFonts w:hint="eastAsia" w:ascii="方正小标宋简体" w:hAnsi="方正小标宋简体" w:eastAsia="方正小标宋简体" w:cs="方正小标宋简体"/>
          <w:spacing w:val="4"/>
          <w:w w:val="95"/>
          <w:sz w:val="70"/>
          <w:szCs w:val="70"/>
          <w:highlight w:val="none"/>
          <w:lang w:eastAsia="zh-CN"/>
        </w:rPr>
        <w:t>文登区政府</w:t>
      </w:r>
      <w:r>
        <w:rPr>
          <w:rFonts w:hint="eastAsia" w:ascii="方正小标宋简体" w:hAnsi="方正小标宋简体" w:eastAsia="方正小标宋简体" w:cs="方正小标宋简体"/>
          <w:spacing w:val="4"/>
          <w:w w:val="95"/>
          <w:sz w:val="70"/>
          <w:szCs w:val="70"/>
          <w:highlight w:val="none"/>
        </w:rPr>
        <w:t>决算</w:t>
      </w:r>
      <w:r>
        <w:rPr>
          <w:rFonts w:hint="eastAsia" w:ascii="方正小标宋简体" w:hAnsi="方正小标宋简体" w:eastAsia="方正小标宋简体" w:cs="方正小标宋简体"/>
          <w:spacing w:val="4"/>
          <w:w w:val="95"/>
          <w:sz w:val="70"/>
          <w:szCs w:val="70"/>
          <w:highlight w:val="none"/>
          <w:lang w:eastAsia="zh-CN"/>
        </w:rPr>
        <w:t>公开</w:t>
      </w:r>
    </w:p>
    <w:p>
      <w:pPr>
        <w:jc w:val="center"/>
        <w:rPr>
          <w:rFonts w:hint="eastAsia" w:ascii="方正小标宋简体" w:hAnsi="方正小标宋简体" w:eastAsia="方正小标宋简体" w:cs="方正小标宋简体"/>
          <w:spacing w:val="4"/>
          <w:w w:val="95"/>
          <w:sz w:val="70"/>
          <w:szCs w:val="70"/>
          <w:highlight w:val="none"/>
          <w:lang w:eastAsia="zh-CN"/>
        </w:rPr>
      </w:pPr>
      <w:r>
        <w:rPr>
          <w:rFonts w:hint="eastAsia" w:ascii="方正小标宋简体" w:hAnsi="方正小标宋简体" w:eastAsia="方正小标宋简体" w:cs="方正小标宋简体"/>
          <w:spacing w:val="4"/>
          <w:w w:val="95"/>
          <w:sz w:val="70"/>
          <w:szCs w:val="70"/>
          <w:highlight w:val="none"/>
          <w:lang w:eastAsia="zh-CN"/>
        </w:rPr>
        <w:t>其他相关情况</w:t>
      </w: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ind w:firstLine="2019" w:firstLineChars="300"/>
        <w:jc w:val="both"/>
        <w:rPr>
          <w:rFonts w:hint="eastAsia" w:ascii="方正小标宋简体" w:hAnsi="方正小标宋简体" w:eastAsia="方正小标宋简体" w:cs="方正小标宋简体"/>
          <w:spacing w:val="4"/>
          <w:w w:val="95"/>
          <w:sz w:val="70"/>
          <w:szCs w:val="70"/>
          <w:highlight w:val="none"/>
          <w:lang w:eastAsia="zh-CN"/>
        </w:rPr>
      </w:pPr>
    </w:p>
    <w:p>
      <w:pPr>
        <w:jc w:val="both"/>
        <w:rPr>
          <w:rFonts w:hint="default" w:ascii="方正小标宋简体" w:hAnsi="方正小标宋简体" w:eastAsia="方正小标宋简体" w:cs="方正小标宋简体"/>
          <w:spacing w:val="4"/>
          <w:w w:val="95"/>
          <w:sz w:val="70"/>
          <w:szCs w:val="70"/>
          <w:highlight w:val="none"/>
          <w:lang w:val="en-US" w:eastAsia="zh-CN"/>
        </w:rPr>
      </w:pPr>
    </w:p>
    <w:tbl>
      <w:tblPr>
        <w:tblStyle w:val="19"/>
        <w:tblW w:w="8279" w:type="dxa"/>
        <w:tblInd w:w="93" w:type="dxa"/>
        <w:shd w:val="clear" w:color="auto" w:fill="auto"/>
        <w:tblLayout w:type="autofit"/>
        <w:tblCellMar>
          <w:top w:w="0" w:type="dxa"/>
          <w:left w:w="108" w:type="dxa"/>
          <w:bottom w:w="0" w:type="dxa"/>
          <w:right w:w="108" w:type="dxa"/>
        </w:tblCellMar>
      </w:tblPr>
      <w:tblGrid>
        <w:gridCol w:w="1871"/>
        <w:gridCol w:w="6408"/>
      </w:tblGrid>
      <w:tr>
        <w:tblPrEx>
          <w:shd w:val="clear" w:color="auto" w:fill="auto"/>
          <w:tblCellMar>
            <w:top w:w="0" w:type="dxa"/>
            <w:left w:w="108" w:type="dxa"/>
            <w:bottom w:w="0" w:type="dxa"/>
            <w:right w:w="108" w:type="dxa"/>
          </w:tblCellMar>
        </w:tblPrEx>
        <w:trPr>
          <w:trHeight w:val="510" w:hRule="atLeast"/>
        </w:trPr>
        <w:tc>
          <w:tcPr>
            <w:tcW w:w="1871" w:type="dxa"/>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附件1</w:t>
            </w:r>
          </w:p>
        </w:tc>
        <w:tc>
          <w:tcPr>
            <w:tcW w:w="640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2023年重大政策和重点项目绩效执行结果</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2023年财政转移支付安排说明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2023年文登区政府债务决算的说明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2023年三公经费分项数据及增减变化说明</w:t>
            </w:r>
          </w:p>
        </w:tc>
      </w:tr>
      <w:tr>
        <w:tblPrEx>
          <w:tblCellMar>
            <w:top w:w="0" w:type="dxa"/>
            <w:left w:w="108" w:type="dxa"/>
            <w:bottom w:w="0" w:type="dxa"/>
            <w:right w:w="108" w:type="dxa"/>
          </w:tblCellMar>
        </w:tblPrEx>
        <w:trPr>
          <w:trHeight w:val="5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附件5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2023年预算绩效工作开展情况</w:t>
            </w:r>
          </w:p>
        </w:tc>
      </w:tr>
    </w:tbl>
    <w:p>
      <w:pPr>
        <w:jc w:val="both"/>
        <w:rPr>
          <w:rFonts w:hint="eastAsia" w:ascii="方正小标宋简体" w:hAnsi="方正小标宋简体" w:eastAsia="方正小标宋简体" w:cs="方正小标宋简体"/>
          <w:spacing w:val="4"/>
          <w:w w:val="95"/>
          <w:sz w:val="20"/>
          <w:szCs w:val="20"/>
          <w:highlight w:val="none"/>
          <w:lang w:eastAsia="zh-CN"/>
        </w:rPr>
      </w:pPr>
    </w:p>
    <w:p>
      <w:pPr>
        <w:pStyle w:val="2"/>
        <w:rPr>
          <w:rFonts w:hint="eastAsia" w:ascii="方正小标宋简体" w:hAnsi="方正小标宋简体" w:eastAsia="方正小标宋简体" w:cs="方正小标宋简体"/>
          <w:spacing w:val="4"/>
          <w:w w:val="95"/>
          <w:sz w:val="20"/>
          <w:szCs w:val="20"/>
          <w:highlight w:val="none"/>
          <w:lang w:eastAsia="zh-CN"/>
        </w:rPr>
      </w:pPr>
    </w:p>
    <w:p>
      <w:pPr>
        <w:rPr>
          <w:rFonts w:hint="eastAsia" w:ascii="方正小标宋简体" w:hAnsi="方正小标宋简体" w:eastAsia="方正小标宋简体" w:cs="方正小标宋简体"/>
          <w:spacing w:val="4"/>
          <w:w w:val="95"/>
          <w:sz w:val="20"/>
          <w:szCs w:val="20"/>
          <w:highlight w:val="none"/>
          <w:lang w:eastAsia="zh-CN"/>
        </w:rPr>
      </w:pPr>
    </w:p>
    <w:p>
      <w:pPr>
        <w:pStyle w:val="2"/>
        <w:rPr>
          <w:rFonts w:hint="eastAsia"/>
          <w:lang w:eastAsia="zh-CN"/>
        </w:rPr>
      </w:pPr>
    </w:p>
    <w:p>
      <w:pPr>
        <w:pageBreakBefore w:val="0"/>
        <w:kinsoku/>
        <w:wordWrap/>
        <w:topLinePunct w:val="0"/>
        <w:bidi w:val="0"/>
        <w:spacing w:line="560" w:lineRule="exact"/>
        <w:jc w:val="both"/>
        <w:rPr>
          <w:rFonts w:hint="eastAsia" w:ascii="仿宋_GB2312" w:hAnsi="仿宋_GB2312" w:eastAsia="仿宋_GB2312" w:cs="仿宋_GB2312"/>
          <w:b/>
          <w:bCs/>
          <w:spacing w:val="4"/>
          <w:w w:val="95"/>
          <w:sz w:val="24"/>
          <w:szCs w:val="24"/>
          <w:highlight w:val="none"/>
          <w:lang w:eastAsia="zh-CN"/>
        </w:rPr>
        <w:sectPr>
          <w:pgSz w:w="11900" w:h="16820"/>
          <w:pgMar w:top="1871" w:right="1474" w:bottom="1871" w:left="1587" w:header="850" w:footer="1389" w:gutter="0"/>
          <w:cols w:space="720" w:num="1"/>
        </w:sectPr>
      </w:pPr>
    </w:p>
    <w:p>
      <w:pPr>
        <w:pageBreakBefore w:val="0"/>
        <w:kinsoku/>
        <w:wordWrap/>
        <w:topLinePunct w:val="0"/>
        <w:bidi w:val="0"/>
        <w:spacing w:line="560" w:lineRule="exact"/>
        <w:jc w:val="both"/>
        <w:rPr>
          <w:rFonts w:hint="eastAsia" w:ascii="仿宋_GB2312" w:hAnsi="仿宋_GB2312" w:eastAsia="仿宋_GB2312" w:cs="仿宋_GB2312"/>
          <w:b/>
          <w:bCs/>
          <w:spacing w:val="4"/>
          <w:w w:val="95"/>
          <w:sz w:val="24"/>
          <w:szCs w:val="24"/>
          <w:highlight w:val="none"/>
          <w:lang w:val="en-US" w:eastAsia="zh-CN"/>
        </w:rPr>
      </w:pPr>
      <w:r>
        <w:rPr>
          <w:rFonts w:hint="eastAsia" w:ascii="仿宋_GB2312" w:hAnsi="仿宋_GB2312" w:eastAsia="仿宋_GB2312" w:cs="仿宋_GB2312"/>
          <w:b/>
          <w:bCs/>
          <w:spacing w:val="4"/>
          <w:w w:val="95"/>
          <w:sz w:val="24"/>
          <w:szCs w:val="24"/>
          <w:highlight w:val="none"/>
          <w:lang w:eastAsia="zh-CN"/>
        </w:rPr>
        <w:t>附件</w:t>
      </w:r>
      <w:r>
        <w:rPr>
          <w:rFonts w:hint="eastAsia" w:ascii="仿宋_GB2312" w:hAnsi="仿宋_GB2312" w:eastAsia="仿宋_GB2312" w:cs="仿宋_GB2312"/>
          <w:b/>
          <w:bCs/>
          <w:spacing w:val="4"/>
          <w:w w:val="95"/>
          <w:sz w:val="24"/>
          <w:szCs w:val="24"/>
          <w:highlight w:val="none"/>
          <w:lang w:val="en-US" w:eastAsia="zh-CN"/>
        </w:rPr>
        <w:t>1</w:t>
      </w:r>
    </w:p>
    <w:p>
      <w:pPr>
        <w:pStyle w:val="2"/>
        <w:rPr>
          <w:rFonts w:hint="eastAsia"/>
          <w:lang w:val="en-US" w:eastAsia="zh-CN"/>
        </w:rPr>
      </w:pPr>
    </w:p>
    <w:p>
      <w:pPr>
        <w:rPr>
          <w:rFonts w:hint="eastAsia"/>
          <w:lang w:val="en-US" w:eastAsia="zh-CN"/>
        </w:rPr>
      </w:pPr>
    </w:p>
    <w:p>
      <w:pPr>
        <w:pageBreakBefore w:val="0"/>
        <w:numPr>
          <w:ilvl w:val="0"/>
          <w:numId w:val="0"/>
        </w:numPr>
        <w:tabs>
          <w:tab w:val="left" w:pos="2101"/>
        </w:tabs>
        <w:kinsoku/>
        <w:wordWrap/>
        <w:topLinePunct w:val="0"/>
        <w:bidi w:val="0"/>
        <w:spacing w:before="49" w:line="560" w:lineRule="exact"/>
        <w:ind w:right="0" w:rightChars="0"/>
        <w:jc w:val="center"/>
        <w:rPr>
          <w:rFonts w:eastAsia="黑体"/>
          <w:b/>
          <w:bCs/>
          <w:sz w:val="36"/>
          <w:szCs w:val="36"/>
        </w:rPr>
      </w:pPr>
      <w:r>
        <w:rPr>
          <w:rFonts w:hint="eastAsia" w:ascii="方正小标宋简体" w:hAnsi="方正小标宋简体" w:eastAsia="方正小标宋简体" w:cs="方正小标宋简体"/>
          <w:sz w:val="44"/>
          <w:szCs w:val="44"/>
          <w:highlight w:val="none"/>
          <w:lang w:val="en-US" w:eastAsia="zh-CN"/>
        </w:rPr>
        <w:t>2023年重大政策及重点项目绩效执行结果</w:t>
      </w:r>
    </w:p>
    <w:p>
      <w:pPr>
        <w:pageBreakBefore w:val="0"/>
        <w:kinsoku/>
        <w:wordWrap/>
        <w:topLinePunct w:val="0"/>
        <w:bidi w:val="0"/>
        <w:spacing w:before="62" w:after="62" w:line="560" w:lineRule="exact"/>
        <w:ind w:firstLine="803"/>
        <w:jc w:val="center"/>
        <w:rPr>
          <w:b/>
          <w:bCs/>
          <w:sz w:val="40"/>
          <w:szCs w:val="40"/>
        </w:rPr>
      </w:pP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36"/>
          <w:szCs w:val="36"/>
        </w:rPr>
      </w:pPr>
      <w:r>
        <w:rPr>
          <w:rFonts w:hint="eastAsia" w:ascii="方正小标宋简体" w:hAnsi="方正小标宋简体" w:eastAsia="方正小标宋简体" w:cs="方正小标宋简体"/>
          <w:b w:val="0"/>
          <w:bCs/>
          <w:color w:val="000000"/>
          <w:kern w:val="0"/>
          <w:sz w:val="36"/>
          <w:szCs w:val="36"/>
        </w:rPr>
        <w:t>2023年文登区绿地及水面养护费项目</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36"/>
          <w:szCs w:val="36"/>
        </w:rPr>
      </w:pPr>
      <w:r>
        <w:rPr>
          <w:rFonts w:hint="eastAsia" w:ascii="方正小标宋简体" w:hAnsi="方正小标宋简体" w:eastAsia="方正小标宋简体" w:cs="方正小标宋简体"/>
          <w:b w:val="0"/>
          <w:bCs/>
          <w:color w:val="000000"/>
          <w:kern w:val="0"/>
          <w:sz w:val="36"/>
          <w:szCs w:val="36"/>
        </w:rPr>
        <w:t>绩效评价报告</w:t>
      </w:r>
    </w:p>
    <w:p>
      <w:pPr>
        <w:autoSpaceDE w:val="0"/>
        <w:autoSpaceDN w:val="0"/>
        <w:adjustRightInd w:val="0"/>
        <w:spacing w:line="590" w:lineRule="exact"/>
        <w:ind w:firstLine="0" w:firstLineChars="0"/>
        <w:jc w:val="center"/>
        <w:rPr>
          <w:rFonts w:ascii="仿宋" w:hAnsi="仿宋" w:eastAsia="仿宋" w:cs="仿宋"/>
          <w:b/>
          <w:bCs/>
          <w:color w:val="000000"/>
          <w:kern w:val="0"/>
          <w:sz w:val="52"/>
          <w:szCs w:val="52"/>
        </w:rPr>
      </w:pPr>
    </w:p>
    <w:p>
      <w:pPr>
        <w:spacing w:line="590" w:lineRule="exact"/>
        <w:ind w:left="680" w:firstLine="640" w:firstLineChars="200"/>
        <w:rPr>
          <w:rFonts w:ascii="仿宋" w:hAnsi="仿宋" w:eastAsia="仿宋" w:cs="仿宋"/>
          <w:sz w:val="32"/>
        </w:rPr>
      </w:pPr>
    </w:p>
    <w:p>
      <w:pPr>
        <w:spacing w:line="590" w:lineRule="exact"/>
        <w:ind w:firstLine="640" w:firstLineChars="200"/>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firstLineChars="200"/>
        <w:rPr>
          <w:rFonts w:ascii="仿宋" w:hAnsi="仿宋" w:eastAsia="仿宋" w:cs="仿宋"/>
          <w:b/>
          <w:bCs/>
          <w:sz w:val="30"/>
        </w:rPr>
      </w:pPr>
    </w:p>
    <w:p>
      <w:pPr>
        <w:spacing w:line="590" w:lineRule="exact"/>
        <w:ind w:firstLine="602" w:firstLineChars="200"/>
        <w:rPr>
          <w:rFonts w:ascii="仿宋" w:hAnsi="仿宋" w:eastAsia="仿宋" w:cs="仿宋"/>
          <w:b/>
          <w:bCs/>
          <w:sz w:val="30"/>
        </w:rPr>
      </w:pPr>
    </w:p>
    <w:p>
      <w:pPr>
        <w:spacing w:line="590" w:lineRule="exact"/>
        <w:ind w:firstLine="602" w:firstLineChars="200"/>
        <w:rPr>
          <w:rFonts w:ascii="仿宋" w:hAnsi="仿宋" w:eastAsia="仿宋" w:cs="仿宋"/>
          <w:b/>
          <w:bCs/>
          <w:sz w:val="30"/>
        </w:rPr>
      </w:pPr>
    </w:p>
    <w:p>
      <w:pPr>
        <w:pageBreakBefore w:val="0"/>
        <w:kinsoku/>
        <w:wordWrap/>
        <w:topLinePunct w:val="0"/>
        <w:bidi w:val="0"/>
        <w:spacing w:before="87" w:after="87" w:line="560" w:lineRule="exact"/>
        <w:rPr>
          <w:rFonts w:hint="eastAsia" w:ascii="仿宋" w:hAnsi="仿宋" w:cs="仿宋"/>
          <w:b/>
          <w:bCs/>
          <w:szCs w:val="24"/>
        </w:rPr>
      </w:pPr>
    </w:p>
    <w:p>
      <w:pPr>
        <w:pageBreakBefore w:val="0"/>
        <w:kinsoku/>
        <w:wordWrap/>
        <w:topLinePunct w:val="0"/>
        <w:bidi w:val="0"/>
        <w:spacing w:before="87" w:after="87" w:line="560" w:lineRule="exact"/>
        <w:jc w:val="center"/>
        <w:rPr>
          <w:rFonts w:hint="eastAsia" w:ascii="仿宋" w:hAnsi="仿宋" w:cs="仿宋"/>
          <w:b/>
          <w:bCs/>
          <w:szCs w:val="24"/>
        </w:rPr>
      </w:pPr>
      <w:r>
        <w:rPr>
          <w:rFonts w:hint="eastAsia" w:ascii="仿宋" w:hAnsi="仿宋" w:cs="仿宋"/>
          <w:b/>
          <w:bCs/>
          <w:szCs w:val="24"/>
        </w:rPr>
        <w:t>威海市文登区财政局</w:t>
      </w:r>
    </w:p>
    <w:p>
      <w:pPr>
        <w:pageBreakBefore w:val="0"/>
        <w:kinsoku/>
        <w:wordWrap/>
        <w:topLinePunct w:val="0"/>
        <w:bidi w:val="0"/>
        <w:spacing w:before="87" w:after="87" w:line="560" w:lineRule="exact"/>
        <w:jc w:val="center"/>
        <w:rPr>
          <w:rFonts w:hint="eastAsia" w:ascii="仿宋" w:hAnsi="仿宋" w:cs="仿宋"/>
          <w:b/>
          <w:bCs/>
          <w:szCs w:val="24"/>
        </w:rPr>
        <w:sectPr>
          <w:headerReference r:id="rId5" w:type="first"/>
          <w:footerReference r:id="rId8" w:type="first"/>
          <w:headerReference r:id="rId3" w:type="default"/>
          <w:footerReference r:id="rId6" w:type="default"/>
          <w:headerReference r:id="rId4" w:type="even"/>
          <w:footerReference r:id="rId7" w:type="even"/>
          <w:pgSz w:w="11850" w:h="16783"/>
          <w:pgMar w:top="1440" w:right="1440" w:bottom="1440" w:left="1440" w:header="737" w:footer="1077" w:gutter="0"/>
          <w:cols w:equalWidth="0" w:num="1">
            <w:col w:w="9026"/>
          </w:cols>
          <w:docGrid w:linePitch="360" w:charSpace="0"/>
        </w:sectPr>
      </w:pPr>
      <w:r>
        <w:rPr>
          <w:rFonts w:hint="eastAsia" w:ascii="仿宋" w:hAnsi="仿宋" w:cs="仿宋"/>
          <w:b/>
          <w:bCs/>
          <w:szCs w:val="24"/>
        </w:rPr>
        <w:t>评价时间</w:t>
      </w:r>
      <w:r>
        <w:rPr>
          <w:rFonts w:hint="eastAsia" w:ascii="仿宋" w:hAnsi="仿宋" w:cs="仿宋"/>
          <w:b/>
          <w:bCs/>
          <w:szCs w:val="24"/>
          <w:lang w:eastAsia="zh-CN"/>
        </w:rPr>
        <w:t>：</w:t>
      </w:r>
      <w:r>
        <w:rPr>
          <w:rFonts w:hint="eastAsia" w:ascii="仿宋" w:hAnsi="仿宋" w:cs="仿宋"/>
          <w:b/>
          <w:bCs/>
          <w:szCs w:val="24"/>
        </w:rPr>
        <w:t>202</w:t>
      </w:r>
      <w:r>
        <w:rPr>
          <w:rFonts w:hint="eastAsia" w:ascii="仿宋" w:hAnsi="仿宋" w:cs="仿宋"/>
          <w:b/>
          <w:bCs/>
          <w:szCs w:val="24"/>
          <w:lang w:val="en-US" w:eastAsia="zh-CN"/>
        </w:rPr>
        <w:t xml:space="preserve">4 </w:t>
      </w:r>
      <w:r>
        <w:rPr>
          <w:rFonts w:hint="eastAsia" w:ascii="仿宋" w:hAnsi="仿宋" w:cs="仿宋"/>
          <w:b/>
          <w:bCs/>
          <w:szCs w:val="24"/>
        </w:rPr>
        <w:t xml:space="preserve">年 </w:t>
      </w:r>
      <w:r>
        <w:rPr>
          <w:rFonts w:hint="eastAsia" w:ascii="仿宋" w:hAnsi="仿宋" w:cs="仿宋"/>
          <w:b/>
          <w:bCs/>
          <w:szCs w:val="24"/>
          <w:lang w:val="en-US" w:eastAsia="zh-CN"/>
        </w:rPr>
        <w:t>7</w:t>
      </w:r>
      <w:r>
        <w:rPr>
          <w:rFonts w:hint="eastAsia" w:ascii="仿宋" w:hAnsi="仿宋" w:cs="仿宋"/>
          <w:b/>
          <w:bCs/>
          <w:szCs w:val="24"/>
        </w:rPr>
        <w:t xml:space="preserve"> 月</w:t>
      </w:r>
    </w:p>
    <w:p>
      <w:pPr>
        <w:adjustRightInd w:val="0"/>
        <w:snapToGrid w:val="0"/>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rPr>
        <w:t>一、项目</w:t>
      </w:r>
      <w:r>
        <w:rPr>
          <w:rFonts w:hint="eastAsia" w:ascii="黑体" w:hAnsi="黑体" w:eastAsia="黑体"/>
          <w:sz w:val="32"/>
          <w:szCs w:val="32"/>
          <w:lang w:eastAsia="zh-CN"/>
        </w:rPr>
        <w:t>概况</w:t>
      </w:r>
    </w:p>
    <w:p>
      <w:pPr>
        <w:pStyle w:val="56"/>
        <w:numPr>
          <w:ilvl w:val="0"/>
          <w:numId w:val="0"/>
        </w:numPr>
        <w:spacing w:line="560" w:lineRule="exact"/>
        <w:ind w:left="0" w:leftChars="0" w:firstLine="420" w:firstLineChars="0"/>
        <w:outlineLvl w:val="3"/>
        <w:rPr>
          <w:rFonts w:hint="eastAsia" w:ascii="楷体_GB2312" w:hAnsi="楷体_GB2312" w:eastAsia="楷体_GB2312" w:cs="楷体_GB2312"/>
          <w:szCs w:val="32"/>
        </w:rPr>
      </w:pPr>
      <w:r>
        <w:rPr>
          <w:rFonts w:hint="eastAsia" w:ascii="楷体_GB2312" w:hAnsi="楷体_GB2312" w:eastAsia="楷体_GB2312" w:cs="楷体_GB2312"/>
          <w:color w:val="auto"/>
          <w:kern w:val="0"/>
          <w:sz w:val="32"/>
          <w:szCs w:val="32"/>
          <w:lang w:val="en-US" w:eastAsia="zh-CN" w:bidi="ar-SA"/>
        </w:rPr>
        <w:t>（一）</w:t>
      </w:r>
      <w:r>
        <w:rPr>
          <w:rFonts w:hint="eastAsia" w:ascii="楷体_GB2312" w:hAnsi="楷体_GB2312" w:eastAsia="楷体_GB2312" w:cs="楷体_GB2312"/>
          <w:szCs w:val="32"/>
        </w:rPr>
        <w:t>项目</w:t>
      </w:r>
      <w:bookmarkStart w:id="0" w:name="_Toc3304"/>
      <w:r>
        <w:rPr>
          <w:rFonts w:hint="eastAsia" w:ascii="楷体_GB2312" w:hAnsi="楷体_GB2312" w:eastAsia="楷体_GB2312" w:cs="楷体_GB2312"/>
          <w:szCs w:val="32"/>
        </w:rPr>
        <w:t>主要内容及实施情况</w:t>
      </w:r>
      <w:bookmarkEnd w:id="0"/>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威海中心市区城市绿化养护管理细则》等文件的管护要求，文登区城市管理综合服务中心承担全区公园、绿地等城区河道养护、升级改造、卫生保洁的检查考核事务性工作。2024年文登区城区需管护绿化、水域等面积共1587.29公顷，包括城区1546.28公顷（新增养护面积314.88公顷）绿地及水面、202省道（北至206国道，南至石泽线）41.01公顷米绿化养护；2023年需管护绿地及水域面积1546.28公顷。</w:t>
      </w:r>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2023年文登区绿化及水面具体养护工作由威海舜盛建设工程有限公司负责，合同约定管护面积为道路绿地及公园面积953.14公顷、水面面积277.86公顷，合计1231公顷；合同金额为4660万元。</w:t>
      </w:r>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服务管护期限为一年，即自2023年1月1日起至2023年12月31日止；管护地点为文登区（原文登园林管理局管理范围内）公园、广场、道路绿地、街头游园绿地（含圣海路）的养护管理；管护内容包括浇水、施肥、苗木修剪、打药、除草、防冻措施、卫生保洁、绿地保护等。</w:t>
      </w:r>
    </w:p>
    <w:p>
      <w:pPr>
        <w:pStyle w:val="4"/>
        <w:numPr>
          <w:ilvl w:val="0"/>
          <w:numId w:val="0"/>
        </w:numPr>
        <w:spacing w:before="0" w:after="0" w:line="560" w:lineRule="exact"/>
        <w:ind w:left="0" w:leftChars="0" w:firstLine="640" w:firstLineChars="200"/>
        <w:jc w:val="left"/>
        <w:rPr>
          <w:rFonts w:hint="eastAsia" w:ascii="楷体_GB2312" w:hAnsi="楷体_GB2312" w:eastAsia="楷体_GB2312" w:cs="楷体_GB2312"/>
          <w:bCs w:val="0"/>
          <w:color w:val="auto"/>
          <w:kern w:val="0"/>
          <w:sz w:val="32"/>
          <w:szCs w:val="32"/>
          <w:lang w:val="en-US" w:eastAsia="zh-CN" w:bidi="ar-SA"/>
        </w:rPr>
      </w:pPr>
      <w:bookmarkStart w:id="1" w:name="_Toc48873004"/>
      <w:bookmarkStart w:id="2" w:name="_Toc45741720"/>
      <w:bookmarkStart w:id="3" w:name="_Toc18111"/>
      <w:r>
        <w:rPr>
          <w:rFonts w:hint="eastAsia" w:ascii="楷体_GB2312" w:hAnsi="楷体_GB2312" w:eastAsia="楷体_GB2312" w:cs="楷体_GB2312"/>
          <w:bCs w:val="0"/>
          <w:color w:val="auto"/>
          <w:kern w:val="0"/>
          <w:sz w:val="32"/>
          <w:szCs w:val="32"/>
          <w:lang w:val="en-US" w:eastAsia="zh-CN" w:bidi="ar-SA"/>
        </w:rPr>
        <w:t>（二）项目资金安排及使用情况</w:t>
      </w:r>
      <w:bookmarkEnd w:id="1"/>
      <w:bookmarkEnd w:id="2"/>
      <w:bookmarkEnd w:id="3"/>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bookmarkStart w:id="4" w:name="_Toc17411"/>
      <w:r>
        <w:rPr>
          <w:rFonts w:hint="eastAsia" w:ascii="Times New Roman" w:hAnsi="Times New Roman" w:eastAsia="仿宋_GB2312" w:cs="Times New Roman"/>
          <w:color w:val="auto"/>
          <w:kern w:val="2"/>
          <w:sz w:val="32"/>
          <w:szCs w:val="32"/>
          <w:lang w:val="en-US" w:eastAsia="zh-CN" w:bidi="ar-SA"/>
        </w:rPr>
        <w:t>2023年文登区绿地及水面养护费年初预算金额为4660万元，</w:t>
      </w:r>
      <w:bookmarkEnd w:id="4"/>
      <w:r>
        <w:rPr>
          <w:rFonts w:hint="eastAsia" w:ascii="Times New Roman" w:hAnsi="Times New Roman" w:eastAsia="仿宋_GB2312" w:cs="Times New Roman"/>
          <w:color w:val="auto"/>
          <w:kern w:val="2"/>
          <w:sz w:val="32"/>
          <w:szCs w:val="32"/>
          <w:lang w:val="en-US" w:eastAsia="zh-CN" w:bidi="ar-SA"/>
        </w:rPr>
        <w:t>全部用于绿化及水面养护费用的支出。2023年实际到位资金0元，2023年预算执行率0%。</w:t>
      </w:r>
    </w:p>
    <w:p>
      <w:pPr>
        <w:pStyle w:val="4"/>
        <w:numPr>
          <w:ilvl w:val="0"/>
          <w:numId w:val="0"/>
        </w:numPr>
        <w:spacing w:before="0" w:after="0" w:line="560" w:lineRule="exact"/>
        <w:ind w:left="0" w:leftChars="0" w:firstLine="640" w:firstLineChars="200"/>
        <w:jc w:val="left"/>
        <w:rPr>
          <w:rFonts w:hint="eastAsia" w:ascii="楷体_GB2312" w:hAnsi="楷体_GB2312" w:eastAsia="楷体_GB2312" w:cs="楷体_GB2312"/>
          <w:bCs w:val="0"/>
          <w:color w:val="auto"/>
          <w:kern w:val="0"/>
          <w:sz w:val="32"/>
          <w:szCs w:val="32"/>
          <w:lang w:val="en-US" w:eastAsia="zh-CN" w:bidi="ar-SA"/>
        </w:rPr>
      </w:pPr>
      <w:bookmarkStart w:id="5" w:name="_Toc45741721"/>
      <w:bookmarkStart w:id="6" w:name="_Toc48873005"/>
      <w:bookmarkStart w:id="7" w:name="_Toc30447"/>
      <w:r>
        <w:rPr>
          <w:rFonts w:hint="eastAsia" w:ascii="楷体_GB2312" w:hAnsi="楷体_GB2312" w:eastAsia="楷体_GB2312" w:cs="楷体_GB2312"/>
          <w:bCs w:val="0"/>
          <w:color w:val="auto"/>
          <w:kern w:val="0"/>
          <w:sz w:val="32"/>
          <w:szCs w:val="32"/>
          <w:lang w:val="en-US" w:eastAsia="zh-CN" w:bidi="ar-SA"/>
        </w:rPr>
        <w:t>（三）项目组织管理情况</w:t>
      </w:r>
      <w:bookmarkEnd w:id="5"/>
      <w:bookmarkEnd w:id="6"/>
      <w:bookmarkEnd w:id="7"/>
      <w:bookmarkStart w:id="8" w:name="_Toc32211"/>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责任单位：文登区城市管理综合服务中心</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文登区财政局的主要职责：</w:t>
      </w:r>
    </w:p>
    <w:p>
      <w:pPr>
        <w:pStyle w:val="15"/>
        <w:spacing w:line="560" w:lineRule="exact"/>
        <w:ind w:firstLine="56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负责预算资金的审核、批复及拨付</w:t>
      </w:r>
      <w:r>
        <w:rPr>
          <w:rFonts w:hint="eastAsia" w:ascii="Times New Roman" w:hAnsi="Times New Roman" w:eastAsia="仿宋_GB2312" w:cs="Times New Roman"/>
          <w:color w:val="auto"/>
          <w:kern w:val="2"/>
          <w:sz w:val="32"/>
          <w:szCs w:val="32"/>
          <w:lang w:val="en-US" w:eastAsia="zh-CN" w:bidi="ar-SA"/>
        </w:rPr>
        <w:t>，对项目资金使用情况进行监督检查</w:t>
      </w:r>
      <w:r>
        <w:rPr>
          <w:rFonts w:hint="eastAsia" w:ascii="Times New Roman" w:hAnsi="Times New Roman" w:eastAsia="仿宋_GB2312" w:cs="Times New Roman"/>
          <w:color w:val="auto"/>
          <w:kern w:val="2"/>
          <w:sz w:val="32"/>
          <w:szCs w:val="32"/>
          <w:lang w:val="zh-CN" w:eastAsia="zh-CN" w:bidi="ar-SA"/>
        </w:rPr>
        <w:t>。</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文登区城市管理综合服务中心的主要职责：</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文登区城市管理综合服务中心承担全区公园、绿地等城区河道养护、升级改造、卫生保洁的检查考核事务性工作、承担城市道路、照明、绿化施工安全生产机构业务指导工作、负责城区市容市貌、市政设施、园林绿化管理等方面的辅助工作。</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威海舜盛建设工程有限公司的主要职责：</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威海舜盛建设工程有限公司负责实际开展管护文登区城区绿化及水面养护工作，包括浇水、施肥、苗木修剪、打药、除草、防冻措施、卫生保洁、绿地保护等内容。</w:t>
      </w:r>
    </w:p>
    <w:p>
      <w:pPr>
        <w:pStyle w:val="4"/>
        <w:numPr>
          <w:ilvl w:val="0"/>
          <w:numId w:val="0"/>
        </w:numPr>
        <w:spacing w:before="0" w:after="0" w:line="560" w:lineRule="exact"/>
        <w:ind w:left="0" w:leftChars="0" w:firstLine="640" w:firstLineChars="200"/>
        <w:jc w:val="left"/>
        <w:rPr>
          <w:rFonts w:hint="eastAsia" w:ascii="楷体_GB2312" w:hAnsi="楷体_GB2312" w:eastAsia="楷体_GB2312" w:cs="楷体_GB2312"/>
          <w:bCs w:val="0"/>
          <w:color w:val="auto"/>
          <w:kern w:val="0"/>
          <w:sz w:val="32"/>
          <w:szCs w:val="32"/>
          <w:lang w:val="en-US" w:eastAsia="zh-CN" w:bidi="ar-SA"/>
        </w:rPr>
      </w:pPr>
      <w:bookmarkStart w:id="9" w:name="_Toc9520"/>
      <w:r>
        <w:rPr>
          <w:rFonts w:hint="eastAsia" w:ascii="楷体_GB2312" w:hAnsi="楷体_GB2312" w:eastAsia="楷体_GB2312" w:cs="楷体_GB2312"/>
          <w:bCs w:val="0"/>
          <w:color w:val="auto"/>
          <w:kern w:val="0"/>
          <w:sz w:val="32"/>
          <w:szCs w:val="32"/>
          <w:lang w:val="en-US" w:eastAsia="zh-CN" w:bidi="ar-SA"/>
        </w:rPr>
        <w:t>（四）项目绩效目标</w:t>
      </w:r>
      <w:bookmarkEnd w:id="9"/>
    </w:p>
    <w:p>
      <w:pPr>
        <w:spacing w:line="560" w:lineRule="exact"/>
        <w:ind w:firstLine="960" w:firstLineChars="3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1.绩效目标</w:t>
      </w:r>
    </w:p>
    <w:p>
      <w:pPr>
        <w:pStyle w:val="15"/>
        <w:spacing w:line="560" w:lineRule="exact"/>
        <w:ind w:firstLine="560"/>
        <w:rPr>
          <w:color w:val="FF0000"/>
        </w:rPr>
      </w:pPr>
      <w:r>
        <w:rPr>
          <w:rFonts w:hint="eastAsia" w:ascii="Times New Roman" w:hAnsi="Times New Roman" w:eastAsia="仿宋_GB2312" w:cs="Times New Roman"/>
          <w:color w:val="auto"/>
          <w:kern w:val="2"/>
          <w:sz w:val="32"/>
          <w:szCs w:val="32"/>
          <w:lang w:val="en-US" w:eastAsia="zh-CN" w:bidi="ar-SA"/>
        </w:rPr>
        <w:t>为提升居民生活环境，计划在文登城区范围内，定期对绿地及苗木进行浇水、施肥、修剪、病虫害防治等日常养护工作，预计养护城区内绿地及公园面积数1231.4万平方米，养护行道树数量48216株，保证工作质量达标率达到100%，并确保完工率、完工及时率为100%，建立长效管理机制，改善绿化环境，使市民满意度达到80%以上。</w:t>
      </w:r>
    </w:p>
    <w:p>
      <w:pPr>
        <w:numPr>
          <w:ilvl w:val="0"/>
          <w:numId w:val="2"/>
        </w:numPr>
        <w:spacing w:line="560" w:lineRule="exact"/>
        <w:ind w:firstLine="960" w:firstLineChars="300"/>
        <w:rPr>
          <w:rFonts w:hint="eastAsia"/>
          <w:lang w:val="en-US" w:eastAsia="zh-CN"/>
        </w:rPr>
      </w:pPr>
      <w:r>
        <w:rPr>
          <w:rFonts w:hint="eastAsia" w:ascii="Times New Roman" w:hAnsi="Times New Roman" w:eastAsia="仿宋_GB2312" w:cs="Times New Roman"/>
          <w:color w:val="auto"/>
          <w:kern w:val="2"/>
          <w:sz w:val="32"/>
          <w:szCs w:val="32"/>
          <w:lang w:val="en-US" w:eastAsia="zh-CN" w:bidi="ar-SA"/>
        </w:rPr>
        <w:t>文登区城市管理综合服务中心——2023年绿地及水面养护费绩效指标</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692"/>
        <w:gridCol w:w="2694"/>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95" w:type="pct"/>
            <w:vMerge w:val="restart"/>
            <w:tcBorders>
              <w:top w:val="nil"/>
              <w:left w:val="nil"/>
              <w:bottom w:val="nil"/>
              <w:right w:val="nil"/>
              <w:insideV w:val="nil"/>
            </w:tcBorders>
            <w:shd w:val="clear" w:color="auto" w:fill="5B9BD5" w:themeFill="accent1"/>
            <w:vAlign w:val="center"/>
          </w:tcPr>
          <w:p>
            <w:pPr>
              <w:widowControl/>
              <w:spacing w:before="0" w:after="0" w:line="240" w:lineRule="auto"/>
              <w:jc w:val="center"/>
              <w:textAlignment w:val="center"/>
              <w:rPr>
                <w:rFonts w:ascii="Times New Roman" w:hAnsi="Times New Roman" w:eastAsia="仿宋_GB2312" w:cs="Times New Roman"/>
                <w:b w:val="0"/>
                <w:bCs w:val="0"/>
                <w:color w:val="FFFFFF"/>
                <w:kern w:val="0"/>
                <w:sz w:val="24"/>
                <w:szCs w:val="24"/>
                <w:lang w:val="zh-CN"/>
              </w:rPr>
            </w:pPr>
            <w:r>
              <w:rPr>
                <w:rFonts w:ascii="Times New Roman" w:hAnsi="Times New Roman" w:eastAsia="仿宋_GB2312" w:cs="Times New Roman"/>
                <w:b/>
                <w:bCs/>
                <w:color w:val="FFFFFF"/>
                <w:kern w:val="0"/>
                <w:sz w:val="24"/>
                <w:szCs w:val="24"/>
              </w:rPr>
              <w:t>一级指标</w:t>
            </w:r>
          </w:p>
        </w:tc>
        <w:tc>
          <w:tcPr>
            <w:tcW w:w="1579" w:type="pct"/>
            <w:vMerge w:val="restart"/>
            <w:tcBorders>
              <w:top w:val="nil"/>
              <w:bottom w:val="nil"/>
              <w:right w:val="nil"/>
              <w:insideV w:val="nil"/>
            </w:tcBorders>
            <w:shd w:val="clear" w:color="auto" w:fill="5B9BD5" w:themeFill="accent1"/>
            <w:vAlign w:val="center"/>
          </w:tcPr>
          <w:p>
            <w:pPr>
              <w:widowControl/>
              <w:spacing w:before="0" w:after="0" w:line="240" w:lineRule="auto"/>
              <w:jc w:val="center"/>
              <w:textAlignment w:val="center"/>
              <w:rPr>
                <w:rFonts w:ascii="Times New Roman" w:hAnsi="Times New Roman" w:eastAsia="仿宋_GB2312" w:cs="Times New Roman"/>
                <w:b w:val="0"/>
                <w:bCs w:val="0"/>
                <w:color w:val="FFFFFF"/>
                <w:kern w:val="0"/>
                <w:sz w:val="24"/>
                <w:szCs w:val="24"/>
                <w:lang w:val="zh-CN"/>
              </w:rPr>
            </w:pPr>
            <w:r>
              <w:rPr>
                <w:rFonts w:ascii="Times New Roman" w:hAnsi="Times New Roman" w:eastAsia="仿宋_GB2312" w:cs="Times New Roman"/>
                <w:b/>
                <w:bCs/>
                <w:color w:val="FFFFFF"/>
                <w:kern w:val="0"/>
                <w:sz w:val="24"/>
                <w:szCs w:val="24"/>
              </w:rPr>
              <w:t>二级指标</w:t>
            </w:r>
          </w:p>
        </w:tc>
        <w:tc>
          <w:tcPr>
            <w:tcW w:w="1580" w:type="pct"/>
            <w:vMerge w:val="restart"/>
            <w:tcBorders>
              <w:top w:val="nil"/>
              <w:bottom w:val="nil"/>
              <w:right w:val="nil"/>
              <w:insideV w:val="nil"/>
            </w:tcBorders>
            <w:shd w:val="clear" w:color="auto" w:fill="5B9BD5" w:themeFill="accent1"/>
            <w:vAlign w:val="center"/>
          </w:tcPr>
          <w:p>
            <w:pPr>
              <w:widowControl/>
              <w:spacing w:before="0" w:after="0" w:line="240" w:lineRule="auto"/>
              <w:jc w:val="center"/>
              <w:textAlignment w:val="center"/>
              <w:rPr>
                <w:rFonts w:ascii="Times New Roman" w:hAnsi="Times New Roman" w:eastAsia="仿宋_GB2312" w:cs="Times New Roman"/>
                <w:b w:val="0"/>
                <w:bCs w:val="0"/>
                <w:color w:val="FFFFFF"/>
                <w:kern w:val="0"/>
                <w:sz w:val="24"/>
                <w:szCs w:val="24"/>
                <w:lang w:val="zh-CN"/>
              </w:rPr>
            </w:pPr>
            <w:r>
              <w:rPr>
                <w:rFonts w:ascii="Times New Roman" w:hAnsi="Times New Roman" w:eastAsia="仿宋_GB2312" w:cs="Times New Roman"/>
                <w:b/>
                <w:bCs/>
                <w:color w:val="FFFFFF"/>
                <w:kern w:val="0"/>
                <w:sz w:val="24"/>
                <w:szCs w:val="24"/>
              </w:rPr>
              <w:t>三级指标</w:t>
            </w:r>
          </w:p>
        </w:tc>
        <w:tc>
          <w:tcPr>
            <w:tcW w:w="946" w:type="pct"/>
            <w:vMerge w:val="restart"/>
            <w:tcBorders>
              <w:top w:val="nil"/>
              <w:bottom w:val="nil"/>
              <w:right w:val="nil"/>
              <w:insideV w:val="nil"/>
            </w:tcBorders>
            <w:shd w:val="clear" w:color="auto" w:fill="5B9BD5" w:themeFill="accent1"/>
            <w:vAlign w:val="center"/>
          </w:tcPr>
          <w:p>
            <w:pPr>
              <w:widowControl/>
              <w:spacing w:before="0" w:after="0" w:line="240" w:lineRule="auto"/>
              <w:jc w:val="center"/>
              <w:textAlignment w:val="center"/>
              <w:rPr>
                <w:rFonts w:ascii="Times New Roman" w:hAnsi="Times New Roman" w:eastAsia="仿宋_GB2312" w:cs="Times New Roman"/>
                <w:b w:val="0"/>
                <w:bCs w:val="0"/>
                <w:color w:val="FFFFFF"/>
                <w:kern w:val="0"/>
                <w:sz w:val="24"/>
                <w:szCs w:val="24"/>
                <w:lang w:val="zh-CN"/>
              </w:rPr>
            </w:pPr>
            <w:r>
              <w:rPr>
                <w:rFonts w:ascii="Times New Roman" w:hAnsi="Times New Roman" w:eastAsia="仿宋_GB2312" w:cs="Times New Roman"/>
                <w:b/>
                <w:bCs/>
                <w:color w:val="FFFFFF"/>
                <w:kern w:val="0"/>
                <w:sz w:val="24"/>
                <w:szCs w:val="24"/>
              </w:rPr>
              <w:t>年度指标值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95" w:type="pct"/>
            <w:vMerge w:val="continue"/>
            <w:tcBorders>
              <w:right w:val="nil"/>
            </w:tcBorders>
            <w:shd w:val="clear" w:color="auto" w:fill="D6E6F4" w:themeFill="accent1" w:themeFillTint="3F"/>
            <w:vAlign w:val="center"/>
          </w:tcPr>
          <w:p>
            <w:pPr>
              <w:widowControl/>
              <w:jc w:val="center"/>
              <w:rPr>
                <w:rFonts w:ascii="Times New Roman" w:hAnsi="Times New Roman" w:eastAsia="仿宋_GB2312" w:cs="Times New Roman"/>
                <w:b w:val="0"/>
                <w:bCs w:val="0"/>
                <w:color w:val="000000"/>
                <w:kern w:val="0"/>
                <w:sz w:val="24"/>
                <w:szCs w:val="24"/>
                <w:lang w:val="zh-CN"/>
              </w:rPr>
            </w:pPr>
          </w:p>
        </w:tc>
        <w:tc>
          <w:tcPr>
            <w:tcW w:w="1579" w:type="pct"/>
            <w:vMerge w:val="continue"/>
            <w:tcBorders>
              <w:left w:val="nil"/>
              <w:right w:val="nil"/>
            </w:tcBorders>
            <w:shd w:val="clear" w:color="auto" w:fill="D6E6F4" w:themeFill="accent1" w:themeFillTint="3F"/>
            <w:vAlign w:val="center"/>
          </w:tcPr>
          <w:p>
            <w:pPr>
              <w:widowControl/>
              <w:jc w:val="center"/>
              <w:rPr>
                <w:rFonts w:ascii="Times New Roman" w:hAnsi="Times New Roman" w:eastAsia="仿宋_GB2312" w:cs="Times New Roman"/>
                <w:color w:val="000000"/>
                <w:kern w:val="0"/>
                <w:sz w:val="24"/>
                <w:szCs w:val="24"/>
                <w:lang w:val="zh-CN"/>
              </w:rPr>
            </w:pPr>
          </w:p>
        </w:tc>
        <w:tc>
          <w:tcPr>
            <w:tcW w:w="1580" w:type="pct"/>
            <w:vMerge w:val="continue"/>
            <w:tcBorders>
              <w:left w:val="nil"/>
              <w:right w:val="nil"/>
            </w:tcBorders>
            <w:shd w:val="clear" w:color="auto" w:fill="D6E6F4" w:themeFill="accent1" w:themeFillTint="3F"/>
            <w:vAlign w:val="center"/>
          </w:tcPr>
          <w:p>
            <w:pPr>
              <w:widowControl/>
              <w:jc w:val="center"/>
              <w:rPr>
                <w:rFonts w:ascii="Times New Roman" w:hAnsi="Times New Roman" w:eastAsia="仿宋_GB2312" w:cs="Times New Roman"/>
                <w:color w:val="000000"/>
                <w:kern w:val="0"/>
                <w:sz w:val="24"/>
                <w:szCs w:val="24"/>
                <w:lang w:val="zh-CN"/>
              </w:rPr>
            </w:pPr>
          </w:p>
        </w:tc>
        <w:tc>
          <w:tcPr>
            <w:tcW w:w="946" w:type="pct"/>
            <w:vMerge w:val="continue"/>
            <w:tcBorders>
              <w:left w:val="nil"/>
            </w:tcBorders>
            <w:shd w:val="clear" w:color="auto" w:fill="D6E6F4" w:themeFill="accent1" w:themeFillTint="3F"/>
            <w:vAlign w:val="center"/>
          </w:tcPr>
          <w:p>
            <w:pPr>
              <w:widowControl/>
              <w:jc w:val="center"/>
              <w:rPr>
                <w:rFonts w:ascii="Times New Roman" w:hAnsi="Times New Roman" w:eastAsia="仿宋_GB2312" w:cs="Times New Roman"/>
                <w:color w:val="000000"/>
                <w:kern w:val="0"/>
                <w:sz w:val="24"/>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restart"/>
            <w:tcBorders>
              <w:right w:val="nil"/>
            </w:tcBorders>
            <w:vAlign w:val="center"/>
          </w:tcPr>
          <w:p>
            <w:pPr>
              <w:widowControl/>
              <w:jc w:val="center"/>
              <w:textAlignment w:val="center"/>
              <w:rPr>
                <w:rFonts w:ascii="Times New Roman" w:hAnsi="Times New Roman" w:eastAsia="仿宋_GB2312" w:cs="Times New Roman"/>
                <w:b w:val="0"/>
                <w:bCs w:val="0"/>
                <w:color w:val="000000"/>
                <w:kern w:val="0"/>
                <w:sz w:val="24"/>
                <w:szCs w:val="24"/>
                <w:lang w:val="zh-CN"/>
              </w:rPr>
            </w:pPr>
            <w:r>
              <w:rPr>
                <w:rFonts w:ascii="Times New Roman" w:hAnsi="Times New Roman" w:eastAsia="仿宋_GB2312" w:cs="Times New Roman"/>
                <w:b/>
                <w:bCs/>
                <w:color w:val="000000"/>
                <w:kern w:val="0"/>
                <w:sz w:val="24"/>
                <w:szCs w:val="24"/>
              </w:rPr>
              <w:t>产出指标</w:t>
            </w:r>
          </w:p>
        </w:tc>
        <w:tc>
          <w:tcPr>
            <w:tcW w:w="1579"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数量指标</w:t>
            </w:r>
          </w:p>
        </w:tc>
        <w:tc>
          <w:tcPr>
            <w:tcW w:w="1580"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绿地及公园面积数</w:t>
            </w:r>
          </w:p>
        </w:tc>
        <w:tc>
          <w:tcPr>
            <w:tcW w:w="946" w:type="pct"/>
            <w:tcBorders>
              <w:lef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1231.4万平方米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continue"/>
            <w:tcBorders>
              <w:right w:val="nil"/>
            </w:tcBorders>
            <w:shd w:val="clear" w:color="auto" w:fill="D6E6F4" w:themeFill="accent1" w:themeFillTint="3F"/>
            <w:vAlign w:val="center"/>
          </w:tcPr>
          <w:p>
            <w:pPr>
              <w:widowControl/>
              <w:jc w:val="center"/>
              <w:rPr>
                <w:rFonts w:ascii="Times New Roman" w:hAnsi="Times New Roman" w:eastAsia="仿宋_GB2312" w:cs="Times New Roman"/>
                <w:b w:val="0"/>
                <w:bCs w:val="0"/>
                <w:color w:val="000000"/>
                <w:kern w:val="0"/>
                <w:sz w:val="24"/>
                <w:szCs w:val="24"/>
                <w:lang w:val="zh-CN"/>
              </w:rPr>
            </w:pPr>
          </w:p>
        </w:tc>
        <w:tc>
          <w:tcPr>
            <w:tcW w:w="1579"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数量指标</w:t>
            </w:r>
          </w:p>
        </w:tc>
        <w:tc>
          <w:tcPr>
            <w:tcW w:w="1580"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养护行道树数量</w:t>
            </w:r>
          </w:p>
        </w:tc>
        <w:tc>
          <w:tcPr>
            <w:tcW w:w="946" w:type="pct"/>
            <w:tcBorders>
              <w:lef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48216株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continue"/>
            <w:tcBorders>
              <w:right w:val="nil"/>
            </w:tcBorders>
            <w:vAlign w:val="center"/>
          </w:tcPr>
          <w:p>
            <w:pPr>
              <w:widowControl/>
              <w:jc w:val="center"/>
              <w:rPr>
                <w:rFonts w:ascii="Times New Roman" w:hAnsi="Times New Roman" w:eastAsia="仿宋_GB2312" w:cs="Times New Roman"/>
                <w:b w:val="0"/>
                <w:bCs w:val="0"/>
                <w:color w:val="000000"/>
                <w:kern w:val="0"/>
                <w:sz w:val="24"/>
                <w:szCs w:val="24"/>
                <w:lang w:val="zh-CN"/>
              </w:rPr>
            </w:pPr>
          </w:p>
        </w:tc>
        <w:tc>
          <w:tcPr>
            <w:tcW w:w="1579"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质量指标</w:t>
            </w:r>
          </w:p>
        </w:tc>
        <w:tc>
          <w:tcPr>
            <w:tcW w:w="1580"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质量达标率</w:t>
            </w:r>
          </w:p>
        </w:tc>
        <w:tc>
          <w:tcPr>
            <w:tcW w:w="946" w:type="pct"/>
            <w:tcBorders>
              <w:lef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continue"/>
            <w:tcBorders>
              <w:right w:val="nil"/>
            </w:tcBorders>
            <w:shd w:val="clear" w:color="auto" w:fill="D6E6F4" w:themeFill="accent1" w:themeFillTint="3F"/>
            <w:vAlign w:val="center"/>
          </w:tcPr>
          <w:p>
            <w:pPr>
              <w:widowControl/>
              <w:jc w:val="center"/>
              <w:rPr>
                <w:rFonts w:ascii="Times New Roman" w:hAnsi="Times New Roman" w:eastAsia="仿宋_GB2312" w:cs="Times New Roman"/>
                <w:b w:val="0"/>
                <w:bCs w:val="0"/>
                <w:color w:val="000000"/>
                <w:kern w:val="0"/>
                <w:sz w:val="24"/>
                <w:szCs w:val="24"/>
                <w:lang w:val="zh-CN"/>
              </w:rPr>
            </w:pPr>
          </w:p>
        </w:tc>
        <w:tc>
          <w:tcPr>
            <w:tcW w:w="1579"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时效指标</w:t>
            </w:r>
          </w:p>
        </w:tc>
        <w:tc>
          <w:tcPr>
            <w:tcW w:w="1580"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完成及时率</w:t>
            </w:r>
          </w:p>
        </w:tc>
        <w:tc>
          <w:tcPr>
            <w:tcW w:w="946" w:type="pct"/>
            <w:tcBorders>
              <w:lef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restart"/>
            <w:tcBorders>
              <w:right w:val="nil"/>
            </w:tcBorders>
            <w:vAlign w:val="center"/>
          </w:tcPr>
          <w:p>
            <w:pPr>
              <w:widowControl/>
              <w:jc w:val="center"/>
              <w:textAlignment w:val="center"/>
              <w:rPr>
                <w:rFonts w:ascii="Times New Roman" w:hAnsi="Times New Roman" w:eastAsia="仿宋_GB2312" w:cs="Times New Roman"/>
                <w:b w:val="0"/>
                <w:bCs w:val="0"/>
                <w:color w:val="000000"/>
                <w:kern w:val="0"/>
                <w:sz w:val="24"/>
                <w:szCs w:val="24"/>
                <w:lang w:val="zh-CN"/>
              </w:rPr>
            </w:pPr>
            <w:r>
              <w:rPr>
                <w:rFonts w:ascii="Times New Roman" w:hAnsi="Times New Roman" w:eastAsia="仿宋_GB2312" w:cs="Times New Roman"/>
                <w:b/>
                <w:bCs/>
                <w:color w:val="000000"/>
                <w:kern w:val="0"/>
                <w:sz w:val="24"/>
                <w:szCs w:val="24"/>
              </w:rPr>
              <w:t>效益指标</w:t>
            </w:r>
          </w:p>
        </w:tc>
        <w:tc>
          <w:tcPr>
            <w:tcW w:w="1579"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社会效益指标</w:t>
            </w:r>
          </w:p>
        </w:tc>
        <w:tc>
          <w:tcPr>
            <w:tcW w:w="1580"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提升居民生活环境</w:t>
            </w:r>
          </w:p>
        </w:tc>
        <w:tc>
          <w:tcPr>
            <w:tcW w:w="946" w:type="pct"/>
            <w:tcBorders>
              <w:lef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效果显著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continue"/>
            <w:tcBorders>
              <w:right w:val="nil"/>
            </w:tcBorders>
            <w:shd w:val="clear" w:color="auto" w:fill="D6E6F4" w:themeFill="accent1" w:themeFillTint="3F"/>
            <w:vAlign w:val="center"/>
          </w:tcPr>
          <w:p>
            <w:pPr>
              <w:widowControl/>
              <w:jc w:val="center"/>
              <w:rPr>
                <w:rFonts w:ascii="Times New Roman" w:hAnsi="Times New Roman" w:eastAsia="仿宋_GB2312" w:cs="Times New Roman"/>
                <w:b w:val="0"/>
                <w:bCs w:val="0"/>
                <w:color w:val="000000"/>
                <w:kern w:val="0"/>
                <w:sz w:val="24"/>
                <w:szCs w:val="24"/>
                <w:lang w:val="zh-CN"/>
              </w:rPr>
            </w:pPr>
          </w:p>
        </w:tc>
        <w:tc>
          <w:tcPr>
            <w:tcW w:w="1579"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生态效益指标</w:t>
            </w:r>
          </w:p>
        </w:tc>
        <w:tc>
          <w:tcPr>
            <w:tcW w:w="1580"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改善绿地环境</w:t>
            </w:r>
          </w:p>
        </w:tc>
        <w:tc>
          <w:tcPr>
            <w:tcW w:w="946" w:type="pct"/>
            <w:tcBorders>
              <w:lef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效果显著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vMerge w:val="continue"/>
            <w:tcBorders>
              <w:right w:val="nil"/>
            </w:tcBorders>
            <w:vAlign w:val="center"/>
          </w:tcPr>
          <w:p>
            <w:pPr>
              <w:widowControl/>
              <w:jc w:val="center"/>
              <w:rPr>
                <w:rFonts w:ascii="Times New Roman" w:hAnsi="Times New Roman" w:eastAsia="仿宋_GB2312" w:cs="Times New Roman"/>
                <w:b w:val="0"/>
                <w:bCs w:val="0"/>
                <w:color w:val="000000"/>
                <w:kern w:val="0"/>
                <w:sz w:val="24"/>
                <w:szCs w:val="24"/>
                <w:lang w:val="zh-CN"/>
              </w:rPr>
            </w:pPr>
          </w:p>
        </w:tc>
        <w:tc>
          <w:tcPr>
            <w:tcW w:w="1579"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可持续影响指标</w:t>
            </w:r>
          </w:p>
        </w:tc>
        <w:tc>
          <w:tcPr>
            <w:tcW w:w="1580" w:type="pct"/>
            <w:tcBorders>
              <w:left w:val="nil"/>
              <w:right w:val="nil"/>
            </w:tcBorders>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建立长效管理机制</w:t>
            </w:r>
          </w:p>
        </w:tc>
        <w:tc>
          <w:tcPr>
            <w:tcW w:w="946" w:type="pct"/>
            <w:tcBorders>
              <w:left w:val="nil"/>
            </w:tcBorders>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效果显著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5" w:type="pct"/>
            <w:tcBorders>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b w:val="0"/>
                <w:bCs w:val="0"/>
                <w:color w:val="000000"/>
                <w:kern w:val="0"/>
                <w:sz w:val="24"/>
                <w:szCs w:val="24"/>
                <w:lang w:val="zh-CN"/>
              </w:rPr>
            </w:pPr>
            <w:r>
              <w:rPr>
                <w:rFonts w:ascii="Times New Roman" w:hAnsi="Times New Roman" w:eastAsia="仿宋_GB2312" w:cs="Times New Roman"/>
                <w:b/>
                <w:bCs/>
                <w:color w:val="000000"/>
                <w:kern w:val="0"/>
                <w:sz w:val="24"/>
                <w:szCs w:val="24"/>
              </w:rPr>
              <w:t>满意度指标</w:t>
            </w:r>
          </w:p>
        </w:tc>
        <w:tc>
          <w:tcPr>
            <w:tcW w:w="1579"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服务对象满意度指标</w:t>
            </w:r>
          </w:p>
        </w:tc>
        <w:tc>
          <w:tcPr>
            <w:tcW w:w="1580" w:type="pct"/>
            <w:tcBorders>
              <w:left w:val="nil"/>
              <w:righ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市民满意度</w:t>
            </w:r>
          </w:p>
        </w:tc>
        <w:tc>
          <w:tcPr>
            <w:tcW w:w="946" w:type="pct"/>
            <w:tcBorders>
              <w:left w:val="nil"/>
            </w:tcBorders>
            <w:shd w:val="clear" w:color="auto" w:fill="D6E6F4" w:themeFill="accent1" w:themeFillTint="3F"/>
            <w:vAlign w:val="center"/>
          </w:tcPr>
          <w:p>
            <w:pPr>
              <w:widowControl/>
              <w:jc w:val="center"/>
              <w:textAlignment w:val="center"/>
              <w:rPr>
                <w:rFonts w:ascii="Times New Roman" w:hAnsi="Times New Roman" w:eastAsia="仿宋_GB2312" w:cs="Times New Roman"/>
                <w:color w:val="000000"/>
                <w:kern w:val="0"/>
                <w:sz w:val="24"/>
                <w:szCs w:val="24"/>
                <w:lang w:val="zh-CN"/>
              </w:rPr>
            </w:pPr>
            <w:r>
              <w:rPr>
                <w:rFonts w:ascii="Times New Roman" w:hAnsi="Times New Roman" w:eastAsia="仿宋_GB2312" w:cs="Times New Roman"/>
                <w:color w:val="000000"/>
                <w:kern w:val="0"/>
                <w:sz w:val="24"/>
                <w:szCs w:val="24"/>
              </w:rPr>
              <w:t>≥80%</w:t>
            </w:r>
          </w:p>
        </w:tc>
      </w:tr>
      <w:bookmarkEnd w:id="8"/>
    </w:tbl>
    <w:p>
      <w:pPr>
        <w:numPr>
          <w:ilvl w:val="0"/>
          <w:numId w:val="3"/>
        </w:numPr>
        <w:adjustRightInd w:val="0"/>
        <w:snapToGrid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绩效评价综合结论</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根据评价组设计的指标评价体系及评分标准，通过问卷调查和访谈获取的数据，评价组对文登区2023年绿地及水面养护费进行了独立客观的评价，最终评分结果为85.98分，绩效评级为“良”。其中决策指标权重为20分，得分为18分，得分率为90%；过程指标权重20分，得分为12分，得分率为60%；产出指标权重为30分，得分为27.74分，得分率为92.5%；效益及满意度指标权重为30分，得分为28.24分，得分率为94.1%。各指标得分情况详见表3-1。</w:t>
      </w:r>
    </w:p>
    <w:p>
      <w:pPr>
        <w:pStyle w:val="15"/>
        <w:spacing w:line="520" w:lineRule="exact"/>
        <w:ind w:firstLine="482"/>
        <w:jc w:val="center"/>
        <w:rPr>
          <w:rStyle w:val="58"/>
          <w:rFonts w:ascii="Times New Roman" w:hAnsi="Times New Roman" w:eastAsia="仿宋_GB2312" w:cs="Times New Roman"/>
          <w:b/>
          <w:i w:val="0"/>
          <w:iCs w:val="0"/>
          <w:color w:val="auto"/>
          <w:spacing w:val="0"/>
          <w:szCs w:val="28"/>
        </w:rPr>
      </w:pPr>
      <w:r>
        <w:rPr>
          <w:b/>
          <w:sz w:val="24"/>
        </w:rPr>
        <w:t>表3-1绩效评价指标整体得分情况表</w:t>
      </w:r>
    </w:p>
    <w:tbl>
      <w:tblPr>
        <w:tblStyle w:val="19"/>
        <w:tblW w:w="8537" w:type="dxa"/>
        <w:tblInd w:w="0" w:type="dxa"/>
        <w:tblLayout w:type="fixed"/>
        <w:tblCellMar>
          <w:top w:w="0" w:type="dxa"/>
          <w:left w:w="108" w:type="dxa"/>
          <w:bottom w:w="0" w:type="dxa"/>
          <w:right w:w="108" w:type="dxa"/>
        </w:tblCellMar>
      </w:tblPr>
      <w:tblGrid>
        <w:gridCol w:w="961"/>
        <w:gridCol w:w="1274"/>
        <w:gridCol w:w="1576"/>
        <w:gridCol w:w="1576"/>
        <w:gridCol w:w="1576"/>
        <w:gridCol w:w="1574"/>
      </w:tblGrid>
      <w:tr>
        <w:tblPrEx>
          <w:tblCellMar>
            <w:top w:w="0" w:type="dxa"/>
            <w:left w:w="108" w:type="dxa"/>
            <w:bottom w:w="0" w:type="dxa"/>
            <w:right w:w="108" w:type="dxa"/>
          </w:tblCellMar>
        </w:tblPrEx>
        <w:trPr>
          <w:trHeight w:val="351" w:hRule="atLeast"/>
        </w:trPr>
        <w:tc>
          <w:tcPr>
            <w:tcW w:w="961" w:type="dxa"/>
            <w:tcBorders>
              <w:top w:val="single" w:color="auto" w:sz="4" w:space="0"/>
              <w:left w:val="single" w:color="auto" w:sz="4" w:space="0"/>
              <w:bottom w:val="single" w:color="auto" w:sz="4" w:space="0"/>
              <w:right w:val="single" w:color="auto" w:sz="4" w:space="0"/>
            </w:tcBorders>
            <w:shd w:val="clear" w:color="auto" w:fill="8EAADB" w:themeFill="accent5" w:themeFillTint="99"/>
            <w:vAlign w:val="center"/>
          </w:tcPr>
          <w:p>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指标</w:t>
            </w:r>
          </w:p>
        </w:tc>
        <w:tc>
          <w:tcPr>
            <w:tcW w:w="1274" w:type="dxa"/>
            <w:tcBorders>
              <w:top w:val="single" w:color="auto" w:sz="4" w:space="0"/>
              <w:left w:val="nil"/>
              <w:bottom w:val="single" w:color="auto" w:sz="4" w:space="0"/>
              <w:right w:val="single" w:color="auto" w:sz="4" w:space="0"/>
            </w:tcBorders>
            <w:shd w:val="clear" w:color="auto" w:fill="8EAADB" w:themeFill="accent5" w:themeFillTint="99"/>
            <w:vAlign w:val="center"/>
          </w:tcPr>
          <w:p>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A.决策</w:t>
            </w:r>
          </w:p>
        </w:tc>
        <w:tc>
          <w:tcPr>
            <w:tcW w:w="1576" w:type="dxa"/>
            <w:tcBorders>
              <w:top w:val="single" w:color="auto" w:sz="4" w:space="0"/>
              <w:left w:val="nil"/>
              <w:bottom w:val="single" w:color="auto" w:sz="4" w:space="0"/>
              <w:right w:val="single" w:color="auto" w:sz="4" w:space="0"/>
            </w:tcBorders>
            <w:shd w:val="clear" w:color="auto" w:fill="8EAADB" w:themeFill="accent5" w:themeFillTint="99"/>
            <w:vAlign w:val="center"/>
          </w:tcPr>
          <w:p>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B.过程</w:t>
            </w:r>
          </w:p>
        </w:tc>
        <w:tc>
          <w:tcPr>
            <w:tcW w:w="1576" w:type="dxa"/>
            <w:tcBorders>
              <w:top w:val="single" w:color="auto" w:sz="4" w:space="0"/>
              <w:left w:val="nil"/>
              <w:bottom w:val="single" w:color="auto" w:sz="4" w:space="0"/>
              <w:right w:val="single" w:color="auto" w:sz="4" w:space="0"/>
            </w:tcBorders>
            <w:shd w:val="clear" w:color="auto" w:fill="8EAADB" w:themeFill="accent5" w:themeFillTint="99"/>
            <w:vAlign w:val="center"/>
          </w:tcPr>
          <w:p>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C.产出</w:t>
            </w:r>
          </w:p>
        </w:tc>
        <w:tc>
          <w:tcPr>
            <w:tcW w:w="1576" w:type="dxa"/>
            <w:tcBorders>
              <w:top w:val="single" w:color="auto" w:sz="4" w:space="0"/>
              <w:left w:val="nil"/>
              <w:bottom w:val="single" w:color="auto" w:sz="4" w:space="0"/>
              <w:right w:val="single" w:color="auto" w:sz="4" w:space="0"/>
            </w:tcBorders>
            <w:shd w:val="clear" w:color="auto" w:fill="8EAADB" w:themeFill="accent5" w:themeFillTint="99"/>
            <w:vAlign w:val="center"/>
          </w:tcPr>
          <w:p>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D.效益</w:t>
            </w:r>
          </w:p>
        </w:tc>
        <w:tc>
          <w:tcPr>
            <w:tcW w:w="1574" w:type="dxa"/>
            <w:tcBorders>
              <w:top w:val="single" w:color="auto" w:sz="4" w:space="0"/>
              <w:left w:val="nil"/>
              <w:bottom w:val="single" w:color="auto" w:sz="4" w:space="0"/>
              <w:right w:val="single" w:color="auto" w:sz="4" w:space="0"/>
            </w:tcBorders>
            <w:shd w:val="clear" w:color="auto" w:fill="8EAADB" w:themeFill="accent5" w:themeFillTint="99"/>
            <w:vAlign w:val="center"/>
          </w:tcPr>
          <w:p>
            <w:pPr>
              <w:widowControl/>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合计</w:t>
            </w:r>
          </w:p>
        </w:tc>
      </w:tr>
      <w:tr>
        <w:tblPrEx>
          <w:tblCellMar>
            <w:top w:w="0" w:type="dxa"/>
            <w:left w:w="108" w:type="dxa"/>
            <w:bottom w:w="0" w:type="dxa"/>
            <w:right w:w="108" w:type="dxa"/>
          </w:tblCellMar>
        </w:tblPrEx>
        <w:trPr>
          <w:trHeight w:val="323" w:hRule="atLeast"/>
        </w:trPr>
        <w:tc>
          <w:tcPr>
            <w:tcW w:w="96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权重</w:t>
            </w:r>
          </w:p>
        </w:tc>
        <w:tc>
          <w:tcPr>
            <w:tcW w:w="12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20</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20</w:t>
            </w:r>
          </w:p>
        </w:tc>
        <w:tc>
          <w:tcPr>
            <w:tcW w:w="1576" w:type="dxa"/>
            <w:tcBorders>
              <w:top w:val="nil"/>
              <w:left w:val="nil"/>
              <w:bottom w:val="single" w:color="auto" w:sz="4" w:space="0"/>
              <w:right w:val="single" w:color="auto" w:sz="4" w:space="0"/>
            </w:tcBorders>
            <w:shd w:val="clear" w:color="auto" w:fill="auto"/>
            <w:vAlign w:val="center"/>
          </w:tcPr>
          <w:p>
            <w:pPr>
              <w:keepLines/>
              <w:widowControl/>
              <w:spacing w:line="240" w:lineRule="exact"/>
              <w:contextualSpacing/>
              <w:jc w:val="center"/>
              <w:rPr>
                <w:rFonts w:ascii="Times New Roman" w:hAnsi="Times New Roman" w:eastAsia="仿宋_GB2312" w:cs="Times New Roman"/>
                <w:kern w:val="0"/>
                <w:szCs w:val="22"/>
              </w:rPr>
            </w:pPr>
            <w:r>
              <w:rPr>
                <w:rFonts w:ascii="Times New Roman" w:hAnsi="Times New Roman" w:eastAsia="仿宋_GB2312" w:cs="Times New Roman"/>
                <w:kern w:val="0"/>
                <w:szCs w:val="22"/>
              </w:rPr>
              <w:t>30</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30</w:t>
            </w:r>
          </w:p>
        </w:tc>
        <w:tc>
          <w:tcPr>
            <w:tcW w:w="15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100</w:t>
            </w:r>
          </w:p>
        </w:tc>
      </w:tr>
      <w:tr>
        <w:trPr>
          <w:trHeight w:val="351" w:hRule="atLeast"/>
        </w:trPr>
        <w:tc>
          <w:tcPr>
            <w:tcW w:w="96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得分</w:t>
            </w:r>
          </w:p>
        </w:tc>
        <w:tc>
          <w:tcPr>
            <w:tcW w:w="12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18</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12</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Cs w:val="22"/>
              </w:rPr>
              <w:t>27.74</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28.24</w:t>
            </w:r>
          </w:p>
        </w:tc>
        <w:tc>
          <w:tcPr>
            <w:tcW w:w="15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85.98</w:t>
            </w:r>
          </w:p>
        </w:tc>
      </w:tr>
      <w:tr>
        <w:trPr>
          <w:trHeight w:val="368" w:hRule="atLeast"/>
        </w:trPr>
        <w:tc>
          <w:tcPr>
            <w:tcW w:w="96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得分率</w:t>
            </w:r>
          </w:p>
        </w:tc>
        <w:tc>
          <w:tcPr>
            <w:tcW w:w="12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90%</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Cs/>
                <w:kern w:val="0"/>
                <w:sz w:val="22"/>
                <w:szCs w:val="22"/>
              </w:rPr>
            </w:pPr>
            <w:r>
              <w:rPr>
                <w:rFonts w:ascii="Times New Roman" w:hAnsi="Times New Roman" w:eastAsia="仿宋_GB2312" w:cs="Times New Roman"/>
                <w:bCs/>
                <w:kern w:val="0"/>
                <w:szCs w:val="22"/>
              </w:rPr>
              <w:t>60%</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92.5%</w:t>
            </w:r>
          </w:p>
        </w:tc>
        <w:tc>
          <w:tcPr>
            <w:tcW w:w="15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94.1%</w:t>
            </w:r>
          </w:p>
        </w:tc>
        <w:tc>
          <w:tcPr>
            <w:tcW w:w="15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85.98%</w:t>
            </w:r>
          </w:p>
        </w:tc>
      </w:tr>
    </w:tbl>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lang w:eastAsia="zh-CN"/>
        </w:rPr>
        <w:t>三、</w:t>
      </w:r>
      <w:r>
        <w:rPr>
          <w:rFonts w:hint="eastAsia" w:ascii="黑体" w:hAnsi="黑体" w:eastAsia="黑体"/>
          <w:sz w:val="32"/>
          <w:szCs w:val="32"/>
        </w:rPr>
        <w:t>存在的主要问题及原因分析</w:t>
      </w:r>
    </w:p>
    <w:p>
      <w:pPr>
        <w:pStyle w:val="16"/>
        <w:widowControl/>
        <w:numPr>
          <w:ilvl w:val="0"/>
          <w:numId w:val="0"/>
        </w:numPr>
        <w:spacing w:line="500" w:lineRule="exact"/>
        <w:ind w:left="0" w:leftChars="0" w:firstLine="640" w:firstLineChars="200"/>
        <w:jc w:val="both"/>
        <w:rPr>
          <w:rFonts w:ascii="Times New Roman" w:hAnsi="Times New Roman" w:eastAsia="仿宋_GB2312"/>
          <w:b/>
          <w:bCs/>
          <w:sz w:val="28"/>
          <w:szCs w:val="28"/>
          <w:lang w:bidi="ar"/>
        </w:rPr>
      </w:pPr>
      <w:r>
        <w:rPr>
          <w:rFonts w:hint="eastAsia" w:ascii="楷体_GB2312" w:hAnsi="楷体_GB2312" w:eastAsia="楷体_GB2312" w:cs="楷体_GB2312"/>
          <w:bCs w:val="0"/>
          <w:color w:val="auto"/>
          <w:kern w:val="0"/>
          <w:sz w:val="32"/>
          <w:szCs w:val="32"/>
          <w:lang w:val="en-US" w:eastAsia="zh-CN" w:bidi="ar-SA"/>
        </w:rPr>
        <w:t>（一）绿地及水面养护单价偏高</w:t>
      </w:r>
    </w:p>
    <w:p>
      <w:pPr>
        <w:adjustRightInd w:val="0"/>
        <w:snapToGrid w:val="0"/>
        <w:spacing w:line="56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文登区绿地及水面养护单价为3元/平方米，养护标准为一级养护、二级养护。与威海市其他区市以及省内其他区市的养护案例进行对比，通过调整系数将威海市其他区市、省内其他区市的养护单价调整至文登区相同标准后的单价分别为2.88元/平方米和2.82元/平方米，文登区养护单价偏高。</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（二）养护合同面积与实际养护面积不符</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根据2023年养护合同，威海舜盛建设工程有限公司承担的养护面积为1231公顷，且2023年仅此一家养护单位，而实际养护面积为1546.28公顷，二者不符。</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（三）行道树养护范围不准，与预算编制数据存在偏差</w:t>
      </w:r>
    </w:p>
    <w:p>
      <w:pPr>
        <w:pStyle w:val="15"/>
        <w:spacing w:line="560" w:lineRule="exact"/>
        <w:ind w:firstLine="56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绩效目标表中行道树养护数量为4.8万株，而预算编制时行道树数量为5.5万株。通过评价组调查了解到，威石路、龙海路共计12105株行道树现由文登区公路管理局养护，不在本项目养护范围内，故实际</w:t>
      </w:r>
      <w:bookmarkStart w:id="10" w:name="OLE_LINK44"/>
      <w:bookmarkStart w:id="11" w:name="OLE_LINK43"/>
      <w:r>
        <w:rPr>
          <w:rFonts w:hint="eastAsia" w:ascii="Times New Roman" w:hAnsi="Times New Roman" w:eastAsia="仿宋_GB2312" w:cs="Times New Roman"/>
          <w:color w:val="auto"/>
          <w:kern w:val="2"/>
          <w:sz w:val="32"/>
          <w:szCs w:val="32"/>
          <w:lang w:val="en-US" w:eastAsia="zh-CN" w:bidi="ar-SA"/>
        </w:rPr>
        <w:t>行道树养护数量低于4.8万株，预算编制测算依据不充分。</w:t>
      </w:r>
      <w:bookmarkStart w:id="12" w:name="OLE_LINK60"/>
      <w:bookmarkStart w:id="13" w:name="OLE_LINK7"/>
      <w:bookmarkStart w:id="14" w:name="OLE_LINK53"/>
      <w:bookmarkStart w:id="15" w:name="OLE_LINK6"/>
      <w:bookmarkStart w:id="16" w:name="OLE_LINK5"/>
    </w:p>
    <w:bookmarkEnd w:id="10"/>
    <w:bookmarkEnd w:id="11"/>
    <w:bookmarkEnd w:id="12"/>
    <w:bookmarkEnd w:id="13"/>
    <w:bookmarkEnd w:id="14"/>
    <w:bookmarkEnd w:id="15"/>
    <w:bookmarkEnd w:id="16"/>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（四）养护效果有待进一步提高</w:t>
      </w:r>
    </w:p>
    <w:p>
      <w:pPr>
        <w:pStyle w:val="16"/>
        <w:widowControl/>
        <w:spacing w:line="50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根据现场调研及问卷调查结果显示，群众反映仍存在有杂草、死树未清理，树木病虫害，抱龙河水面垃圾较多、水质浑浊，行道树遮挡路牌等问题，综合满意度为91.12%，绿化养护质量有待进一步提高。</w:t>
      </w:r>
    </w:p>
    <w:p>
      <w:pPr>
        <w:pStyle w:val="16"/>
        <w:widowControl/>
        <w:numPr>
          <w:ilvl w:val="0"/>
          <w:numId w:val="0"/>
        </w:numPr>
        <w:spacing w:line="500" w:lineRule="exact"/>
        <w:ind w:left="0" w:leftChars="0" w:firstLine="640" w:firstLineChars="200"/>
        <w:jc w:val="both"/>
        <w:rPr>
          <w:rFonts w:hint="default"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（五）资金到位率低，资金短缺</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2023年文登区绿地及水面养护费年初预算4660万元，2023年绿地及水面养护费实际到位资金0万元，2023年资金到位率0%，文登区绿化管护经费存在明显缺口，且随着绿化面积的不断增加，单位养护费不断降低，为降低维护成本，有可能会导致养护水平下降等问题。</w:t>
      </w:r>
    </w:p>
    <w:p>
      <w:pPr>
        <w:pStyle w:val="4"/>
        <w:numPr>
          <w:ilvl w:val="0"/>
          <w:numId w:val="0"/>
        </w:numPr>
        <w:adjustRightInd w:val="0"/>
        <w:snapToGrid w:val="0"/>
        <w:spacing w:before="0" w:after="0" w:line="560" w:lineRule="exact"/>
        <w:ind w:left="0" w:leftChars="0" w:firstLine="640" w:firstLineChars="200"/>
        <w:rPr>
          <w:rFonts w:hint="eastAsia" w:ascii="黑体" w:hAnsi="黑体" w:eastAsia="黑体" w:cs="仿宋_GB2312"/>
          <w:bCs w:val="0"/>
          <w:color w:val="auto"/>
          <w:kern w:val="2"/>
          <w:sz w:val="32"/>
          <w:szCs w:val="32"/>
          <w:lang w:val="en-US" w:eastAsia="zh-CN" w:bidi="ar-SA"/>
        </w:rPr>
      </w:pPr>
      <w:r>
        <w:rPr>
          <w:rFonts w:hint="eastAsia" w:ascii="黑体" w:hAnsi="黑体" w:eastAsia="黑体" w:cs="仿宋_GB2312"/>
          <w:bCs w:val="0"/>
          <w:color w:val="auto"/>
          <w:kern w:val="2"/>
          <w:sz w:val="32"/>
          <w:szCs w:val="32"/>
          <w:lang w:val="en-US" w:eastAsia="zh-CN" w:bidi="ar-SA"/>
        </w:rPr>
        <w:t>四、建议和对策</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（一）明确行道树养护基础数据和绿地养护单价标准，提高资金使用效益</w:t>
      </w:r>
    </w:p>
    <w:p>
      <w:pPr>
        <w:pStyle w:val="16"/>
        <w:widowControl/>
        <w:spacing w:line="56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应根据行道树历史数据，结合近年行道树数量的增减变动情况，合理确定行道树养护的基础数据，明确行道树养护范围，将不属于养护范围内的威石路、龙海路12105株行道树数据剔除，按照5元/株的养护单价，可压减预算资金6万元。根据成本绩效分析，通过对养护案例按一定的调整系数进行调整后算数平均，建议核定公园绿地养护单价为2.85元/平方米，按照2024年实际养护面积1587.29公顷，可压减预算资金238万元。</w:t>
      </w:r>
    </w:p>
    <w:p>
      <w:pPr>
        <w:pStyle w:val="16"/>
        <w:widowControl/>
        <w:spacing w:line="56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建议文登区绿地及水面养护项目年度总预算为4542万元，避免造成财政资金的浪费，节约财政资金，提高资金使用效益。</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（二）从实际出发，规范养护合同内容签订</w:t>
      </w:r>
    </w:p>
    <w:p>
      <w:pPr>
        <w:pStyle w:val="16"/>
        <w:widowControl/>
        <w:spacing w:line="56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养护合同应明确养护面积和养护范围，养护面积应与实际养护面积相一致，准确描述绿地养护的具体范围，如公园名称、道路名称等，必要时可以附上详细的养护数据来确保双方对养护范围的理解一致；同时可以明确不同养护区域达到的养护标准和质量要求。</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（三）加强对养护单位的过程管理，过程和结果并重</w:t>
      </w:r>
    </w:p>
    <w:p>
      <w:pPr>
        <w:widowControl/>
        <w:spacing w:line="560" w:lineRule="exact"/>
        <w:ind w:firstLine="640" w:firstLineChars="200"/>
        <w:jc w:val="left"/>
        <w:rPr>
          <w:rFonts w:hint="eastAsia" w:ascii="Times New Roman" w:hAnsi="Times New Roman" w:eastAsia="仿宋_GB2312" w:cs="Times New Roman"/>
          <w:color w:val="auto"/>
          <w:kern w:val="2"/>
          <w:sz w:val="32"/>
          <w:szCs w:val="32"/>
          <w:lang w:val="en-US" w:eastAsia="zh-CN" w:bidi="ar-SA"/>
        </w:rPr>
      </w:pPr>
      <w:bookmarkStart w:id="17" w:name="OLE_LINK45"/>
      <w:bookmarkStart w:id="18" w:name="OLE_LINK46"/>
      <w:r>
        <w:rPr>
          <w:rFonts w:hint="eastAsia" w:ascii="Times New Roman" w:hAnsi="Times New Roman" w:eastAsia="仿宋_GB2312" w:cs="Times New Roman"/>
          <w:color w:val="auto"/>
          <w:kern w:val="2"/>
          <w:sz w:val="32"/>
          <w:szCs w:val="32"/>
          <w:lang w:val="en-US" w:eastAsia="zh-CN" w:bidi="ar-SA"/>
        </w:rPr>
        <w:t>注重对养护公司养护成果考核的同时，适当关注养护公司自身的业务管理和养护过程管理。对养护公司业务管理的规范性和有效性，日常养护记录等资料的完备性方面也应纳入考核范围，敦促养护单位及时提交月报、年度养护计划和工作总结，建立统一的工作台账，实现对养护过程和效果的全面监管。</w:t>
      </w:r>
      <w:bookmarkEnd w:id="17"/>
      <w:bookmarkEnd w:id="18"/>
    </w:p>
    <w:p>
      <w:pPr>
        <w:widowControl/>
        <w:spacing w:line="560" w:lineRule="exact"/>
        <w:ind w:firstLine="640" w:firstLineChars="200"/>
        <w:jc w:val="left"/>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可组织养护单位统一对现有行道树数量进行清点，必要时可采购第三方服务，保证养护基础数据的准确性。建立养护数据台账，对养护面积变更、行道树增减等情况及时进行更新，与养护单位进行信息的同步更新，提高养护数据的准确性。</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（四）加强队伍建设，防护与教育并举，提高养护成果</w:t>
      </w:r>
    </w:p>
    <w:p>
      <w:pPr>
        <w:spacing w:line="56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由于养护雇佣工年龄结构偏大、临时工队伍不稳定等原因，应加强对养护人员的专业技术培训，提高养护管理技术水平，通过加强绿化专业人员培训，提高养护管理技术水平，提高群众满意度。</w:t>
      </w:r>
    </w:p>
    <w:p>
      <w:pPr>
        <w:widowControl/>
        <w:spacing w:line="560" w:lineRule="exact"/>
        <w:ind w:firstLine="640" w:firstLineChars="200"/>
        <w:jc w:val="left"/>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绿地养护工作不仅是养护管理部门的责任，更是每个公民的责任。城市管理者应不断加强公民对绿化的关注度，通过媒体、公众号等进行宣传与教育，提高公民爱绿、护绿的意识，减少恶意损坏植物的现象发生。</w:t>
      </w:r>
    </w:p>
    <w:p>
      <w:pPr>
        <w:pStyle w:val="16"/>
        <w:widowControl/>
        <w:numPr>
          <w:ilvl w:val="0"/>
          <w:numId w:val="0"/>
        </w:numPr>
        <w:spacing w:line="500" w:lineRule="exact"/>
        <w:ind w:left="0" w:leftChars="0" w:firstLine="640" w:firstLineChars="200"/>
        <w:jc w:val="both"/>
        <w:rPr>
          <w:rFonts w:hint="eastAsia" w:ascii="楷体_GB2312" w:hAnsi="楷体_GB2312" w:eastAsia="楷体_GB2312" w:cs="楷体_GB2312"/>
          <w:bCs w:val="0"/>
          <w:color w:val="auto"/>
          <w:kern w:val="0"/>
          <w:sz w:val="32"/>
          <w:szCs w:val="32"/>
          <w:lang w:val="en-US" w:eastAsia="zh-CN" w:bidi="ar-SA"/>
        </w:rPr>
      </w:pPr>
      <w:r>
        <w:rPr>
          <w:rFonts w:hint="eastAsia" w:ascii="楷体_GB2312" w:hAnsi="楷体_GB2312" w:eastAsia="楷体_GB2312" w:cs="楷体_GB2312"/>
          <w:bCs w:val="0"/>
          <w:color w:val="auto"/>
          <w:kern w:val="0"/>
          <w:sz w:val="32"/>
          <w:szCs w:val="32"/>
          <w:lang w:val="en-US" w:eastAsia="zh-CN" w:bidi="ar-SA"/>
        </w:rPr>
        <w:t>（五）适当延长合同期限，提高绿化养护质量</w:t>
      </w:r>
    </w:p>
    <w:p>
      <w:pPr>
        <w:pStyle w:val="16"/>
        <w:widowControl/>
        <w:spacing w:line="56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论是2023年还是2024年管护合同签订的管护期限均为一年，根据《威海市区城市绿化养护管理办法》第十条：“各级城市绿化主管部门应与中标的养护单位依法签订养护合同，养护期一般为2年。”适当延长绿化养护合同期限在一定程度上可以提高绿化养护质量，保证绿化管养工作的连续性和稳定性，确保植物健康生长，同时减少频繁更换养护队伍的麻烦，以及减少因频繁更换养护队伍可能导致的植物损伤。</w:t>
      </w:r>
    </w:p>
    <w:p>
      <w:pPr>
        <w:pStyle w:val="16"/>
        <w:widowControl/>
        <w:spacing w:line="560" w:lineRule="exact"/>
        <w:ind w:left="-710"/>
        <w:jc w:val="both"/>
        <w:rPr>
          <w:rFonts w:hint="eastAsia" w:ascii="Times New Roman" w:hAnsi="Times New Roman" w:eastAsia="仿宋_GB2312" w:cs="Times New Roman"/>
          <w:color w:val="auto"/>
          <w:kern w:val="2"/>
          <w:sz w:val="32"/>
          <w:szCs w:val="32"/>
          <w:lang w:val="en-US" w:eastAsia="zh-CN" w:bidi="ar-SA"/>
        </w:rPr>
        <w:sectPr>
          <w:headerReference r:id="rId9" w:type="default"/>
          <w:footerReference r:id="rId10" w:type="default"/>
          <w:footnotePr>
            <w:numRestart w:val="eachPage"/>
          </w:footnotePr>
          <w:pgSz w:w="11906" w:h="16838"/>
          <w:pgMar w:top="1440" w:right="1797" w:bottom="1440" w:left="1797" w:header="851" w:footer="992" w:gutter="0"/>
          <w:pgNumType w:start="1"/>
          <w:cols w:space="425" w:num="1"/>
          <w:docGrid w:type="lines" w:linePitch="312" w:charSpace="0"/>
        </w:sectPr>
      </w:pPr>
    </w:p>
    <w:p>
      <w:pPr>
        <w:spacing w:line="590" w:lineRule="exact"/>
        <w:ind w:firstLine="0" w:firstLineChars="0"/>
        <w:jc w:val="right"/>
        <w:rPr>
          <w:rFonts w:ascii="仿宋" w:hAnsi="仿宋" w:eastAsia="仿宋" w:cs="仿宋"/>
          <w:b/>
          <w:bCs/>
          <w:sz w:val="36"/>
          <w:szCs w:val="36"/>
        </w:rPr>
      </w:pPr>
    </w:p>
    <w:p>
      <w:pPr>
        <w:spacing w:line="590" w:lineRule="exact"/>
        <w:ind w:firstLine="723"/>
        <w:jc w:val="center"/>
        <w:rPr>
          <w:rFonts w:ascii="仿宋" w:hAnsi="仿宋" w:eastAsia="仿宋" w:cs="仿宋"/>
          <w:b/>
          <w:bCs/>
          <w:sz w:val="36"/>
          <w:szCs w:val="36"/>
        </w:rPr>
      </w:pPr>
    </w:p>
    <w:p>
      <w:pPr>
        <w:spacing w:line="590" w:lineRule="exact"/>
        <w:ind w:firstLine="723"/>
        <w:jc w:val="center"/>
        <w:rPr>
          <w:rFonts w:ascii="仿宋" w:hAnsi="仿宋" w:eastAsia="仿宋" w:cs="仿宋"/>
          <w:b/>
          <w:bCs/>
          <w:sz w:val="36"/>
          <w:szCs w:val="36"/>
        </w:rPr>
      </w:pPr>
    </w:p>
    <w:p>
      <w:pPr>
        <w:spacing w:line="590" w:lineRule="exact"/>
        <w:ind w:firstLine="803"/>
        <w:jc w:val="center"/>
        <w:rPr>
          <w:rFonts w:ascii="仿宋" w:hAnsi="仿宋" w:eastAsia="仿宋" w:cs="仿宋"/>
          <w:b/>
          <w:bCs/>
          <w:sz w:val="40"/>
          <w:szCs w:val="40"/>
        </w:rPr>
      </w:pP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lang w:val="en-US" w:eastAsia="zh-CN"/>
        </w:rPr>
      </w:pPr>
      <w:r>
        <w:rPr>
          <w:rFonts w:hint="eastAsia" w:ascii="方正小标宋简体" w:hAnsi="方正小标宋简体" w:eastAsia="方正小标宋简体" w:cs="方正小标宋简体"/>
          <w:b/>
          <w:bCs/>
          <w:color w:val="000000"/>
          <w:kern w:val="0"/>
          <w:sz w:val="44"/>
          <w:szCs w:val="44"/>
          <w:lang w:val="en-US" w:eastAsia="zh-CN"/>
        </w:rPr>
        <w:t>2023年威海市文登区</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lang w:val="en-US" w:eastAsia="zh-CN"/>
        </w:rPr>
      </w:pPr>
      <w:r>
        <w:rPr>
          <w:rFonts w:hint="eastAsia" w:ascii="方正小标宋简体" w:hAnsi="方正小标宋简体" w:eastAsia="方正小标宋简体" w:cs="方正小标宋简体"/>
          <w:b/>
          <w:bCs/>
          <w:color w:val="000000"/>
          <w:kern w:val="0"/>
          <w:sz w:val="44"/>
          <w:szCs w:val="44"/>
          <w:lang w:val="en-US" w:eastAsia="zh-CN"/>
        </w:rPr>
        <w:t>义务教育学校课后托管经费项目</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4"/>
          <w:szCs w:val="44"/>
        </w:rPr>
      </w:pPr>
      <w:r>
        <w:rPr>
          <w:rFonts w:hint="eastAsia" w:ascii="方正小标宋简体" w:hAnsi="方正小标宋简体" w:eastAsia="方正小标宋简体" w:cs="方正小标宋简体"/>
          <w:b/>
          <w:bCs/>
          <w:color w:val="000000"/>
          <w:kern w:val="0"/>
          <w:sz w:val="44"/>
          <w:szCs w:val="44"/>
          <w:lang w:val="en-US" w:eastAsia="zh-CN"/>
        </w:rPr>
        <w:t>绩效评价报告</w:t>
      </w:r>
    </w:p>
    <w:p>
      <w:pPr>
        <w:autoSpaceDE w:val="0"/>
        <w:autoSpaceDN w:val="0"/>
        <w:adjustRightInd w:val="0"/>
        <w:spacing w:line="590" w:lineRule="exact"/>
        <w:ind w:firstLine="0" w:firstLineChars="0"/>
        <w:jc w:val="center"/>
        <w:rPr>
          <w:rFonts w:ascii="仿宋" w:hAnsi="仿宋" w:eastAsia="仿宋" w:cs="仿宋"/>
          <w:b/>
          <w:bCs/>
          <w:color w:val="000000"/>
          <w:kern w:val="0"/>
          <w:sz w:val="52"/>
          <w:szCs w:val="52"/>
        </w:rPr>
      </w:pPr>
    </w:p>
    <w:p>
      <w:pPr>
        <w:spacing w:line="590" w:lineRule="exact"/>
        <w:ind w:left="680"/>
        <w:rPr>
          <w:rFonts w:ascii="仿宋" w:hAnsi="仿宋" w:eastAsia="仿宋" w:cs="仿宋"/>
          <w:sz w:val="32"/>
        </w:rPr>
      </w:pPr>
    </w:p>
    <w:p>
      <w:pPr>
        <w:spacing w:line="590" w:lineRule="exact"/>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jc w:val="center"/>
        <w:rPr>
          <w:rFonts w:ascii="仿宋" w:hAnsi="仿宋" w:eastAsia="仿宋" w:cs="仿宋"/>
          <w:b/>
          <w:bCs/>
          <w:sz w:val="32"/>
          <w:szCs w:val="24"/>
        </w:rPr>
      </w:pPr>
      <w:r>
        <w:rPr>
          <w:rFonts w:hint="eastAsia" w:ascii="仿宋" w:hAnsi="仿宋" w:eastAsia="仿宋" w:cs="仿宋"/>
          <w:b/>
          <w:bCs/>
          <w:sz w:val="32"/>
          <w:szCs w:val="24"/>
        </w:rPr>
        <w:t>威海市文登区财政局</w:t>
      </w:r>
    </w:p>
    <w:p>
      <w:pPr>
        <w:spacing w:line="590" w:lineRule="exact"/>
        <w:jc w:val="center"/>
        <w:rPr>
          <w:rFonts w:ascii="仿宋" w:hAnsi="仿宋" w:eastAsia="仿宋" w:cs="仿宋"/>
          <w:b/>
          <w:bCs/>
          <w:sz w:val="32"/>
          <w:szCs w:val="24"/>
        </w:rPr>
        <w:sectPr>
          <w:headerReference r:id="rId13" w:type="first"/>
          <w:footerReference r:id="rId16" w:type="first"/>
          <w:headerReference r:id="rId11" w:type="default"/>
          <w:footerReference r:id="rId14" w:type="default"/>
          <w:headerReference r:id="rId12" w:type="even"/>
          <w:footerReference r:id="rId15" w:type="even"/>
          <w:pgSz w:w="11850" w:h="16783"/>
          <w:pgMar w:top="1440" w:right="1440" w:bottom="1440" w:left="1440" w:header="737" w:footer="1077" w:gutter="0"/>
          <w:cols w:equalWidth="0" w:num="1">
            <w:col w:w="9026"/>
          </w:cols>
          <w:docGrid w:linePitch="360" w:charSpace="0"/>
        </w:sectPr>
      </w:pPr>
      <w:r>
        <w:rPr>
          <w:rFonts w:hint="eastAsia" w:ascii="仿宋" w:hAnsi="仿宋" w:eastAsia="仿宋" w:cs="仿宋"/>
          <w:b/>
          <w:bCs/>
          <w:sz w:val="32"/>
          <w:szCs w:val="24"/>
        </w:rPr>
        <w:t>评价时间：202</w:t>
      </w:r>
      <w:r>
        <w:rPr>
          <w:rFonts w:hint="eastAsia" w:ascii="仿宋" w:hAnsi="仿宋" w:eastAsia="仿宋" w:cs="仿宋"/>
          <w:b/>
          <w:bCs/>
          <w:sz w:val="32"/>
          <w:szCs w:val="24"/>
          <w:lang w:val="en-US" w:eastAsia="zh-CN"/>
        </w:rPr>
        <w:t>4</w:t>
      </w:r>
      <w:r>
        <w:rPr>
          <w:rFonts w:hint="eastAsia" w:ascii="仿宋" w:hAnsi="仿宋" w:eastAsia="仿宋" w:cs="仿宋"/>
          <w:b/>
          <w:bCs/>
          <w:sz w:val="32"/>
          <w:szCs w:val="24"/>
        </w:rPr>
        <w:t xml:space="preserve"> 年 </w:t>
      </w:r>
      <w:r>
        <w:rPr>
          <w:rFonts w:hint="eastAsia" w:ascii="仿宋" w:hAnsi="仿宋" w:eastAsia="仿宋" w:cs="仿宋"/>
          <w:b/>
          <w:bCs/>
          <w:sz w:val="32"/>
          <w:szCs w:val="24"/>
          <w:lang w:val="en-US" w:eastAsia="zh-CN"/>
        </w:rPr>
        <w:t>7</w:t>
      </w:r>
      <w:r>
        <w:rPr>
          <w:rFonts w:hint="eastAsia" w:ascii="仿宋" w:hAnsi="仿宋" w:eastAsia="仿宋" w:cs="仿宋"/>
          <w:b/>
          <w:bCs/>
          <w:sz w:val="32"/>
          <w:szCs w:val="24"/>
        </w:rPr>
        <w:t xml:space="preserve"> 月</w:t>
      </w:r>
    </w:p>
    <w:p>
      <w:pPr>
        <w:pStyle w:val="3"/>
        <w:pageBreakBefore w:val="0"/>
        <w:widowControl w:val="0"/>
        <w:numPr>
          <w:ilvl w:val="0"/>
          <w:numId w:val="4"/>
        </w:numPr>
        <w:kinsoku/>
        <w:wordWrap/>
        <w:overflowPunct/>
        <w:topLinePunct w:val="0"/>
        <w:bidi w:val="0"/>
        <w:adjustRightInd/>
        <w:snapToGrid/>
        <w:spacing w:line="560" w:lineRule="exact"/>
        <w:ind w:firstLine="640" w:firstLineChars="200"/>
        <w:textAlignment w:val="auto"/>
        <w:rPr>
          <w:rFonts w:ascii="Times New Roman" w:hAnsi="Times New Roman" w:eastAsia="黑体" w:cs="Times New Roman"/>
        </w:rPr>
      </w:pPr>
      <w:bookmarkStart w:id="19" w:name="_Toc109805674"/>
      <w:r>
        <w:rPr>
          <w:rFonts w:ascii="Times New Roman" w:hAnsi="Times New Roman" w:eastAsia="黑体" w:cs="Times New Roman"/>
        </w:rPr>
        <w:t>项目概况</w:t>
      </w:r>
      <w:bookmarkEnd w:id="19"/>
    </w:p>
    <w:p>
      <w:pPr>
        <w:ind w:firstLine="640" w:firstLineChars="200"/>
        <w:rPr>
          <w:rFonts w:eastAsia="仿宋_GB2312"/>
          <w:b/>
          <w:sz w:val="28"/>
          <w:szCs w:val="28"/>
          <w:lang w:bidi="en-US"/>
        </w:rPr>
      </w:pPr>
      <w:r>
        <w:rPr>
          <w:rFonts w:hint="eastAsia" w:eastAsia="楷体_GB2312"/>
          <w:sz w:val="32"/>
          <w:szCs w:val="32"/>
        </w:rPr>
        <w:t>（一）</w:t>
      </w:r>
      <w:r>
        <w:rPr>
          <w:rFonts w:eastAsia="楷体_GB2312"/>
          <w:sz w:val="32"/>
          <w:szCs w:val="32"/>
        </w:rPr>
        <w:t>项目立项背景及实施目的</w:t>
      </w:r>
    </w:p>
    <w:p>
      <w:pPr>
        <w:spacing w:line="600" w:lineRule="exact"/>
        <w:ind w:firstLine="640" w:firstLineChars="200"/>
        <w:rPr>
          <w:rFonts w:eastAsia="仿宋_GB2312"/>
          <w:bCs/>
          <w:sz w:val="32"/>
          <w:szCs w:val="32"/>
          <w:lang w:bidi="en-US"/>
        </w:rPr>
      </w:pPr>
      <w:r>
        <w:rPr>
          <w:rFonts w:hint="eastAsia" w:eastAsia="仿宋_GB2312"/>
          <w:bCs/>
          <w:sz w:val="32"/>
          <w:szCs w:val="32"/>
          <w:lang w:bidi="en-US"/>
        </w:rPr>
        <w:t>为减轻学生校外过重课业负担、促进学生特长发展、提升学生综合素质，同时保障学生安全，缓解部分学生家长按时接送孩子困难的问题，文登区教育和体育局等四部门联合下发文件，启动义务教育阶段学校课后托管服务。</w:t>
      </w:r>
    </w:p>
    <w:p>
      <w:pPr>
        <w:spacing w:line="600" w:lineRule="exact"/>
        <w:ind w:firstLine="640" w:firstLineChars="200"/>
        <w:rPr>
          <w:rFonts w:eastAsia="楷体_GB2312"/>
          <w:sz w:val="32"/>
          <w:szCs w:val="32"/>
        </w:rPr>
      </w:pPr>
      <w:r>
        <w:rPr>
          <w:rFonts w:hint="eastAsia" w:eastAsia="楷体_GB2312"/>
          <w:sz w:val="32"/>
          <w:szCs w:val="32"/>
        </w:rPr>
        <w:t>（二）</w:t>
      </w:r>
      <w:r>
        <w:rPr>
          <w:rFonts w:eastAsia="楷体_GB2312"/>
          <w:sz w:val="32"/>
          <w:szCs w:val="32"/>
        </w:rPr>
        <w:t>项目预算安排和支出情况</w:t>
      </w:r>
    </w:p>
    <w:p>
      <w:pPr>
        <w:spacing w:line="600" w:lineRule="exact"/>
        <w:ind w:firstLine="561"/>
        <w:rPr>
          <w:rFonts w:ascii="仿宋_GB2312" w:eastAsia="仿宋_GB2312"/>
          <w:sz w:val="32"/>
          <w:szCs w:val="32"/>
        </w:rPr>
      </w:pPr>
      <w:r>
        <w:rPr>
          <w:rFonts w:hint="eastAsia" w:ascii="仿宋_GB2312" w:eastAsia="仿宋_GB2312"/>
          <w:sz w:val="32"/>
          <w:szCs w:val="32"/>
        </w:rPr>
        <w:t>项目计划资金安排如下：项目</w:t>
      </w:r>
      <w:r>
        <w:rPr>
          <w:rFonts w:hint="eastAsia" w:eastAsia="仿宋_GB2312"/>
          <w:bCs/>
          <w:sz w:val="32"/>
          <w:szCs w:val="32"/>
          <w:lang w:bidi="en-US"/>
        </w:rPr>
        <w:t>2023</w:t>
      </w:r>
      <w:r>
        <w:rPr>
          <w:rFonts w:hint="eastAsia" w:ascii="仿宋_GB2312" w:eastAsia="仿宋_GB2312"/>
          <w:sz w:val="32"/>
          <w:szCs w:val="32"/>
        </w:rPr>
        <w:t>年度本级财政共安排预算资金</w:t>
      </w:r>
      <w:r>
        <w:rPr>
          <w:rFonts w:hint="eastAsia" w:eastAsia="仿宋_GB2312"/>
          <w:bCs/>
          <w:sz w:val="32"/>
          <w:szCs w:val="32"/>
          <w:lang w:bidi="en-US"/>
        </w:rPr>
        <w:t>100</w:t>
      </w:r>
      <w:r>
        <w:rPr>
          <w:rFonts w:hint="eastAsia" w:ascii="仿宋_GB2312" w:eastAsia="仿宋_GB2312"/>
          <w:sz w:val="32"/>
          <w:szCs w:val="32"/>
        </w:rPr>
        <w:t>万元，用于课后托管服务经费保障。</w:t>
      </w:r>
    </w:p>
    <w:p>
      <w:pPr>
        <w:spacing w:line="600" w:lineRule="exact"/>
        <w:ind w:firstLine="640" w:firstLineChars="200"/>
        <w:rPr>
          <w:rFonts w:ascii="楷体_GB2312" w:eastAsia="楷体_GB2312"/>
          <w:bCs/>
          <w:sz w:val="32"/>
          <w:szCs w:val="32"/>
          <w:lang w:bidi="en-US"/>
        </w:rPr>
      </w:pPr>
      <w:r>
        <w:rPr>
          <w:rFonts w:hint="eastAsia" w:eastAsia="仿宋_GB2312"/>
          <w:bCs/>
          <w:sz w:val="32"/>
          <w:szCs w:val="32"/>
          <w:lang w:bidi="en-US"/>
        </w:rPr>
        <w:t>项目资金支出情况：项目拨付资金全部用于课后托管服务经费保障，文登区教育和体育局针对该补贴资金制定了专门的发放方案，方案规定按照每师每课时50元标准核定补助。各学校在收到补助经费后全部发放给参与课后服务的教职工。</w:t>
      </w:r>
      <w:r>
        <w:rPr>
          <w:rFonts w:hint="eastAsia" w:ascii="楷体_GB2312" w:eastAsia="楷体_GB2312"/>
          <w:bCs/>
          <w:sz w:val="32"/>
          <w:szCs w:val="32"/>
          <w:lang w:bidi="en-US"/>
        </w:rPr>
        <w:t>（注：资金分配情况详见附件3：课后托管保障资金分配情况统计表）</w:t>
      </w:r>
    </w:p>
    <w:p>
      <w:pPr>
        <w:spacing w:line="600" w:lineRule="exact"/>
        <w:ind w:firstLine="640" w:firstLineChars="200"/>
        <w:rPr>
          <w:rFonts w:eastAsia="仿宋_GB2312"/>
          <w:bCs/>
          <w:sz w:val="32"/>
          <w:szCs w:val="32"/>
          <w:lang w:bidi="en-US"/>
        </w:rPr>
      </w:pPr>
      <w:r>
        <w:rPr>
          <w:rFonts w:hint="eastAsia" w:eastAsia="楷体_GB2312"/>
          <w:sz w:val="32"/>
          <w:szCs w:val="32"/>
        </w:rPr>
        <w:t>（三）</w:t>
      </w:r>
      <w:r>
        <w:rPr>
          <w:rFonts w:eastAsia="楷体_GB2312"/>
          <w:sz w:val="32"/>
          <w:szCs w:val="32"/>
        </w:rPr>
        <w:t>项目主要内容</w:t>
      </w:r>
      <w:r>
        <w:rPr>
          <w:rFonts w:hint="eastAsia" w:eastAsia="楷体_GB2312"/>
          <w:sz w:val="32"/>
          <w:szCs w:val="32"/>
        </w:rPr>
        <w:t>和实施情况</w:t>
      </w:r>
    </w:p>
    <w:p>
      <w:pPr>
        <w:spacing w:line="600" w:lineRule="exact"/>
        <w:ind w:firstLine="640" w:firstLineChars="200"/>
        <w:rPr>
          <w:rFonts w:eastAsia="仿宋_GB2312"/>
          <w:bCs/>
          <w:sz w:val="32"/>
          <w:szCs w:val="32"/>
          <w:lang w:bidi="en-US"/>
        </w:rPr>
      </w:pPr>
      <w:r>
        <w:rPr>
          <w:rFonts w:hint="eastAsia" w:eastAsia="仿宋_GB2312"/>
          <w:bCs/>
          <w:sz w:val="32"/>
          <w:szCs w:val="32"/>
          <w:lang w:bidi="en-US"/>
        </w:rPr>
        <w:t xml:space="preserve">项目主要内容：项目为义务教育阶段在校生提供课后托管服务，主要服务内容包括开展作业辅导和素质拓展活动等，项目坚持公益属性原则，由学生及家长自愿选择是否参加课后托管服务。  </w:t>
      </w:r>
    </w:p>
    <w:p>
      <w:pPr>
        <w:spacing w:line="600" w:lineRule="exact"/>
        <w:ind w:firstLine="640" w:firstLineChars="200"/>
        <w:rPr>
          <w:rFonts w:eastAsia="仿宋_GB2312"/>
          <w:bCs/>
          <w:sz w:val="32"/>
          <w:szCs w:val="32"/>
          <w:lang w:bidi="en-US"/>
        </w:rPr>
      </w:pPr>
      <w:r>
        <w:rPr>
          <w:rFonts w:hint="eastAsia" w:eastAsia="仿宋_GB2312"/>
          <w:bCs/>
          <w:sz w:val="32"/>
          <w:szCs w:val="32"/>
          <w:lang w:bidi="en-US"/>
        </w:rPr>
        <w:t>项目实施情况：自2021年开始，文登区在全区义务教育阶段学校开展课后托管服务，截止本次评价，该项目经费完全由文登区财政补贴资金保障，各学校均未收取服务性收费。</w:t>
      </w:r>
    </w:p>
    <w:p>
      <w:pPr>
        <w:pStyle w:val="59"/>
        <w:spacing w:line="600" w:lineRule="exact"/>
        <w:ind w:left="640"/>
        <w:rPr>
          <w:rFonts w:eastAsia="黑体"/>
          <w:sz w:val="32"/>
          <w:szCs w:val="32"/>
        </w:rPr>
      </w:pPr>
      <w:r>
        <w:rPr>
          <w:rFonts w:hint="eastAsia" w:eastAsia="黑体"/>
          <w:sz w:val="32"/>
          <w:szCs w:val="32"/>
          <w:lang w:eastAsia="zh-CN"/>
        </w:rPr>
        <w:t>二</w:t>
      </w:r>
      <w:r>
        <w:rPr>
          <w:rFonts w:hint="eastAsia" w:eastAsia="黑体"/>
          <w:sz w:val="32"/>
          <w:szCs w:val="32"/>
        </w:rPr>
        <w:t>、</w:t>
      </w:r>
      <w:r>
        <w:rPr>
          <w:rFonts w:eastAsia="黑体"/>
          <w:sz w:val="32"/>
          <w:szCs w:val="32"/>
        </w:rPr>
        <w:t>评价结论和绩效分析</w:t>
      </w:r>
    </w:p>
    <w:p>
      <w:pPr>
        <w:pStyle w:val="59"/>
        <w:spacing w:line="600" w:lineRule="exact"/>
        <w:ind w:left="640"/>
        <w:rPr>
          <w:rFonts w:eastAsia="楷体_GB2312"/>
          <w:sz w:val="32"/>
          <w:szCs w:val="32"/>
        </w:rPr>
      </w:pPr>
      <w:r>
        <w:rPr>
          <w:rFonts w:eastAsia="楷体_GB2312"/>
          <w:sz w:val="32"/>
          <w:szCs w:val="32"/>
        </w:rPr>
        <w:t>（一）综合评价结论</w:t>
      </w:r>
    </w:p>
    <w:p>
      <w:pPr>
        <w:spacing w:line="600" w:lineRule="exact"/>
        <w:ind w:firstLine="640" w:firstLineChars="200"/>
        <w:rPr>
          <w:rFonts w:ascii="楷体_GB2312" w:eastAsia="楷体_GB2312"/>
          <w:bCs/>
          <w:sz w:val="32"/>
          <w:szCs w:val="32"/>
          <w:lang w:bidi="en-US"/>
        </w:rPr>
      </w:pPr>
      <w:r>
        <w:rPr>
          <w:rFonts w:hint="eastAsia" w:eastAsia="仿宋_GB2312"/>
          <w:bCs/>
          <w:sz w:val="32"/>
          <w:szCs w:val="32"/>
          <w:lang w:bidi="en-US"/>
        </w:rPr>
        <w:t>经综合评价，威海市文登区义务教育阶段学生课后托管经费项目得分89.92分，评价等级为良。</w:t>
      </w:r>
      <w:r>
        <w:rPr>
          <w:rFonts w:hint="eastAsia" w:ascii="楷体_GB2312" w:eastAsia="楷体_GB2312"/>
          <w:bCs/>
          <w:sz w:val="32"/>
          <w:szCs w:val="32"/>
          <w:lang w:bidi="en-US"/>
        </w:rPr>
        <w:t>（注：详细评分指标、评分依据及评分计算过程详见附件2：绩效评价指标表）</w:t>
      </w:r>
    </w:p>
    <w:p>
      <w:pPr>
        <w:pStyle w:val="59"/>
        <w:spacing w:line="600" w:lineRule="exact"/>
        <w:ind w:left="640"/>
        <w:rPr>
          <w:rFonts w:eastAsia="楷体_GB2312"/>
          <w:sz w:val="32"/>
          <w:szCs w:val="32"/>
        </w:rPr>
      </w:pPr>
      <w:r>
        <w:rPr>
          <w:rFonts w:eastAsia="楷体_GB2312"/>
          <w:sz w:val="32"/>
          <w:szCs w:val="32"/>
        </w:rPr>
        <w:t>（二）绩效分析</w:t>
      </w:r>
    </w:p>
    <w:p>
      <w:pPr>
        <w:spacing w:line="560" w:lineRule="exact"/>
        <w:ind w:firstLine="640" w:firstLineChars="200"/>
        <w:rPr>
          <w:rFonts w:hint="eastAsia" w:eastAsia="仿宋_GB2312"/>
          <w:bCs/>
          <w:sz w:val="32"/>
          <w:szCs w:val="32"/>
          <w:lang w:bidi="en-US"/>
        </w:rPr>
      </w:pPr>
      <w:r>
        <w:rPr>
          <w:rFonts w:hint="eastAsia" w:eastAsia="仿宋_GB2312"/>
          <w:bCs/>
          <w:sz w:val="32"/>
          <w:szCs w:val="32"/>
          <w:lang w:bidi="en-US"/>
        </w:rPr>
        <w:t>该项目实施后有效地解决了部分学生家长按时接送孩子困难的问题，同时保障了学生安全；对减轻学生校外课业负担、促进学生特长发展、提升学生综合素质等方面发挥了一定作用，社会满意度高。本次评价共收回有效调查问卷3816份，该项目综合满意度9</w:t>
      </w:r>
      <w:r>
        <w:rPr>
          <w:rFonts w:eastAsia="仿宋_GB2312"/>
          <w:bCs/>
          <w:sz w:val="32"/>
          <w:szCs w:val="32"/>
          <w:lang w:bidi="en-US"/>
        </w:rPr>
        <w:t>9%</w:t>
      </w:r>
      <w:r>
        <w:rPr>
          <w:rFonts w:hint="eastAsia" w:eastAsia="仿宋_GB2312"/>
          <w:bCs/>
          <w:sz w:val="32"/>
          <w:szCs w:val="32"/>
          <w:lang w:bidi="en-US"/>
        </w:rPr>
        <w:t>。</w:t>
      </w:r>
    </w:p>
    <w:p>
      <w:pPr>
        <w:pStyle w:val="59"/>
        <w:spacing w:line="600" w:lineRule="exact"/>
        <w:ind w:left="640"/>
        <w:rPr>
          <w:rFonts w:eastAsia="黑体"/>
          <w:sz w:val="32"/>
          <w:szCs w:val="32"/>
        </w:rPr>
      </w:pPr>
      <w:r>
        <w:rPr>
          <w:rFonts w:hint="eastAsia" w:eastAsia="黑体"/>
          <w:sz w:val="32"/>
          <w:szCs w:val="32"/>
          <w:lang w:eastAsia="zh-CN"/>
        </w:rPr>
        <w:t>三</w:t>
      </w:r>
      <w:r>
        <w:rPr>
          <w:rFonts w:hint="eastAsia" w:eastAsia="黑体"/>
          <w:sz w:val="32"/>
          <w:szCs w:val="32"/>
        </w:rPr>
        <w:t>、</w:t>
      </w:r>
      <w:r>
        <w:rPr>
          <w:rFonts w:eastAsia="黑体"/>
          <w:sz w:val="32"/>
          <w:szCs w:val="32"/>
        </w:rPr>
        <w:t>存在问题及原因分析</w:t>
      </w:r>
    </w:p>
    <w:p>
      <w:pPr>
        <w:spacing w:line="600" w:lineRule="exact"/>
        <w:ind w:firstLine="482"/>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（一）小学阶段学生课后托管率普遍偏低。</w:t>
      </w:r>
      <w:r>
        <w:rPr>
          <w:rFonts w:hint="eastAsia" w:ascii="仿宋_GB2312" w:eastAsia="仿宋_GB2312"/>
          <w:sz w:val="32"/>
          <w:szCs w:val="32"/>
          <w:lang w:bidi="en-US"/>
        </w:rPr>
        <w:t>本次评价，我们选取了</w:t>
      </w:r>
      <w:r>
        <w:rPr>
          <w:rFonts w:hint="eastAsia" w:eastAsia="仿宋_GB2312"/>
          <w:bCs/>
          <w:sz w:val="32"/>
          <w:szCs w:val="32"/>
          <w:lang w:bidi="en-US"/>
        </w:rPr>
        <w:t>2</w:t>
      </w:r>
      <w:r>
        <w:rPr>
          <w:rFonts w:eastAsia="仿宋_GB2312"/>
          <w:bCs/>
          <w:sz w:val="32"/>
          <w:szCs w:val="32"/>
          <w:lang w:bidi="en-US"/>
        </w:rPr>
        <w:t>023</w:t>
      </w:r>
      <w:r>
        <w:rPr>
          <w:rFonts w:hint="eastAsia" w:ascii="仿宋_GB2312" w:eastAsia="仿宋_GB2312"/>
          <w:sz w:val="32"/>
          <w:szCs w:val="32"/>
          <w:lang w:bidi="en-US"/>
        </w:rPr>
        <w:t>年度在校人数较多的</w:t>
      </w:r>
      <w:r>
        <w:rPr>
          <w:rFonts w:hint="eastAsia" w:eastAsia="仿宋_GB2312"/>
          <w:bCs/>
          <w:sz w:val="32"/>
          <w:szCs w:val="32"/>
          <w:lang w:bidi="en-US"/>
        </w:rPr>
        <w:t>10</w:t>
      </w:r>
      <w:r>
        <w:rPr>
          <w:rFonts w:hint="eastAsia" w:ascii="仿宋_GB2312" w:eastAsia="仿宋_GB2312"/>
          <w:sz w:val="32"/>
          <w:szCs w:val="32"/>
          <w:lang w:bidi="en-US"/>
        </w:rPr>
        <w:t>所小学进行课后托管情况分析，该</w:t>
      </w:r>
      <w:r>
        <w:rPr>
          <w:rFonts w:hint="eastAsia" w:eastAsia="仿宋_GB2312"/>
          <w:bCs/>
          <w:sz w:val="32"/>
          <w:szCs w:val="32"/>
          <w:lang w:bidi="en-US"/>
        </w:rPr>
        <w:t>10</w:t>
      </w:r>
      <w:r>
        <w:rPr>
          <w:rFonts w:hint="eastAsia" w:ascii="仿宋_GB2312" w:eastAsia="仿宋_GB2312"/>
          <w:sz w:val="32"/>
          <w:szCs w:val="32"/>
          <w:lang w:bidi="en-US"/>
        </w:rPr>
        <w:t>所小学普遍存在课后托管率低的问题，</w:t>
      </w:r>
      <w:r>
        <w:rPr>
          <w:rFonts w:hint="eastAsia" w:eastAsia="仿宋_GB2312"/>
          <w:bCs/>
          <w:sz w:val="32"/>
          <w:szCs w:val="32"/>
          <w:lang w:bidi="en-US"/>
        </w:rPr>
        <w:t>10</w:t>
      </w:r>
      <w:r>
        <w:rPr>
          <w:rFonts w:hint="eastAsia" w:ascii="仿宋_GB2312" w:eastAsia="仿宋_GB2312"/>
          <w:sz w:val="32"/>
          <w:szCs w:val="32"/>
          <w:lang w:bidi="en-US"/>
        </w:rPr>
        <w:t>所小学平均托管率仅</w:t>
      </w:r>
      <w:r>
        <w:rPr>
          <w:rFonts w:hint="eastAsia" w:eastAsia="仿宋_GB2312"/>
          <w:bCs/>
          <w:sz w:val="32"/>
          <w:szCs w:val="32"/>
          <w:lang w:bidi="en-US"/>
        </w:rPr>
        <w:t>14.93%</w:t>
      </w:r>
      <w:r>
        <w:rPr>
          <w:rFonts w:hint="eastAsia" w:ascii="仿宋_GB2312" w:eastAsia="仿宋_GB2312"/>
          <w:sz w:val="32"/>
          <w:szCs w:val="32"/>
          <w:lang w:bidi="en-US"/>
        </w:rPr>
        <w:t>，托管率最低的</w:t>
      </w:r>
      <w:r>
        <w:rPr>
          <w:rFonts w:hint="eastAsia" w:eastAsia="仿宋_GB2312"/>
          <w:bCs/>
          <w:sz w:val="32"/>
          <w:szCs w:val="32"/>
          <w:lang w:bidi="en-US"/>
        </w:rPr>
        <w:t>2</w:t>
      </w:r>
      <w:r>
        <w:rPr>
          <w:rFonts w:eastAsia="仿宋_GB2312"/>
          <w:bCs/>
          <w:sz w:val="32"/>
          <w:szCs w:val="32"/>
          <w:lang w:bidi="en-US"/>
        </w:rPr>
        <w:t>.7</w:t>
      </w:r>
      <w:r>
        <w:rPr>
          <w:rFonts w:hint="eastAsia" w:eastAsia="仿宋_GB2312"/>
          <w:bCs/>
          <w:sz w:val="32"/>
          <w:szCs w:val="32"/>
          <w:lang w:bidi="en-US"/>
        </w:rPr>
        <w:t>4</w:t>
      </w:r>
      <w:r>
        <w:rPr>
          <w:rFonts w:eastAsia="仿宋_GB2312"/>
          <w:bCs/>
          <w:sz w:val="32"/>
          <w:szCs w:val="32"/>
          <w:lang w:bidi="en-US"/>
        </w:rPr>
        <w:t>%</w:t>
      </w:r>
      <w:r>
        <w:rPr>
          <w:rFonts w:hint="eastAsia" w:ascii="仿宋_GB2312" w:eastAsia="仿宋_GB2312"/>
          <w:sz w:val="32"/>
          <w:szCs w:val="32"/>
          <w:lang w:bidi="en-US"/>
        </w:rPr>
        <w:t>，最高的托管率也仅有</w:t>
      </w:r>
      <w:r>
        <w:rPr>
          <w:rFonts w:hint="eastAsia" w:eastAsia="仿宋_GB2312"/>
          <w:bCs/>
          <w:sz w:val="32"/>
          <w:szCs w:val="32"/>
          <w:lang w:bidi="en-US"/>
        </w:rPr>
        <w:t>26.90</w:t>
      </w:r>
      <w:r>
        <w:rPr>
          <w:rFonts w:eastAsia="仿宋_GB2312"/>
          <w:bCs/>
          <w:sz w:val="32"/>
          <w:szCs w:val="32"/>
          <w:lang w:bidi="en-US"/>
        </w:rPr>
        <w:t>%</w:t>
      </w:r>
      <w:r>
        <w:rPr>
          <w:rFonts w:hint="eastAsia" w:ascii="仿宋_GB2312" w:eastAsia="仿宋_GB2312"/>
          <w:sz w:val="32"/>
          <w:szCs w:val="32"/>
          <w:lang w:bidi="en-US"/>
        </w:rPr>
        <w:t>，详见下表所示：</w:t>
      </w:r>
    </w:p>
    <w:p>
      <w:pPr>
        <w:jc w:val="center"/>
        <w:rPr>
          <w:rFonts w:ascii="仿宋_GB2312" w:eastAsia="仿宋_GB2312"/>
          <w:sz w:val="28"/>
          <w:szCs w:val="28"/>
          <w:lang w:bidi="en-US"/>
        </w:rPr>
      </w:pPr>
      <w:r>
        <w:rPr>
          <w:rFonts w:ascii="仿宋_GB2312" w:eastAsia="仿宋_GB2312"/>
          <w:sz w:val="28"/>
          <w:szCs w:val="28"/>
          <w:lang w:bidi="en-US"/>
        </w:rPr>
        <w:t xml:space="preserve">  2023</w:t>
      </w:r>
      <w:r>
        <w:rPr>
          <w:rFonts w:hint="eastAsia" w:ascii="仿宋_GB2312" w:eastAsia="仿宋_GB2312"/>
          <w:sz w:val="28"/>
          <w:szCs w:val="28"/>
          <w:lang w:bidi="en-US"/>
        </w:rPr>
        <w:t>年度部分小学托管率统计表</w:t>
      </w:r>
    </w:p>
    <w:tbl>
      <w:tblPr>
        <w:tblStyle w:val="19"/>
        <w:tblW w:w="8818" w:type="dxa"/>
        <w:tblInd w:w="113"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160"/>
        <w:gridCol w:w="2126"/>
        <w:gridCol w:w="212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 xml:space="preserve">学 </w:t>
            </w:r>
            <w:r>
              <w:rPr>
                <w:rFonts w:ascii="仿宋_GB2312" w:hAnsi="等线" w:eastAsia="仿宋_GB2312" w:cs="宋体"/>
                <w:color w:val="000000"/>
                <w:kern w:val="0"/>
                <w:szCs w:val="21"/>
              </w:rPr>
              <w:t xml:space="preserve"> </w:t>
            </w:r>
            <w:r>
              <w:rPr>
                <w:rFonts w:hint="eastAsia" w:ascii="仿宋_GB2312" w:hAnsi="等线" w:eastAsia="仿宋_GB2312" w:cs="宋体"/>
                <w:color w:val="000000"/>
                <w:kern w:val="0"/>
                <w:szCs w:val="21"/>
              </w:rPr>
              <w:t>校</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在校人数</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托管人数</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托管率</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第二实验小学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1766</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475</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26.90%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实验小学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1816</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412</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22.69%</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文峰小学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1422</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260</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18.28%</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峰山小学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1339</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213</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15.91%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三里河小学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1417</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217</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15.31%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天福小学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1382</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197</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14.25%</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大众小学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1561</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214</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13.71%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河南小学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1800</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190</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10.22%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环山小学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1051</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68</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6.47%</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05" w:type="dxa"/>
            <w:shd w:val="clear" w:color="auto" w:fill="auto"/>
            <w:noWrap/>
            <w:vAlign w:val="center"/>
          </w:tcPr>
          <w:p>
            <w:pPr>
              <w:widowControl/>
              <w:jc w:val="center"/>
              <w:rPr>
                <w:rFonts w:hint="eastAsia" w:ascii="仿宋_GB2312" w:hAnsi="等线" w:eastAsia="仿宋_GB2312" w:cs="宋体"/>
                <w:color w:val="000000"/>
                <w:kern w:val="0"/>
                <w:szCs w:val="21"/>
              </w:rPr>
            </w:pPr>
            <w:r>
              <w:rPr>
                <w:rFonts w:hint="eastAsia" w:ascii="仿宋_GB2312" w:hAnsi="等线" w:eastAsia="仿宋_GB2312" w:cs="宋体"/>
                <w:color w:val="000000"/>
                <w:kern w:val="0"/>
                <w:szCs w:val="21"/>
              </w:rPr>
              <w:t>开发区小学</w:t>
            </w:r>
          </w:p>
        </w:tc>
        <w:tc>
          <w:tcPr>
            <w:tcW w:w="2160"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1828</w:t>
            </w:r>
          </w:p>
        </w:tc>
        <w:tc>
          <w:tcPr>
            <w:tcW w:w="2126"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50</w:t>
            </w:r>
          </w:p>
        </w:tc>
        <w:tc>
          <w:tcPr>
            <w:tcW w:w="2127" w:type="dxa"/>
            <w:shd w:val="clear" w:color="auto" w:fill="auto"/>
            <w:noWrap/>
            <w:vAlign w:val="center"/>
          </w:tcPr>
          <w:p>
            <w:pPr>
              <w:widowControl/>
              <w:jc w:val="center"/>
              <w:rPr>
                <w:rFonts w:hint="eastAsia" w:ascii="仿宋_GB2312" w:hAnsi="等线" w:eastAsia="仿宋_GB2312" w:cs="宋体"/>
                <w:color w:val="000000"/>
                <w:kern w:val="0"/>
                <w:szCs w:val="21"/>
              </w:rPr>
            </w:pPr>
            <w:r>
              <w:rPr>
                <w:rFonts w:ascii="仿宋_GB2312" w:hAnsi="等线" w:eastAsia="仿宋_GB2312" w:cs="宋体"/>
                <w:color w:val="000000"/>
                <w:kern w:val="0"/>
                <w:szCs w:val="21"/>
              </w:rPr>
              <w:t>2.74%</w:t>
            </w:r>
          </w:p>
        </w:tc>
      </w:tr>
    </w:tbl>
    <w:p>
      <w:pPr>
        <w:spacing w:line="600" w:lineRule="exact"/>
        <w:ind w:firstLine="567"/>
        <w:rPr>
          <w:rFonts w:ascii="仿宋_GB2312" w:eastAsia="仿宋_GB2312"/>
          <w:sz w:val="32"/>
          <w:szCs w:val="32"/>
          <w:lang w:bidi="en-US"/>
        </w:rPr>
      </w:pPr>
      <w:r>
        <w:rPr>
          <w:rFonts w:hint="eastAsia" w:ascii="仿宋_GB2312" w:eastAsia="仿宋_GB2312"/>
          <w:sz w:val="32"/>
          <w:szCs w:val="32"/>
          <w:lang w:bidi="en-US"/>
        </w:rPr>
        <w:t>经调查分析，造成小学阶段课后托管率普遍偏低的原因，一是小学阶段课后作业少、甚至无作业，学生学习压力小，无升学压力；二是课后托管课程内容单一，对学生及家长吸引力较小；三是部分学生在校外参加特长拓展培训班，无需参加课后托管。</w:t>
      </w:r>
    </w:p>
    <w:p>
      <w:pPr>
        <w:spacing w:line="600" w:lineRule="exact"/>
        <w:ind w:firstLine="640" w:firstLineChars="200"/>
        <w:rPr>
          <w:rFonts w:ascii="楷体_GB2312" w:eastAsia="楷体_GB2312"/>
          <w:sz w:val="32"/>
          <w:szCs w:val="32"/>
          <w:lang w:bidi="en-US"/>
        </w:rPr>
      </w:pPr>
      <w:r>
        <w:rPr>
          <w:rFonts w:hint="eastAsia" w:eastAsia="楷体_GB2312" w:cs="仿宋_GB2312" w:asciiTheme="minorHAnsi" w:hAnsiTheme="minorHAnsi"/>
          <w:color w:val="auto"/>
          <w:kern w:val="0"/>
          <w:sz w:val="32"/>
          <w:szCs w:val="32"/>
          <w:lang w:val="en-US" w:eastAsia="zh-CN" w:bidi="ar-SA"/>
        </w:rPr>
        <w:t>（二）</w:t>
      </w:r>
      <w:bookmarkStart w:id="20" w:name="_Hlk173827052"/>
      <w:r>
        <w:rPr>
          <w:rFonts w:hint="eastAsia" w:eastAsia="楷体_GB2312" w:cs="仿宋_GB2312" w:asciiTheme="minorHAnsi" w:hAnsiTheme="minorHAnsi"/>
          <w:color w:val="auto"/>
          <w:kern w:val="0"/>
          <w:sz w:val="32"/>
          <w:szCs w:val="32"/>
          <w:lang w:val="en-US" w:eastAsia="zh-CN" w:bidi="ar-SA"/>
        </w:rPr>
        <w:t>资金保障困难。</w:t>
      </w:r>
      <w:bookmarkEnd w:id="20"/>
      <w:r>
        <w:rPr>
          <w:rFonts w:hint="eastAsia" w:ascii="仿宋_GB2312" w:eastAsia="仿宋_GB2312"/>
          <w:sz w:val="32"/>
          <w:szCs w:val="32"/>
          <w:lang w:bidi="en-US"/>
        </w:rPr>
        <w:t>依据文登区教体局等</w:t>
      </w:r>
      <w:r>
        <w:rPr>
          <w:rFonts w:hint="eastAsia" w:eastAsia="仿宋_GB2312"/>
          <w:bCs/>
          <w:sz w:val="32"/>
          <w:szCs w:val="32"/>
          <w:lang w:bidi="en-US"/>
        </w:rPr>
        <w:t>4</w:t>
      </w:r>
      <w:r>
        <w:rPr>
          <w:rFonts w:hint="eastAsia" w:ascii="仿宋_GB2312" w:eastAsia="仿宋_GB2312"/>
          <w:sz w:val="32"/>
          <w:szCs w:val="32"/>
          <w:lang w:bidi="en-US"/>
        </w:rPr>
        <w:t>部门联合下发的“威文教体字〔</w:t>
      </w:r>
      <w:r>
        <w:rPr>
          <w:rFonts w:hint="eastAsia" w:eastAsia="仿宋_GB2312"/>
          <w:bCs/>
          <w:sz w:val="32"/>
          <w:szCs w:val="32"/>
          <w:lang w:bidi="en-US"/>
        </w:rPr>
        <w:t>2022</w:t>
      </w:r>
      <w:r>
        <w:rPr>
          <w:rFonts w:hint="eastAsia" w:ascii="仿宋_GB2312" w:eastAsia="仿宋_GB2312"/>
          <w:sz w:val="32"/>
          <w:szCs w:val="32"/>
          <w:lang w:bidi="en-US"/>
        </w:rPr>
        <w:t>〕</w:t>
      </w:r>
      <w:r>
        <w:rPr>
          <w:rFonts w:hint="eastAsia" w:eastAsia="仿宋_GB2312"/>
          <w:bCs/>
          <w:sz w:val="32"/>
          <w:szCs w:val="32"/>
          <w:lang w:bidi="en-US"/>
        </w:rPr>
        <w:t>10</w:t>
      </w:r>
      <w:r>
        <w:rPr>
          <w:rFonts w:hint="eastAsia" w:ascii="仿宋_GB2312" w:eastAsia="仿宋_GB2312"/>
          <w:sz w:val="32"/>
          <w:szCs w:val="32"/>
          <w:lang w:bidi="en-US"/>
        </w:rPr>
        <w:t>号”文件的规定，义务教育阶段课后托管财政按每生每小时</w:t>
      </w:r>
      <w:r>
        <w:rPr>
          <w:rFonts w:hint="eastAsia" w:eastAsia="仿宋_GB2312"/>
          <w:bCs/>
          <w:sz w:val="32"/>
          <w:szCs w:val="32"/>
          <w:lang w:bidi="en-US"/>
        </w:rPr>
        <w:t>2</w:t>
      </w:r>
      <w:r>
        <w:rPr>
          <w:rFonts w:hint="eastAsia" w:ascii="仿宋_GB2312" w:eastAsia="仿宋_GB2312"/>
          <w:sz w:val="32"/>
          <w:szCs w:val="32"/>
          <w:lang w:bidi="en-US"/>
        </w:rPr>
        <w:t>至</w:t>
      </w:r>
      <w:r>
        <w:rPr>
          <w:rFonts w:hint="eastAsia" w:eastAsia="仿宋_GB2312"/>
          <w:bCs/>
          <w:sz w:val="32"/>
          <w:szCs w:val="32"/>
          <w:lang w:bidi="en-US"/>
        </w:rPr>
        <w:t>4</w:t>
      </w:r>
      <w:r>
        <w:rPr>
          <w:rFonts w:hint="eastAsia" w:ascii="仿宋_GB2312" w:eastAsia="仿宋_GB2312"/>
          <w:sz w:val="32"/>
          <w:szCs w:val="32"/>
          <w:lang w:bidi="en-US"/>
        </w:rPr>
        <w:t>元标准进行经费保障。此次评价，我们按最低标准，</w:t>
      </w:r>
      <w:r>
        <w:rPr>
          <w:rFonts w:hint="eastAsia" w:eastAsia="仿宋_GB2312"/>
          <w:bCs/>
          <w:sz w:val="32"/>
          <w:szCs w:val="32"/>
          <w:lang w:bidi="en-US"/>
        </w:rPr>
        <w:t>2</w:t>
      </w:r>
      <w:r>
        <w:rPr>
          <w:rFonts w:hint="eastAsia" w:ascii="仿宋_GB2312" w:eastAsia="仿宋_GB2312"/>
          <w:sz w:val="32"/>
          <w:szCs w:val="32"/>
          <w:lang w:bidi="en-US"/>
        </w:rPr>
        <w:t>元/生/天计算</w:t>
      </w:r>
      <w:r>
        <w:rPr>
          <w:rFonts w:hint="eastAsia" w:eastAsia="仿宋_GB2312"/>
          <w:bCs/>
          <w:sz w:val="32"/>
          <w:szCs w:val="32"/>
          <w:lang w:bidi="en-US"/>
        </w:rPr>
        <w:t>2023</w:t>
      </w:r>
      <w:r>
        <w:rPr>
          <w:rFonts w:hint="eastAsia" w:ascii="仿宋_GB2312" w:eastAsia="仿宋_GB2312"/>
          <w:sz w:val="32"/>
          <w:szCs w:val="32"/>
          <w:lang w:bidi="en-US"/>
        </w:rPr>
        <w:t>年度资金总需求为</w:t>
      </w:r>
      <w:r>
        <w:rPr>
          <w:rFonts w:hint="eastAsia" w:eastAsia="仿宋_GB2312"/>
          <w:bCs/>
          <w:sz w:val="32"/>
          <w:szCs w:val="32"/>
          <w:lang w:bidi="en-US"/>
        </w:rPr>
        <w:t>2,345,382.00</w:t>
      </w:r>
      <w:r>
        <w:rPr>
          <w:rFonts w:hint="eastAsia" w:ascii="仿宋_GB2312" w:eastAsia="仿宋_GB2312"/>
          <w:sz w:val="32"/>
          <w:szCs w:val="32"/>
          <w:lang w:bidi="en-US"/>
        </w:rPr>
        <w:t>元，实际财政保障资金到位</w:t>
      </w:r>
      <w:r>
        <w:rPr>
          <w:rFonts w:hint="eastAsia" w:eastAsia="仿宋_GB2312"/>
          <w:bCs/>
          <w:sz w:val="32"/>
          <w:szCs w:val="32"/>
          <w:lang w:bidi="en-US"/>
        </w:rPr>
        <w:t>1</w:t>
      </w:r>
      <w:r>
        <w:rPr>
          <w:rFonts w:eastAsia="仿宋_GB2312"/>
          <w:bCs/>
          <w:sz w:val="32"/>
          <w:szCs w:val="32"/>
          <w:lang w:bidi="en-US"/>
        </w:rPr>
        <w:t>,</w:t>
      </w:r>
      <w:r>
        <w:rPr>
          <w:rFonts w:hint="eastAsia" w:eastAsia="仿宋_GB2312"/>
          <w:bCs/>
          <w:sz w:val="32"/>
          <w:szCs w:val="32"/>
          <w:lang w:bidi="en-US"/>
        </w:rPr>
        <w:t>0</w:t>
      </w:r>
      <w:r>
        <w:rPr>
          <w:rFonts w:eastAsia="仿宋_GB2312"/>
          <w:bCs/>
          <w:sz w:val="32"/>
          <w:szCs w:val="32"/>
          <w:lang w:bidi="en-US"/>
        </w:rPr>
        <w:t>00,000.00</w:t>
      </w:r>
      <w:r>
        <w:rPr>
          <w:rFonts w:hint="eastAsia" w:ascii="仿宋_GB2312" w:eastAsia="仿宋_GB2312"/>
          <w:sz w:val="32"/>
          <w:szCs w:val="32"/>
          <w:lang w:bidi="en-US"/>
        </w:rPr>
        <w:t>元,资金需求满足率为</w:t>
      </w:r>
      <w:r>
        <w:rPr>
          <w:rFonts w:hint="eastAsia" w:eastAsia="仿宋_GB2312"/>
          <w:bCs/>
          <w:sz w:val="32"/>
          <w:szCs w:val="32"/>
          <w:lang w:bidi="en-US"/>
        </w:rPr>
        <w:t>42.64%</w:t>
      </w:r>
      <w:r>
        <w:rPr>
          <w:rFonts w:hint="eastAsia" w:ascii="仿宋_GB2312" w:eastAsia="仿宋_GB2312"/>
          <w:sz w:val="32"/>
          <w:szCs w:val="32"/>
          <w:lang w:bidi="en-US"/>
        </w:rPr>
        <w:t>。</w:t>
      </w:r>
      <w:r>
        <w:rPr>
          <w:rFonts w:hint="eastAsia" w:ascii="楷体_GB2312" w:eastAsia="楷体_GB2312"/>
          <w:sz w:val="32"/>
          <w:szCs w:val="32"/>
          <w:lang w:bidi="en-US"/>
        </w:rPr>
        <w:t>（注：详见附件</w:t>
      </w:r>
      <w:r>
        <w:rPr>
          <w:rFonts w:hint="eastAsia" w:eastAsia="仿宋_GB2312"/>
          <w:bCs/>
          <w:sz w:val="32"/>
          <w:szCs w:val="32"/>
          <w:lang w:bidi="en-US"/>
        </w:rPr>
        <w:t>4</w:t>
      </w:r>
      <w:r>
        <w:rPr>
          <w:rFonts w:hint="eastAsia" w:ascii="楷体_GB2312" w:eastAsia="楷体_GB2312"/>
          <w:sz w:val="32"/>
          <w:szCs w:val="32"/>
          <w:lang w:bidi="en-US"/>
        </w:rPr>
        <w:t>：</w:t>
      </w:r>
      <w:r>
        <w:rPr>
          <w:rFonts w:hint="eastAsia" w:eastAsia="仿宋_GB2312"/>
          <w:bCs/>
          <w:sz w:val="32"/>
          <w:szCs w:val="32"/>
          <w:lang w:bidi="en-US"/>
        </w:rPr>
        <w:t>2023</w:t>
      </w:r>
      <w:r>
        <w:rPr>
          <w:rFonts w:hint="eastAsia" w:ascii="楷体_GB2312" w:eastAsia="楷体_GB2312"/>
          <w:sz w:val="32"/>
          <w:szCs w:val="32"/>
          <w:lang w:bidi="en-US"/>
        </w:rPr>
        <w:t>年度托管保障资金需求金额计算表）</w:t>
      </w:r>
    </w:p>
    <w:p>
      <w:pPr>
        <w:spacing w:line="600" w:lineRule="exact"/>
        <w:ind w:firstLine="640" w:firstLineChars="200"/>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（三）免费托管依据不充分。</w:t>
      </w:r>
      <w:r>
        <w:rPr>
          <w:rFonts w:hint="eastAsia" w:ascii="仿宋_GB2312" w:eastAsia="仿宋_GB2312"/>
          <w:sz w:val="32"/>
          <w:szCs w:val="32"/>
          <w:lang w:bidi="en-US"/>
        </w:rPr>
        <w:t>文登区课后托管服务自开始实施以来一直未收取服务性收费，项目经费完全通过财政补贴保障，增加财政负担。根据“鲁教财字</w:t>
      </w:r>
      <w:r>
        <w:rPr>
          <w:rFonts w:hint="eastAsia" w:eastAsia="仿宋_GB2312"/>
          <w:bCs/>
          <w:sz w:val="32"/>
          <w:szCs w:val="32"/>
          <w:lang w:bidi="en-US"/>
        </w:rPr>
        <w:t>〔2021〕15</w:t>
      </w:r>
      <w:r>
        <w:rPr>
          <w:rFonts w:hint="eastAsia" w:ascii="仿宋_GB2312" w:eastAsia="仿宋_GB2312"/>
          <w:sz w:val="32"/>
          <w:szCs w:val="32"/>
          <w:lang w:bidi="en-US"/>
        </w:rPr>
        <w:t>号”和“威文教体字</w:t>
      </w:r>
      <w:r>
        <w:rPr>
          <w:rFonts w:hint="eastAsia" w:eastAsia="仿宋_GB2312"/>
          <w:bCs/>
          <w:sz w:val="32"/>
          <w:szCs w:val="32"/>
          <w:lang w:bidi="en-US"/>
        </w:rPr>
        <w:t>〔2022〕10</w:t>
      </w:r>
      <w:r>
        <w:rPr>
          <w:rFonts w:hint="eastAsia" w:ascii="仿宋_GB2312" w:eastAsia="仿宋_GB2312"/>
          <w:sz w:val="32"/>
          <w:szCs w:val="32"/>
          <w:lang w:bidi="en-US"/>
        </w:rPr>
        <w:t>号”文件的规定：“学校课后服务要坚持公益导向，所需经费通过财政补贴和收取服务性收费、代收费相结合的方式解决”，截止本次评价日，文登区课后托管服务经费一直由财政补贴保障，所有学校均未收取服务性收费，相关部门亦未下达免收服务性收费的文件。因此，免费托管缺乏文件支撑，依据不充分。</w:t>
      </w:r>
    </w:p>
    <w:p>
      <w:pPr>
        <w:spacing w:line="600" w:lineRule="exact"/>
        <w:ind w:firstLine="640" w:firstLineChars="200"/>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（四）课后托管服务内容单一。</w:t>
      </w:r>
      <w:r>
        <w:rPr>
          <w:rFonts w:hint="eastAsia" w:ascii="仿宋_GB2312" w:eastAsia="仿宋_GB2312"/>
          <w:sz w:val="32"/>
          <w:szCs w:val="32"/>
          <w:lang w:bidi="en-US"/>
        </w:rPr>
        <w:t>由于学校存在师资配备、场地利用、资金投入、学生需求间的矛盾，文登区课后托管服务普遍存在课程结构单一，缺乏系统性和创新性的问题。当前中小学的课后托管服务主要是作业辅导，特长拓展服务少，对无升学压力的低年级学生无吸引力。</w:t>
      </w:r>
    </w:p>
    <w:p>
      <w:pPr>
        <w:ind w:firstLine="640" w:firstLineChars="200"/>
        <w:rPr>
          <w:rFonts w:eastAsia="黑体"/>
          <w:sz w:val="32"/>
          <w:szCs w:val="32"/>
        </w:rPr>
      </w:pPr>
      <w:r>
        <w:rPr>
          <w:rFonts w:hint="eastAsia" w:eastAsia="黑体"/>
          <w:sz w:val="32"/>
          <w:szCs w:val="32"/>
          <w:lang w:eastAsia="zh-CN"/>
        </w:rPr>
        <w:t>四</w:t>
      </w:r>
      <w:r>
        <w:rPr>
          <w:rFonts w:eastAsia="黑体"/>
          <w:sz w:val="32"/>
          <w:szCs w:val="32"/>
        </w:rPr>
        <w:t>、意见建议</w:t>
      </w:r>
    </w:p>
    <w:p>
      <w:pPr>
        <w:spacing w:line="600" w:lineRule="exact"/>
        <w:ind w:firstLine="640" w:firstLineChars="200"/>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（一）多措并举，构建内容丰富、形式多样、富有实效的课后服务内容体系。</w:t>
      </w:r>
      <w:r>
        <w:rPr>
          <w:rFonts w:hint="eastAsia" w:ascii="仿宋_GB2312" w:eastAsia="仿宋_GB2312"/>
          <w:sz w:val="32"/>
          <w:szCs w:val="32"/>
          <w:lang w:bidi="en-US"/>
        </w:rPr>
        <w:t>课后服务工作要打破思维束缚，加强探索，敢于创新，在内容的丰富性、形式的多样性上下功夫，要以丰富学生兴趣爱好、培养学生自主学习和生活的能力为出发点，兼顾学生在体育、艺术、人文、科技等各方面的学习需求，配合一定比例的社会实践活动，增强学生社会责任感、创新精神和实践能力，为学生整体素质提高和长期健康发展奠定良好基础。</w:t>
      </w:r>
    </w:p>
    <w:p>
      <w:pPr>
        <w:spacing w:line="600" w:lineRule="exact"/>
        <w:ind w:firstLine="640" w:firstLineChars="200"/>
        <w:rPr>
          <w:rFonts w:ascii="仿宋_GB2312" w:eastAsia="仿宋_GB2312"/>
          <w:sz w:val="32"/>
          <w:szCs w:val="32"/>
          <w:lang w:bidi="en-US"/>
        </w:rPr>
      </w:pPr>
      <w:r>
        <w:rPr>
          <w:rFonts w:hint="eastAsia" w:ascii="仿宋_GB2312" w:eastAsia="仿宋_GB2312"/>
          <w:sz w:val="32"/>
          <w:szCs w:val="32"/>
          <w:lang w:bidi="en-US"/>
        </w:rPr>
        <w:t>建议主管部门整合多方面资源，联合多方面力量，扩充课后托管力量的来源渠道，在稳定校内师资力量的前提下，吸引校外优秀师资力量，建立一支校内、校外相结合的课后托管服务团队，以确保满足托管工作的需求，以此来缓解学校托管老师的压力。我们建议：第一，利用家长志愿者这一先天资源，学校积极向家长宣传学校课后托管的政策，必要时可以采用适当的激励方式以吸引高素质家长群体加入课后托管的队伍中来；第二，与本地高校合作，吸纳优秀大学生以志愿者的身份来校参加托管服务工作；第三，动员离退休教师参与到课后托管服务中来。</w:t>
      </w:r>
    </w:p>
    <w:p>
      <w:pPr>
        <w:spacing w:line="600" w:lineRule="exact"/>
        <w:ind w:firstLine="640" w:firstLineChars="200"/>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（二）鼓励家长积极参与到课后托管服务中。</w:t>
      </w:r>
      <w:r>
        <w:rPr>
          <w:rFonts w:hint="eastAsia" w:ascii="仿宋_GB2312" w:eastAsia="仿宋_GB2312"/>
          <w:sz w:val="32"/>
          <w:szCs w:val="32"/>
          <w:lang w:bidi="en-US"/>
        </w:rPr>
        <w:t>家长在课后托管中的身影较少，参与度不够，很多学生家长对课后托管服务内容不了解，对课后托管服务寄予了过高的期望。建议学校加强与家长的沟通力度，首先要让家长理解和支持学校相关活动的开展，其次要让家长认识到自身的责任，配合好老师和学校的工作，如果自身具备一定的能力和精力可积极配合班主任做好家委会的管理和动员工作，特殊职业的家长如医生、警察、艺术工作者等也可进校作为执教者为学生上几节课后托管知识拓展课。再者，鼓励家长及时向老师们反映孩子或自己关于课后托管的想法和建议，积极建言献策。</w:t>
      </w:r>
    </w:p>
    <w:p>
      <w:pPr>
        <w:spacing w:line="600" w:lineRule="exact"/>
        <w:ind w:firstLine="640" w:firstLineChars="200"/>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（三）完善课后托管服务经费保障办法，适时开展服务性收费。</w:t>
      </w:r>
      <w:r>
        <w:rPr>
          <w:rFonts w:hint="eastAsia" w:ascii="仿宋_GB2312" w:eastAsia="仿宋_GB2312"/>
          <w:sz w:val="32"/>
          <w:szCs w:val="32"/>
          <w:lang w:bidi="en-US"/>
        </w:rPr>
        <w:t>文登区教体局等4部门联合下发的“威文教体字〔</w:t>
      </w:r>
      <w:r>
        <w:rPr>
          <w:rFonts w:hint="eastAsia" w:eastAsia="仿宋_GB2312"/>
          <w:bCs/>
          <w:sz w:val="32"/>
          <w:szCs w:val="32"/>
          <w:lang w:bidi="en-US"/>
        </w:rPr>
        <w:t>2022</w:t>
      </w:r>
      <w:r>
        <w:rPr>
          <w:rFonts w:hint="eastAsia" w:ascii="仿宋_GB2312" w:eastAsia="仿宋_GB2312"/>
          <w:sz w:val="32"/>
          <w:szCs w:val="32"/>
          <w:lang w:bidi="en-US"/>
        </w:rPr>
        <w:t>〕</w:t>
      </w:r>
      <w:r>
        <w:rPr>
          <w:rFonts w:hint="eastAsia" w:eastAsia="仿宋_GB2312"/>
          <w:bCs/>
          <w:sz w:val="32"/>
          <w:szCs w:val="32"/>
          <w:lang w:bidi="en-US"/>
        </w:rPr>
        <w:t>10</w:t>
      </w:r>
      <w:r>
        <w:rPr>
          <w:rFonts w:hint="eastAsia" w:ascii="仿宋_GB2312" w:eastAsia="仿宋_GB2312"/>
          <w:sz w:val="32"/>
          <w:szCs w:val="32"/>
          <w:lang w:bidi="en-US"/>
        </w:rPr>
        <w:t>号”文件已经对文登区公办学校工作日期间课后服务收费制定了收费标准：每生每课时</w:t>
      </w:r>
      <w:r>
        <w:rPr>
          <w:rFonts w:hint="eastAsia" w:eastAsia="仿宋_GB2312"/>
          <w:bCs/>
          <w:sz w:val="32"/>
          <w:szCs w:val="32"/>
          <w:lang w:bidi="en-US"/>
        </w:rPr>
        <w:t>3</w:t>
      </w:r>
      <w:r>
        <w:rPr>
          <w:rFonts w:hint="eastAsia" w:ascii="仿宋_GB2312" w:eastAsia="仿宋_GB2312"/>
          <w:sz w:val="32"/>
          <w:szCs w:val="32"/>
          <w:lang w:bidi="en-US"/>
        </w:rPr>
        <w:t>元，只是暂未开始执行。我们建议从新的学期开始适时开展服务性收费。以</w:t>
      </w:r>
      <w:r>
        <w:rPr>
          <w:rFonts w:hint="eastAsia" w:eastAsia="仿宋_GB2312"/>
          <w:bCs/>
          <w:sz w:val="32"/>
          <w:szCs w:val="32"/>
          <w:lang w:bidi="en-US"/>
        </w:rPr>
        <w:t>2023</w:t>
      </w:r>
      <w:r>
        <w:rPr>
          <w:rFonts w:hint="eastAsia" w:ascii="仿宋_GB2312" w:eastAsia="仿宋_GB2312"/>
          <w:sz w:val="32"/>
          <w:szCs w:val="32"/>
          <w:lang w:bidi="en-US"/>
        </w:rPr>
        <w:t>年</w:t>
      </w:r>
      <w:r>
        <w:rPr>
          <w:rFonts w:hint="eastAsia" w:eastAsia="仿宋_GB2312"/>
          <w:bCs/>
          <w:sz w:val="32"/>
          <w:szCs w:val="32"/>
          <w:lang w:bidi="en-US"/>
        </w:rPr>
        <w:t>度托管数据为例</w:t>
      </w:r>
      <w:r>
        <w:rPr>
          <w:rFonts w:hint="eastAsia" w:ascii="仿宋_GB2312" w:eastAsia="仿宋_GB2312"/>
          <w:sz w:val="32"/>
          <w:szCs w:val="32"/>
          <w:lang w:bidi="en-US"/>
        </w:rPr>
        <w:t>，如执行每生每课时</w:t>
      </w:r>
      <w:r>
        <w:rPr>
          <w:rFonts w:hint="eastAsia" w:eastAsia="仿宋_GB2312"/>
          <w:bCs/>
          <w:sz w:val="32"/>
          <w:szCs w:val="32"/>
          <w:lang w:bidi="en-US"/>
        </w:rPr>
        <w:t>3</w:t>
      </w:r>
      <w:r>
        <w:rPr>
          <w:rFonts w:hint="eastAsia" w:ascii="仿宋_GB2312" w:eastAsia="仿宋_GB2312"/>
          <w:sz w:val="32"/>
          <w:szCs w:val="32"/>
          <w:lang w:bidi="en-US"/>
        </w:rPr>
        <w:t>元的收费标准，预计可收取服务费用约</w:t>
      </w:r>
      <w:r>
        <w:rPr>
          <w:rFonts w:hint="eastAsia" w:eastAsia="仿宋_GB2312"/>
          <w:bCs/>
          <w:sz w:val="32"/>
          <w:szCs w:val="32"/>
          <w:lang w:bidi="en-US"/>
        </w:rPr>
        <w:t>351.81</w:t>
      </w:r>
      <w:r>
        <w:rPr>
          <w:rFonts w:hint="eastAsia" w:ascii="仿宋_GB2312" w:eastAsia="仿宋_GB2312"/>
          <w:sz w:val="32"/>
          <w:szCs w:val="32"/>
          <w:lang w:bidi="en-US"/>
        </w:rPr>
        <w:t>万元。</w:t>
      </w:r>
      <w:r>
        <w:rPr>
          <w:rFonts w:hint="eastAsia" w:ascii="楷体_GB2312" w:eastAsia="楷体_GB2312"/>
          <w:sz w:val="32"/>
          <w:szCs w:val="32"/>
          <w:lang w:bidi="en-US"/>
        </w:rPr>
        <w:t>（注：该累计收费金额以每天托管</w:t>
      </w:r>
      <w:r>
        <w:rPr>
          <w:rFonts w:hint="eastAsia" w:eastAsia="仿宋_GB2312"/>
          <w:bCs/>
          <w:sz w:val="32"/>
          <w:szCs w:val="32"/>
          <w:lang w:bidi="en-US"/>
        </w:rPr>
        <w:t>1</w:t>
      </w:r>
      <w:r>
        <w:rPr>
          <w:rFonts w:hint="eastAsia" w:ascii="楷体_GB2312" w:eastAsia="楷体_GB2312"/>
          <w:sz w:val="32"/>
          <w:szCs w:val="32"/>
          <w:lang w:bidi="en-US"/>
        </w:rPr>
        <w:t>课时为标准计算，尽管文登区冬季课后托管</w:t>
      </w:r>
      <w:r>
        <w:rPr>
          <w:rFonts w:hint="eastAsia" w:eastAsia="仿宋_GB2312"/>
          <w:bCs/>
          <w:sz w:val="32"/>
          <w:szCs w:val="32"/>
          <w:lang w:bidi="en-US"/>
        </w:rPr>
        <w:t>2</w:t>
      </w:r>
      <w:r>
        <w:rPr>
          <w:rFonts w:hint="eastAsia" w:ascii="楷体_GB2312" w:eastAsia="楷体_GB2312"/>
          <w:sz w:val="32"/>
          <w:szCs w:val="32"/>
          <w:lang w:bidi="en-US"/>
        </w:rPr>
        <w:t>课时，但第</w:t>
      </w:r>
      <w:r>
        <w:rPr>
          <w:rFonts w:hint="eastAsia" w:eastAsia="仿宋_GB2312"/>
          <w:bCs/>
          <w:sz w:val="32"/>
          <w:szCs w:val="32"/>
          <w:lang w:bidi="en-US"/>
        </w:rPr>
        <w:t>2</w:t>
      </w:r>
      <w:r>
        <w:rPr>
          <w:rFonts w:hint="eastAsia" w:ascii="楷体_GB2312" w:eastAsia="楷体_GB2312"/>
          <w:sz w:val="32"/>
          <w:szCs w:val="32"/>
          <w:lang w:bidi="en-US"/>
        </w:rPr>
        <w:t>课时托管人数较少且不固定，预测收费金额时未予考虑，详细预测数据详见附件</w:t>
      </w:r>
      <w:r>
        <w:rPr>
          <w:rFonts w:hint="eastAsia" w:eastAsia="仿宋_GB2312"/>
          <w:bCs/>
          <w:sz w:val="32"/>
          <w:szCs w:val="32"/>
          <w:lang w:bidi="en-US"/>
        </w:rPr>
        <w:t>5</w:t>
      </w:r>
      <w:r>
        <w:rPr>
          <w:rFonts w:hint="eastAsia" w:ascii="楷体_GB2312" w:eastAsia="楷体_GB2312"/>
          <w:sz w:val="32"/>
          <w:szCs w:val="32"/>
          <w:lang w:bidi="en-US"/>
        </w:rPr>
        <w:t>：预测收费金额计算表）</w:t>
      </w:r>
    </w:p>
    <w:p>
      <w:pPr>
        <w:spacing w:line="600" w:lineRule="exact"/>
        <w:ind w:firstLine="640" w:firstLineChars="200"/>
        <w:rPr>
          <w:rFonts w:ascii="仿宋_GB2312" w:eastAsia="仿宋_GB2312"/>
          <w:sz w:val="32"/>
          <w:szCs w:val="32"/>
          <w:lang w:bidi="en-US"/>
        </w:rPr>
      </w:pPr>
      <w:r>
        <w:rPr>
          <w:rFonts w:hint="eastAsia" w:ascii="仿宋_GB2312" w:eastAsia="仿宋_GB2312"/>
          <w:sz w:val="32"/>
          <w:szCs w:val="32"/>
          <w:lang w:bidi="en-US"/>
        </w:rPr>
        <w:t xml:space="preserve"> 从预测收费规模来看，可以有效地缓解课后托管服务经费的压力，大部分学校的服务收费能覆盖托管期间的费用支出，但对于参与课后托管学生较少的几所学校，服务收费不足以补偿学校课后托管的支出。为保障课后托管服务的质量，建议建立动态财政补贴机制，综合考虑学校托管成本、累积收费金额以及当前财政状况等因素，优先补助学校托管人数较少、托管服务收费不足以补偿托管服务支出的学校。同时，强化学校预算管理和财务管理工作，要求各学校厉行勤俭办学，反对铺张浪费，控制不合理开支，并详细区分托管服务经费的使用范围，确保资金专款专用。</w:t>
      </w:r>
    </w:p>
    <w:p>
      <w:pPr>
        <w:spacing w:line="600" w:lineRule="exact"/>
        <w:ind w:firstLine="640" w:firstLineChars="200"/>
        <w:rPr>
          <w:rFonts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（四） 加强日常监督考核。</w:t>
      </w:r>
      <w:r>
        <w:rPr>
          <w:rFonts w:hint="eastAsia" w:ascii="仿宋_GB2312" w:eastAsia="仿宋_GB2312"/>
          <w:sz w:val="32"/>
          <w:szCs w:val="32"/>
          <w:lang w:bidi="en-US"/>
        </w:rPr>
        <w:t>为保证课后托管服务不背离初衷，建议主管部门加大对课后托管服务期间的监督考核力度，以保证各学校不存在借托管期间进行集体教学、集体补课、违规进行商业活动或乱收费等现象；同时，建议主管部门将课后托管服务工作纳入学校考评体系，重点加强对安全管理、托管服务质量、家长满意度等监督考核力度，真正办好课后托管服务。</w:t>
      </w: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Style w:val="56"/>
        <w:ind w:left="0" w:leftChars="0" w:firstLine="0" w:firstLineChars="0"/>
        <w:rPr>
          <w:rFonts w:ascii="仿宋" w:hAnsi="仿宋" w:eastAsia="仿宋" w:cs="仿宋"/>
          <w:b/>
          <w:bCs/>
          <w:sz w:val="40"/>
          <w:szCs w:val="40"/>
        </w:rPr>
      </w:pP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lang w:val="en-US" w:eastAsia="zh-CN"/>
        </w:rPr>
      </w:pPr>
      <w:r>
        <w:rPr>
          <w:rFonts w:hint="eastAsia" w:ascii="方正小标宋简体" w:hAnsi="方正小标宋简体" w:eastAsia="方正小标宋简体" w:cs="方正小标宋简体"/>
          <w:b w:val="0"/>
          <w:bCs/>
          <w:color w:val="000000"/>
          <w:kern w:val="0"/>
          <w:sz w:val="48"/>
          <w:szCs w:val="48"/>
          <w:lang w:val="en-US" w:eastAsia="zh-CN"/>
        </w:rPr>
        <w:t>2023年度威海市文登区政府</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lang w:val="en-US" w:eastAsia="zh-CN"/>
        </w:rPr>
      </w:pPr>
      <w:r>
        <w:rPr>
          <w:rFonts w:hint="eastAsia" w:ascii="方正小标宋简体" w:hAnsi="方正小标宋简体" w:eastAsia="方正小标宋简体" w:cs="方正小标宋简体"/>
          <w:b w:val="0"/>
          <w:bCs/>
          <w:color w:val="000000"/>
          <w:kern w:val="0"/>
          <w:sz w:val="48"/>
          <w:szCs w:val="48"/>
          <w:lang w:val="en-US" w:eastAsia="zh-CN"/>
        </w:rPr>
        <w:t>购买社区居家养老服务项目</w:t>
      </w:r>
    </w:p>
    <w:p>
      <w:pPr>
        <w:pageBreakBefore w:val="0"/>
        <w:kinsoku/>
        <w:wordWrap/>
        <w:topLinePunct w:val="0"/>
        <w:bidi w:val="0"/>
        <w:spacing w:line="560" w:lineRule="exact"/>
        <w:jc w:val="center"/>
        <w:rPr>
          <w:rFonts w:hint="eastAsia" w:ascii="方正小标宋简体" w:hAnsi="方正小标宋简体" w:eastAsia="方正小标宋简体" w:cs="方正小标宋简体"/>
          <w:b w:val="0"/>
          <w:bCs/>
          <w:color w:val="000000"/>
          <w:kern w:val="0"/>
          <w:sz w:val="48"/>
          <w:szCs w:val="48"/>
          <w:lang w:val="en-US" w:eastAsia="zh-CN"/>
        </w:rPr>
      </w:pPr>
      <w:r>
        <w:rPr>
          <w:rFonts w:hint="eastAsia" w:ascii="方正小标宋简体" w:hAnsi="方正小标宋简体" w:eastAsia="方正小标宋简体" w:cs="方正小标宋简体"/>
          <w:b w:val="0"/>
          <w:bCs/>
          <w:color w:val="000000"/>
          <w:kern w:val="0"/>
          <w:sz w:val="48"/>
          <w:szCs w:val="48"/>
          <w:lang w:val="en-US" w:eastAsia="zh-CN"/>
        </w:rPr>
        <w:t>绩效评价报告</w:t>
      </w:r>
    </w:p>
    <w:p>
      <w:pPr>
        <w:autoSpaceDE w:val="0"/>
        <w:autoSpaceDN w:val="0"/>
        <w:adjustRightInd w:val="0"/>
        <w:spacing w:line="590" w:lineRule="exact"/>
        <w:ind w:firstLine="0" w:firstLineChars="0"/>
        <w:jc w:val="center"/>
        <w:rPr>
          <w:rFonts w:hint="eastAsia" w:ascii="方正小标宋简体" w:hAnsi="方正小标宋简体" w:eastAsia="方正小标宋简体" w:cs="方正小标宋简体"/>
          <w:b/>
          <w:bCs/>
          <w:color w:val="000000"/>
          <w:kern w:val="0"/>
          <w:sz w:val="48"/>
          <w:szCs w:val="48"/>
        </w:rPr>
      </w:pPr>
    </w:p>
    <w:p>
      <w:pPr>
        <w:spacing w:line="590" w:lineRule="exact"/>
        <w:ind w:left="680"/>
        <w:rPr>
          <w:rFonts w:ascii="仿宋" w:hAnsi="仿宋" w:eastAsia="仿宋" w:cs="仿宋"/>
          <w:sz w:val="32"/>
        </w:rPr>
      </w:pPr>
    </w:p>
    <w:p>
      <w:pPr>
        <w:spacing w:line="590" w:lineRule="exact"/>
        <w:rPr>
          <w:rFonts w:ascii="仿宋" w:hAnsi="仿宋" w:eastAsia="仿宋" w:cs="仿宋"/>
          <w:sz w:val="32"/>
        </w:rPr>
      </w:pPr>
    </w:p>
    <w:p>
      <w:pPr>
        <w:spacing w:line="590" w:lineRule="exact"/>
        <w:ind w:firstLine="0" w:firstLineChars="0"/>
        <w:rPr>
          <w:rFonts w:ascii="仿宋" w:hAnsi="仿宋" w:eastAsia="仿宋" w:cs="仿宋"/>
          <w:sz w:val="32"/>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ind w:firstLine="602"/>
        <w:rPr>
          <w:rFonts w:ascii="仿宋" w:hAnsi="仿宋" w:eastAsia="仿宋" w:cs="仿宋"/>
          <w:b/>
          <w:bCs/>
        </w:rPr>
      </w:pPr>
    </w:p>
    <w:p>
      <w:pPr>
        <w:spacing w:line="590" w:lineRule="exact"/>
        <w:jc w:val="center"/>
        <w:rPr>
          <w:rFonts w:ascii="仿宋" w:hAnsi="仿宋" w:eastAsia="仿宋" w:cs="仿宋"/>
          <w:b/>
          <w:bCs/>
          <w:sz w:val="32"/>
          <w:szCs w:val="24"/>
        </w:rPr>
      </w:pPr>
      <w:r>
        <w:rPr>
          <w:rFonts w:hint="eastAsia" w:ascii="仿宋" w:hAnsi="仿宋" w:eastAsia="仿宋" w:cs="仿宋"/>
          <w:b/>
          <w:bCs/>
          <w:sz w:val="32"/>
          <w:szCs w:val="24"/>
        </w:rPr>
        <w:t>威海市文登区财政局</w:t>
      </w:r>
    </w:p>
    <w:p>
      <w:pPr>
        <w:spacing w:line="590" w:lineRule="exact"/>
        <w:jc w:val="center"/>
        <w:rPr>
          <w:rFonts w:ascii="仿宋" w:hAnsi="仿宋" w:eastAsia="仿宋" w:cs="仿宋"/>
          <w:b/>
          <w:bCs/>
          <w:sz w:val="32"/>
          <w:szCs w:val="24"/>
        </w:rPr>
        <w:sectPr>
          <w:headerReference r:id="rId19" w:type="first"/>
          <w:footerReference r:id="rId22" w:type="first"/>
          <w:headerReference r:id="rId17" w:type="default"/>
          <w:footerReference r:id="rId20" w:type="default"/>
          <w:headerReference r:id="rId18" w:type="even"/>
          <w:footerReference r:id="rId21" w:type="even"/>
          <w:pgSz w:w="11850" w:h="16783"/>
          <w:pgMar w:top="1440" w:right="1440" w:bottom="1440" w:left="1440" w:header="737" w:footer="1077" w:gutter="0"/>
          <w:cols w:equalWidth="0" w:num="1">
            <w:col w:w="9026"/>
          </w:cols>
          <w:docGrid w:linePitch="360" w:charSpace="0"/>
        </w:sectPr>
      </w:pPr>
      <w:r>
        <w:rPr>
          <w:rFonts w:hint="eastAsia" w:ascii="仿宋" w:hAnsi="仿宋" w:eastAsia="仿宋" w:cs="仿宋"/>
          <w:b/>
          <w:bCs/>
          <w:sz w:val="32"/>
          <w:szCs w:val="24"/>
        </w:rPr>
        <w:t>评价时间：202</w:t>
      </w:r>
      <w:r>
        <w:rPr>
          <w:rFonts w:hint="eastAsia" w:ascii="仿宋" w:hAnsi="仿宋" w:eastAsia="仿宋" w:cs="仿宋"/>
          <w:b/>
          <w:bCs/>
          <w:sz w:val="32"/>
          <w:szCs w:val="24"/>
          <w:lang w:val="en-US" w:eastAsia="zh-CN"/>
        </w:rPr>
        <w:t>4</w:t>
      </w:r>
      <w:r>
        <w:rPr>
          <w:rFonts w:hint="eastAsia" w:ascii="仿宋" w:hAnsi="仿宋" w:eastAsia="仿宋" w:cs="仿宋"/>
          <w:b/>
          <w:bCs/>
          <w:sz w:val="32"/>
          <w:szCs w:val="24"/>
        </w:rPr>
        <w:t xml:space="preserve"> 年 </w:t>
      </w:r>
      <w:r>
        <w:rPr>
          <w:rFonts w:hint="eastAsia" w:ascii="仿宋" w:hAnsi="仿宋" w:eastAsia="仿宋" w:cs="仿宋"/>
          <w:b/>
          <w:bCs/>
          <w:sz w:val="32"/>
          <w:szCs w:val="24"/>
          <w:lang w:val="en-US" w:eastAsia="zh-CN"/>
        </w:rPr>
        <w:t>9</w:t>
      </w:r>
      <w:r>
        <w:rPr>
          <w:rFonts w:hint="eastAsia" w:ascii="仿宋" w:hAnsi="仿宋" w:eastAsia="仿宋" w:cs="仿宋"/>
          <w:b/>
          <w:bCs/>
          <w:sz w:val="32"/>
          <w:szCs w:val="24"/>
        </w:rPr>
        <w:t xml:space="preserve"> 月</w:t>
      </w:r>
    </w:p>
    <w:p>
      <w:pPr>
        <w:pStyle w:val="3"/>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黑体" w:eastAsia="黑体" w:cs="Times New Roman"/>
          <w:bCs w:val="0"/>
          <w:color w:val="auto"/>
          <w:kern w:val="2"/>
          <w:sz w:val="32"/>
          <w:szCs w:val="32"/>
          <w:lang w:val="en-US" w:eastAsia="zh-CN" w:bidi="ar-SA"/>
        </w:rPr>
      </w:pPr>
      <w:r>
        <w:rPr>
          <w:rFonts w:ascii="Times New Roman" w:hAnsi="黑体" w:eastAsia="黑体" w:cs="Times New Roman"/>
          <w:bCs w:val="0"/>
          <w:color w:val="auto"/>
          <w:kern w:val="2"/>
          <w:sz w:val="32"/>
          <w:szCs w:val="32"/>
          <w:lang w:val="en-US" w:eastAsia="zh-CN" w:bidi="ar-SA"/>
        </w:rPr>
        <w:t>一、项目概况</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（一）项目立项背景及实施目的：</w:t>
      </w:r>
      <w:r>
        <w:rPr>
          <w:rFonts w:hint="eastAsia" w:ascii="仿宋_GB2312" w:eastAsia="仿宋_GB2312"/>
          <w:sz w:val="32"/>
          <w:szCs w:val="32"/>
          <w:lang w:bidi="en-US"/>
        </w:rPr>
        <w:t>随着人口老龄化的加速发展，威海市文登区的老年人口规模持续增长，老龄化进程加快。老年人口的增加对养老服务的需求也相应增加，尤其是居家养老服务，成为满足老年人养老需求的重要方式。威海市文登区政府购买社区居家养老服务项目的立项背景是基于应对人口老龄化挑战、满足老年人多样化需求、推动养老服务体系建设、促进养老事业和产业协同发展以及政策支持和资金保障等多方面的考虑。</w:t>
      </w:r>
    </w:p>
    <w:p>
      <w:pPr>
        <w:pageBreakBefore w:val="0"/>
        <w:kinsoku/>
        <w:wordWrap/>
        <w:overflowPunct/>
        <w:topLinePunct w:val="0"/>
        <w:autoSpaceDE/>
        <w:autoSpaceDN/>
        <w:bidi w:val="0"/>
        <w:adjustRightInd/>
        <w:snapToGrid/>
        <w:spacing w:line="560" w:lineRule="exact"/>
        <w:ind w:firstLine="562"/>
        <w:jc w:val="left"/>
        <w:textAlignment w:val="auto"/>
        <w:rPr>
          <w:rFonts w:ascii="仿宋_GB2312" w:hAnsi="仿宋_GB2312" w:cs="仿宋_GB2312"/>
          <w:color w:val="auto"/>
          <w:szCs w:val="28"/>
          <w:highlight w:val="none"/>
          <w:lang w:bidi="en-US"/>
        </w:rPr>
      </w:pPr>
      <w:r>
        <w:rPr>
          <w:rFonts w:hint="eastAsia" w:eastAsia="楷体_GB2312" w:cs="仿宋_GB2312" w:asciiTheme="minorHAnsi" w:hAnsiTheme="minorHAnsi"/>
          <w:color w:val="auto"/>
          <w:kern w:val="0"/>
          <w:sz w:val="32"/>
          <w:szCs w:val="32"/>
          <w:lang w:val="en-US" w:eastAsia="zh-CN" w:bidi="ar-SA"/>
        </w:rPr>
        <w:t>（二）项目预算安排和支出情况：</w:t>
      </w:r>
      <w:r>
        <w:rPr>
          <w:rFonts w:hint="eastAsia" w:ascii="仿宋_GB2312" w:eastAsia="仿宋_GB2312"/>
          <w:sz w:val="32"/>
          <w:szCs w:val="32"/>
          <w:lang w:bidi="en-US"/>
        </w:rPr>
        <w:t>资金来源为中央资金、地方财政拨款，2023年预算安排</w:t>
      </w:r>
      <w:r>
        <w:rPr>
          <w:rFonts w:hint="eastAsia" w:ascii="仿宋_GB2312" w:eastAsia="仿宋_GB2312"/>
          <w:sz w:val="32"/>
          <w:szCs w:val="32"/>
          <w:lang w:eastAsia="zh-CN" w:bidi="en-US"/>
        </w:rPr>
        <w:t>1028.1107</w:t>
      </w:r>
      <w:r>
        <w:rPr>
          <w:rFonts w:hint="eastAsia" w:ascii="仿宋_GB2312" w:eastAsia="仿宋_GB2312"/>
          <w:sz w:val="32"/>
          <w:szCs w:val="32"/>
          <w:lang w:bidi="en-US"/>
        </w:rPr>
        <w:t>万元，实际需支出</w:t>
      </w:r>
      <w:r>
        <w:rPr>
          <w:rFonts w:hint="eastAsia" w:ascii="仿宋_GB2312" w:eastAsia="仿宋_GB2312"/>
          <w:sz w:val="32"/>
          <w:szCs w:val="32"/>
          <w:lang w:eastAsia="zh-CN" w:bidi="en-US"/>
        </w:rPr>
        <w:t>1017.9828</w:t>
      </w:r>
      <w:r>
        <w:rPr>
          <w:rFonts w:hint="eastAsia" w:ascii="仿宋_GB2312" w:eastAsia="仿宋_GB2312"/>
          <w:sz w:val="32"/>
          <w:szCs w:val="32"/>
          <w:lang w:bidi="en-US"/>
        </w:rPr>
        <w:t>万元，其中：中央资金</w:t>
      </w:r>
      <w:r>
        <w:rPr>
          <w:rFonts w:hint="eastAsia" w:ascii="仿宋_GB2312" w:eastAsia="仿宋_GB2312"/>
          <w:sz w:val="32"/>
          <w:szCs w:val="32"/>
          <w:lang w:eastAsia="zh-CN" w:bidi="en-US"/>
        </w:rPr>
        <w:t>738.9444</w:t>
      </w:r>
      <w:r>
        <w:rPr>
          <w:rFonts w:hint="eastAsia" w:ascii="仿宋_GB2312" w:eastAsia="仿宋_GB2312"/>
          <w:sz w:val="32"/>
          <w:szCs w:val="32"/>
          <w:lang w:bidi="en-US"/>
        </w:rPr>
        <w:t>万元，非中央资金</w:t>
      </w:r>
      <w:r>
        <w:rPr>
          <w:rFonts w:hint="eastAsia" w:ascii="仿宋_GB2312" w:eastAsia="仿宋_GB2312"/>
          <w:sz w:val="32"/>
          <w:szCs w:val="32"/>
          <w:lang w:eastAsia="zh-CN" w:bidi="en-US"/>
        </w:rPr>
        <w:t>279.0384</w:t>
      </w:r>
      <w:r>
        <w:rPr>
          <w:rFonts w:hint="eastAsia" w:ascii="仿宋_GB2312" w:eastAsia="仿宋_GB2312"/>
          <w:sz w:val="32"/>
          <w:szCs w:val="32"/>
          <w:lang w:bidi="en-US"/>
        </w:rPr>
        <w:t>万元。2023年申请拨付1-9月份资金共</w:t>
      </w:r>
      <w:r>
        <w:rPr>
          <w:rFonts w:hint="eastAsia" w:ascii="仿宋_GB2312" w:eastAsia="仿宋_GB2312"/>
          <w:sz w:val="32"/>
          <w:szCs w:val="32"/>
          <w:lang w:eastAsia="zh-CN" w:bidi="en-US"/>
        </w:rPr>
        <w:t>722.6118</w:t>
      </w:r>
      <w:r>
        <w:rPr>
          <w:rFonts w:hint="eastAsia" w:ascii="仿宋_GB2312" w:eastAsia="仿宋_GB2312"/>
          <w:sz w:val="32"/>
          <w:szCs w:val="32"/>
          <w:lang w:bidi="en-US"/>
        </w:rPr>
        <w:t>万元，已审核完毕，资金暂未拨付。</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color w:val="auto"/>
          <w:szCs w:val="28"/>
          <w:highlight w:val="none"/>
          <w:lang w:bidi="en-US"/>
        </w:rPr>
      </w:pPr>
      <w:r>
        <w:rPr>
          <w:rFonts w:hint="eastAsia" w:eastAsia="楷体_GB2312" w:cs="仿宋_GB2312" w:asciiTheme="minorHAnsi" w:hAnsiTheme="minorHAnsi"/>
          <w:color w:val="auto"/>
          <w:kern w:val="0"/>
          <w:sz w:val="32"/>
          <w:szCs w:val="32"/>
          <w:lang w:val="en-US" w:eastAsia="zh-CN" w:bidi="ar-SA"/>
        </w:rPr>
        <w:t>（三）项目实施内容：</w:t>
      </w:r>
      <w:r>
        <w:rPr>
          <w:rFonts w:hint="eastAsia" w:ascii="仿宋_GB2312" w:eastAsia="仿宋_GB2312"/>
          <w:sz w:val="32"/>
          <w:szCs w:val="32"/>
          <w:lang w:bidi="en-US"/>
        </w:rPr>
        <w:t>由政府出资为居住在家的A类、B类、C类、D类特殊困难、非特殊困难老年人向社会组织或企业购买专业化养老服务，服务主体通过公开招标方式确定，最终依据服务记录、考核评论结果进行资金结算。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eastAsia="楷体_GB2312" w:cs="仿宋_GB2312" w:asciiTheme="minorHAnsi" w:hAnsiTheme="minorHAnsi"/>
          <w:color w:val="auto"/>
          <w:kern w:val="0"/>
          <w:sz w:val="32"/>
          <w:szCs w:val="32"/>
          <w:lang w:val="en-US" w:eastAsia="zh-CN" w:bidi="ar-SA"/>
        </w:rPr>
        <w:t>（四）项目组织管理：</w:t>
      </w:r>
      <w:r>
        <w:rPr>
          <w:rFonts w:hint="eastAsia" w:ascii="仿宋_GB2312" w:eastAsia="仿宋_GB2312"/>
          <w:sz w:val="32"/>
          <w:szCs w:val="32"/>
          <w:lang w:bidi="en-US"/>
        </w:rPr>
        <w:t>项目由文登区</w:t>
      </w:r>
      <w:r>
        <w:rPr>
          <w:rFonts w:hint="eastAsia" w:ascii="仿宋_GB2312" w:eastAsia="仿宋_GB2312"/>
          <w:sz w:val="32"/>
          <w:szCs w:val="32"/>
          <w:lang w:val="en-US" w:eastAsia="zh-CN" w:bidi="en-US"/>
        </w:rPr>
        <w:t>民政局</w:t>
      </w:r>
      <w:r>
        <w:rPr>
          <w:rFonts w:hint="eastAsia" w:ascii="仿宋_GB2312" w:eastAsia="仿宋_GB2312"/>
          <w:sz w:val="32"/>
          <w:szCs w:val="32"/>
          <w:lang w:bidi="en-US"/>
        </w:rPr>
        <w:t>负责管理，负责制定绩效目标，并对项目的实施情况进行监督考核；项目由文登区</w:t>
      </w:r>
      <w:r>
        <w:rPr>
          <w:rFonts w:hint="eastAsia" w:ascii="仿宋_GB2312" w:eastAsia="仿宋_GB2312"/>
          <w:sz w:val="32"/>
          <w:szCs w:val="32"/>
          <w:lang w:val="en-US" w:eastAsia="zh-CN" w:bidi="en-US"/>
        </w:rPr>
        <w:t>中标的服务机构</w:t>
      </w:r>
      <w:r>
        <w:rPr>
          <w:rFonts w:hint="eastAsia" w:ascii="仿宋_GB2312" w:eastAsia="仿宋_GB2312"/>
          <w:sz w:val="32"/>
          <w:szCs w:val="32"/>
          <w:lang w:bidi="en-US"/>
        </w:rPr>
        <w:t>具体组织实施，根据各</w:t>
      </w:r>
      <w:r>
        <w:rPr>
          <w:rFonts w:hint="eastAsia" w:ascii="仿宋_GB2312" w:eastAsia="仿宋_GB2312"/>
          <w:sz w:val="32"/>
          <w:szCs w:val="32"/>
          <w:lang w:val="en-US" w:eastAsia="zh-CN" w:bidi="en-US"/>
        </w:rPr>
        <w:t>镇街</w:t>
      </w:r>
      <w:r>
        <w:rPr>
          <w:rFonts w:hint="eastAsia" w:ascii="仿宋_GB2312" w:eastAsia="仿宋_GB2312"/>
          <w:sz w:val="32"/>
          <w:szCs w:val="32"/>
          <w:lang w:bidi="en-US"/>
        </w:rPr>
        <w:t>的具体情况开展</w:t>
      </w:r>
      <w:r>
        <w:rPr>
          <w:rFonts w:hint="eastAsia" w:ascii="仿宋_GB2312" w:eastAsia="仿宋_GB2312"/>
          <w:sz w:val="32"/>
          <w:szCs w:val="32"/>
          <w:lang w:val="en-US" w:eastAsia="zh-CN" w:bidi="en-US"/>
        </w:rPr>
        <w:t>助餐、助洁、助浴</w:t>
      </w:r>
      <w:r>
        <w:rPr>
          <w:rFonts w:hint="eastAsia" w:ascii="仿宋_GB2312" w:eastAsia="仿宋_GB2312"/>
          <w:sz w:val="32"/>
          <w:szCs w:val="32"/>
          <w:lang w:bidi="en-US"/>
        </w:rPr>
        <w:t>服务。</w:t>
      </w:r>
    </w:p>
    <w:p>
      <w:pPr>
        <w:pageBreakBefore w:val="0"/>
        <w:kinsoku/>
        <w:wordWrap/>
        <w:overflowPunct/>
        <w:topLinePunct w:val="0"/>
        <w:autoSpaceDE/>
        <w:autoSpaceDN/>
        <w:bidi w:val="0"/>
        <w:adjustRightInd/>
        <w:snapToGrid/>
        <w:spacing w:line="560" w:lineRule="exact"/>
        <w:ind w:firstLine="602"/>
        <w:textAlignment w:val="auto"/>
        <w:rPr>
          <w:rFonts w:eastAsia="黑体"/>
          <w:b/>
          <w:bCs/>
          <w:color w:val="auto"/>
          <w:highlight w:val="none"/>
        </w:rPr>
      </w:pPr>
      <w:r>
        <w:rPr>
          <w:rFonts w:hint="eastAsia" w:ascii="黑体" w:hAnsi="黑体" w:eastAsia="黑体" w:cs="黑体"/>
          <w:b/>
          <w:bCs/>
          <w:color w:val="auto"/>
          <w:sz w:val="30"/>
          <w:szCs w:val="30"/>
          <w:highlight w:val="none"/>
        </w:rPr>
        <w:t>二、项目绩效目标</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color w:val="auto"/>
          <w:highlight w:val="none"/>
        </w:rPr>
      </w:pPr>
      <w:r>
        <w:rPr>
          <w:rFonts w:hint="eastAsia" w:ascii="仿宋_GB2312" w:hAnsi="仿宋_GB2312" w:cs="仿宋_GB2312"/>
          <w:b/>
          <w:bCs/>
          <w:color w:val="auto"/>
          <w:highlight w:val="none"/>
        </w:rPr>
        <w:t>（一）总体绩效目标：</w:t>
      </w:r>
      <w:r>
        <w:rPr>
          <w:rFonts w:hint="eastAsia" w:ascii="仿宋_GB2312" w:eastAsia="仿宋_GB2312"/>
          <w:sz w:val="32"/>
          <w:szCs w:val="32"/>
          <w:lang w:bidi="en-US"/>
        </w:rPr>
        <w:t>为贯彻落实对特困群众救助保障，加强对特困群众救服务质量，以解决城乡特困人员突出困难、满足城乡特困人员基本需求为目标，将符合条件的特困人员全部纳入救助供养范围，切实维护他们的基本生活权益。</w:t>
      </w:r>
    </w:p>
    <w:p>
      <w:pPr>
        <w:pageBreakBefore w:val="0"/>
        <w:kinsoku/>
        <w:wordWrap/>
        <w:overflowPunct/>
        <w:topLinePunct w:val="0"/>
        <w:autoSpaceDE/>
        <w:autoSpaceDN/>
        <w:bidi w:val="0"/>
        <w:adjustRightInd/>
        <w:snapToGrid/>
        <w:spacing w:line="560" w:lineRule="exact"/>
        <w:ind w:firstLine="562"/>
        <w:textAlignment w:val="auto"/>
        <w:rPr>
          <w:rFonts w:hint="eastAsia" w:ascii="仿宋_GB2312" w:eastAsia="仿宋_GB2312"/>
          <w:sz w:val="32"/>
          <w:szCs w:val="32"/>
          <w:lang w:bidi="en-US"/>
        </w:rPr>
      </w:pPr>
      <w:r>
        <w:rPr>
          <w:rFonts w:hint="eastAsia" w:ascii="仿宋_GB2312" w:hAnsi="仿宋_GB2312" w:cs="仿宋_GB2312"/>
          <w:b/>
          <w:bCs/>
          <w:color w:val="auto"/>
          <w:highlight w:val="none"/>
        </w:rPr>
        <w:t>（二）年度绩效目标：</w:t>
      </w:r>
      <w:r>
        <w:rPr>
          <w:rFonts w:hint="eastAsia" w:ascii="仿宋_GB2312" w:eastAsia="仿宋_GB2312"/>
          <w:sz w:val="32"/>
          <w:szCs w:val="32"/>
          <w:lang w:bidi="en-US"/>
        </w:rPr>
        <w:t>为全区65岁以上约2600位老年人购买居家养老服务，保证老年人日常生活需要，A类老年人标准每人每月1200元,B类老年人标准每人每月900元,C类老年人标准每人每月600元,提供服务人数不低于2600人。资金发放及时率95%，资金拨付准确率95%,提高老年人生活幸福水平效果显著，享受居家养老服务的老年人满意度不低于95%。</w:t>
      </w:r>
    </w:p>
    <w:p>
      <w:pPr>
        <w:pageBreakBefore w:val="0"/>
        <w:kinsoku/>
        <w:wordWrap/>
        <w:overflowPunct/>
        <w:topLinePunct w:val="0"/>
        <w:autoSpaceDE/>
        <w:autoSpaceDN/>
        <w:bidi w:val="0"/>
        <w:adjustRightInd/>
        <w:snapToGrid/>
        <w:spacing w:line="560" w:lineRule="exact"/>
        <w:ind w:firstLine="602"/>
        <w:textAlignment w:val="auto"/>
        <w:rPr>
          <w:rFonts w:hint="eastAsia" w:ascii="黑体" w:hAnsi="黑体" w:eastAsia="黑体" w:cs="黑体"/>
          <w:b/>
          <w:bCs/>
          <w:color w:val="auto"/>
          <w:sz w:val="30"/>
          <w:szCs w:val="30"/>
          <w:highlight w:val="none"/>
          <w:lang w:val="en-US" w:eastAsia="zh-CN"/>
        </w:rPr>
      </w:pPr>
      <w:bookmarkStart w:id="21" w:name="_Toc116480210"/>
      <w:bookmarkStart w:id="22" w:name="_Toc116483187"/>
      <w:bookmarkStart w:id="23" w:name="_Toc116549099"/>
      <w:r>
        <w:rPr>
          <w:rFonts w:hint="eastAsia" w:ascii="黑体" w:hAnsi="黑体" w:eastAsia="黑体" w:cs="黑体"/>
          <w:b/>
          <w:bCs/>
          <w:color w:val="auto"/>
          <w:sz w:val="30"/>
          <w:szCs w:val="30"/>
          <w:highlight w:val="none"/>
        </w:rPr>
        <w:t>三、绩效评价结论</w:t>
      </w:r>
      <w:bookmarkEnd w:id="21"/>
      <w:bookmarkEnd w:id="22"/>
      <w:bookmarkEnd w:id="23"/>
      <w:r>
        <w:rPr>
          <w:rFonts w:hint="eastAsia" w:ascii="黑体" w:hAnsi="黑体" w:eastAsia="黑体" w:cs="黑体"/>
          <w:b/>
          <w:bCs/>
          <w:color w:val="auto"/>
          <w:sz w:val="30"/>
          <w:szCs w:val="30"/>
          <w:highlight w:val="none"/>
          <w:lang w:val="en-US" w:eastAsia="zh-CN"/>
        </w:rPr>
        <w:t xml:space="preserve"> </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color w:val="auto"/>
          <w:szCs w:val="28"/>
          <w:highlight w:val="none"/>
          <w:lang w:bidi="en-US"/>
        </w:rPr>
      </w:pPr>
      <w:bookmarkStart w:id="24" w:name="_Toc109029197"/>
      <w:r>
        <w:rPr>
          <w:rFonts w:hint="eastAsia" w:ascii="仿宋_GB2312" w:hAnsi="仿宋_GB2312" w:cs="仿宋_GB2312"/>
          <w:b/>
          <w:bCs/>
          <w:color w:val="auto"/>
          <w:szCs w:val="28"/>
          <w:highlight w:val="none"/>
          <w:lang w:bidi="en-US"/>
        </w:rPr>
        <w:t>评价得分：</w:t>
      </w:r>
      <w:r>
        <w:rPr>
          <w:rFonts w:hint="eastAsia" w:ascii="仿宋_GB2312" w:eastAsia="仿宋_GB2312"/>
          <w:sz w:val="32"/>
          <w:szCs w:val="32"/>
          <w:lang w:bidi="en-US"/>
        </w:rPr>
        <w:t>经综合评价，“2023年威海市文登区社区居家养老服务”项目得分</w:t>
      </w:r>
      <w:r>
        <w:rPr>
          <w:rFonts w:hint="eastAsia" w:ascii="仿宋_GB2312" w:eastAsia="仿宋_GB2312"/>
          <w:sz w:val="32"/>
          <w:szCs w:val="32"/>
          <w:lang w:eastAsia="zh-CN" w:bidi="en-US"/>
        </w:rPr>
        <w:t>76.6</w:t>
      </w:r>
      <w:r>
        <w:rPr>
          <w:rFonts w:hint="eastAsia" w:ascii="仿宋_GB2312" w:eastAsia="仿宋_GB2312"/>
          <w:sz w:val="32"/>
          <w:szCs w:val="32"/>
          <w:lang w:bidi="en-US"/>
        </w:rPr>
        <w:t>分，评价等级为中。</w:t>
      </w:r>
    </w:p>
    <w:p>
      <w:pPr>
        <w:pageBreakBefore w:val="0"/>
        <w:kinsoku/>
        <w:wordWrap/>
        <w:overflowPunct/>
        <w:topLinePunct w:val="0"/>
        <w:autoSpaceDE/>
        <w:autoSpaceDN/>
        <w:bidi w:val="0"/>
        <w:adjustRightInd/>
        <w:snapToGrid/>
        <w:spacing w:line="560" w:lineRule="exact"/>
        <w:ind w:firstLine="562"/>
        <w:jc w:val="left"/>
        <w:textAlignment w:val="auto"/>
        <w:rPr>
          <w:color w:val="auto"/>
          <w:highlight w:val="none"/>
        </w:rPr>
      </w:pPr>
      <w:bookmarkStart w:id="25" w:name="_Toc116480211"/>
      <w:bookmarkStart w:id="26" w:name="_Toc116483188"/>
      <w:r>
        <w:rPr>
          <w:rFonts w:hint="eastAsia" w:ascii="仿宋_GB2312" w:hAnsi="仿宋_GB2312" w:cs="仿宋_GB2312"/>
          <w:b/>
          <w:bCs/>
          <w:color w:val="auto"/>
          <w:szCs w:val="28"/>
          <w:highlight w:val="none"/>
          <w:lang w:bidi="en-US"/>
        </w:rPr>
        <w:t>主要成效：</w:t>
      </w:r>
      <w:r>
        <w:rPr>
          <w:rFonts w:hint="eastAsia" w:ascii="仿宋_GB2312" w:eastAsia="仿宋_GB2312"/>
          <w:sz w:val="32"/>
          <w:szCs w:val="32"/>
          <w:lang w:bidi="en-US"/>
        </w:rPr>
        <w:t>该项目的实施在提高文登区居家养老服务质量，促进居家养老服务体系健康发展，保障居家服务对象的合法权益等方面发挥了一定作用，社会满意度较高。</w:t>
      </w:r>
      <w:bookmarkEnd w:id="24"/>
      <w:bookmarkEnd w:id="25"/>
      <w:bookmarkEnd w:id="26"/>
      <w:bookmarkStart w:id="27" w:name="_Toc109029198"/>
      <w:bookmarkStart w:id="28" w:name="_Toc116483191"/>
      <w:bookmarkStart w:id="29" w:name="_Toc116549100"/>
      <w:bookmarkStart w:id="30" w:name="_Toc116480214"/>
      <w:r>
        <w:rPr>
          <w:rFonts w:hint="eastAsia" w:ascii="仿宋_GB2312" w:eastAsia="仿宋_GB2312"/>
          <w:sz w:val="32"/>
          <w:szCs w:val="32"/>
          <w:lang w:bidi="en-US"/>
        </w:rPr>
        <w:t>本次评价共获取“6012349”便民服务中心有效电话回访502条，</w:t>
      </w:r>
      <w:r>
        <w:rPr>
          <w:rFonts w:hint="eastAsia" w:ascii="仿宋_GB2312" w:eastAsia="仿宋_GB2312"/>
          <w:sz w:val="32"/>
          <w:szCs w:val="32"/>
          <w:lang w:val="en-US" w:eastAsia="zh-CN" w:bidi="en-US"/>
        </w:rPr>
        <w:t>现场及评价人员电话调查收回有效问卷7</w:t>
      </w:r>
      <w:r>
        <w:rPr>
          <w:rFonts w:hint="eastAsia" w:ascii="仿宋_GB2312" w:eastAsia="仿宋_GB2312"/>
          <w:sz w:val="32"/>
          <w:szCs w:val="32"/>
          <w:lang w:bidi="en-US"/>
        </w:rPr>
        <w:t>00份，综合满意度85%。（注：问卷调查情况详见附件1：问卷调查报告）</w:t>
      </w:r>
      <w:bookmarkEnd w:id="27"/>
      <w:bookmarkEnd w:id="28"/>
      <w:bookmarkEnd w:id="29"/>
      <w:bookmarkEnd w:id="30"/>
    </w:p>
    <w:p>
      <w:pPr>
        <w:pageBreakBefore w:val="0"/>
        <w:kinsoku/>
        <w:wordWrap/>
        <w:overflowPunct/>
        <w:topLinePunct w:val="0"/>
        <w:autoSpaceDE/>
        <w:autoSpaceDN/>
        <w:bidi w:val="0"/>
        <w:adjustRightInd/>
        <w:snapToGrid/>
        <w:spacing w:line="560" w:lineRule="exact"/>
        <w:ind w:firstLine="602"/>
        <w:textAlignment w:val="auto"/>
        <w:rPr>
          <w:rFonts w:eastAsia="黑体"/>
          <w:color w:val="auto"/>
          <w:highlight w:val="none"/>
        </w:rPr>
      </w:pPr>
      <w:r>
        <w:rPr>
          <w:rFonts w:hint="eastAsia" w:ascii="黑体" w:hAnsi="黑体" w:eastAsia="黑体" w:cs="黑体"/>
          <w:b/>
          <w:bCs/>
          <w:color w:val="auto"/>
          <w:sz w:val="30"/>
          <w:szCs w:val="30"/>
          <w:highlight w:val="none"/>
        </w:rPr>
        <w:t>四、存在的问题</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szCs w:val="28"/>
          <w:highlight w:val="none"/>
          <w:lang w:bidi="en-US"/>
        </w:rPr>
      </w:pPr>
      <w:bookmarkStart w:id="31" w:name="_Toc116483193"/>
      <w:bookmarkStart w:id="32" w:name="_Toc109029199"/>
      <w:bookmarkStart w:id="33" w:name="_Toc116549101"/>
      <w:bookmarkStart w:id="34" w:name="_Toc116480216"/>
      <w:r>
        <w:rPr>
          <w:rFonts w:hint="eastAsia" w:ascii="仿宋_GB2312" w:hAnsi="仿宋_GB2312" w:cs="仿宋_GB2312"/>
          <w:b/>
          <w:bCs/>
          <w:color w:val="auto"/>
          <w:szCs w:val="28"/>
          <w:highlight w:val="none"/>
          <w:lang w:eastAsia="zh-CN" w:bidi="en-US"/>
        </w:rPr>
        <w:t>（</w:t>
      </w:r>
      <w:r>
        <w:rPr>
          <w:rFonts w:hint="eastAsia" w:ascii="仿宋_GB2312" w:hAnsi="仿宋_GB2312" w:cs="仿宋_GB2312"/>
          <w:b/>
          <w:bCs/>
          <w:color w:val="auto"/>
          <w:szCs w:val="28"/>
          <w:highlight w:val="none"/>
          <w:lang w:val="en-US" w:eastAsia="zh-CN" w:bidi="en-US"/>
        </w:rPr>
        <w:t>一</w:t>
      </w:r>
      <w:r>
        <w:rPr>
          <w:rFonts w:hint="eastAsia" w:ascii="仿宋_GB2312" w:hAnsi="仿宋_GB2312" w:cs="仿宋_GB2312"/>
          <w:b/>
          <w:bCs/>
          <w:color w:val="auto"/>
          <w:szCs w:val="28"/>
          <w:highlight w:val="none"/>
          <w:lang w:eastAsia="zh-CN" w:bidi="en-US"/>
        </w:rPr>
        <w:t>）</w:t>
      </w:r>
      <w:r>
        <w:rPr>
          <w:rFonts w:hint="eastAsia" w:ascii="仿宋_GB2312" w:hAnsi="仿宋_GB2312" w:cs="仿宋_GB2312"/>
          <w:b/>
          <w:bCs/>
          <w:color w:val="auto"/>
          <w:highlight w:val="none"/>
        </w:rPr>
        <w:t>需求识别不足与服务利用率低下</w:t>
      </w:r>
      <w:r>
        <w:rPr>
          <w:rFonts w:hint="eastAsia" w:ascii="仿宋_GB2312" w:hAnsi="仿宋_GB2312" w:cs="仿宋_GB2312"/>
          <w:b/>
          <w:bCs/>
          <w:color w:val="auto"/>
          <w:szCs w:val="28"/>
          <w:highlight w:val="none"/>
          <w:lang w:bidi="en-US"/>
        </w:rPr>
        <w:t>。</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lang w:bidi="en-US"/>
        </w:rPr>
      </w:pPr>
      <w:r>
        <w:rPr>
          <w:rFonts w:hint="eastAsia" w:ascii="仿宋_GB2312" w:eastAsia="仿宋_GB2312"/>
          <w:sz w:val="32"/>
          <w:szCs w:val="32"/>
          <w:lang w:bidi="en-US"/>
        </w:rPr>
        <w:t>文登区养老服务发展缓慢、投诉较多的一个重要原因在于，未能正确识别老年人的真实需求和有效需求。在开展居家养老服务时，对于老年人需求的识别和判断并不完全来自老年人自身，有时得到的服务需求有可能是一种“虚假需求”。老年人对居家养老服务性质、服务内容</w:t>
      </w:r>
      <w:r>
        <w:rPr>
          <w:rFonts w:hint="eastAsia" w:ascii="仿宋_GB2312" w:eastAsia="仿宋_GB2312"/>
          <w:sz w:val="32"/>
          <w:szCs w:val="32"/>
          <w:lang w:val="en-US" w:eastAsia="zh-CN" w:bidi="en-US"/>
        </w:rPr>
        <w:t>的</w:t>
      </w:r>
      <w:r>
        <w:rPr>
          <w:rFonts w:hint="eastAsia" w:ascii="仿宋_GB2312" w:eastAsia="仿宋_GB2312"/>
          <w:sz w:val="32"/>
          <w:szCs w:val="32"/>
          <w:lang w:bidi="en-US"/>
        </w:rPr>
        <w:t>不了解在</w:t>
      </w:r>
      <w:r>
        <w:rPr>
          <w:rFonts w:hint="eastAsia" w:ascii="仿宋_GB2312" w:eastAsia="仿宋_GB2312"/>
          <w:sz w:val="32"/>
          <w:szCs w:val="32"/>
          <w:lang w:val="en-US" w:eastAsia="zh-CN" w:bidi="en-US"/>
        </w:rPr>
        <w:t>农村</w:t>
      </w:r>
      <w:r>
        <w:rPr>
          <w:rFonts w:hint="eastAsia" w:ascii="仿宋_GB2312" w:eastAsia="仿宋_GB2312"/>
          <w:sz w:val="32"/>
          <w:szCs w:val="32"/>
          <w:lang w:bidi="en-US"/>
        </w:rPr>
        <w:t>更加突出。未能识别老年人及其家庭的真实需求，也就难以提供真正契合老年人及家庭最迫切需要的服务。</w:t>
      </w:r>
    </w:p>
    <w:p>
      <w:pPr>
        <w:pageBreakBefore w:val="0"/>
        <w:kinsoku/>
        <w:wordWrap/>
        <w:overflowPunct/>
        <w:topLinePunct w:val="0"/>
        <w:autoSpaceDE/>
        <w:autoSpaceDN/>
        <w:bidi w:val="0"/>
        <w:adjustRightInd/>
        <w:snapToGrid/>
        <w:spacing w:line="560" w:lineRule="exact"/>
        <w:ind w:firstLine="562"/>
        <w:jc w:val="left"/>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二</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被服务主体分布零散，运营成本</w:t>
      </w:r>
      <w:r>
        <w:rPr>
          <w:rFonts w:hint="eastAsia" w:ascii="仿宋_GB2312" w:hAnsi="仿宋_GB2312" w:cs="仿宋_GB2312"/>
          <w:b/>
          <w:bCs/>
          <w:color w:val="auto"/>
          <w:highlight w:val="none"/>
          <w:lang w:val="en-US" w:eastAsia="zh-CN"/>
        </w:rPr>
        <w:t>较高</w:t>
      </w:r>
      <w:r>
        <w:rPr>
          <w:rFonts w:hint="eastAsia" w:ascii="仿宋_GB2312" w:hAnsi="仿宋_GB2312" w:cs="仿宋_GB2312"/>
          <w:b/>
          <w:bCs/>
          <w:color w:val="auto"/>
          <w:highlight w:val="none"/>
        </w:rPr>
        <w:t>，服务效率</w:t>
      </w:r>
      <w:r>
        <w:rPr>
          <w:rFonts w:hint="eastAsia" w:ascii="仿宋_GB2312" w:hAnsi="仿宋_GB2312" w:cs="仿宋_GB2312"/>
          <w:b/>
          <w:bCs/>
          <w:color w:val="auto"/>
          <w:highlight w:val="none"/>
          <w:lang w:val="en-US" w:eastAsia="zh-CN"/>
        </w:rPr>
        <w:t>较低</w:t>
      </w:r>
      <w:r>
        <w:rPr>
          <w:rFonts w:hint="eastAsia" w:ascii="仿宋_GB2312" w:hAnsi="仿宋_GB2312" w:cs="仿宋_GB2312"/>
          <w:b/>
          <w:bCs/>
          <w:color w:val="auto"/>
          <w:highlight w:val="none"/>
        </w:rPr>
        <w:t>。</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lang w:bidi="en-US"/>
        </w:rPr>
      </w:pPr>
      <w:r>
        <w:rPr>
          <w:rFonts w:hint="eastAsia" w:ascii="仿宋_GB2312" w:eastAsia="仿宋_GB2312"/>
          <w:sz w:val="32"/>
          <w:szCs w:val="32"/>
          <w:lang w:bidi="en-US"/>
        </w:rPr>
        <w:t>文登区政府购买社区居家养老服务项目涉及到的被服务人员分布于15个镇街，516个村庄，被服务主体分布零散。</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lang w:bidi="en-US"/>
        </w:rPr>
      </w:pPr>
      <w:r>
        <w:rPr>
          <w:rFonts w:hint="eastAsia" w:ascii="仿宋_GB2312" w:eastAsia="仿宋_GB2312"/>
          <w:sz w:val="32"/>
          <w:szCs w:val="32"/>
          <w:lang w:val="en-US" w:eastAsia="zh-CN" w:bidi="en-US"/>
        </w:rPr>
        <w:t>1.</w:t>
      </w:r>
      <w:r>
        <w:rPr>
          <w:rFonts w:hint="eastAsia" w:ascii="仿宋_GB2312" w:eastAsia="仿宋_GB2312"/>
          <w:sz w:val="32"/>
          <w:szCs w:val="32"/>
          <w:lang w:bidi="en-US"/>
        </w:rPr>
        <w:t>同一个村庄仅有D类被服务对象的情况较多。A类服务对象主要分布于129个村庄，B类服务对象分布于105个村庄，C类服务对象分布于37个村庄，D类服务对象分布于484个村庄，其中仅有D类服务对象的村庄数为338个。</w:t>
      </w:r>
    </w:p>
    <w:p>
      <w:pPr>
        <w:pageBreakBefore w:val="0"/>
        <w:kinsoku/>
        <w:wordWrap/>
        <w:overflowPunct/>
        <w:topLinePunct w:val="0"/>
        <w:autoSpaceDE/>
        <w:autoSpaceDN/>
        <w:bidi w:val="0"/>
        <w:adjustRightInd/>
        <w:snapToGrid/>
        <w:spacing w:line="560" w:lineRule="exact"/>
        <w:ind w:firstLine="0" w:firstLineChars="0"/>
        <w:jc w:val="left"/>
        <w:textAlignment w:val="auto"/>
        <w:rPr>
          <w:rFonts w:ascii="仿宋_GB2312" w:hAnsi="仿宋_GB2312" w:cs="仿宋_GB2312"/>
          <w:b/>
          <w:bCs/>
          <w:color w:val="auto"/>
          <w:highlight w:val="none"/>
        </w:rPr>
      </w:pPr>
      <w:r>
        <w:rPr>
          <w:rFonts w:hint="eastAsia" w:ascii="仿宋_GB2312" w:eastAsia="仿宋_GB2312"/>
          <w:sz w:val="32"/>
          <w:szCs w:val="32"/>
          <w:lang w:val="en-US" w:eastAsia="zh-CN" w:bidi="en-US"/>
        </w:rPr>
        <w:t>2.</w:t>
      </w:r>
      <w:r>
        <w:rPr>
          <w:rFonts w:hint="eastAsia" w:ascii="仿宋_GB2312" w:eastAsia="仿宋_GB2312"/>
          <w:sz w:val="32"/>
          <w:szCs w:val="32"/>
          <w:lang w:bidi="en-US"/>
        </w:rPr>
        <w:t>存在同一个村庄被服务对象仅有１人的情况，涉及的村庄数量占比29.8%。以2024年7月最新数据为例：就餐人数为1人的村庄数为154个，就餐人数为2人的村庄数为95个，就餐人数为3人的村庄为79个，就餐人数为4人的村庄数为59个，就餐人数为5人及以上的村庄数仅为129个。</w:t>
      </w:r>
    </w:p>
    <w:p>
      <w:pPr>
        <w:pageBreakBefore w:val="0"/>
        <w:kinsoku/>
        <w:wordWrap/>
        <w:overflowPunct/>
        <w:topLinePunct w:val="0"/>
        <w:autoSpaceDE/>
        <w:autoSpaceDN/>
        <w:bidi w:val="0"/>
        <w:adjustRightInd/>
        <w:snapToGrid/>
        <w:spacing w:line="560" w:lineRule="exact"/>
        <w:ind w:firstLine="0" w:firstLineChars="0"/>
        <w:jc w:val="left"/>
        <w:textAlignment w:val="auto"/>
        <w:rPr>
          <w:rFonts w:hint="eastAsia" w:ascii="仿宋_GB2312" w:eastAsia="仿宋_GB2312"/>
          <w:sz w:val="32"/>
          <w:szCs w:val="32"/>
          <w:lang w:bidi="en-US"/>
        </w:rPr>
      </w:pPr>
      <w:r>
        <w:rPr>
          <w:rFonts w:hint="eastAsia" w:ascii="仿宋_GB2312" w:hAnsi="仿宋_GB2312" w:cs="仿宋_GB2312"/>
          <w:color w:val="auto"/>
          <w:highlight w:val="none"/>
        </w:rPr>
        <w:t>　　</w:t>
      </w:r>
      <w:r>
        <w:rPr>
          <w:rFonts w:hint="eastAsia" w:ascii="仿宋_GB2312" w:eastAsia="仿宋_GB2312"/>
          <w:sz w:val="32"/>
          <w:szCs w:val="32"/>
          <w:lang w:bidi="en-US"/>
        </w:rPr>
        <w:t>被服务对象分布零散，服务机构送餐效率</w:t>
      </w:r>
      <w:r>
        <w:rPr>
          <w:rFonts w:hint="eastAsia" w:ascii="仿宋_GB2312" w:eastAsia="仿宋_GB2312"/>
          <w:sz w:val="32"/>
          <w:szCs w:val="32"/>
          <w:lang w:val="en-US" w:eastAsia="zh-CN" w:bidi="en-US"/>
        </w:rPr>
        <w:t>较低。</w:t>
      </w:r>
      <w:r>
        <w:rPr>
          <w:rFonts w:hint="eastAsia" w:ascii="仿宋_GB2312" w:eastAsia="仿宋_GB2312"/>
          <w:sz w:val="32"/>
          <w:szCs w:val="32"/>
          <w:lang w:bidi="en-US"/>
        </w:rPr>
        <w:t>在现场走访的过程中，发现服务机构送餐实际到达的时间段在每天10：30之前的占比为61.5%。经了解主要原因是被服务对象分布零散，每条线路的助餐车辆都要配送近30个村庄，行程过长导致。</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三</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被服务对象认定范围过大，</w:t>
      </w:r>
      <w:r>
        <w:rPr>
          <w:rFonts w:hint="eastAsia" w:ascii="仿宋_GB2312" w:hAnsi="仿宋_GB2312" w:cs="仿宋_GB2312"/>
          <w:b/>
          <w:bCs/>
          <w:color w:val="auto"/>
          <w:highlight w:val="none"/>
          <w:lang w:val="en-US" w:eastAsia="zh-CN"/>
        </w:rPr>
        <w:t>服务</w:t>
      </w:r>
      <w:r>
        <w:rPr>
          <w:rFonts w:hint="eastAsia" w:ascii="仿宋_GB2312" w:hAnsi="仿宋_GB2312" w:cs="仿宋_GB2312"/>
          <w:b/>
          <w:bCs/>
          <w:color w:val="auto"/>
          <w:highlight w:val="none"/>
        </w:rPr>
        <w:t>精准</w:t>
      </w:r>
      <w:r>
        <w:rPr>
          <w:rFonts w:hint="eastAsia" w:ascii="仿宋_GB2312" w:hAnsi="仿宋_GB2312" w:cs="仿宋_GB2312"/>
          <w:b/>
          <w:bCs/>
          <w:color w:val="auto"/>
          <w:highlight w:val="none"/>
          <w:lang w:val="en-US" w:eastAsia="zh-CN"/>
        </w:rPr>
        <w:t>度低</w:t>
      </w:r>
      <w:r>
        <w:rPr>
          <w:rFonts w:hint="eastAsia" w:ascii="仿宋_GB2312" w:hAnsi="仿宋_GB2312" w:cs="仿宋_GB2312"/>
          <w:b/>
          <w:bCs/>
          <w:color w:val="auto"/>
          <w:highlight w:val="none"/>
        </w:rPr>
        <w:t>，降低了服务质量。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val="en-US" w:eastAsia="zh-CN" w:bidi="en-US"/>
        </w:rPr>
        <w:t>1.</w:t>
      </w:r>
      <w:r>
        <w:rPr>
          <w:rFonts w:hint="eastAsia" w:ascii="仿宋_GB2312" w:eastAsia="仿宋_GB2312"/>
          <w:sz w:val="32"/>
          <w:szCs w:val="32"/>
          <w:lang w:bidi="en-US"/>
        </w:rPr>
        <w:t>根据《中华人民共和国老年人权益保障法》第三十一条规定：老年人无劳动能力、无生活来源、无赡养人和扶养人，或者其赡养人和扶养人确无赡养能力或者扶养能力的，由地方各级人民政府依照有关规定给予供养或者救助。</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val="en-US" w:eastAsia="zh-CN" w:bidi="en-US"/>
        </w:rPr>
        <w:t>2.</w:t>
      </w:r>
      <w:r>
        <w:rPr>
          <w:rFonts w:hint="eastAsia" w:ascii="仿宋_GB2312" w:eastAsia="仿宋_GB2312"/>
          <w:sz w:val="32"/>
          <w:szCs w:val="32"/>
          <w:lang w:bidi="en-US"/>
        </w:rPr>
        <w:t>根据《威海市实施政府为特殊困难老年人购买社区居家养老服务管理办法》第十条规定：享受政府购买服务的对象为户籍和居住地均在本市，分为A、B、C类。A类老年人：按《老年人能力评估》(mz/T001-2013)标准确定的生活不能自理(重度)的分散居住的特困对象、低保老人；B类老年人：按《老年人能力评估》(mz/T001-2013)标准确定的生活半自理(中度)的分散居住的特困对象、低保老人；C类老年人：按《老年人能力评估》(mz/T001-2013)标准确定的生活不能自理(重度)的市级以上劳动模范、抚恤定补优抚对象、计划生育特别扶助对象、建国前老党员。</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bidi="en-US"/>
        </w:rPr>
      </w:pPr>
      <w:r>
        <w:rPr>
          <w:rFonts w:hint="eastAsia" w:ascii="仿宋_GB2312" w:eastAsia="仿宋_GB2312"/>
          <w:sz w:val="32"/>
          <w:szCs w:val="32"/>
          <w:lang w:val="en-US" w:eastAsia="zh-CN" w:bidi="en-US"/>
        </w:rPr>
        <w:t>3.根据服务机构2023年度台账统计，2023年度共服务A类被服务对象188人，共需支出预算资金184.6800万元（共计服务1539人次）；B类被服务对象164人，共需支出预算资金126.9900万元（共计服务1411人次）；C类被服务对象61人，共需支出预算资金29.7000万元（共计服务495人次）；D类被服务对象1589人，共需支出预算资金501.6020万元（共计服务14753人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根据以上法律</w:t>
      </w:r>
      <w:r>
        <w:rPr>
          <w:rFonts w:hint="eastAsia" w:ascii="仿宋_GB2312" w:eastAsia="仿宋_GB2312"/>
          <w:sz w:val="32"/>
          <w:szCs w:val="32"/>
          <w:lang w:val="en-US" w:eastAsia="zh-CN" w:bidi="en-US"/>
        </w:rPr>
        <w:t>和政策</w:t>
      </w:r>
      <w:r>
        <w:rPr>
          <w:rFonts w:hint="eastAsia" w:ascii="仿宋_GB2312" w:eastAsia="仿宋_GB2312"/>
          <w:sz w:val="32"/>
          <w:szCs w:val="32"/>
          <w:lang w:bidi="en-US"/>
        </w:rPr>
        <w:t>规定，可以确定居家养老服务项目被服务对象主要应为A、B、C类老年人，在文登区政府购买社区居家养老服务项目中D类被服务对象人数占被服务人员总人数的比例超过81%，占用了绝大部分的政府和社会资源，致使确需被服务的对象不能享受精准、有效服务，降低了居家养老服务项目整体服务质量。</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四</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被服务对象回访满意度未</w:t>
      </w:r>
      <w:r>
        <w:rPr>
          <w:rFonts w:hint="eastAsia" w:ascii="仿宋_GB2312" w:hAnsi="仿宋_GB2312" w:cs="仿宋_GB2312"/>
          <w:b/>
          <w:bCs/>
          <w:color w:val="auto"/>
          <w:highlight w:val="none"/>
          <w:lang w:val="en-US" w:eastAsia="zh-CN"/>
        </w:rPr>
        <w:t>达到</w:t>
      </w:r>
      <w:r>
        <w:rPr>
          <w:rFonts w:hint="eastAsia" w:ascii="仿宋_GB2312" w:hAnsi="仿宋_GB2312" w:cs="仿宋_GB2312"/>
          <w:b/>
          <w:bCs/>
          <w:color w:val="auto"/>
          <w:highlight w:val="none"/>
        </w:rPr>
        <w:t>预期目标。</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val="en-US" w:eastAsia="zh-CN"/>
        </w:rPr>
        <w:t>1.</w:t>
      </w:r>
      <w:r>
        <w:rPr>
          <w:rFonts w:hint="eastAsia" w:ascii="仿宋_GB2312" w:hAnsi="仿宋_GB2312" w:cs="仿宋_GB2312"/>
          <w:b/>
          <w:bCs/>
          <w:color w:val="auto"/>
          <w:highlight w:val="none"/>
        </w:rPr>
        <w:t>“6012349”便民服务中心电话回访</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“6012349”回访整体满意度未达</w:t>
      </w:r>
      <w:r>
        <w:rPr>
          <w:rFonts w:hint="eastAsia" w:ascii="仿宋_GB2312" w:eastAsia="仿宋_GB2312"/>
          <w:sz w:val="32"/>
          <w:szCs w:val="32"/>
          <w:lang w:val="en-US" w:eastAsia="zh-CN" w:bidi="en-US"/>
        </w:rPr>
        <w:t>到</w:t>
      </w:r>
      <w:r>
        <w:rPr>
          <w:rFonts w:hint="eastAsia" w:ascii="仿宋_GB2312" w:eastAsia="仿宋_GB2312"/>
          <w:sz w:val="32"/>
          <w:szCs w:val="32"/>
          <w:lang w:bidi="en-US"/>
        </w:rPr>
        <w:t>预期。通过对A类、B类、C类、D类被服务对象电话回访满意度进行统计：2023年电话回访记录共1188条，有效回访502条，其中回访结果不满意128条，回访满意354条，下单未服务20条。电话回访满意度71%</w:t>
      </w:r>
      <w:r>
        <w:rPr>
          <w:rFonts w:hint="eastAsia" w:ascii="仿宋_GB2312" w:eastAsia="仿宋_GB2312"/>
          <w:sz w:val="32"/>
          <w:szCs w:val="32"/>
          <w:lang w:eastAsia="zh-CN" w:bidi="en-US"/>
        </w:rPr>
        <w:t>，</w:t>
      </w:r>
      <w:r>
        <w:rPr>
          <w:rFonts w:hint="eastAsia" w:ascii="仿宋_GB2312" w:eastAsia="仿宋_GB2312"/>
          <w:sz w:val="32"/>
          <w:szCs w:val="32"/>
          <w:lang w:bidi="en-US"/>
        </w:rPr>
        <w:t>其中D类被服务对象满意度最低。</w:t>
      </w:r>
      <w:r>
        <w:rPr>
          <w:rFonts w:hint="eastAsia" w:ascii="仿宋_GB2312" w:eastAsia="仿宋_GB2312"/>
          <w:sz w:val="32"/>
          <w:szCs w:val="32"/>
          <w:lang w:val="en-US" w:eastAsia="zh-CN" w:bidi="en-US"/>
        </w:rPr>
        <w:t>20</w:t>
      </w:r>
      <w:r>
        <w:rPr>
          <w:rFonts w:hint="eastAsia" w:ascii="仿宋_GB2312" w:eastAsia="仿宋_GB2312"/>
          <w:sz w:val="32"/>
          <w:szCs w:val="32"/>
          <w:lang w:bidi="en-US"/>
        </w:rPr>
        <w:t>23年居家服务有效回访中，A类服务对象满意度为70%，B类服务对象满意度为77%，C类服务对象满意度为88%，D类被服务对象满意度为69%，</w:t>
      </w:r>
      <w:r>
        <w:rPr>
          <w:rFonts w:hint="eastAsia" w:ascii="仿宋_GB2312" w:eastAsia="仿宋_GB2312"/>
          <w:sz w:val="32"/>
          <w:szCs w:val="32"/>
          <w:lang w:val="en-US" w:eastAsia="zh-CN" w:bidi="en-US"/>
        </w:rPr>
        <w:t>具体见下表：</w:t>
      </w:r>
    </w:p>
    <w:p>
      <w:pPr>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rPr>
        <w:t>2023年“6012349”便民服务中心电话回访满意度汇总表</w:t>
      </w:r>
    </w:p>
    <w:tbl>
      <w:tblPr>
        <w:tblStyle w:val="20"/>
        <w:tblW w:w="8520"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4"/>
        <w:gridCol w:w="1704"/>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被服务对象类型</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回访满意</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回访不满意</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下单未服务</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满意度</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A类</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19</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6</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2</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70%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B类</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24</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5</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2</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77%</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C类</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14</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2</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0</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88%</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D类</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297</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115</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16</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69%</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合计</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354</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128</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20</w:t>
            </w:r>
          </w:p>
        </w:tc>
        <w:tc>
          <w:tcPr>
            <w:tcW w:w="1704" w:type="dxa"/>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71%</w:t>
            </w:r>
          </w:p>
        </w:tc>
      </w:tr>
    </w:tbl>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val="en-US" w:eastAsia="zh-CN"/>
        </w:rPr>
        <w:t>2.</w:t>
      </w:r>
      <w:r>
        <w:rPr>
          <w:rFonts w:hint="eastAsia" w:ascii="仿宋_GB2312" w:hAnsi="仿宋_GB2312" w:cs="仿宋_GB2312"/>
          <w:b/>
          <w:bCs/>
          <w:color w:val="auto"/>
          <w:highlight w:val="none"/>
        </w:rPr>
        <w:t>问卷调查。</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本次</w:t>
      </w:r>
      <w:r>
        <w:rPr>
          <w:rFonts w:hint="eastAsia" w:ascii="仿宋_GB2312" w:eastAsia="仿宋_GB2312"/>
          <w:sz w:val="32"/>
          <w:szCs w:val="32"/>
          <w:lang w:val="en-US" w:eastAsia="zh-CN" w:bidi="en-US"/>
        </w:rPr>
        <w:t>现场及评价人员电话调查</w:t>
      </w:r>
      <w:r>
        <w:rPr>
          <w:rFonts w:hint="eastAsia" w:ascii="仿宋_GB2312" w:eastAsia="仿宋_GB2312"/>
          <w:sz w:val="32"/>
          <w:szCs w:val="32"/>
          <w:lang w:bidi="en-US"/>
        </w:rPr>
        <w:t>收回有效调查问卷700份。</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eastAsia="zh-CN" w:bidi="en-US"/>
        </w:rPr>
        <w:t>（</w:t>
      </w:r>
      <w:r>
        <w:rPr>
          <w:rFonts w:hint="eastAsia" w:ascii="仿宋_GB2312" w:eastAsia="仿宋_GB2312"/>
          <w:sz w:val="32"/>
          <w:szCs w:val="32"/>
          <w:lang w:val="en-US" w:eastAsia="zh-CN" w:bidi="en-US"/>
        </w:rPr>
        <w:t>1</w:t>
      </w:r>
      <w:r>
        <w:rPr>
          <w:rFonts w:hint="eastAsia" w:ascii="仿宋_GB2312" w:eastAsia="仿宋_GB2312"/>
          <w:sz w:val="32"/>
          <w:szCs w:val="32"/>
          <w:lang w:eastAsia="zh-CN" w:bidi="en-US"/>
        </w:rPr>
        <w:t>）</w:t>
      </w:r>
      <w:r>
        <w:rPr>
          <w:rFonts w:hint="eastAsia" w:ascii="仿宋_GB2312" w:eastAsia="仿宋_GB2312"/>
          <w:sz w:val="32"/>
          <w:szCs w:val="32"/>
          <w:lang w:bidi="en-US"/>
        </w:rPr>
        <w:t>助餐服务600份，94.67%的被服务对象表示对服务机构提供的服务表示满意。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eastAsia="zh-CN" w:bidi="en-US"/>
        </w:rPr>
        <w:t>（</w:t>
      </w:r>
      <w:r>
        <w:rPr>
          <w:rFonts w:hint="eastAsia" w:ascii="仿宋_GB2312" w:eastAsia="仿宋_GB2312"/>
          <w:sz w:val="32"/>
          <w:szCs w:val="32"/>
          <w:lang w:val="en-US" w:eastAsia="zh-CN" w:bidi="en-US"/>
        </w:rPr>
        <w:t>2</w:t>
      </w:r>
      <w:r>
        <w:rPr>
          <w:rFonts w:hint="eastAsia" w:ascii="仿宋_GB2312" w:eastAsia="仿宋_GB2312"/>
          <w:sz w:val="32"/>
          <w:szCs w:val="32"/>
          <w:lang w:eastAsia="zh-CN" w:bidi="en-US"/>
        </w:rPr>
        <w:t>）</w:t>
      </w:r>
      <w:r>
        <w:rPr>
          <w:rFonts w:hint="eastAsia" w:ascii="仿宋_GB2312" w:eastAsia="仿宋_GB2312"/>
          <w:sz w:val="32"/>
          <w:szCs w:val="32"/>
          <w:lang w:bidi="en-US"/>
        </w:rPr>
        <w:t>助洁服务60份，被服务对象</w:t>
      </w:r>
      <w:r>
        <w:rPr>
          <w:rFonts w:hint="eastAsia" w:ascii="仿宋_GB2312" w:eastAsia="仿宋_GB2312"/>
          <w:sz w:val="32"/>
          <w:szCs w:val="32"/>
          <w:lang w:val="en-US" w:eastAsia="zh-CN" w:bidi="en-US"/>
        </w:rPr>
        <w:t>均</w:t>
      </w:r>
      <w:r>
        <w:rPr>
          <w:rFonts w:hint="eastAsia" w:ascii="仿宋_GB2312" w:eastAsia="仿宋_GB2312"/>
          <w:sz w:val="32"/>
          <w:szCs w:val="32"/>
          <w:lang w:bidi="en-US"/>
        </w:rPr>
        <w:t>表示对服务机构提供的服务表示满意。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eastAsia="zh-CN" w:bidi="en-US"/>
        </w:rPr>
        <w:t>（</w:t>
      </w:r>
      <w:r>
        <w:rPr>
          <w:rFonts w:hint="eastAsia" w:ascii="仿宋_GB2312" w:eastAsia="仿宋_GB2312"/>
          <w:sz w:val="32"/>
          <w:szCs w:val="32"/>
          <w:lang w:val="en-US" w:eastAsia="zh-CN" w:bidi="en-US"/>
        </w:rPr>
        <w:t>3</w:t>
      </w:r>
      <w:r>
        <w:rPr>
          <w:rFonts w:hint="eastAsia" w:ascii="仿宋_GB2312" w:eastAsia="仿宋_GB2312"/>
          <w:sz w:val="32"/>
          <w:szCs w:val="32"/>
          <w:lang w:eastAsia="zh-CN" w:bidi="en-US"/>
        </w:rPr>
        <w:t>）</w:t>
      </w:r>
      <w:r>
        <w:rPr>
          <w:rFonts w:hint="eastAsia" w:ascii="仿宋_GB2312" w:eastAsia="仿宋_GB2312"/>
          <w:sz w:val="32"/>
          <w:szCs w:val="32"/>
          <w:lang w:bidi="en-US"/>
        </w:rPr>
        <w:t>助浴服务40份，97.5%的被服务对象表示对服务机构提供的服务表示满意。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bidi="en-US"/>
        </w:rPr>
      </w:pPr>
      <w:r>
        <w:rPr>
          <w:rFonts w:hint="eastAsia" w:ascii="仿宋_GB2312" w:eastAsia="仿宋_GB2312"/>
          <w:sz w:val="32"/>
          <w:szCs w:val="32"/>
          <w:lang w:bidi="en-US"/>
        </w:rPr>
        <w:t>通过对线上、线下两种方式收集的调查问卷进行分析，获知大部分被服务对象对服务机构的服务质量表示满意。调查问卷满意度95%</w:t>
      </w:r>
      <w:r>
        <w:rPr>
          <w:rFonts w:hint="eastAsia" w:ascii="仿宋_GB2312" w:eastAsia="仿宋_GB2312"/>
          <w:sz w:val="32"/>
          <w:szCs w:val="32"/>
          <w:lang w:eastAsia="zh-CN" w:bidi="en-US"/>
        </w:rPr>
        <w:t>。</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综上所述，2023年威海市文登区社区居家养老服务项目综合满意度为85%，计算公式如下：</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综合满意度＝（“6012349”有效回访满意条数+有效调查问卷满意份数）/（“6012349”有效回访总条数+有效调查问卷总份数）。</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五</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服务机构助餐服务餐食质量</w:t>
      </w:r>
      <w:r>
        <w:rPr>
          <w:rFonts w:hint="eastAsia" w:ascii="仿宋_GB2312" w:hAnsi="仿宋_GB2312" w:cs="仿宋_GB2312"/>
          <w:b/>
          <w:bCs/>
          <w:color w:val="auto"/>
          <w:highlight w:val="none"/>
          <w:lang w:val="en-US" w:eastAsia="zh-CN"/>
        </w:rPr>
        <w:t>未达到</w:t>
      </w:r>
      <w:r>
        <w:rPr>
          <w:rFonts w:hint="eastAsia" w:ascii="仿宋_GB2312" w:hAnsi="仿宋_GB2312" w:cs="仿宋_GB2312"/>
          <w:b/>
          <w:bCs/>
          <w:color w:val="auto"/>
          <w:highlight w:val="none"/>
        </w:rPr>
        <w:t>标准</w:t>
      </w:r>
      <w:r>
        <w:rPr>
          <w:rFonts w:hint="eastAsia" w:ascii="仿宋_GB2312" w:hAnsi="仿宋_GB2312" w:cs="仿宋_GB2312"/>
          <w:b/>
          <w:bCs/>
          <w:color w:val="auto"/>
          <w:highlight w:val="none"/>
          <w:lang w:val="en-US" w:eastAsia="zh-CN"/>
        </w:rPr>
        <w:t>要求</w:t>
      </w:r>
      <w:r>
        <w:rPr>
          <w:rFonts w:hint="eastAsia" w:ascii="仿宋_GB2312" w:hAnsi="仿宋_GB2312" w:cs="仿宋_GB2312"/>
          <w:b/>
          <w:bCs/>
          <w:color w:val="auto"/>
          <w:highlight w:val="none"/>
        </w:rPr>
        <w:t>。</w:t>
      </w:r>
    </w:p>
    <w:p>
      <w:pPr>
        <w:pageBreakBefore w:val="0"/>
        <w:kinsoku/>
        <w:wordWrap/>
        <w:overflowPunct/>
        <w:topLinePunct w:val="0"/>
        <w:autoSpaceDE/>
        <w:autoSpaceDN/>
        <w:bidi w:val="0"/>
        <w:adjustRightInd/>
        <w:snapToGrid/>
        <w:spacing w:line="560" w:lineRule="exact"/>
        <w:ind w:firstLine="560"/>
        <w:textAlignment w:val="auto"/>
        <w:rPr>
          <w:rFonts w:ascii="仿宋_GB2312" w:hAnsi="仿宋_GB2312" w:cs="仿宋_GB2312"/>
          <w:color w:val="auto"/>
          <w:highlight w:val="none"/>
        </w:rPr>
      </w:pPr>
      <w:r>
        <w:rPr>
          <w:rFonts w:hint="eastAsia" w:ascii="仿宋_GB2312" w:eastAsia="仿宋_GB2312"/>
          <w:sz w:val="32"/>
          <w:szCs w:val="32"/>
          <w:lang w:bidi="en-US"/>
        </w:rPr>
        <w:t>助餐服务中被服务人员反馈最多的问题就是餐食的质量问题。根据服务机构的反馈，助餐服务整体成本中原料成本为：海泰物业8.3元/人/天、瑞云祥7.6元/人/天、</w:t>
      </w:r>
      <w:r>
        <w:rPr>
          <w:rFonts w:hint="eastAsia" w:ascii="仿宋_GB2312" w:eastAsia="仿宋_GB2312"/>
          <w:sz w:val="32"/>
          <w:szCs w:val="32"/>
          <w:lang w:eastAsia="zh-CN" w:bidi="en-US"/>
        </w:rPr>
        <w:t>昆嵛老年公寓</w:t>
      </w:r>
      <w:r>
        <w:rPr>
          <w:rFonts w:hint="eastAsia" w:ascii="仿宋_GB2312" w:eastAsia="仿宋_GB2312"/>
          <w:sz w:val="32"/>
          <w:szCs w:val="32"/>
          <w:lang w:bidi="en-US"/>
        </w:rPr>
        <w:t>6.15元/人/天。但在现场走访的过程中，发现实际配送的餐食质量并没有达到服务机构所列的标准，经了解发现这一情况的主要原因是服务机构资金压力过大，为控制成本而削减了实际原料成本投入导致。</w:t>
      </w:r>
      <w:r>
        <w:rPr>
          <w:rFonts w:hint="eastAsia" w:ascii="仿宋_GB2312" w:eastAsia="仿宋_GB2312"/>
          <w:sz w:val="32"/>
          <w:szCs w:val="32"/>
          <w:lang w:val="en-US" w:eastAsia="zh-CN" w:bidi="en-US"/>
        </w:rPr>
        <w:t>具体见下表：</w:t>
      </w:r>
    </w:p>
    <w:p>
      <w:pPr>
        <w:pageBreakBefore w:val="0"/>
        <w:kinsoku/>
        <w:wordWrap/>
        <w:overflowPunct/>
        <w:topLinePunct w:val="0"/>
        <w:autoSpaceDE/>
        <w:autoSpaceDN/>
        <w:bidi w:val="0"/>
        <w:adjustRightInd/>
        <w:snapToGrid/>
        <w:spacing w:line="560" w:lineRule="exact"/>
        <w:ind w:firstLine="562"/>
        <w:jc w:val="center"/>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rPr>
        <w:t>服务机构助餐服务成本明细表</w:t>
      </w:r>
    </w:p>
    <w:tbl>
      <w:tblPr>
        <w:tblStyle w:val="19"/>
        <w:tblW w:w="8489"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1698"/>
        <w:gridCol w:w="1698"/>
        <w:gridCol w:w="1698"/>
        <w:gridCol w:w="1698"/>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机构</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原料成本（元）</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人工成本（元）</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车辆成本（元）</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合计</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海泰物业</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8.3</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1.1</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1.9</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11.3</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瑞云祥</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7.6</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3.2</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1.48</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12.28</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cs="仿宋_GB2312"/>
                <w:color w:val="auto"/>
                <w:kern w:val="0"/>
                <w:sz w:val="21"/>
                <w:szCs w:val="21"/>
                <w:highlight w:val="none"/>
                <w:lang w:eastAsia="zh-CN"/>
              </w:rPr>
              <w:t>昆嵛老年公寓</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6.15</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4.9</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1.25</w:t>
            </w:r>
          </w:p>
        </w:tc>
        <w:tc>
          <w:tcPr>
            <w:tcW w:w="1701" w:type="dxa"/>
            <w:shd w:val="clear" w:color="auto" w:fill="auto"/>
            <w:vAlign w:val="center"/>
          </w:tcPr>
          <w:p>
            <w:pPr>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cs="仿宋_GB2312"/>
                <w:color w:val="auto"/>
                <w:kern w:val="0"/>
                <w:sz w:val="21"/>
                <w:szCs w:val="21"/>
                <w:highlight w:val="none"/>
              </w:rPr>
            </w:pPr>
            <w:r>
              <w:rPr>
                <w:rFonts w:hint="eastAsia" w:ascii="仿宋_GB2312" w:hAnsi="仿宋_GB2312" w:cs="仿宋_GB2312"/>
                <w:color w:val="auto"/>
                <w:kern w:val="0"/>
                <w:sz w:val="21"/>
                <w:szCs w:val="21"/>
                <w:highlight w:val="none"/>
              </w:rPr>
              <w:t>12.3</w:t>
            </w:r>
          </w:p>
        </w:tc>
      </w:tr>
    </w:tbl>
    <w:p>
      <w:pPr>
        <w:pageBreakBefore w:val="0"/>
        <w:kinsoku/>
        <w:wordWrap/>
        <w:overflowPunct/>
        <w:topLinePunct w:val="0"/>
        <w:autoSpaceDE/>
        <w:autoSpaceDN/>
        <w:bidi w:val="0"/>
        <w:adjustRightInd/>
        <w:snapToGrid/>
        <w:spacing w:line="560" w:lineRule="exact"/>
        <w:ind w:firstLine="480"/>
        <w:jc w:val="left"/>
        <w:textAlignment w:val="auto"/>
        <w:rPr>
          <w:rFonts w:ascii="仿宋_GB2312" w:hAnsi="仿宋_GB2312" w:cs="仿宋_GB2312"/>
          <w:b/>
          <w:bCs/>
          <w:color w:val="auto"/>
          <w:highlight w:val="none"/>
        </w:rPr>
      </w:pPr>
      <w:r>
        <w:rPr>
          <w:rFonts w:hint="eastAsia" w:ascii="仿宋_GB2312" w:hAnsi="仿宋_GB2312" w:cs="仿宋_GB2312"/>
          <w:color w:val="auto"/>
          <w:kern w:val="0"/>
          <w:sz w:val="24"/>
          <w:szCs w:val="24"/>
          <w:highlight w:val="none"/>
        </w:rPr>
        <w:t>（注：原料成本主要包含原材料、调料、水电费成本）</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六</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服务机构的日常管理</w:t>
      </w:r>
      <w:r>
        <w:rPr>
          <w:rFonts w:hint="eastAsia" w:ascii="仿宋_GB2312" w:hAnsi="仿宋_GB2312" w:cs="仿宋_GB2312"/>
          <w:b/>
          <w:bCs/>
          <w:color w:val="auto"/>
          <w:highlight w:val="none"/>
          <w:lang w:val="en-US" w:eastAsia="zh-CN"/>
        </w:rPr>
        <w:t>松散，</w:t>
      </w:r>
      <w:r>
        <w:rPr>
          <w:rFonts w:hint="eastAsia" w:ascii="仿宋_GB2312" w:hAnsi="仿宋_GB2312" w:cs="仿宋_GB2312"/>
          <w:b/>
          <w:bCs/>
          <w:color w:val="auto"/>
          <w:highlight w:val="none"/>
        </w:rPr>
        <w:t>监督、检查力度不够，服务质量良莠不齐。</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val="en-US" w:eastAsia="zh-CN" w:bidi="en-US"/>
        </w:rPr>
        <w:t>1.</w:t>
      </w:r>
      <w:r>
        <w:rPr>
          <w:rFonts w:hint="eastAsia" w:ascii="仿宋_GB2312" w:eastAsia="仿宋_GB2312"/>
          <w:sz w:val="32"/>
          <w:szCs w:val="32"/>
          <w:lang w:bidi="en-US"/>
        </w:rPr>
        <w:t>对助餐服务中被服务人员非常满意占比进行分析：对瑞云祥的服务范围共收集调查问卷270份，非常满意占比74.3%；对海泰物业的服务范围共收集调查问卷183份，非常满意占比85.4%；对</w:t>
      </w:r>
      <w:r>
        <w:rPr>
          <w:rFonts w:hint="eastAsia" w:ascii="仿宋_GB2312" w:eastAsia="仿宋_GB2312"/>
          <w:sz w:val="32"/>
          <w:szCs w:val="32"/>
          <w:lang w:eastAsia="zh-CN" w:bidi="en-US"/>
        </w:rPr>
        <w:t>昆嵛老年公寓</w:t>
      </w:r>
      <w:r>
        <w:rPr>
          <w:rFonts w:hint="eastAsia" w:ascii="仿宋_GB2312" w:eastAsia="仿宋_GB2312"/>
          <w:sz w:val="32"/>
          <w:szCs w:val="32"/>
          <w:lang w:bidi="en-US"/>
        </w:rPr>
        <w:t>的服务范围共收集调查问卷147份，非常满意占比57.2%。</w:t>
      </w:r>
      <w:r>
        <w:rPr>
          <w:rFonts w:hint="eastAsia" w:ascii="仿宋_GB2312" w:eastAsia="仿宋_GB2312"/>
          <w:sz w:val="32"/>
          <w:szCs w:val="32"/>
          <w:lang w:val="en-US" w:eastAsia="zh-CN" w:bidi="en-US"/>
        </w:rPr>
        <w:t>综上所述，</w:t>
      </w:r>
      <w:r>
        <w:rPr>
          <w:rFonts w:hint="eastAsia" w:ascii="仿宋_GB2312" w:eastAsia="仿宋_GB2312"/>
          <w:sz w:val="32"/>
          <w:szCs w:val="32"/>
          <w:lang w:bidi="en-US"/>
        </w:rPr>
        <w:t>被服务人员对机构提供的服务满意程度差异</w:t>
      </w:r>
      <w:r>
        <w:rPr>
          <w:rFonts w:hint="eastAsia" w:ascii="仿宋_GB2312" w:eastAsia="仿宋_GB2312"/>
          <w:sz w:val="32"/>
          <w:szCs w:val="32"/>
          <w:lang w:val="en-US" w:eastAsia="zh-CN" w:bidi="en-US"/>
        </w:rPr>
        <w:t>较大</w:t>
      </w:r>
      <w:r>
        <w:rPr>
          <w:rFonts w:hint="eastAsia" w:ascii="仿宋_GB2312" w:eastAsia="仿宋_GB2312"/>
          <w:sz w:val="32"/>
          <w:szCs w:val="32"/>
          <w:lang w:bidi="en-US"/>
        </w:rPr>
        <w:t>。</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bidi="en-US"/>
        </w:rPr>
      </w:pPr>
      <w:r>
        <w:rPr>
          <w:rFonts w:hint="eastAsia" w:ascii="仿宋_GB2312" w:eastAsia="仿宋_GB2312"/>
          <w:sz w:val="32"/>
          <w:szCs w:val="32"/>
          <w:lang w:val="en-US" w:eastAsia="zh-CN" w:bidi="en-US"/>
        </w:rPr>
        <w:t>2.</w:t>
      </w:r>
      <w:r>
        <w:rPr>
          <w:rFonts w:hint="eastAsia" w:ascii="仿宋_GB2312" w:eastAsia="仿宋_GB2312"/>
          <w:sz w:val="32"/>
          <w:szCs w:val="32"/>
          <w:lang w:bidi="en-US"/>
        </w:rPr>
        <w:t>在现场走访的过程中，发现瑞云祥的服务人员在助洁过程中并未严格按照要求将工具分类放置、分开使用，存在各类抹布混放的现象；</w:t>
      </w:r>
      <w:r>
        <w:rPr>
          <w:rFonts w:hint="eastAsia" w:ascii="仿宋_GB2312" w:eastAsia="仿宋_GB2312"/>
          <w:sz w:val="32"/>
          <w:szCs w:val="32"/>
          <w:lang w:eastAsia="zh-CN" w:bidi="en-US"/>
        </w:rPr>
        <w:t>昆嵛老年公寓</w:t>
      </w:r>
      <w:r>
        <w:rPr>
          <w:rFonts w:hint="eastAsia" w:ascii="仿宋_GB2312" w:eastAsia="仿宋_GB2312"/>
          <w:sz w:val="32"/>
          <w:szCs w:val="32"/>
          <w:lang w:bidi="en-US"/>
        </w:rPr>
        <w:t>的服务人员对助餐食材处理不恰当，没有严格按照要求将土豆削皮后再进行使用，大米未进行妥善存储，导致出现了蛀虫现象；海泰物业的服务人员配餐过程中态度</w:t>
      </w:r>
      <w:r>
        <w:rPr>
          <w:rFonts w:hint="eastAsia" w:ascii="仿宋_GB2312" w:eastAsia="仿宋_GB2312"/>
          <w:sz w:val="32"/>
          <w:szCs w:val="32"/>
          <w:lang w:val="en-US" w:eastAsia="zh-CN" w:bidi="en-US"/>
        </w:rPr>
        <w:t>较差</w:t>
      </w:r>
      <w:r>
        <w:rPr>
          <w:rFonts w:hint="eastAsia" w:ascii="仿宋_GB2312" w:eastAsia="仿宋_GB2312"/>
          <w:sz w:val="32"/>
          <w:szCs w:val="32"/>
          <w:lang w:bidi="en-US"/>
        </w:rPr>
        <w:t>，缺乏专业素养。</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七</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资金发放及时率及准确率未达到预期目标。</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根据采购合同约定，合同生效之日起具备实施条件后5个工作日内，甲方向乙方支付合同金额的10%，以后按每季度结算（逐季度抵扣预付部分），项目期满验收合格后，根据服务记录、考核评论结果进行结算。截至评价结束日，2023年居家养老服务项目资金尚未发放结束。</w:t>
      </w:r>
    </w:p>
    <w:p>
      <w:pPr>
        <w:pageBreakBefore w:val="0"/>
        <w:kinsoku/>
        <w:wordWrap/>
        <w:overflowPunct/>
        <w:topLinePunct w:val="0"/>
        <w:autoSpaceDE/>
        <w:autoSpaceDN/>
        <w:bidi w:val="0"/>
        <w:adjustRightInd/>
        <w:snapToGrid/>
        <w:spacing w:line="560" w:lineRule="exact"/>
        <w:ind w:firstLine="602"/>
        <w:textAlignment w:val="auto"/>
        <w:rPr>
          <w:color w:val="auto"/>
          <w:highlight w:val="none"/>
        </w:rPr>
      </w:pPr>
      <w:r>
        <w:rPr>
          <w:rFonts w:hint="eastAsia" w:ascii="黑体" w:hAnsi="黑体" w:eastAsia="黑体" w:cs="黑体"/>
          <w:b/>
          <w:bCs/>
          <w:color w:val="auto"/>
          <w:sz w:val="30"/>
          <w:szCs w:val="30"/>
          <w:highlight w:val="none"/>
        </w:rPr>
        <w:t>五、意见建议</w:t>
      </w:r>
      <w:bookmarkEnd w:id="31"/>
      <w:bookmarkEnd w:id="32"/>
      <w:bookmarkEnd w:id="33"/>
      <w:bookmarkEnd w:id="34"/>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一</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了解被服务对象的实际需求，增加有效供给。</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val="en-US" w:eastAsia="zh-CN" w:bidi="en-US"/>
        </w:rPr>
        <w:t>根据</w:t>
      </w:r>
      <w:r>
        <w:rPr>
          <w:rFonts w:hint="eastAsia" w:ascii="仿宋_GB2312" w:eastAsia="仿宋_GB2312"/>
          <w:sz w:val="32"/>
          <w:szCs w:val="32"/>
          <w:lang w:bidi="en-US"/>
        </w:rPr>
        <w:t>《威海市实施政府为特殊困难老年人购买社区居家养老服务管理办法》</w:t>
      </w:r>
      <w:r>
        <w:rPr>
          <w:rFonts w:hint="eastAsia" w:ascii="仿宋_GB2312" w:eastAsia="仿宋_GB2312"/>
          <w:sz w:val="32"/>
          <w:szCs w:val="32"/>
          <w:lang w:val="en-US" w:eastAsia="zh-CN" w:bidi="en-US"/>
        </w:rPr>
        <w:t>第十二条规定：服务主体每月提供的服务，必须包含“六助”服务内容中的一类，在此基础上，根据服务对象的需求，可根据实际情况开展。在居家养老服务具体实施过程中，</w:t>
      </w:r>
      <w:r>
        <w:rPr>
          <w:rFonts w:hint="eastAsia" w:ascii="仿宋_GB2312" w:eastAsia="仿宋_GB2312"/>
          <w:sz w:val="32"/>
          <w:szCs w:val="32"/>
          <w:lang w:bidi="en-US"/>
        </w:rPr>
        <w:t>对于部分符合居家养老服务条件的老人，根据老年人的年龄、健康状况、生活自理能力、居住环境等因素，制定个性化的服务方案。提高服务的针对性和有效性，并定期评估老年人的需求变化，及时调整服务方案，确保提供的服务始终满足老年人的实际需求。</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szCs w:val="28"/>
          <w:highlight w:val="none"/>
          <w:lang w:eastAsia="zh-CN" w:bidi="en-US"/>
        </w:rPr>
        <w:t>（</w:t>
      </w:r>
      <w:r>
        <w:rPr>
          <w:rFonts w:hint="eastAsia" w:ascii="仿宋_GB2312" w:hAnsi="仿宋_GB2312" w:cs="仿宋_GB2312"/>
          <w:b/>
          <w:bCs/>
          <w:color w:val="auto"/>
          <w:szCs w:val="28"/>
          <w:highlight w:val="none"/>
          <w:lang w:val="en-US" w:eastAsia="zh-CN" w:bidi="en-US"/>
        </w:rPr>
        <w:t>二</w:t>
      </w:r>
      <w:r>
        <w:rPr>
          <w:rFonts w:hint="eastAsia" w:ascii="仿宋_GB2312" w:hAnsi="仿宋_GB2312" w:cs="仿宋_GB2312"/>
          <w:b/>
          <w:bCs/>
          <w:color w:val="auto"/>
          <w:szCs w:val="28"/>
          <w:highlight w:val="none"/>
          <w:lang w:eastAsia="zh-CN" w:bidi="en-US"/>
        </w:rPr>
        <w:t>）</w:t>
      </w:r>
      <w:r>
        <w:rPr>
          <w:rFonts w:hint="eastAsia" w:ascii="仿宋_GB2312" w:hAnsi="仿宋_GB2312" w:cs="仿宋_GB2312"/>
          <w:b/>
          <w:bCs/>
          <w:color w:val="auto"/>
          <w:szCs w:val="28"/>
          <w:highlight w:val="none"/>
          <w:lang w:bidi="en-US"/>
        </w:rPr>
        <w:t>将</w:t>
      </w:r>
      <w:r>
        <w:rPr>
          <w:rFonts w:hint="eastAsia" w:ascii="仿宋_GB2312" w:hAnsi="仿宋_GB2312" w:cs="仿宋_GB2312"/>
          <w:b/>
          <w:bCs/>
          <w:color w:val="auto"/>
          <w:szCs w:val="28"/>
          <w:highlight w:val="none"/>
          <w:lang w:val="en-US" w:eastAsia="zh-CN" w:bidi="en-US"/>
        </w:rPr>
        <w:t>有自理能力的</w:t>
      </w:r>
      <w:r>
        <w:rPr>
          <w:rFonts w:hint="eastAsia" w:ascii="仿宋_GB2312" w:hAnsi="仿宋_GB2312" w:cs="仿宋_GB2312"/>
          <w:b/>
          <w:bCs/>
          <w:color w:val="auto"/>
          <w:szCs w:val="28"/>
          <w:highlight w:val="none"/>
          <w:lang w:bidi="en-US"/>
        </w:rPr>
        <w:t>D类被服务对象从居家养老服务名单中</w:t>
      </w:r>
      <w:r>
        <w:rPr>
          <w:rFonts w:hint="eastAsia" w:ascii="仿宋_GB2312" w:hAnsi="仿宋_GB2312" w:cs="仿宋_GB2312"/>
          <w:b/>
          <w:bCs/>
          <w:color w:val="auto"/>
          <w:szCs w:val="28"/>
          <w:highlight w:val="none"/>
          <w:lang w:val="en-US" w:eastAsia="zh-CN" w:bidi="en-US"/>
        </w:rPr>
        <w:t>剔除，集中力量服务好应服务对象</w:t>
      </w:r>
      <w:r>
        <w:rPr>
          <w:rFonts w:hint="eastAsia" w:ascii="仿宋_GB2312" w:hAnsi="仿宋_GB2312" w:cs="仿宋_GB2312"/>
          <w:b/>
          <w:bCs/>
          <w:color w:val="auto"/>
          <w:highlight w:val="none"/>
        </w:rPr>
        <w:t>。</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依据相关法律法规，充分考虑被服务对象的实际情况，结合财政部门和服务机构的访谈意见，对D类被服务对象进行重新甄别，科学合理的确定居家养老被服务对象认定标准和数量，将生活可以自理或没有居家养老服务需求的D类被服务对象从居家养老服务名单中剔除</w:t>
      </w:r>
      <w:r>
        <w:rPr>
          <w:rFonts w:hint="eastAsia" w:ascii="仿宋_GB2312" w:eastAsia="仿宋_GB2312"/>
          <w:sz w:val="32"/>
          <w:szCs w:val="32"/>
          <w:lang w:eastAsia="zh-CN" w:bidi="en-US"/>
        </w:rPr>
        <w:t>，</w:t>
      </w:r>
      <w:r>
        <w:rPr>
          <w:rFonts w:hint="eastAsia" w:ascii="仿宋_GB2312" w:eastAsia="仿宋_GB2312"/>
          <w:sz w:val="32"/>
          <w:szCs w:val="32"/>
          <w:lang w:val="en-US" w:eastAsia="zh-CN" w:bidi="en-US"/>
        </w:rPr>
        <w:t>预计可节约预算资金501.6020万元</w:t>
      </w:r>
      <w:r>
        <w:rPr>
          <w:rFonts w:hint="eastAsia" w:ascii="仿宋_GB2312" w:eastAsia="仿宋_GB2312"/>
          <w:sz w:val="32"/>
          <w:szCs w:val="32"/>
          <w:lang w:bidi="en-US"/>
        </w:rPr>
        <w:t>。集中资源和精力，尽全力做好A类、B类、C类等确需居家养老服务的老年人生活保障，提升居家养老服务质量，提高老年人生活的幸福水平。</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三</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建立更加完善的服务标准和监管体系，提高服务质量。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参照国家相关标准，如《居家养老上门服务基本规范》等，结合农村实际情况，制定详细的服务规范，这些规范应涵盖服务内容、服务流程、服务标准、服务人员资质等多个方面。明确服务项目的具体要求和操作流程，确保服务过程的规范化和标准化。</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文登区民政局继续定期组织对服务机构服务人员的集中统一培训，鼓励服务人员参加职业资格证书考试，提升他们的职业素养和服务水平；各服务机构也要制订对本公司员工的服务质量和服务态度等方面的内部考核办法，加强对服务人员的管理，加大对养老服务人才的培养力度，增强其责任心，提高其专业化水平，更好满足被服务对象的日常需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bidi="en-US"/>
        </w:rPr>
      </w:pPr>
      <w:r>
        <w:rPr>
          <w:rFonts w:hint="eastAsia" w:ascii="仿宋_GB2312" w:eastAsia="仿宋_GB2312"/>
          <w:sz w:val="32"/>
          <w:szCs w:val="32"/>
          <w:lang w:bidi="en-US"/>
        </w:rPr>
        <w:t>同时，可以鼓励社会组织、媒体和公众等社会力量参与居家养老服务的监督，通过公开透明的方式，让更多人了解服务情况，提出改进建议。建立举报奖励机制，鼓励群众积极举报违法违规行为，形成全社会共同监督的良好氛围。</w:t>
      </w:r>
    </w:p>
    <w:p>
      <w:pPr>
        <w:pageBreakBefore w:val="0"/>
        <w:kinsoku/>
        <w:wordWrap/>
        <w:overflowPunct/>
        <w:topLinePunct w:val="0"/>
        <w:autoSpaceDE/>
        <w:autoSpaceDN/>
        <w:bidi w:val="0"/>
        <w:adjustRightInd/>
        <w:snapToGrid/>
        <w:spacing w:line="560" w:lineRule="exact"/>
        <w:ind w:firstLine="562"/>
        <w:textAlignment w:val="auto"/>
        <w:rPr>
          <w:rFonts w:ascii="仿宋_GB2312" w:hAnsi="仿宋_GB2312" w:cs="仿宋_GB2312"/>
          <w:b/>
          <w:bCs/>
          <w:color w:val="auto"/>
          <w:highlight w:val="none"/>
        </w:rPr>
      </w:pP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lang w:val="en-US" w:eastAsia="zh-CN"/>
        </w:rPr>
        <w:t>四</w:t>
      </w:r>
      <w:r>
        <w:rPr>
          <w:rFonts w:hint="eastAsia" w:ascii="仿宋_GB2312" w:hAnsi="仿宋_GB2312" w:cs="仿宋_GB2312"/>
          <w:b/>
          <w:bCs/>
          <w:color w:val="auto"/>
          <w:highlight w:val="none"/>
          <w:lang w:eastAsia="zh-CN"/>
        </w:rPr>
        <w:t>）</w:t>
      </w:r>
      <w:r>
        <w:rPr>
          <w:rFonts w:hint="eastAsia" w:ascii="仿宋_GB2312" w:hAnsi="仿宋_GB2312" w:cs="仿宋_GB2312"/>
          <w:b/>
          <w:bCs/>
          <w:color w:val="auto"/>
          <w:highlight w:val="none"/>
        </w:rPr>
        <w:t>政府及时、准确发放资金，形成多元化资金投入机制。</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bidi="en-US"/>
        </w:rPr>
      </w:pPr>
      <w:r>
        <w:rPr>
          <w:rFonts w:hint="eastAsia" w:ascii="仿宋_GB2312" w:eastAsia="仿宋_GB2312"/>
          <w:sz w:val="32"/>
          <w:szCs w:val="32"/>
          <w:lang w:bidi="en-US"/>
        </w:rPr>
        <w:t>增加对居家养老服务的财政投入，除了政府财政拨款外，鼓励社会资本参与，形成多元化的资金投入机制，积极引入社会资本，通过慈善捐赠、社会募捐等多种方式筹集资金</w:t>
      </w:r>
      <w:r>
        <w:rPr>
          <w:rFonts w:hint="eastAsia" w:ascii="仿宋_GB2312" w:eastAsia="仿宋_GB2312"/>
          <w:sz w:val="32"/>
          <w:szCs w:val="32"/>
          <w:lang w:eastAsia="zh-CN" w:bidi="en-US"/>
        </w:rPr>
        <w:t>，</w:t>
      </w:r>
      <w:r>
        <w:rPr>
          <w:rFonts w:hint="eastAsia" w:ascii="仿宋_GB2312" w:eastAsia="仿宋_GB2312"/>
          <w:sz w:val="32"/>
          <w:szCs w:val="32"/>
          <w:lang w:val="en-US" w:eastAsia="zh-CN" w:bidi="en-US"/>
        </w:rPr>
        <w:t>保障项目正常高效运行。</w:t>
      </w:r>
    </w:p>
    <w:p/>
    <w:p>
      <w:pPr>
        <w:pStyle w:val="2"/>
      </w:pPr>
    </w:p>
    <w:p/>
    <w:p>
      <w:pPr>
        <w:pageBreakBefore w:val="0"/>
        <w:kinsoku/>
        <w:wordWrap/>
        <w:overflowPunct/>
        <w:topLinePunct w:val="0"/>
        <w:bidi w:val="0"/>
        <w:snapToGrid/>
        <w:spacing w:line="560" w:lineRule="exact"/>
        <w:jc w:val="both"/>
        <w:textAlignment w:val="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eastAsia="zh-CN"/>
        </w:rPr>
        <w:t>附件</w:t>
      </w:r>
      <w:r>
        <w:rPr>
          <w:rFonts w:hint="eastAsia" w:ascii="仿宋_GB2312" w:hAnsi="仿宋_GB2312" w:eastAsia="仿宋_GB2312" w:cs="仿宋_GB2312"/>
          <w:b/>
          <w:bCs/>
          <w:sz w:val="24"/>
          <w:szCs w:val="24"/>
          <w:highlight w:val="none"/>
          <w:lang w:val="en-US" w:eastAsia="zh-CN"/>
        </w:rPr>
        <w:t>2</w:t>
      </w:r>
    </w:p>
    <w:p>
      <w:pPr>
        <w:pStyle w:val="2"/>
        <w:rPr>
          <w:rFonts w:hint="eastAsia"/>
          <w:lang w:val="en-US" w:eastAsia="zh-CN"/>
        </w:rPr>
      </w:pPr>
    </w:p>
    <w:p>
      <w:pPr>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w:t>
      </w:r>
      <w:r>
        <w:rPr>
          <w:rFonts w:hint="eastAsia" w:ascii="方正小标宋简体" w:hAnsi="方正小标宋简体" w:eastAsia="方正小标宋简体" w:cs="方正小标宋简体"/>
          <w:sz w:val="44"/>
          <w:szCs w:val="44"/>
          <w:highlight w:val="none"/>
          <w:lang w:val="en-US" w:eastAsia="zh-CN"/>
        </w:rPr>
        <w:t>23</w:t>
      </w:r>
      <w:r>
        <w:rPr>
          <w:rFonts w:hint="eastAsia" w:ascii="方正小标宋简体" w:hAnsi="方正小标宋简体" w:eastAsia="方正小标宋简体" w:cs="方正小标宋简体"/>
          <w:sz w:val="44"/>
          <w:szCs w:val="44"/>
          <w:highlight w:val="none"/>
        </w:rPr>
        <w:t>年一般公共预算转移支付情况</w:t>
      </w:r>
    </w:p>
    <w:p>
      <w:pPr>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安排的说明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年，我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共收到中央、省、市三级转移支付补助资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金</w:t>
      </w:r>
      <w:r>
        <w:rPr>
          <w:rFonts w:hint="eastAsia" w:ascii="仿宋_GB2312" w:hAnsi="仿宋_GB2312" w:eastAsia="仿宋_GB2312" w:cs="仿宋_GB2312"/>
          <w:sz w:val="32"/>
          <w:szCs w:val="32"/>
          <w:highlight w:val="none"/>
          <w:lang w:val="en-US" w:eastAsia="zh-CN"/>
        </w:rPr>
        <w:t>204254</w:t>
      </w:r>
      <w:r>
        <w:rPr>
          <w:rFonts w:hint="eastAsia" w:ascii="仿宋_GB2312" w:hAnsi="仿宋_GB2312" w:eastAsia="仿宋_GB2312" w:cs="仿宋_GB2312"/>
          <w:sz w:val="32"/>
          <w:szCs w:val="32"/>
          <w:highlight w:val="none"/>
        </w:rPr>
        <w:t>万元，具体情况如下：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20</w:t>
      </w:r>
      <w:r>
        <w:rPr>
          <w:rFonts w:hint="eastAsia" w:ascii="黑体" w:hAnsi="黑体" w:eastAsia="黑体" w:cs="黑体"/>
          <w:sz w:val="32"/>
          <w:szCs w:val="32"/>
          <w:highlight w:val="none"/>
          <w:lang w:val="en-US" w:eastAsia="zh-CN"/>
        </w:rPr>
        <w:t>23</w:t>
      </w:r>
      <w:r>
        <w:rPr>
          <w:rFonts w:hint="eastAsia" w:ascii="黑体" w:hAnsi="黑体" w:eastAsia="黑体" w:cs="黑体"/>
          <w:sz w:val="32"/>
          <w:szCs w:val="32"/>
          <w:highlight w:val="none"/>
        </w:rPr>
        <w:t>年一般性转移支付执行数为</w:t>
      </w:r>
      <w:r>
        <w:rPr>
          <w:rFonts w:hint="eastAsia" w:ascii="黑体" w:hAnsi="黑体" w:eastAsia="黑体" w:cs="黑体"/>
          <w:sz w:val="32"/>
          <w:szCs w:val="32"/>
          <w:highlight w:val="none"/>
          <w:lang w:val="en-US" w:eastAsia="zh-CN"/>
        </w:rPr>
        <w:t>180561</w:t>
      </w:r>
      <w:r>
        <w:rPr>
          <w:rFonts w:hint="eastAsia" w:ascii="黑体" w:hAnsi="黑体" w:eastAsia="黑体" w:cs="黑体"/>
          <w:sz w:val="32"/>
          <w:szCs w:val="32"/>
          <w:highlight w:val="none"/>
        </w:rPr>
        <w:t>万元</w:t>
      </w:r>
      <w:r>
        <w:rPr>
          <w:rFonts w:hint="eastAsia" w:ascii="黑体" w:hAnsi="黑体" w:eastAsia="黑体" w:cs="黑体"/>
          <w:sz w:val="32"/>
          <w:szCs w:val="32"/>
          <w:lang w:val="en-US" w:eastAsia="zh-CN"/>
        </w:rPr>
        <w:t>(</w:t>
      </w:r>
      <w:r>
        <w:rPr>
          <w:rFonts w:hint="eastAsia" w:ascii="黑体" w:hAnsi="黑体" w:eastAsia="黑体" w:cs="黑体"/>
          <w:sz w:val="32"/>
          <w:szCs w:val="32"/>
        </w:rPr>
        <w:t>因体制原因，我区对乡镇按照部门进行管理，因此没有</w:t>
      </w:r>
      <w:r>
        <w:rPr>
          <w:rFonts w:hint="eastAsia" w:ascii="黑体" w:hAnsi="黑体" w:eastAsia="黑体" w:cs="黑体"/>
          <w:sz w:val="32"/>
          <w:szCs w:val="32"/>
          <w:lang w:eastAsia="zh-CN"/>
        </w:rPr>
        <w:t>对乡镇</w:t>
      </w:r>
      <w:r>
        <w:rPr>
          <w:rFonts w:hint="eastAsia" w:ascii="黑体" w:hAnsi="黑体" w:eastAsia="黑体" w:cs="黑体"/>
          <w:sz w:val="32"/>
          <w:szCs w:val="32"/>
        </w:rPr>
        <w:t>一般性转移支付</w:t>
      </w:r>
      <w:r>
        <w:rPr>
          <w:rFonts w:hint="eastAsia" w:ascii="黑体" w:hAnsi="黑体" w:eastAsia="黑体" w:cs="黑体"/>
          <w:sz w:val="32"/>
          <w:szCs w:val="32"/>
          <w:lang w:eastAsia="zh-CN"/>
        </w:rPr>
        <w:t>情况</w:t>
      </w:r>
      <w:r>
        <w:rPr>
          <w:rFonts w:hint="eastAsia" w:ascii="黑体" w:hAnsi="黑体" w:eastAsia="黑体" w:cs="黑体"/>
          <w:sz w:val="32"/>
          <w:szCs w:val="32"/>
          <w:lang w:val="en-US" w:eastAsia="zh-CN"/>
        </w:rPr>
        <w:t>)</w:t>
      </w:r>
      <w:r>
        <w:rPr>
          <w:rFonts w:hint="eastAsia" w:ascii="黑体" w:hAnsi="黑体" w:eastAsia="黑体" w:cs="黑体"/>
          <w:sz w:val="32"/>
          <w:szCs w:val="32"/>
          <w:highlight w:val="none"/>
        </w:rPr>
        <w:t>，其中：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rPr>
        <w:t>均衡性转移支付</w:t>
      </w:r>
      <w:r>
        <w:rPr>
          <w:rFonts w:hint="eastAsia" w:ascii="仿宋_GB2312" w:hAnsi="仿宋_GB2312" w:eastAsia="仿宋_GB2312" w:cs="仿宋_GB2312"/>
          <w:color w:val="auto"/>
          <w:sz w:val="32"/>
          <w:szCs w:val="32"/>
          <w:highlight w:val="none"/>
          <w:lang w:val="en-US" w:eastAsia="zh-CN"/>
        </w:rPr>
        <w:t>1720</w:t>
      </w:r>
      <w:r>
        <w:rPr>
          <w:rFonts w:hint="eastAsia" w:ascii="仿宋_GB2312" w:hAnsi="仿宋_GB2312" w:eastAsia="仿宋_GB2312" w:cs="仿宋_GB2312"/>
          <w:color w:val="auto"/>
          <w:sz w:val="32"/>
          <w:szCs w:val="32"/>
          <w:highlight w:val="none"/>
        </w:rPr>
        <w:t>万元，主要用于均衡各地方政府财力差异，推进区域间基本公共服务均等化。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县级基本财力保障机制奖补资金</w:t>
      </w:r>
      <w:r>
        <w:rPr>
          <w:rFonts w:hint="eastAsia" w:ascii="仿宋_GB2312" w:hAnsi="仿宋_GB2312" w:eastAsia="仿宋_GB2312" w:cs="仿宋_GB2312"/>
          <w:color w:val="auto"/>
          <w:sz w:val="32"/>
          <w:szCs w:val="32"/>
          <w:highlight w:val="none"/>
          <w:lang w:val="en-US" w:eastAsia="zh-CN"/>
        </w:rPr>
        <w:t>3838</w:t>
      </w:r>
      <w:r>
        <w:rPr>
          <w:rFonts w:hint="eastAsia" w:ascii="仿宋_GB2312" w:hAnsi="仿宋_GB2312" w:eastAsia="仿宋_GB2312" w:cs="仿宋_GB2312"/>
          <w:color w:val="auto"/>
          <w:sz w:val="32"/>
          <w:szCs w:val="32"/>
          <w:highlight w:val="none"/>
        </w:rPr>
        <w:t>万元，主要用于增强基层政府“保工资、保运转、保基本民生”能力，保障基层政府实施公共管理、提供基本公共服务以及落实各项民生政策基本财力需要。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（三）产粮（油）大县奖励资金1523万元，主要用于缓解产粮（油）大县财政困难，调动政府抓好粮食生产的积极性，巩固粮食安全基础。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（四）重点生态功能区转移支付606万元。主要用于对国家级重点生态县、国家自然保护区以及重要水源保护地财力补助，帮助其生态保护和民生改善。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rPr>
        <w:t>农林水共同财政事权转移支付收入</w:t>
      </w:r>
      <w:r>
        <w:rPr>
          <w:rFonts w:hint="eastAsia" w:ascii="仿宋_GB2312" w:hAnsi="仿宋_GB2312" w:eastAsia="仿宋_GB2312" w:cs="仿宋_GB2312"/>
          <w:color w:val="auto"/>
          <w:sz w:val="32"/>
          <w:szCs w:val="32"/>
          <w:highlight w:val="none"/>
          <w:lang w:val="en-US" w:eastAsia="zh-CN"/>
        </w:rPr>
        <w:t>35583</w:t>
      </w:r>
      <w:r>
        <w:rPr>
          <w:rFonts w:hint="eastAsia" w:ascii="仿宋_GB2312" w:hAnsi="仿宋_GB2312" w:eastAsia="仿宋_GB2312" w:cs="仿宋_GB2312"/>
          <w:color w:val="auto"/>
          <w:sz w:val="32"/>
          <w:szCs w:val="32"/>
          <w:highlight w:val="none"/>
        </w:rPr>
        <w:t>万元，主要用于支持乡村振兴专项支出。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rPr>
        <w:t>社会保障和就业共同财政事权转移支付收入</w:t>
      </w:r>
      <w:r>
        <w:rPr>
          <w:rFonts w:hint="eastAsia" w:ascii="仿宋_GB2312" w:hAnsi="仿宋_GB2312" w:eastAsia="仿宋_GB2312" w:cs="仿宋_GB2312"/>
          <w:color w:val="auto"/>
          <w:sz w:val="32"/>
          <w:szCs w:val="32"/>
          <w:highlight w:val="none"/>
          <w:lang w:val="en-US" w:eastAsia="zh-CN"/>
        </w:rPr>
        <w:t>32220</w:t>
      </w:r>
      <w:r>
        <w:rPr>
          <w:rFonts w:hint="eastAsia" w:ascii="仿宋_GB2312" w:hAnsi="仿宋_GB2312" w:eastAsia="仿宋_GB2312" w:cs="仿宋_GB2312"/>
          <w:color w:val="auto"/>
          <w:sz w:val="32"/>
          <w:szCs w:val="32"/>
          <w:highlight w:val="none"/>
        </w:rPr>
        <w:t>万元，主要用于保障居民基本养老保险基础养老金发放、对城乡低保对象等低收入群体进行补助。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（七）医疗卫生</w:t>
      </w:r>
      <w:r>
        <w:rPr>
          <w:rFonts w:hint="eastAsia" w:ascii="仿宋_GB2312" w:hAnsi="仿宋_GB2312" w:eastAsia="仿宋_GB2312" w:cs="仿宋_GB2312"/>
          <w:color w:val="auto"/>
          <w:sz w:val="32"/>
          <w:szCs w:val="32"/>
          <w:highlight w:val="none"/>
        </w:rPr>
        <w:t>共同财政事权转移支付收入</w:t>
      </w:r>
      <w:r>
        <w:rPr>
          <w:rFonts w:hint="eastAsia" w:ascii="仿宋_GB2312" w:hAnsi="仿宋_GB2312" w:eastAsia="仿宋_GB2312" w:cs="仿宋_GB2312"/>
          <w:color w:val="auto"/>
          <w:sz w:val="32"/>
          <w:szCs w:val="32"/>
          <w:highlight w:val="none"/>
          <w:lang w:val="en-US" w:eastAsia="zh-CN"/>
        </w:rPr>
        <w:t>15991</w:t>
      </w:r>
      <w:r>
        <w:rPr>
          <w:rFonts w:hint="eastAsia" w:ascii="仿宋_GB2312" w:hAnsi="仿宋_GB2312" w:eastAsia="仿宋_GB2312" w:cs="仿宋_GB2312"/>
          <w:color w:val="auto"/>
          <w:sz w:val="32"/>
          <w:szCs w:val="32"/>
          <w:highlight w:val="none"/>
        </w:rPr>
        <w:t>万元，主要用于计划生育服务、城乡医疗救助、医保能力提升等方面支出。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教育共同财政事权转移支付收入</w:t>
      </w:r>
      <w:r>
        <w:rPr>
          <w:rFonts w:hint="eastAsia" w:ascii="仿宋_GB2312" w:hAnsi="仿宋_GB2312" w:eastAsia="仿宋_GB2312" w:cs="仿宋_GB2312"/>
          <w:color w:val="auto"/>
          <w:sz w:val="32"/>
          <w:szCs w:val="32"/>
          <w:highlight w:val="none"/>
          <w:lang w:val="en-US" w:eastAsia="zh-CN"/>
        </w:rPr>
        <w:t>6470</w:t>
      </w:r>
      <w:r>
        <w:rPr>
          <w:rFonts w:hint="eastAsia" w:ascii="仿宋_GB2312" w:hAnsi="仿宋_GB2312" w:eastAsia="仿宋_GB2312" w:cs="仿宋_GB2312"/>
          <w:color w:val="auto"/>
          <w:sz w:val="32"/>
          <w:szCs w:val="32"/>
          <w:highlight w:val="none"/>
        </w:rPr>
        <w:t>万元，主要用于完善城乡义务教育经费保障机制、改善薄弱地区基础教育办学条件，推动教育资源均衡配置。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rPr>
        <w:t>其他一般性转移支付</w:t>
      </w:r>
      <w:r>
        <w:rPr>
          <w:rFonts w:hint="eastAsia" w:ascii="仿宋_GB2312" w:hAnsi="仿宋_GB2312" w:eastAsia="仿宋_GB2312" w:cs="仿宋_GB2312"/>
          <w:color w:val="auto"/>
          <w:sz w:val="32"/>
          <w:szCs w:val="32"/>
          <w:highlight w:val="none"/>
          <w:lang w:val="en-US" w:eastAsia="zh-CN"/>
        </w:rPr>
        <w:t>82610</w:t>
      </w:r>
      <w:r>
        <w:rPr>
          <w:rFonts w:hint="eastAsia" w:ascii="仿宋_GB2312" w:hAnsi="仿宋_GB2312" w:eastAsia="仿宋_GB2312" w:cs="仿宋_GB2312"/>
          <w:color w:val="auto"/>
          <w:sz w:val="32"/>
          <w:szCs w:val="32"/>
          <w:highlight w:val="none"/>
        </w:rPr>
        <w:t>万元，主要包括公共安全、节能环保、交通运输等共同财政事权转移支付以及企事业单位划转补助等，重点用于公共安全、节能环保、交通运输等公共服务和社会管理领域，增强基本公共服务保障能力。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20</w:t>
      </w:r>
      <w:r>
        <w:rPr>
          <w:rFonts w:hint="eastAsia" w:ascii="黑体" w:hAnsi="黑体" w:eastAsia="黑体" w:cs="黑体"/>
          <w:sz w:val="32"/>
          <w:szCs w:val="32"/>
          <w:highlight w:val="none"/>
          <w:lang w:val="en-US" w:eastAsia="zh-CN"/>
        </w:rPr>
        <w:t>23</w:t>
      </w:r>
      <w:r>
        <w:rPr>
          <w:rFonts w:hint="eastAsia" w:ascii="黑体" w:hAnsi="黑体" w:eastAsia="黑体" w:cs="黑体"/>
          <w:sz w:val="32"/>
          <w:szCs w:val="32"/>
          <w:highlight w:val="none"/>
        </w:rPr>
        <w:t>年专项转移支付执行数为</w:t>
      </w:r>
      <w:r>
        <w:rPr>
          <w:rFonts w:hint="eastAsia" w:ascii="黑体" w:hAnsi="黑体" w:eastAsia="黑体" w:cs="黑体"/>
          <w:sz w:val="32"/>
          <w:szCs w:val="32"/>
          <w:highlight w:val="none"/>
          <w:lang w:val="en-US" w:eastAsia="zh-CN"/>
        </w:rPr>
        <w:t>23693</w:t>
      </w:r>
      <w:r>
        <w:rPr>
          <w:rFonts w:hint="eastAsia" w:ascii="黑体" w:hAnsi="黑体" w:eastAsia="黑体" w:cs="黑体"/>
          <w:sz w:val="32"/>
          <w:szCs w:val="32"/>
          <w:highlight w:val="none"/>
        </w:rPr>
        <w:t>万元</w:t>
      </w:r>
      <w:r>
        <w:rPr>
          <w:rFonts w:hint="eastAsia" w:ascii="黑体" w:hAnsi="黑体" w:eastAsia="黑体" w:cs="黑体"/>
          <w:sz w:val="32"/>
          <w:szCs w:val="32"/>
          <w:lang w:val="en-US" w:eastAsia="zh-CN"/>
        </w:rPr>
        <w:t>(</w:t>
      </w:r>
      <w:r>
        <w:rPr>
          <w:rFonts w:hint="eastAsia" w:ascii="黑体" w:hAnsi="黑体" w:eastAsia="黑体" w:cs="黑体"/>
          <w:sz w:val="32"/>
          <w:szCs w:val="32"/>
        </w:rPr>
        <w:t>因体制原因，我区对乡镇按照部门进行管理，因此没有</w:t>
      </w:r>
      <w:r>
        <w:rPr>
          <w:rFonts w:hint="eastAsia" w:ascii="黑体" w:hAnsi="黑体" w:eastAsia="黑体" w:cs="黑体"/>
          <w:sz w:val="32"/>
          <w:szCs w:val="32"/>
          <w:lang w:eastAsia="zh-CN"/>
        </w:rPr>
        <w:t>对乡镇</w:t>
      </w:r>
      <w:r>
        <w:rPr>
          <w:rFonts w:hint="eastAsia" w:ascii="黑体" w:hAnsi="黑体" w:eastAsia="黑体" w:cs="黑体"/>
          <w:sz w:val="32"/>
          <w:szCs w:val="32"/>
        </w:rPr>
        <w:t>转移支付</w:t>
      </w:r>
      <w:r>
        <w:rPr>
          <w:rFonts w:hint="eastAsia" w:ascii="黑体" w:hAnsi="黑体" w:eastAsia="黑体" w:cs="黑体"/>
          <w:sz w:val="32"/>
          <w:szCs w:val="32"/>
          <w:lang w:eastAsia="zh-CN"/>
        </w:rPr>
        <w:t>情况</w:t>
      </w:r>
      <w:r>
        <w:rPr>
          <w:rFonts w:hint="eastAsia" w:ascii="黑体" w:hAnsi="黑体" w:eastAsia="黑体" w:cs="黑体"/>
          <w:sz w:val="32"/>
          <w:szCs w:val="32"/>
          <w:lang w:val="en-US" w:eastAsia="zh-CN"/>
        </w:rPr>
        <w:t>)</w:t>
      </w:r>
      <w:r>
        <w:rPr>
          <w:rFonts w:hint="eastAsia" w:ascii="黑体" w:hAnsi="黑体" w:eastAsia="黑体" w:cs="黑体"/>
          <w:sz w:val="32"/>
          <w:szCs w:val="32"/>
          <w:highlight w:val="none"/>
        </w:rPr>
        <w:t>，其中：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（一）节能环保方面5225万元。主要用于支持环境污染防治、节能减排和清洁取暖等相关方面支出。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农林水方面</w:t>
      </w:r>
      <w:r>
        <w:rPr>
          <w:rFonts w:hint="eastAsia" w:ascii="仿宋_GB2312" w:hAnsi="仿宋_GB2312" w:eastAsia="仿宋_GB2312" w:cs="仿宋_GB2312"/>
          <w:sz w:val="32"/>
          <w:szCs w:val="32"/>
          <w:highlight w:val="none"/>
          <w:lang w:val="en-US" w:eastAsia="zh-CN"/>
        </w:rPr>
        <w:t>4768</w:t>
      </w:r>
      <w:r>
        <w:rPr>
          <w:rFonts w:hint="eastAsia" w:ascii="仿宋_GB2312" w:hAnsi="仿宋_GB2312" w:eastAsia="仿宋_GB2312" w:cs="仿宋_GB2312"/>
          <w:sz w:val="32"/>
          <w:szCs w:val="32"/>
          <w:highlight w:val="none"/>
        </w:rPr>
        <w:t>万元，主要用于支持农业科技和现代农业生产发展、重大动植物病虫害防治、耕地质量提升、植树造林和森林资源保护管理、水利发展等方面支出。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sz w:val="32"/>
          <w:szCs w:val="32"/>
          <w:highlight w:val="none"/>
        </w:rPr>
        <w:t>资源勘探</w:t>
      </w:r>
      <w:r>
        <w:rPr>
          <w:rFonts w:hint="eastAsia" w:ascii="仿宋_GB2312" w:hAnsi="仿宋_GB2312" w:eastAsia="仿宋_GB2312" w:cs="仿宋_GB2312"/>
          <w:sz w:val="32"/>
          <w:szCs w:val="32"/>
          <w:highlight w:val="none"/>
          <w:lang w:eastAsia="zh-CN"/>
        </w:rPr>
        <w:t>工业</w:t>
      </w:r>
      <w:r>
        <w:rPr>
          <w:rFonts w:hint="eastAsia" w:ascii="仿宋_GB2312" w:hAnsi="仿宋_GB2312" w:eastAsia="仿宋_GB2312" w:cs="仿宋_GB2312"/>
          <w:sz w:val="32"/>
          <w:szCs w:val="32"/>
          <w:highlight w:val="none"/>
        </w:rPr>
        <w:t>信息等方面</w:t>
      </w:r>
      <w:r>
        <w:rPr>
          <w:rFonts w:hint="eastAsia" w:ascii="仿宋_GB2312" w:hAnsi="仿宋_GB2312" w:eastAsia="仿宋_GB2312" w:cs="仿宋_GB2312"/>
          <w:sz w:val="32"/>
          <w:szCs w:val="32"/>
          <w:highlight w:val="none"/>
          <w:lang w:val="en-US" w:eastAsia="zh-CN"/>
        </w:rPr>
        <w:t>2259</w:t>
      </w:r>
      <w:r>
        <w:rPr>
          <w:rFonts w:hint="eastAsia" w:ascii="仿宋_GB2312" w:hAnsi="仿宋_GB2312" w:eastAsia="仿宋_GB2312" w:cs="仿宋_GB2312"/>
          <w:sz w:val="32"/>
          <w:szCs w:val="32"/>
          <w:highlight w:val="none"/>
        </w:rPr>
        <w:t>万元，主要用于支持工业提质增效和军民融合发展、安全生产、中小企业创业补助及创新奖励等方面支出。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sz w:val="32"/>
          <w:szCs w:val="32"/>
          <w:highlight w:val="none"/>
        </w:rPr>
        <w:t>住房保障方面</w:t>
      </w:r>
      <w:r>
        <w:rPr>
          <w:rFonts w:hint="eastAsia" w:ascii="仿宋_GB2312" w:hAnsi="仿宋_GB2312" w:eastAsia="仿宋_GB2312" w:cs="仿宋_GB2312"/>
          <w:sz w:val="32"/>
          <w:szCs w:val="32"/>
          <w:highlight w:val="none"/>
          <w:lang w:val="en-US" w:eastAsia="zh-CN"/>
        </w:rPr>
        <w:t>3857万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主要用于支持城镇保障性安居工程、农村危房改造等方面支出。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其他方面</w:t>
      </w:r>
      <w:r>
        <w:rPr>
          <w:rFonts w:hint="eastAsia" w:ascii="仿宋_GB2312" w:hAnsi="仿宋_GB2312" w:eastAsia="仿宋_GB2312" w:cs="仿宋_GB2312"/>
          <w:sz w:val="32"/>
          <w:szCs w:val="32"/>
          <w:highlight w:val="none"/>
          <w:lang w:val="en-US" w:eastAsia="zh-CN"/>
        </w:rPr>
        <w:t>7584万元，主要用于支持文化旅游体育与传媒、社会保障等项目建设等方面支出。</w:t>
      </w:r>
    </w:p>
    <w:p>
      <w:pPr>
        <w:jc w:val="center"/>
        <w:rPr>
          <w:rFonts w:hint="eastAsia" w:ascii="方正小标宋简体" w:hAnsi="方正小标宋简体" w:eastAsia="方正小标宋简体" w:cs="方正小标宋简体"/>
          <w:sz w:val="44"/>
          <w:szCs w:val="44"/>
          <w:highlight w:val="none"/>
        </w:rPr>
      </w:pPr>
    </w:p>
    <w:p>
      <w:pPr>
        <w:pStyle w:val="2"/>
      </w:pPr>
    </w:p>
    <w:p>
      <w:pPr>
        <w:rPr>
          <w:rFonts w:hint="eastAsia"/>
          <w:lang w:val="en-US" w:eastAsia="zh-CN"/>
        </w:rPr>
      </w:pPr>
      <w:r>
        <w:rPr>
          <w:rFonts w:hint="eastAsia"/>
          <w:lang w:val="en-US" w:eastAsia="zh-CN"/>
        </w:rPr>
        <w:br w:type="page"/>
      </w: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w:t>
      </w:r>
      <w:r>
        <w:rPr>
          <w:rFonts w:hint="eastAsia" w:ascii="方正小标宋简体" w:hAnsi="方正小标宋简体" w:eastAsia="方正小标宋简体" w:cs="方正小标宋简体"/>
          <w:sz w:val="44"/>
          <w:szCs w:val="44"/>
          <w:highlight w:val="none"/>
          <w:lang w:val="en-US" w:eastAsia="zh-CN"/>
        </w:rPr>
        <w:t>23</w:t>
      </w:r>
      <w:r>
        <w:rPr>
          <w:rFonts w:hint="eastAsia" w:ascii="方正小标宋简体" w:hAnsi="方正小标宋简体" w:eastAsia="方正小标宋简体" w:cs="方正小标宋简体"/>
          <w:sz w:val="44"/>
          <w:szCs w:val="44"/>
          <w:highlight w:val="none"/>
        </w:rPr>
        <w:t>年政府性基金转移支付情况</w:t>
      </w: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安排的说明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年，我</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共收到省、市</w:t>
      </w:r>
      <w:r>
        <w:rPr>
          <w:rFonts w:hint="eastAsia" w:ascii="仿宋_GB2312" w:hAnsi="仿宋_GB2312" w:eastAsia="仿宋_GB2312" w:cs="仿宋_GB2312"/>
          <w:sz w:val="32"/>
          <w:szCs w:val="32"/>
          <w:highlight w:val="none"/>
          <w:lang w:eastAsia="zh-CN"/>
        </w:rPr>
        <w:t>两</w:t>
      </w:r>
      <w:r>
        <w:rPr>
          <w:rFonts w:hint="eastAsia" w:ascii="仿宋_GB2312" w:hAnsi="仿宋_GB2312" w:eastAsia="仿宋_GB2312" w:cs="仿宋_GB2312"/>
          <w:sz w:val="32"/>
          <w:szCs w:val="32"/>
          <w:highlight w:val="none"/>
        </w:rPr>
        <w:t>级转移支付补助资金</w:t>
      </w:r>
      <w:r>
        <w:rPr>
          <w:rFonts w:hint="eastAsia" w:ascii="仿宋_GB2312" w:hAnsi="仿宋_GB2312" w:eastAsia="仿宋_GB2312" w:cs="仿宋_GB2312"/>
          <w:sz w:val="32"/>
          <w:szCs w:val="32"/>
          <w:highlight w:val="none"/>
          <w:lang w:val="en-US" w:eastAsia="zh-CN"/>
        </w:rPr>
        <w:t>13169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因体制原因，我区对乡镇按照部门进行管理，因此没有</w:t>
      </w:r>
      <w:r>
        <w:rPr>
          <w:rFonts w:hint="eastAsia" w:ascii="仿宋_GB2312" w:hAnsi="仿宋_GB2312" w:eastAsia="仿宋_GB2312" w:cs="仿宋_GB2312"/>
          <w:sz w:val="32"/>
          <w:szCs w:val="32"/>
          <w:highlight w:val="none"/>
          <w:lang w:eastAsia="zh-CN"/>
        </w:rPr>
        <w:t>对乡镇</w:t>
      </w:r>
      <w:r>
        <w:rPr>
          <w:rFonts w:hint="eastAsia" w:ascii="仿宋_GB2312" w:hAnsi="仿宋_GB2312" w:eastAsia="仿宋_GB2312" w:cs="仿宋_GB2312"/>
          <w:sz w:val="32"/>
          <w:szCs w:val="32"/>
          <w:highlight w:val="none"/>
        </w:rPr>
        <w:t>转移支付</w:t>
      </w:r>
      <w:r>
        <w:rPr>
          <w:rFonts w:hint="eastAsia" w:ascii="仿宋_GB2312" w:hAnsi="仿宋_GB2312" w:eastAsia="仿宋_GB2312" w:cs="仿宋_GB2312"/>
          <w:sz w:val="32"/>
          <w:szCs w:val="32"/>
          <w:highlight w:val="none"/>
          <w:lang w:eastAsia="zh-CN"/>
        </w:rPr>
        <w:t>情况</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，具体情况如下：</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国有土地使用权出让</w:t>
      </w:r>
      <w:r>
        <w:rPr>
          <w:rFonts w:hint="eastAsia" w:ascii="仿宋_GB2312" w:hAnsi="仿宋_GB2312" w:eastAsia="仿宋_GB2312" w:cs="仿宋_GB2312"/>
          <w:color w:val="auto"/>
          <w:sz w:val="32"/>
          <w:szCs w:val="32"/>
          <w:highlight w:val="none"/>
          <w:lang w:val="en-US" w:eastAsia="zh-CN"/>
        </w:rPr>
        <w:t>200</w:t>
      </w:r>
      <w:r>
        <w:rPr>
          <w:rFonts w:hint="eastAsia" w:ascii="仿宋_GB2312" w:hAnsi="仿宋_GB2312" w:eastAsia="仿宋_GB2312" w:cs="仿宋_GB2312"/>
          <w:color w:val="auto"/>
          <w:sz w:val="32"/>
          <w:szCs w:val="32"/>
          <w:highlight w:val="none"/>
        </w:rPr>
        <w:t>万元，主要用于征地和拆迁补偿、土地开发、城市建设及加快保障性安居工程建设等方面支出</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国家电影事业发展专项资金相关收入</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万元，主要用于支持影院建设和设备更新改造、重点制片基地建设发展等方面支出</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三、大中型水库移民后期扶持基金收入2900万元，主要用于解决水库移民安置后生产生活问题，促进库区和移民安置区经济社会发展等方面支出。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rPr>
        <w:t>彩票公益金收入</w:t>
      </w:r>
      <w:r>
        <w:rPr>
          <w:rFonts w:hint="eastAsia" w:ascii="仿宋_GB2312" w:hAnsi="仿宋_GB2312" w:eastAsia="仿宋_GB2312" w:cs="仿宋_GB2312"/>
          <w:color w:val="auto"/>
          <w:sz w:val="32"/>
          <w:szCs w:val="32"/>
          <w:highlight w:val="none"/>
          <w:lang w:val="en-US" w:eastAsia="zh-CN"/>
        </w:rPr>
        <w:t>1649</w:t>
      </w:r>
      <w:r>
        <w:rPr>
          <w:rFonts w:hint="eastAsia" w:ascii="仿宋_GB2312" w:hAnsi="仿宋_GB2312" w:eastAsia="仿宋_GB2312" w:cs="仿宋_GB2312"/>
          <w:color w:val="auto"/>
          <w:sz w:val="32"/>
          <w:szCs w:val="32"/>
          <w:highlight w:val="none"/>
        </w:rPr>
        <w:t>万元，主要用于支持市县养老、扶贫、体育、教育、残疾人、城乡医疗救助等社会公益事业发展，对彩票发行销售机构业务开展给予补助。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重大水利工程建设基金收入</w:t>
      </w:r>
      <w:r>
        <w:rPr>
          <w:rFonts w:hint="eastAsia" w:ascii="仿宋_GB2312" w:hAnsi="仿宋_GB2312" w:eastAsia="仿宋_GB2312" w:cs="仿宋_GB2312"/>
          <w:color w:val="auto"/>
          <w:sz w:val="32"/>
          <w:szCs w:val="32"/>
          <w:highlight w:val="none"/>
          <w:lang w:val="en-US" w:eastAsia="zh-CN"/>
        </w:rPr>
        <w:t>103</w:t>
      </w:r>
      <w:r>
        <w:rPr>
          <w:rFonts w:hint="eastAsia" w:ascii="仿宋_GB2312" w:hAnsi="仿宋_GB2312" w:eastAsia="仿宋_GB2312" w:cs="仿宋_GB2312"/>
          <w:color w:val="auto"/>
          <w:sz w:val="32"/>
          <w:szCs w:val="32"/>
          <w:highlight w:val="none"/>
        </w:rPr>
        <w:t>万元，主要用于</w:t>
      </w:r>
      <w:r>
        <w:rPr>
          <w:rFonts w:hint="eastAsia" w:ascii="仿宋_GB2312" w:hAnsi="仿宋_GB2312" w:eastAsia="仿宋_GB2312" w:cs="仿宋_GB2312"/>
          <w:color w:val="auto"/>
          <w:sz w:val="32"/>
          <w:szCs w:val="32"/>
          <w:highlight w:val="none"/>
          <w:lang w:eastAsia="zh-CN"/>
        </w:rPr>
        <w:t>重点水利工程</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eastAsia="zh-CN"/>
        </w:rPr>
        <w:t>领域。</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eastAsia="zh-CN"/>
        </w:rPr>
        <w:t>六、城市基础设施配套费收入</w:t>
      </w:r>
      <w:r>
        <w:rPr>
          <w:rFonts w:hint="eastAsia" w:ascii="仿宋_GB2312" w:hAnsi="仿宋_GB2312" w:eastAsia="仿宋_GB2312" w:cs="仿宋_GB2312"/>
          <w:color w:val="auto"/>
          <w:sz w:val="32"/>
          <w:szCs w:val="32"/>
          <w:highlight w:val="none"/>
          <w:lang w:val="en-US" w:eastAsia="zh-CN"/>
        </w:rPr>
        <w:t>8294万元，主要用于城市公共设施等领域。</w:t>
      </w:r>
    </w:p>
    <w:p/>
    <w:p>
      <w:pPr>
        <w:pStyle w:val="2"/>
        <w:rPr>
          <w:rFonts w:hint="eastAsia"/>
          <w:lang w:val="en-US" w:eastAsia="zh-CN"/>
        </w:rPr>
      </w:pPr>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附件3</w:t>
      </w:r>
    </w:p>
    <w:p>
      <w:pPr>
        <w:jc w:val="both"/>
        <w:rPr>
          <w:rFonts w:hint="eastAsia" w:ascii="仿宋_GB2312" w:hAnsi="仿宋_GB2312" w:eastAsia="仿宋_GB2312" w:cs="仿宋_GB2312"/>
          <w:b/>
          <w:bCs/>
          <w:sz w:val="24"/>
          <w:szCs w:val="24"/>
          <w:highlight w:val="none"/>
          <w:lang w:val="en-US" w:eastAsia="zh-CN"/>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年文登区政府债务决算的说明</w:t>
      </w:r>
    </w:p>
    <w:p>
      <w:pPr>
        <w:pStyle w:val="27"/>
        <w:adjustRightInd/>
        <w:spacing w:line="560" w:lineRule="exact"/>
        <w:ind w:firstLine="640" w:firstLineChars="200"/>
        <w:jc w:val="left"/>
        <w:rPr>
          <w:rFonts w:hint="eastAsia" w:ascii="黑体" w:hAnsi="黑体" w:eastAsia="黑体" w:cs="黑体"/>
          <w:szCs w:val="32"/>
        </w:rPr>
      </w:pPr>
      <w:r>
        <w:rPr>
          <w:rFonts w:hint="eastAsia" w:ascii="黑体" w:hAnsi="黑体" w:eastAsia="黑体" w:cs="黑体"/>
          <w:szCs w:val="32"/>
        </w:rPr>
        <w:t>一、202</w:t>
      </w:r>
      <w:r>
        <w:rPr>
          <w:rFonts w:hint="eastAsia" w:ascii="黑体" w:hAnsi="黑体" w:eastAsia="黑体" w:cs="黑体"/>
          <w:szCs w:val="32"/>
          <w:lang w:val="en-US" w:eastAsia="zh-CN"/>
        </w:rPr>
        <w:t>3</w:t>
      </w:r>
      <w:r>
        <w:rPr>
          <w:rFonts w:hint="eastAsia" w:ascii="黑体" w:hAnsi="黑体" w:eastAsia="黑体" w:cs="黑体"/>
          <w:szCs w:val="32"/>
        </w:rPr>
        <w:t xml:space="preserve">年文登区地方政府债务限额情况 </w:t>
      </w:r>
    </w:p>
    <w:p>
      <w:pPr>
        <w:pStyle w:val="27"/>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经国务院批准，财政厅核定我区202</w:t>
      </w:r>
      <w:r>
        <w:rPr>
          <w:rFonts w:hint="eastAsia" w:ascii="仿宋_GB2312" w:hAnsi="仿宋_GB2312" w:cs="仿宋_GB2312"/>
          <w:szCs w:val="32"/>
          <w:lang w:val="en-US" w:eastAsia="zh-CN"/>
        </w:rPr>
        <w:t>3</w:t>
      </w:r>
      <w:r>
        <w:rPr>
          <w:rFonts w:hint="eastAsia" w:ascii="仿宋_GB2312" w:hAnsi="仿宋_GB2312" w:cs="仿宋_GB2312"/>
          <w:szCs w:val="32"/>
        </w:rPr>
        <w:t>年地方政府债务限额</w:t>
      </w:r>
      <w:r>
        <w:rPr>
          <w:rFonts w:hint="eastAsia" w:ascii="仿宋_GB2312" w:hAnsi="仿宋_GB2312" w:cs="仿宋_GB2312"/>
          <w:szCs w:val="32"/>
          <w:lang w:val="en-US" w:eastAsia="zh-CN"/>
        </w:rPr>
        <w:t>235.83</w:t>
      </w:r>
      <w:r>
        <w:rPr>
          <w:rFonts w:hint="eastAsia" w:ascii="仿宋_GB2312" w:hAnsi="仿宋_GB2312" w:cs="仿宋_GB2312"/>
          <w:szCs w:val="32"/>
        </w:rPr>
        <w:t>亿元。其中新增债务限额</w:t>
      </w:r>
      <w:r>
        <w:rPr>
          <w:rFonts w:hint="eastAsia" w:ascii="仿宋_GB2312" w:hAnsi="仿宋_GB2312" w:cs="仿宋_GB2312"/>
          <w:szCs w:val="32"/>
          <w:lang w:val="en-US" w:eastAsia="zh-CN"/>
        </w:rPr>
        <w:t>32.40</w:t>
      </w:r>
      <w:r>
        <w:rPr>
          <w:rFonts w:hint="eastAsia" w:ascii="仿宋_GB2312" w:hAnsi="仿宋_GB2312" w:cs="仿宋_GB2312"/>
          <w:szCs w:val="32"/>
        </w:rPr>
        <w:t>亿元。</w:t>
      </w:r>
    </w:p>
    <w:p>
      <w:pPr>
        <w:pStyle w:val="27"/>
        <w:adjustRightInd/>
        <w:spacing w:line="560" w:lineRule="exact"/>
        <w:ind w:firstLine="640" w:firstLineChars="200"/>
        <w:jc w:val="left"/>
        <w:rPr>
          <w:rFonts w:hint="eastAsia" w:ascii="仿宋_GB2312" w:hAnsi="仿宋_GB2312" w:cs="仿宋_GB2312"/>
          <w:szCs w:val="32"/>
        </w:rPr>
      </w:pPr>
      <w:r>
        <w:rPr>
          <w:rFonts w:hint="eastAsia" w:ascii="黑体" w:hAnsi="黑体" w:eastAsia="黑体" w:cs="黑体"/>
          <w:szCs w:val="32"/>
        </w:rPr>
        <w:t xml:space="preserve"> 二、202</w:t>
      </w:r>
      <w:r>
        <w:rPr>
          <w:rFonts w:hint="eastAsia" w:ascii="黑体" w:hAnsi="黑体" w:eastAsia="黑体" w:cs="黑体"/>
          <w:szCs w:val="32"/>
          <w:lang w:val="en-US" w:eastAsia="zh-CN"/>
        </w:rPr>
        <w:t>3</w:t>
      </w:r>
      <w:r>
        <w:rPr>
          <w:rFonts w:hint="eastAsia" w:ascii="黑体" w:hAnsi="黑体" w:eastAsia="黑体" w:cs="黑体"/>
          <w:szCs w:val="32"/>
        </w:rPr>
        <w:t>年文登区地方政府债务举借情况</w:t>
      </w:r>
      <w:r>
        <w:rPr>
          <w:rFonts w:hint="eastAsia" w:ascii="仿宋_GB2312" w:hAnsi="仿宋_GB2312" w:cs="仿宋_GB2312"/>
          <w:szCs w:val="32"/>
        </w:rPr>
        <w:t xml:space="preserve"> </w:t>
      </w:r>
    </w:p>
    <w:p>
      <w:pPr>
        <w:pStyle w:val="27"/>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202</w:t>
      </w:r>
      <w:r>
        <w:rPr>
          <w:rFonts w:hint="eastAsia" w:ascii="仿宋_GB2312" w:hAnsi="仿宋_GB2312" w:cs="仿宋_GB2312"/>
          <w:szCs w:val="32"/>
          <w:lang w:val="en-US" w:eastAsia="zh-CN"/>
        </w:rPr>
        <w:t>3</w:t>
      </w:r>
      <w:r>
        <w:rPr>
          <w:rFonts w:hint="eastAsia" w:ascii="仿宋_GB2312" w:hAnsi="仿宋_GB2312" w:cs="仿宋_GB2312"/>
          <w:szCs w:val="32"/>
        </w:rPr>
        <w:t>年文登区共发行政府债券</w:t>
      </w:r>
      <w:r>
        <w:rPr>
          <w:rFonts w:hint="eastAsia" w:ascii="仿宋_GB2312" w:hAnsi="仿宋_GB2312" w:cs="仿宋_GB2312"/>
          <w:szCs w:val="32"/>
          <w:lang w:val="en-US" w:eastAsia="zh-CN"/>
        </w:rPr>
        <w:t>50.51</w:t>
      </w:r>
      <w:r>
        <w:rPr>
          <w:rFonts w:hint="eastAsia" w:ascii="仿宋_GB2312" w:hAnsi="仿宋_GB2312" w:cs="仿宋_GB2312"/>
          <w:szCs w:val="32"/>
        </w:rPr>
        <w:t>亿元，其中：新增债券</w:t>
      </w:r>
      <w:r>
        <w:rPr>
          <w:rFonts w:hint="eastAsia" w:ascii="仿宋_GB2312" w:hAnsi="仿宋_GB2312" w:cs="仿宋_GB2312"/>
          <w:szCs w:val="32"/>
          <w:lang w:val="en-US" w:eastAsia="zh-CN"/>
        </w:rPr>
        <w:t>32.40</w:t>
      </w:r>
      <w:r>
        <w:rPr>
          <w:rFonts w:hint="eastAsia" w:ascii="仿宋_GB2312" w:hAnsi="仿宋_GB2312" w:cs="仿宋_GB2312"/>
          <w:szCs w:val="32"/>
        </w:rPr>
        <w:t>亿元，再融资债券</w:t>
      </w:r>
      <w:r>
        <w:rPr>
          <w:rFonts w:hint="eastAsia" w:ascii="仿宋_GB2312" w:hAnsi="仿宋_GB2312" w:cs="仿宋_GB2312"/>
          <w:szCs w:val="32"/>
          <w:lang w:val="en-US" w:eastAsia="zh-CN"/>
        </w:rPr>
        <w:t>18.11</w:t>
      </w:r>
      <w:r>
        <w:rPr>
          <w:rFonts w:hint="eastAsia" w:ascii="仿宋_GB2312" w:hAnsi="仿宋_GB2312" w:cs="仿宋_GB2312"/>
          <w:szCs w:val="32"/>
        </w:rPr>
        <w:t>亿元（用于偿还到期政府债券，不增加政府债务余额）。截至202</w:t>
      </w:r>
      <w:r>
        <w:rPr>
          <w:rFonts w:hint="eastAsia" w:ascii="仿宋_GB2312" w:hAnsi="仿宋_GB2312" w:cs="仿宋_GB2312"/>
          <w:szCs w:val="32"/>
          <w:lang w:val="en-US" w:eastAsia="zh-CN"/>
        </w:rPr>
        <w:t>3</w:t>
      </w:r>
      <w:r>
        <w:rPr>
          <w:rFonts w:hint="eastAsia" w:ascii="仿宋_GB2312" w:hAnsi="仿宋_GB2312" w:cs="仿宋_GB2312"/>
          <w:szCs w:val="32"/>
        </w:rPr>
        <w:t>年底，全区政府债务余额</w:t>
      </w:r>
      <w:r>
        <w:rPr>
          <w:rFonts w:hint="eastAsia" w:ascii="仿宋_GB2312" w:hAnsi="仿宋_GB2312" w:cs="仿宋_GB2312"/>
          <w:szCs w:val="32"/>
          <w:lang w:val="en-US" w:eastAsia="zh-CN"/>
        </w:rPr>
        <w:t>234.92</w:t>
      </w:r>
      <w:r>
        <w:rPr>
          <w:rFonts w:hint="eastAsia" w:ascii="仿宋_GB2312" w:hAnsi="仿宋_GB2312" w:cs="仿宋_GB2312"/>
          <w:szCs w:val="32"/>
        </w:rPr>
        <w:t>亿元，严格控制在财政部核定限额之内。</w:t>
      </w:r>
    </w:p>
    <w:p>
      <w:pPr>
        <w:pStyle w:val="27"/>
        <w:adjustRightInd/>
        <w:spacing w:line="560" w:lineRule="exact"/>
        <w:ind w:firstLine="640" w:firstLineChars="200"/>
        <w:jc w:val="left"/>
        <w:rPr>
          <w:rFonts w:hint="eastAsia" w:ascii="仿宋_GB2312" w:hAnsi="仿宋_GB2312" w:cs="仿宋_GB2312"/>
          <w:szCs w:val="32"/>
        </w:rPr>
      </w:pPr>
      <w:r>
        <w:rPr>
          <w:rFonts w:hint="eastAsia" w:ascii="仿宋_GB2312" w:hAnsi="仿宋_GB2312" w:cs="仿宋_GB2312"/>
          <w:szCs w:val="32"/>
        </w:rPr>
        <w:t>按照《国务院关于加强地方政府性债务管理的意见》（国发〔2014〕43号）、《财政部关于对地方政府债务实行限额管理的实施意见》（财预〔2015〕225号）和《财政部关于印发&lt;地方政府债务信息公开办法（试行）&gt;的通知》（财预〔2018〕209号）等规定，2018年历次发行政府债券举借政府债务的相关信息，均已按规定向社会公开。</w:t>
      </w:r>
    </w:p>
    <w:p>
      <w:pPr>
        <w:spacing w:line="560" w:lineRule="exact"/>
        <w:ind w:firstLine="640" w:firstLineChars="200"/>
        <w:jc w:val="left"/>
        <w:rPr>
          <w:rFonts w:hint="eastAsia" w:ascii="Times New Roman" w:hAnsi="Times New Roman" w:eastAsia="黑体" w:cs="Times New Roman"/>
        </w:rPr>
      </w:pPr>
      <w:r>
        <w:rPr>
          <w:rFonts w:hint="eastAsia" w:ascii="Times New Roman" w:hAnsi="Times New Roman" w:eastAsia="黑体" w:cs="Times New Roman"/>
        </w:rPr>
        <w:t>三、债券资金使用安排情况的说明</w:t>
      </w:r>
    </w:p>
    <w:p>
      <w:pPr>
        <w:spacing w:line="560" w:lineRule="exact"/>
        <w:ind w:firstLine="640" w:firstLineChars="200"/>
        <w:rPr>
          <w:rFonts w:ascii="仿宋_GB2312" w:hAnsi="仿宋_GB2312" w:eastAsia="仿宋_GB2312"/>
        </w:rPr>
      </w:pPr>
      <w:r>
        <w:rPr>
          <w:rFonts w:hint="eastAsia" w:ascii="仿宋_GB2312" w:hAnsi="仿宋_GB2312" w:eastAsia="仿宋_GB2312"/>
        </w:rPr>
        <w:t>将政府债务收支全面纳入预算管理，强化资金监管，提高债券资金效益。在新增债券资金使用方面，全部用于重点民生项目和在建公益性项目后续融资，其中农林水利建设支出</w:t>
      </w:r>
      <w:r>
        <w:rPr>
          <w:rFonts w:hint="eastAsia" w:ascii="仿宋_GB2312" w:hAnsi="仿宋_GB2312" w:eastAsia="仿宋_GB2312"/>
          <w:lang w:val="en-US" w:eastAsia="zh-CN"/>
        </w:rPr>
        <w:t>4.49</w:t>
      </w:r>
      <w:r>
        <w:rPr>
          <w:rFonts w:hint="eastAsia" w:ascii="仿宋_GB2312" w:hAnsi="仿宋_GB2312" w:eastAsia="仿宋_GB2312"/>
        </w:rPr>
        <w:t>亿元、市政建设</w:t>
      </w:r>
      <w:r>
        <w:rPr>
          <w:rFonts w:hint="eastAsia" w:ascii="仿宋_GB2312" w:hAnsi="仿宋_GB2312" w:eastAsia="仿宋_GB2312"/>
          <w:lang w:val="en-US" w:eastAsia="zh-CN"/>
        </w:rPr>
        <w:t>15.25</w:t>
      </w:r>
      <w:r>
        <w:rPr>
          <w:rFonts w:hint="eastAsia" w:ascii="仿宋_GB2312" w:hAnsi="仿宋_GB2312" w:eastAsia="仿宋_GB2312"/>
        </w:rPr>
        <w:t>亿元、保障性住房</w:t>
      </w:r>
      <w:r>
        <w:rPr>
          <w:rFonts w:hint="eastAsia" w:ascii="仿宋_GB2312" w:hAnsi="仿宋_GB2312" w:eastAsia="仿宋_GB2312"/>
          <w:lang w:val="en-US" w:eastAsia="zh-CN"/>
        </w:rPr>
        <w:t>0.2</w:t>
      </w:r>
      <w:r>
        <w:rPr>
          <w:rFonts w:hint="eastAsia" w:ascii="仿宋_GB2312" w:hAnsi="仿宋_GB2312" w:eastAsia="仿宋_GB2312"/>
        </w:rPr>
        <w:t>亿元、教科文卫</w:t>
      </w:r>
      <w:r>
        <w:rPr>
          <w:rFonts w:hint="eastAsia" w:ascii="仿宋_GB2312" w:hAnsi="仿宋_GB2312" w:eastAsia="仿宋_GB2312"/>
          <w:lang w:val="en-US" w:eastAsia="zh-CN"/>
        </w:rPr>
        <w:t>0.8</w:t>
      </w:r>
      <w:r>
        <w:rPr>
          <w:rFonts w:hint="eastAsia" w:ascii="仿宋_GB2312" w:hAnsi="仿宋_GB2312" w:eastAsia="仿宋_GB2312"/>
        </w:rPr>
        <w:t>亿元</w:t>
      </w:r>
      <w:r>
        <w:rPr>
          <w:rFonts w:hint="eastAsia" w:ascii="仿宋_GB2312" w:hAnsi="仿宋_GB2312" w:eastAsia="仿宋_GB2312"/>
          <w:lang w:eastAsia="zh-CN"/>
        </w:rPr>
        <w:t>、环境保护</w:t>
      </w:r>
      <w:r>
        <w:rPr>
          <w:rFonts w:hint="eastAsia" w:ascii="仿宋_GB2312" w:hAnsi="仿宋_GB2312" w:eastAsia="仿宋_GB2312"/>
          <w:lang w:val="en-US" w:eastAsia="zh-CN"/>
        </w:rPr>
        <w:t>3.1亿元、其他8.56亿元</w:t>
      </w:r>
      <w:r>
        <w:rPr>
          <w:rFonts w:hint="eastAsia" w:ascii="仿宋_GB2312" w:hAnsi="仿宋_GB2312" w:eastAsia="仿宋_GB2312"/>
        </w:rPr>
        <w:t>。</w:t>
      </w:r>
    </w:p>
    <w:p/>
    <w:p>
      <w:pPr>
        <w:jc w:val="both"/>
        <w:rPr>
          <w:rFonts w:hint="eastAsia" w:ascii="仿宋_GB2312" w:hAnsi="仿宋_GB2312" w:eastAsia="仿宋_GB2312" w:cs="仿宋_GB2312"/>
          <w:b/>
          <w:bCs/>
          <w:sz w:val="24"/>
          <w:szCs w:val="24"/>
          <w:highlight w:val="none"/>
          <w:lang w:val="en-US" w:eastAsia="zh-CN"/>
        </w:rPr>
      </w:pPr>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附件4</w:t>
      </w:r>
    </w:p>
    <w:p>
      <w:pPr>
        <w:jc w:val="both"/>
        <w:rPr>
          <w:rFonts w:hint="eastAsia" w:ascii="仿宋_GB2312" w:hAnsi="仿宋_GB2312" w:eastAsia="仿宋_GB2312" w:cs="仿宋_GB2312"/>
          <w:b/>
          <w:bCs/>
          <w:sz w:val="24"/>
          <w:szCs w:val="24"/>
          <w:highlight w:val="none"/>
          <w:lang w:val="en-US" w:eastAsia="zh-CN"/>
        </w:rPr>
      </w:pPr>
    </w:p>
    <w:p>
      <w:pPr>
        <w:jc w:val="both"/>
        <w:rPr>
          <w:rFonts w:hint="eastAsia" w:ascii="仿宋_GB2312" w:hAnsi="仿宋_GB2312" w:eastAsia="仿宋_GB2312" w:cs="仿宋_GB2312"/>
          <w:sz w:val="32"/>
          <w:szCs w:val="32"/>
          <w:highlight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2023年三公经费分项数据及增减变化说明</w:t>
      </w:r>
    </w:p>
    <w:p>
      <w:pPr>
        <w:ind w:firstLine="640" w:firstLineChars="200"/>
        <w:jc w:val="both"/>
        <w:rPr>
          <w:rFonts w:hint="eastAsia" w:ascii="仿宋_GB2312" w:hAnsi="仿宋_GB2312" w:eastAsia="仿宋_GB2312"/>
        </w:rPr>
      </w:pPr>
      <w:r>
        <w:rPr>
          <w:rFonts w:hint="eastAsia" w:ascii="仿宋_GB2312" w:hAnsi="仿宋_GB2312" w:eastAsia="仿宋_GB2312"/>
        </w:rPr>
        <w:t>根据《预算法》以及现行相关规定，经</w:t>
      </w:r>
      <w:r>
        <w:rPr>
          <w:rFonts w:hint="eastAsia" w:ascii="仿宋_GB2312" w:hAnsi="仿宋_GB2312" w:eastAsia="仿宋_GB2312"/>
          <w:lang w:eastAsia="zh-CN"/>
        </w:rPr>
        <w:t>区财政局</w:t>
      </w:r>
      <w:r>
        <w:rPr>
          <w:rFonts w:hint="eastAsia" w:ascii="仿宋_GB2312" w:hAnsi="仿宋_GB2312" w:eastAsia="仿宋_GB2312"/>
        </w:rPr>
        <w:t>汇总，20</w:t>
      </w:r>
      <w:r>
        <w:rPr>
          <w:rFonts w:hint="eastAsia" w:ascii="仿宋_GB2312" w:hAnsi="仿宋_GB2312" w:eastAsia="仿宋_GB2312"/>
          <w:lang w:val="en-US" w:eastAsia="zh-CN"/>
        </w:rPr>
        <w:t>23</w:t>
      </w:r>
      <w:r>
        <w:rPr>
          <w:rFonts w:hint="eastAsia" w:ascii="仿宋_GB2312" w:hAnsi="仿宋_GB2312" w:eastAsia="仿宋_GB2312"/>
        </w:rPr>
        <w:t>年</w:t>
      </w:r>
      <w:r>
        <w:rPr>
          <w:rFonts w:hint="eastAsia" w:ascii="仿宋_GB2312" w:hAnsi="仿宋_GB2312" w:eastAsia="仿宋_GB2312"/>
          <w:lang w:eastAsia="zh-CN"/>
        </w:rPr>
        <w:t>区</w:t>
      </w:r>
      <w:r>
        <w:rPr>
          <w:rFonts w:hint="eastAsia" w:ascii="仿宋_GB2312" w:hAnsi="仿宋_GB2312" w:eastAsia="仿宋_GB2312"/>
        </w:rPr>
        <w:t>级决算部门，包括</w:t>
      </w:r>
      <w:r>
        <w:rPr>
          <w:rFonts w:hint="eastAsia" w:ascii="仿宋_GB2312" w:hAnsi="仿宋_GB2312" w:eastAsia="仿宋_GB2312"/>
          <w:lang w:eastAsia="zh-CN"/>
        </w:rPr>
        <w:t>区</w:t>
      </w:r>
      <w:r>
        <w:rPr>
          <w:rFonts w:hint="eastAsia" w:ascii="仿宋_GB2312" w:hAnsi="仿宋_GB2312" w:eastAsia="仿宋_GB2312"/>
        </w:rPr>
        <w:t>级行政单位、事业单位（含参照公务员法管理的事业单位）和其他单位使用当年一般公共预算财政拨款及以前年度结转资金安排的“三公”经费决算数为</w:t>
      </w:r>
      <w:r>
        <w:rPr>
          <w:rFonts w:hint="eastAsia" w:ascii="仿宋_GB2312" w:hAnsi="仿宋_GB2312" w:eastAsia="仿宋_GB2312"/>
          <w:lang w:val="en-US" w:eastAsia="zh-CN"/>
        </w:rPr>
        <w:t>789万</w:t>
      </w:r>
      <w:r>
        <w:rPr>
          <w:rFonts w:hint="eastAsia" w:ascii="仿宋_GB2312" w:hAnsi="仿宋_GB2312" w:eastAsia="仿宋_GB2312"/>
        </w:rPr>
        <w:t>元，比年初预算数减少</w:t>
      </w:r>
      <w:r>
        <w:rPr>
          <w:rFonts w:hint="eastAsia" w:ascii="仿宋_GB2312" w:hAnsi="仿宋_GB2312" w:eastAsia="仿宋_GB2312"/>
          <w:lang w:val="en-US" w:eastAsia="zh-CN"/>
        </w:rPr>
        <w:t>316万</w:t>
      </w:r>
      <w:r>
        <w:rPr>
          <w:rFonts w:hint="eastAsia" w:ascii="仿宋_GB2312" w:hAnsi="仿宋_GB2312" w:eastAsia="仿宋_GB2312"/>
        </w:rPr>
        <w:t>元，主要是</w:t>
      </w:r>
      <w:r>
        <w:rPr>
          <w:rFonts w:hint="eastAsia" w:ascii="仿宋_GB2312" w:hAnsi="仿宋_GB2312" w:eastAsia="仿宋_GB2312"/>
          <w:lang w:eastAsia="zh-CN"/>
        </w:rPr>
        <w:t>区</w:t>
      </w:r>
      <w:r>
        <w:rPr>
          <w:rFonts w:hint="eastAsia" w:ascii="仿宋_GB2312" w:hAnsi="仿宋_GB2312" w:eastAsia="仿宋_GB2312"/>
        </w:rPr>
        <w:t>级各部门贯彻落实中央八项规定精神，按照过紧日子和厉行勤俭节约的要求，从严控制“三公”经费支出。其中，因公出国（境）费</w:t>
      </w:r>
      <w:r>
        <w:rPr>
          <w:rFonts w:hint="eastAsia" w:ascii="仿宋_GB2312" w:hAnsi="仿宋_GB2312" w:eastAsia="仿宋_GB2312"/>
          <w:lang w:val="en-US" w:eastAsia="zh-CN"/>
        </w:rPr>
        <w:t>26万</w:t>
      </w:r>
      <w:r>
        <w:rPr>
          <w:rFonts w:hint="eastAsia" w:ascii="仿宋_GB2312" w:hAnsi="仿宋_GB2312" w:eastAsia="仿宋_GB2312"/>
        </w:rPr>
        <w:t>元，比年初预算数减少</w:t>
      </w:r>
      <w:r>
        <w:rPr>
          <w:rFonts w:hint="eastAsia" w:ascii="仿宋_GB2312" w:hAnsi="仿宋_GB2312" w:eastAsia="仿宋_GB2312"/>
          <w:lang w:val="en-US" w:eastAsia="zh-CN"/>
        </w:rPr>
        <w:t>89万</w:t>
      </w:r>
      <w:r>
        <w:rPr>
          <w:rFonts w:hint="eastAsia" w:ascii="仿宋_GB2312" w:hAnsi="仿宋_GB2312" w:eastAsia="仿宋_GB2312"/>
        </w:rPr>
        <w:t>元，主要是</w:t>
      </w:r>
      <w:r>
        <w:rPr>
          <w:rFonts w:hint="eastAsia" w:ascii="仿宋_GB2312" w:hAnsi="仿宋_GB2312" w:eastAsia="仿宋_GB2312"/>
          <w:lang w:eastAsia="zh-CN"/>
        </w:rPr>
        <w:t>区</w:t>
      </w:r>
      <w:r>
        <w:rPr>
          <w:rFonts w:hint="eastAsia" w:ascii="仿宋_GB2312" w:hAnsi="仿宋_GB2312" w:eastAsia="仿宋_GB2312"/>
        </w:rPr>
        <w:t>直有关部门因公出国（境）团组和人数减少；公务用车购置及运行维护费</w:t>
      </w:r>
      <w:r>
        <w:rPr>
          <w:rFonts w:hint="eastAsia" w:ascii="仿宋_GB2312" w:hAnsi="仿宋_GB2312" w:eastAsia="仿宋_GB2312"/>
          <w:lang w:val="en-US" w:eastAsia="zh-CN"/>
        </w:rPr>
        <w:t>678万</w:t>
      </w:r>
      <w:r>
        <w:rPr>
          <w:rFonts w:hint="eastAsia" w:ascii="仿宋_GB2312" w:hAnsi="仿宋_GB2312" w:eastAsia="仿宋_GB2312"/>
        </w:rPr>
        <w:t>元（其中公务用车运行维护费</w:t>
      </w:r>
      <w:r>
        <w:rPr>
          <w:rFonts w:hint="eastAsia" w:ascii="仿宋_GB2312" w:hAnsi="仿宋_GB2312" w:eastAsia="仿宋_GB2312"/>
          <w:lang w:val="en-US" w:eastAsia="zh-CN"/>
        </w:rPr>
        <w:t>678万</w:t>
      </w:r>
      <w:r>
        <w:rPr>
          <w:rFonts w:hint="eastAsia" w:ascii="仿宋_GB2312" w:hAnsi="仿宋_GB2312" w:eastAsia="仿宋_GB2312"/>
        </w:rPr>
        <w:t>元），比年初预算数减少</w:t>
      </w:r>
      <w:r>
        <w:rPr>
          <w:rFonts w:hint="eastAsia" w:ascii="仿宋_GB2312" w:hAnsi="仿宋_GB2312" w:eastAsia="仿宋_GB2312"/>
          <w:lang w:val="en-US" w:eastAsia="zh-CN"/>
        </w:rPr>
        <w:t>7万</w:t>
      </w:r>
      <w:r>
        <w:rPr>
          <w:rFonts w:hint="eastAsia" w:ascii="仿宋_GB2312" w:hAnsi="仿宋_GB2312" w:eastAsia="仿宋_GB2312"/>
        </w:rPr>
        <w:t>元，主要是各部门加强和规范公务用车配备使用管理，公务用车开支下降；公</w:t>
      </w:r>
      <w:bookmarkStart w:id="35" w:name="_GoBack"/>
      <w:bookmarkEnd w:id="35"/>
      <w:r>
        <w:rPr>
          <w:rFonts w:hint="eastAsia" w:ascii="仿宋_GB2312" w:hAnsi="仿宋_GB2312" w:eastAsia="仿宋_GB2312"/>
        </w:rPr>
        <w:t>务接待费</w:t>
      </w:r>
      <w:r>
        <w:rPr>
          <w:rFonts w:hint="eastAsia" w:ascii="仿宋_GB2312" w:hAnsi="仿宋_GB2312" w:eastAsia="仿宋_GB2312"/>
          <w:lang w:val="en-US" w:eastAsia="zh-CN"/>
        </w:rPr>
        <w:t>85万</w:t>
      </w:r>
      <w:r>
        <w:rPr>
          <w:rFonts w:hint="eastAsia" w:ascii="仿宋_GB2312" w:hAnsi="仿宋_GB2312" w:eastAsia="仿宋_GB2312"/>
        </w:rPr>
        <w:t>元，比年初预算数减少</w:t>
      </w:r>
      <w:r>
        <w:rPr>
          <w:rFonts w:hint="eastAsia" w:ascii="仿宋_GB2312" w:hAnsi="仿宋_GB2312" w:eastAsia="仿宋_GB2312"/>
          <w:lang w:val="en-US" w:eastAsia="zh-CN"/>
        </w:rPr>
        <w:t>220万</w:t>
      </w:r>
      <w:r>
        <w:rPr>
          <w:rFonts w:hint="eastAsia" w:ascii="仿宋_GB2312" w:hAnsi="仿宋_GB2312" w:eastAsia="仿宋_GB2312"/>
        </w:rPr>
        <w:t xml:space="preserve">元，主要是各部门认真贯彻落实厉行节约有关规定，严控公务接待范围和开支标准，进一步压减相关支出。 </w:t>
      </w:r>
    </w:p>
    <w:p>
      <w:pPr>
        <w:ind w:firstLine="640" w:firstLineChars="200"/>
        <w:jc w:val="both"/>
        <w:rPr>
          <w:rFonts w:hint="eastAsia" w:ascii="仿宋_GB2312" w:hAnsi="仿宋_GB2312" w:eastAsia="仿宋_GB2312" w:cs="仿宋_GB2312"/>
          <w:sz w:val="32"/>
          <w:szCs w:val="32"/>
          <w:shd w:val="clear"/>
          <w:lang w:val="en-US" w:eastAsia="zh-CN"/>
        </w:rPr>
      </w:pPr>
      <w:r>
        <w:rPr>
          <w:rFonts w:hint="eastAsia" w:ascii="仿宋_GB2312" w:hAnsi="仿宋_GB2312" w:eastAsia="仿宋_GB2312"/>
        </w:rPr>
        <w:t>——注释与说明： 1、因公出国（境）费反映单位公务</w:t>
      </w:r>
      <w:r>
        <w:rPr>
          <w:rFonts w:hint="eastAsia" w:ascii="仿宋_GB2312" w:hAnsi="仿宋_GB2312" w:eastAsia="仿宋_GB2312" w:cs="仿宋_GB2312"/>
          <w:sz w:val="32"/>
          <w:szCs w:val="32"/>
        </w:rPr>
        <w:t>出国（境）的国际旅费、国外城市间交通费、住宿费、伙食费、培训费、公杂费等支出。据统计</w:t>
      </w:r>
      <w:r>
        <w:rPr>
          <w:rFonts w:hint="eastAsia" w:ascii="仿宋_GB2312" w:hAnsi="仿宋_GB2312" w:eastAsia="仿宋_GB2312" w:cs="仿宋_GB2312"/>
          <w:sz w:val="32"/>
          <w:szCs w:val="32"/>
          <w:shd w:val="clear"/>
        </w:rPr>
        <w:t>，20</w:t>
      </w:r>
      <w:r>
        <w:rPr>
          <w:rFonts w:hint="eastAsia" w:ascii="仿宋_GB2312" w:hAnsi="仿宋_GB2312" w:eastAsia="仿宋_GB2312" w:cs="仿宋_GB2312"/>
          <w:sz w:val="32"/>
          <w:szCs w:val="32"/>
          <w:shd w:val="clear"/>
          <w:lang w:val="en-US" w:eastAsia="zh-CN"/>
        </w:rPr>
        <w:t>23</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本级因公出国（境）团组与累计人次分别为</w:t>
      </w:r>
      <w:r>
        <w:rPr>
          <w:rFonts w:hint="eastAsia" w:ascii="仿宋_GB2312" w:hAnsi="仿宋_GB2312" w:eastAsia="仿宋_GB2312" w:cs="仿宋_GB2312"/>
          <w:sz w:val="32"/>
          <w:szCs w:val="32"/>
          <w:shd w:val="clear"/>
          <w:lang w:val="en-US" w:eastAsia="zh-CN"/>
        </w:rPr>
        <w:t>11</w:t>
      </w:r>
      <w:r>
        <w:rPr>
          <w:rFonts w:hint="eastAsia" w:ascii="仿宋_GB2312" w:hAnsi="仿宋_GB2312" w:eastAsia="仿宋_GB2312" w:cs="仿宋_GB2312"/>
          <w:sz w:val="32"/>
          <w:szCs w:val="32"/>
          <w:shd w:val="clear"/>
        </w:rPr>
        <w:t>个、</w:t>
      </w:r>
      <w:r>
        <w:rPr>
          <w:rFonts w:hint="eastAsia" w:ascii="仿宋_GB2312" w:hAnsi="仿宋_GB2312" w:eastAsia="仿宋_GB2312" w:cs="仿宋_GB2312"/>
          <w:sz w:val="32"/>
          <w:szCs w:val="32"/>
          <w:shd w:val="clear"/>
          <w:lang w:val="en-US" w:eastAsia="zh-CN"/>
        </w:rPr>
        <w:t>16</w:t>
      </w:r>
      <w:r>
        <w:rPr>
          <w:rFonts w:hint="eastAsia" w:ascii="仿宋_GB2312" w:hAnsi="仿宋_GB2312" w:eastAsia="仿宋_GB2312" w:cs="仿宋_GB2312"/>
          <w:sz w:val="32"/>
          <w:szCs w:val="32"/>
          <w:shd w:val="clear"/>
        </w:rPr>
        <w:t xml:space="preserve">人次。 </w:t>
      </w:r>
      <w:r>
        <w:rPr>
          <w:rFonts w:hint="eastAsia" w:ascii="仿宋_GB2312" w:hAnsi="仿宋_GB2312" w:eastAsia="仿宋_GB2312" w:cs="仿宋_GB2312"/>
          <w:sz w:val="32"/>
          <w:szCs w:val="32"/>
        </w:rPr>
        <w:t>2、据统</w:t>
      </w:r>
      <w:r>
        <w:rPr>
          <w:rFonts w:hint="eastAsia" w:ascii="仿宋_GB2312" w:hAnsi="仿宋_GB2312" w:eastAsia="仿宋_GB2312" w:cs="仿宋_GB2312"/>
          <w:sz w:val="32"/>
          <w:szCs w:val="32"/>
          <w:shd w:val="clear"/>
        </w:rPr>
        <w:t>计，20</w:t>
      </w:r>
      <w:r>
        <w:rPr>
          <w:rFonts w:hint="eastAsia" w:ascii="仿宋_GB2312" w:hAnsi="仿宋_GB2312" w:eastAsia="仿宋_GB2312" w:cs="仿宋_GB2312"/>
          <w:sz w:val="32"/>
          <w:szCs w:val="32"/>
          <w:shd w:val="clear"/>
          <w:lang w:val="en-US" w:eastAsia="zh-CN"/>
        </w:rPr>
        <w:t>23</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本级使用一般公共预算财政拨款开支运行维护费的公务用车保有量为</w:t>
      </w:r>
      <w:r>
        <w:rPr>
          <w:rFonts w:hint="eastAsia" w:ascii="仿宋_GB2312" w:hAnsi="仿宋_GB2312" w:eastAsia="仿宋_GB2312" w:cs="仿宋_GB2312"/>
          <w:sz w:val="32"/>
          <w:szCs w:val="32"/>
          <w:shd w:val="clear"/>
          <w:lang w:val="en-US" w:eastAsia="zh-CN"/>
        </w:rPr>
        <w:t>605</w:t>
      </w:r>
      <w:r>
        <w:rPr>
          <w:rFonts w:hint="eastAsia" w:ascii="仿宋_GB2312" w:hAnsi="仿宋_GB2312" w:eastAsia="仿宋_GB2312" w:cs="仿宋_GB2312"/>
          <w:sz w:val="32"/>
          <w:szCs w:val="32"/>
          <w:shd w:val="clear"/>
        </w:rPr>
        <w:t xml:space="preserve">辆。 </w:t>
      </w:r>
      <w:r>
        <w:rPr>
          <w:rFonts w:hint="eastAsia" w:ascii="仿宋_GB2312" w:hAnsi="仿宋_GB2312" w:eastAsia="仿宋_GB2312" w:cs="仿宋_GB2312"/>
          <w:sz w:val="32"/>
          <w:szCs w:val="32"/>
        </w:rPr>
        <w:t>3、公务接待费反映单位按规定开支的各类公务接待（含外宾接待）支出。据统计，</w:t>
      </w:r>
      <w:r>
        <w:rPr>
          <w:rFonts w:hint="eastAsia" w:ascii="仿宋_GB2312" w:hAnsi="仿宋_GB2312" w:eastAsia="仿宋_GB2312" w:cs="仿宋_GB2312"/>
          <w:sz w:val="32"/>
          <w:szCs w:val="32"/>
          <w:shd w:val="clear"/>
        </w:rPr>
        <w:t>20</w:t>
      </w:r>
      <w:r>
        <w:rPr>
          <w:rFonts w:hint="eastAsia" w:ascii="仿宋_GB2312" w:hAnsi="仿宋_GB2312" w:eastAsia="仿宋_GB2312" w:cs="仿宋_GB2312"/>
          <w:sz w:val="32"/>
          <w:szCs w:val="32"/>
          <w:shd w:val="clear"/>
          <w:lang w:val="en-US" w:eastAsia="zh-CN"/>
        </w:rPr>
        <w:t>23</w:t>
      </w:r>
      <w:r>
        <w:rPr>
          <w:rFonts w:hint="eastAsia" w:ascii="仿宋_GB2312" w:hAnsi="仿宋_GB2312" w:eastAsia="仿宋_GB2312" w:cs="仿宋_GB2312"/>
          <w:sz w:val="32"/>
          <w:szCs w:val="32"/>
          <w:shd w:val="clear"/>
        </w:rPr>
        <w:t>年</w:t>
      </w:r>
      <w:r>
        <w:rPr>
          <w:rFonts w:hint="eastAsia" w:ascii="仿宋_GB2312" w:hAnsi="仿宋_GB2312" w:eastAsia="仿宋_GB2312" w:cs="仿宋_GB2312"/>
          <w:sz w:val="32"/>
          <w:szCs w:val="32"/>
          <w:shd w:val="clear"/>
          <w:lang w:eastAsia="zh-CN"/>
        </w:rPr>
        <w:t>区</w:t>
      </w:r>
      <w:r>
        <w:rPr>
          <w:rFonts w:hint="eastAsia" w:ascii="仿宋_GB2312" w:hAnsi="仿宋_GB2312" w:eastAsia="仿宋_GB2312" w:cs="仿宋_GB2312"/>
          <w:sz w:val="32"/>
          <w:szCs w:val="32"/>
          <w:shd w:val="clear"/>
        </w:rPr>
        <w:t>本级公务接待批次与累计人次分别为</w:t>
      </w:r>
      <w:r>
        <w:rPr>
          <w:rFonts w:hint="eastAsia" w:ascii="仿宋_GB2312" w:hAnsi="仿宋_GB2312" w:eastAsia="仿宋_GB2312" w:cs="仿宋_GB2312"/>
          <w:sz w:val="32"/>
          <w:szCs w:val="32"/>
          <w:shd w:val="clear"/>
          <w:lang w:val="en-US" w:eastAsia="zh-CN"/>
        </w:rPr>
        <w:t>1205</w:t>
      </w:r>
      <w:r>
        <w:rPr>
          <w:rFonts w:hint="eastAsia" w:ascii="仿宋_GB2312" w:hAnsi="仿宋_GB2312" w:eastAsia="仿宋_GB2312" w:cs="仿宋_GB2312"/>
          <w:sz w:val="32"/>
          <w:szCs w:val="32"/>
          <w:shd w:val="clear"/>
        </w:rPr>
        <w:t>批次、</w:t>
      </w:r>
      <w:r>
        <w:rPr>
          <w:rFonts w:hint="eastAsia" w:ascii="仿宋_GB2312" w:hAnsi="仿宋_GB2312" w:eastAsia="仿宋_GB2312" w:cs="仿宋_GB2312"/>
          <w:sz w:val="32"/>
          <w:szCs w:val="32"/>
          <w:shd w:val="clear"/>
          <w:lang w:val="en-US" w:eastAsia="zh-CN"/>
        </w:rPr>
        <w:t>10905</w:t>
      </w:r>
      <w:r>
        <w:rPr>
          <w:rFonts w:hint="eastAsia" w:ascii="仿宋_GB2312" w:hAnsi="仿宋_GB2312" w:eastAsia="仿宋_GB2312" w:cs="仿宋_GB2312"/>
          <w:sz w:val="32"/>
          <w:szCs w:val="32"/>
          <w:shd w:val="clear"/>
        </w:rPr>
        <w:t>人次。</w:t>
      </w:r>
    </w:p>
    <w:p>
      <w:pPr>
        <w:jc w:val="both"/>
        <w:rPr>
          <w:rFonts w:hint="eastAsia"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default"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br w:type="textWrapping"/>
      </w:r>
    </w:p>
    <w:p>
      <w:pPr>
        <w:jc w:val="both"/>
        <w:rPr>
          <w:rFonts w:hint="eastAsia" w:ascii="仿宋_GB2312" w:hAnsi="仿宋_GB2312" w:eastAsia="仿宋_GB2312" w:cs="仿宋_GB2312"/>
          <w:sz w:val="24"/>
          <w:szCs w:val="24"/>
          <w:highlight w:val="none"/>
          <w:lang w:val="en-US" w:eastAsia="zh-CN"/>
        </w:rPr>
      </w:pPr>
    </w:p>
    <w:p>
      <w:pPr>
        <w:pStyle w:val="2"/>
        <w:rPr>
          <w:rFonts w:hint="eastAsia"/>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sz w:val="24"/>
          <w:szCs w:val="24"/>
          <w:highlight w:val="none"/>
          <w:lang w:val="en-US" w:eastAsia="zh-CN"/>
        </w:rPr>
      </w:pPr>
    </w:p>
    <w:p>
      <w:pPr>
        <w:jc w:val="both"/>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附件5</w:t>
      </w:r>
    </w:p>
    <w:p>
      <w:pPr>
        <w:pStyle w:val="2"/>
        <w:rPr>
          <w:rFonts w:hint="eastAsia"/>
          <w:lang w:val="en-US" w:eastAsia="zh-CN"/>
        </w:rPr>
      </w:pPr>
    </w:p>
    <w:p>
      <w:pPr>
        <w:spacing w:line="700" w:lineRule="exact"/>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20</w:t>
      </w:r>
      <w:r>
        <w:rPr>
          <w:rFonts w:hint="eastAsia" w:ascii="方正小标宋简体" w:eastAsia="方正小标宋简体"/>
          <w:sz w:val="44"/>
          <w:szCs w:val="44"/>
          <w:highlight w:val="none"/>
          <w:lang w:val="en-US" w:eastAsia="zh-CN"/>
        </w:rPr>
        <w:t>23</w:t>
      </w:r>
      <w:r>
        <w:rPr>
          <w:rFonts w:hint="eastAsia" w:ascii="方正小标宋简体" w:eastAsia="方正小标宋简体"/>
          <w:sz w:val="44"/>
          <w:szCs w:val="44"/>
          <w:highlight w:val="none"/>
        </w:rPr>
        <w:t>年预算绩效工作开展情况说明</w:t>
      </w:r>
    </w:p>
    <w:p>
      <w:pPr>
        <w:spacing w:line="560" w:lineRule="exact"/>
        <w:rPr>
          <w:rFonts w:hint="eastAsia" w:ascii="Times New Roman" w:hAnsi="Times New Roman" w:eastAsia="仿宋_GB2312"/>
          <w:sz w:val="32"/>
          <w:szCs w:val="32"/>
        </w:rPr>
      </w:pP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一、扎实开展事前绩效评估，打造独具特色的评估新模式。</w:t>
      </w:r>
      <w:r>
        <w:rPr>
          <w:rFonts w:hint="eastAsia" w:ascii="Times New Roman" w:hAnsi="Times New Roman" w:eastAsia="仿宋_GB2312" w:cs="Times New Roman"/>
          <w:color w:val="auto"/>
          <w:spacing w:val="0"/>
          <w:kern w:val="2"/>
          <w:sz w:val="32"/>
          <w:szCs w:val="32"/>
          <w:lang w:val="en-US" w:eastAsia="zh-CN" w:bidi="ar-SA"/>
        </w:rPr>
        <w:t>通过完善事前评估制度、构建事前评估机制、创新事前评估方法，对所有新增政策项目开展事前绩效评估，为加强预算管理、提高财政资金使用效益把好第一关。2023年度预算申报中，共评估审核项目311个，其中建议调整后支持的147个，建议不予支持的140个，共涉及金额16.34亿元，审减13.71亿，审减率83.91%。2023年3-4月，区财政局对2023年拟出台的工业和信息化、服务业发展、科技创新、品牌战略、英才计划、军民融合发展、招商引资、租赁型企业职工公寓等八项惠企政策进行了事前绩效评估，共计174条分项条款，其中有104项政策条款建议予以支持，有59项政策条款建议调整后予以支持，有11项政策条款建议取消，充分发挥财政资金使用效益，促进企业高质量发展。</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二、严把绩效目标审核关，提升绩效管理水平。</w:t>
      </w:r>
      <w:r>
        <w:rPr>
          <w:rFonts w:hint="eastAsia" w:ascii="Times New Roman" w:hAnsi="Times New Roman" w:eastAsia="仿宋_GB2312" w:cs="Times New Roman"/>
          <w:color w:val="auto"/>
          <w:spacing w:val="0"/>
          <w:kern w:val="2"/>
          <w:sz w:val="32"/>
          <w:szCs w:val="32"/>
          <w:lang w:val="en-US" w:eastAsia="zh-CN" w:bidi="ar-SA"/>
        </w:rPr>
        <w:t>按照“谁申请资金，谁设定目标”的原则，我们编制了2023年绩效目标编报手册、填报说明、预算绩效目标表模板，实行预算单位填报、业务科室初审、绩效科复审的工作制度，细化量化绩效目标，提升绩效目标的科学性、合理性，通过电话、网上交流、现场指导等方式进行沟通，对绩效目标填报内容逐项核对修改，应审尽审。今年1月以来，组织各部门开展2023年度预算项目绩效目标填报工作，对994个项目的绩效目标进行审核，退回修改项目绩效目标294个，绩效目标质量得到大幅提升，覆盖率达到100%。同时推进绩效目标信息与预算同步批复、下达、公开，主动接受社会和公众监督，进一步增强财政资金使用透明度。</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三、督导预算单位开展2022年度部门预算项目绩效自评工作，提升项目绩效自评质量。</w:t>
      </w:r>
      <w:r>
        <w:rPr>
          <w:rFonts w:hint="eastAsia" w:ascii="Times New Roman" w:hAnsi="Times New Roman" w:eastAsia="仿宋_GB2312" w:cs="Times New Roman"/>
          <w:color w:val="auto"/>
          <w:spacing w:val="0"/>
          <w:kern w:val="2"/>
          <w:sz w:val="32"/>
          <w:szCs w:val="32"/>
          <w:lang w:val="en-US" w:eastAsia="zh-CN" w:bidi="ar-SA"/>
        </w:rPr>
        <w:t>按照“谁支出、谁自评”的要求，通过设置绩效自评表、绩效报告模板，要求所有区直部门对2022年度718个预算项目全面开展绩效自评，单位绩效自评情况作为年度考核与预算安排的重要依据。收集、整理、审核各单位项目绩效自评表与自评报告，对不符合要求的单位提出整改要求并限期改正，确保绩效自评资料准确合规，项目绩效自评覆盖率达100%。</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四、全面推进部门整体绩效管理，开展2022年部门整体绩效重点评价。</w:t>
      </w:r>
      <w:r>
        <w:rPr>
          <w:rFonts w:hint="eastAsia" w:ascii="Times New Roman" w:hAnsi="Times New Roman" w:eastAsia="仿宋_GB2312" w:cs="Times New Roman"/>
          <w:color w:val="auto"/>
          <w:spacing w:val="0"/>
          <w:kern w:val="2"/>
          <w:sz w:val="32"/>
          <w:szCs w:val="32"/>
          <w:lang w:val="en-US" w:eastAsia="zh-CN" w:bidi="ar-SA"/>
        </w:rPr>
        <w:t>将部门整体绩效管理范围扩展到全部区直部门，完成所有区直部门2023年部门整体绩效目标表的编制，并选取10个部门开展2022年度整体绩效重点评价，从运行成本、管理效率、履职效能、社会效应和服务对象满意度等方面入手，综合衡量部门和单位整体及核心业务实施效果，利用预算约束，强化结果应用，部门整体绩效管理覆盖率达100%。</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五、重点项目评价实施全过程跟踪问效，建立以满足个性化需求为导向的全应用重点绩效评价机制。</w:t>
      </w:r>
      <w:r>
        <w:rPr>
          <w:rFonts w:hint="eastAsia" w:ascii="Times New Roman" w:hAnsi="Times New Roman" w:eastAsia="仿宋_GB2312" w:cs="Times New Roman"/>
          <w:color w:val="auto"/>
          <w:spacing w:val="0"/>
          <w:kern w:val="2"/>
          <w:sz w:val="32"/>
          <w:szCs w:val="32"/>
          <w:lang w:val="en-US" w:eastAsia="zh-CN" w:bidi="ar-SA"/>
        </w:rPr>
        <w:t>对2022年度19个项目开展重点绩效评价，涉及预算资金35565.22万元，评价过程中实行第三方签到制度，通过查阅资料、实地调研、现场答辩等形式，财政全过程参与绩效评价工作，确保绩效评价质量。绩效评价结果全部以项目绩效评价反馈意见书的形式发送至财政支出科室与项目单位，作为预算安排、改进管理、政策完善的重要依据。通过项目绩效重点评价，共提出主要经验作法47条，发现问题86条，提出整改建议82条，单位整改落实77条。</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六、切实做好绩效运行监控，强化跟踪问效导向。</w:t>
      </w:r>
      <w:r>
        <w:rPr>
          <w:rFonts w:hint="eastAsia" w:ascii="Times New Roman" w:hAnsi="Times New Roman" w:eastAsia="仿宋_GB2312" w:cs="Times New Roman"/>
          <w:color w:val="auto"/>
          <w:spacing w:val="0"/>
          <w:kern w:val="2"/>
          <w:sz w:val="32"/>
          <w:szCs w:val="32"/>
          <w:lang w:val="en-US" w:eastAsia="zh-CN" w:bidi="ar-SA"/>
        </w:rPr>
        <w:t>对纳入预算绩效管理范围的全部项目（政策）1-8月的绩效目标实现程度和预算执行进度开展“双监控”，监控覆盖率100%，通过“双监控”，共有17372.69万元资金截至年底前不再执行，建议收回此部分资金。</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七、全面推进成本预算绩效管理，认真开展成本效益分析。</w:t>
      </w:r>
      <w:r>
        <w:rPr>
          <w:rFonts w:hint="eastAsia" w:ascii="Times New Roman" w:hAnsi="Times New Roman" w:eastAsia="仿宋_GB2312" w:cs="Times New Roman"/>
          <w:color w:val="auto"/>
          <w:spacing w:val="0"/>
          <w:kern w:val="2"/>
          <w:sz w:val="32"/>
          <w:szCs w:val="32"/>
          <w:lang w:val="en-US" w:eastAsia="zh-CN" w:bidi="ar-SA"/>
        </w:rPr>
        <w:t>以《威海市全面推进成本预算绩效管理工作实施方案》（威财绩【2023】4号）文为指导，将成本指标从产出指标的二级指标，调整提升为一级指标，将其作为实施成本控制和绩效评价的重要依据。选择“环卫运行维护费”、“大楼运行维护费”、“网络线路租金”项目开展成本预算绩效管理，通过成本绩效分析，核定项目成本，建立18项成本支出标准，严格实施成本支出管控。其中对“大楼运行维护费”成本绩效分析，根据2022年各大楼实际运行支出情况，扣除水费、电费、办公费、管理费等费用和压减保洁费用，建议2023年大楼运行经费定额标准为6500元/100㎡.年，经明确成本定额标准后，2023年预算安排大楼运行维护费资金对比2022年实际支出压减618万元。对“网络线路租金”进行成本绩效分析后，所有线路如全部按制定的支出标准执行，125个单位的9334条网络线路每年共可减少网络租金支出314.18万元，能有效节省财政支出，提高财政资金使用效益。</w:t>
      </w:r>
    </w:p>
    <w:p>
      <w:pPr>
        <w:pStyle w:val="57"/>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黑体" w:hAnsi="黑体" w:eastAsia="黑体" w:cs="仿宋_GB2312"/>
          <w:color w:val="auto"/>
          <w:spacing w:val="0"/>
          <w:kern w:val="2"/>
          <w:sz w:val="32"/>
          <w:szCs w:val="32"/>
          <w:lang w:val="en-US" w:eastAsia="zh-CN" w:bidi="ar-SA"/>
        </w:rPr>
        <w:t>八、继续试点乡镇财政综合运行绩效评价。</w:t>
      </w:r>
      <w:r>
        <w:rPr>
          <w:rFonts w:hint="eastAsia" w:ascii="Times New Roman" w:hAnsi="Times New Roman" w:eastAsia="仿宋_GB2312" w:cs="Times New Roman"/>
          <w:color w:val="auto"/>
          <w:spacing w:val="0"/>
          <w:kern w:val="2"/>
          <w:sz w:val="32"/>
          <w:szCs w:val="32"/>
          <w:lang w:val="en-US" w:eastAsia="zh-CN" w:bidi="ar-SA"/>
        </w:rPr>
        <w:t>选择文登营镇、宋村镇政府开展财政运行综合绩效评价，将镇级政府收支预算纳入绩效管理，全面分析镇级财政运行状况，增强财政运行的可持续性。在山东省财政学会举办的关于“深入学习贯彻党的二十大精神加快推动山东财政改革发展”主题征文评选中，文登区财政局报送的《乡镇财政运行综合绩效评价指标体系建设探索——以威海市文登区葛家镇为例》，获得一等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pacing w:val="0"/>
          <w:kern w:val="2"/>
          <w:sz w:val="32"/>
          <w:szCs w:val="32"/>
          <w:lang w:val="en-US" w:eastAsia="zh-CN" w:bidi="ar-SA"/>
        </w:rPr>
      </w:pPr>
    </w:p>
    <w:p>
      <w:pPr>
        <w:pStyle w:val="57"/>
        <w:spacing w:after="0" w:line="560" w:lineRule="exact"/>
        <w:ind w:firstLine="643"/>
        <w:rPr>
          <w:rFonts w:hint="default" w:ascii="仿宋_GB2312" w:hAnsi="仿宋_GB2312" w:eastAsia="仿宋_GB2312" w:cs="仿宋_GB2312"/>
          <w:sz w:val="24"/>
          <w:szCs w:val="24"/>
          <w:highlight w:val="none"/>
          <w:lang w:val="en-US" w:eastAsia="zh-CN"/>
        </w:rPr>
      </w:pPr>
    </w:p>
    <w:sectPr>
      <w:headerReference r:id="rId23" w:type="default"/>
      <w:footerReference r:id="rId2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spacing w:line="240" w:lineRule="auto"/>
                            <w:ind w:firstLine="360" w:firstLineChars="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10"/>
                      <w:spacing w:line="240" w:lineRule="auto"/>
                      <w:ind w:firstLine="360" w:firstLineChars="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ind w:firstLine="360" w:firstLineChars="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s>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12" name="文本框 3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txbx>
                      <w:txbxContent>
                        <w:p>
                          <w:pPr>
                            <w:pStyle w:val="10"/>
                            <w:rPr>
                              <w:rFonts w:ascii="Times New Roman" w:hAnsi="Times New Roman" w:eastAsiaTheme="minorEastAsia"/>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xbxContent>
                    </wps:txbx>
                    <wps:bodyPr wrap="none" lIns="0" tIns="0" rIns="0" bIns="0" upright="1">
                      <a:spAutoFit/>
                    </wps:bodyPr>
                  </wps:wsp>
                </a:graphicData>
              </a:graphic>
            </wp:anchor>
          </w:drawing>
        </mc:Choice>
        <mc:Fallback>
          <w:pict>
            <v:shape id="文本框 35"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pdxhddIAAAADAQAADwAAAAAAAAABACAAAAAi&#10;AAAAZHJzL2Rvd25yZXYueG1sUEsBAhQAFAAAAAgAh07iQMt5fanXAQAAogMAAA4AAAAAAAAAAQAg&#10;AAAAIQEAAGRycy9lMm9Eb2MueG1sUEsFBgAAAAAGAAYAWQEAAGoFAAAAAA==&#10;">
              <v:fill on="f" focussize="0,0"/>
              <v:stroke on="f" weight="0.5pt"/>
              <v:imagedata o:title=""/>
              <o:lock v:ext="edit" aspectratio="f"/>
              <v:textbox inset="0mm,0mm,0mm,0mm" style="mso-fit-shape-to-text:t;">
                <w:txbxContent>
                  <w:p>
                    <w:pPr>
                      <w:pStyle w:val="10"/>
                      <w:rPr>
                        <w:rFonts w:ascii="Times New Roman" w:hAnsi="Times New Roman" w:eastAsiaTheme="minorEastAsia"/>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xbxContent>
              </v:textbox>
            </v:shape>
          </w:pict>
        </mc:Fallback>
      </mc:AlternateContent>
    </w:r>
    <w:r>
      <w:rPr>
        <w:rFonts w:ascii="Times New Roman" w:hAnsi="Times New Roman" w:cs="Times New Roma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10"/>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43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43</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600" w:firstLine="0" w:firstLineChars="0"/>
      <w:rPr>
        <w:rFonts w:ascii="宋体" w:hAnsi="宋体" w:eastAsia="宋体" w:cs="宋体"/>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36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tabs>
        <w:tab w:val="center" w:pos="4156"/>
        <w:tab w:val="clear" w:pos="4153"/>
      </w:tabs>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firstLine="0" w:firstLineChars="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firstLine="0" w:firstLineChars="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8C2F"/>
    <w:multiLevelType w:val="singleLevel"/>
    <w:tmpl w:val="C21A8C2F"/>
    <w:lvl w:ilvl="0" w:tentative="0">
      <w:start w:val="1"/>
      <w:numFmt w:val="chineseCounting"/>
      <w:suff w:val="nothing"/>
      <w:lvlText w:val="%1、"/>
      <w:lvlJc w:val="left"/>
      <w:rPr>
        <w:rFonts w:hint="eastAsia"/>
      </w:rPr>
    </w:lvl>
  </w:abstractNum>
  <w:abstractNum w:abstractNumId="1">
    <w:nsid w:val="38E013F5"/>
    <w:multiLevelType w:val="singleLevel"/>
    <w:tmpl w:val="38E013F5"/>
    <w:lvl w:ilvl="0" w:tentative="0">
      <w:start w:val="1"/>
      <w:numFmt w:val="chineseCounting"/>
      <w:suff w:val="nothing"/>
      <w:lvlText w:val="%1、"/>
      <w:lvlJc w:val="left"/>
      <w:rPr>
        <w:rFonts w:hint="eastAsia"/>
      </w:rPr>
    </w:lvl>
  </w:abstractNum>
  <w:abstractNum w:abstractNumId="2">
    <w:nsid w:val="3CBD588F"/>
    <w:multiLevelType w:val="singleLevel"/>
    <w:tmpl w:val="3CBD588F"/>
    <w:lvl w:ilvl="0" w:tentative="0">
      <w:start w:val="2"/>
      <w:numFmt w:val="decimal"/>
      <w:lvlText w:val="%1."/>
      <w:lvlJc w:val="left"/>
      <w:pPr>
        <w:tabs>
          <w:tab w:val="left" w:pos="312"/>
        </w:tabs>
      </w:pPr>
    </w:lvl>
  </w:abstractNum>
  <w:abstractNum w:abstractNumId="3">
    <w:nsid w:val="610671B8"/>
    <w:multiLevelType w:val="multilevel"/>
    <w:tmpl w:val="610671B8"/>
    <w:lvl w:ilvl="0" w:tentative="0">
      <w:start w:val="1"/>
      <w:numFmt w:val="chineseCountingThousand"/>
      <w:suff w:val="nothing"/>
      <w:lvlText w:val="%1、"/>
      <w:lvlJc w:val="left"/>
      <w:pPr>
        <w:ind w:left="3969" w:firstLine="0"/>
      </w:pPr>
      <w:rPr>
        <w:rFonts w:hint="eastAsia"/>
        <w:b/>
        <w:i w:val="0"/>
      </w:rPr>
    </w:lvl>
    <w:lvl w:ilvl="1" w:tentative="0">
      <w:start w:val="1"/>
      <w:numFmt w:val="chineseCountingThousand"/>
      <w:suff w:val="nothing"/>
      <w:lvlText w:val="（%2）"/>
      <w:lvlJc w:val="left"/>
      <w:pPr>
        <w:ind w:left="425" w:firstLine="0"/>
      </w:pPr>
      <w:rPr>
        <w:rFonts w:hint="default" w:ascii="Times New Roman" w:hAnsi="Times New Roman" w:cs="Times New Roman"/>
        <w:b/>
        <w:bCs w:val="0"/>
        <w:i w:val="0"/>
        <w:iCs w:val="0"/>
        <w:caps w:val="0"/>
        <w:smallCaps w:val="0"/>
        <w:strike w:val="0"/>
        <w:dstrike w:val="0"/>
        <w:vanish w:val="0"/>
        <w:spacing w:val="0"/>
        <w:kern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5"/>
      <w:suff w:val="nothing"/>
      <w:lvlText w:val="%3. "/>
      <w:lvlJc w:val="left"/>
      <w:pPr>
        <w:ind w:left="992" w:hanging="567"/>
      </w:pPr>
      <w:rPr>
        <w:rFonts w:hint="eastAsia"/>
      </w:rPr>
    </w:lvl>
    <w:lvl w:ilvl="3" w:tentative="0">
      <w:start w:val="1"/>
      <w:numFmt w:val="decimal"/>
      <w:suff w:val="nothing"/>
      <w:lvlText w:val="（%4）"/>
      <w:lvlJc w:val="left"/>
      <w:pPr>
        <w:ind w:left="992" w:hanging="425"/>
      </w:pPr>
      <w:rPr>
        <w:rFonts w:hint="eastAsia"/>
      </w:rPr>
    </w:lvl>
    <w:lvl w:ilvl="4" w:tentative="0">
      <w:start w:val="1"/>
      <w:numFmt w:val="decimal"/>
      <w:suff w:val="nothing"/>
      <w:lvlText w:val="%5）"/>
      <w:lvlJc w:val="left"/>
      <w:pPr>
        <w:ind w:left="992" w:hanging="113"/>
      </w:pPr>
      <w:rPr>
        <w:rFonts w:hint="eastAsia"/>
      </w:rPr>
    </w:lvl>
    <w:lvl w:ilvl="5" w:tentative="0">
      <w:start w:val="1"/>
      <w:numFmt w:val="decimal"/>
      <w:pStyle w:val="43"/>
      <w:suff w:val="nothing"/>
      <w:lvlText w:val="附件%6 "/>
      <w:lvlJc w:val="left"/>
      <w:pPr>
        <w:ind w:left="0" w:firstLine="0"/>
      </w:pPr>
      <w:rPr>
        <w:rFonts w:hint="eastAsia"/>
      </w:rPr>
    </w:lvl>
    <w:lvl w:ilvl="6" w:tentative="0">
      <w:start w:val="1"/>
      <w:numFmt w:val="chineseCountingThousand"/>
      <w:suff w:val="nothing"/>
      <w:lvlText w:val="%7、"/>
      <w:lvlJc w:val="left"/>
      <w:pPr>
        <w:ind w:left="992" w:hanging="567"/>
      </w:pPr>
      <w:rPr>
        <w:rFonts w:hint="eastAsia"/>
      </w:rPr>
    </w:lvl>
    <w:lvl w:ilvl="7" w:tentative="0">
      <w:start w:val="1"/>
      <w:numFmt w:val="chineseCountingThousand"/>
      <w:suff w:val="nothing"/>
      <w:lvlText w:val="（%8）"/>
      <w:lvlJc w:val="left"/>
      <w:pPr>
        <w:ind w:left="992" w:hanging="567"/>
      </w:pPr>
      <w:rPr>
        <w:rFonts w:hint="eastAsia"/>
      </w:rPr>
    </w:lvl>
    <w:lvl w:ilvl="8" w:tentative="0">
      <w:start w:val="1"/>
      <w:numFmt w:val="decimal"/>
      <w:suff w:val="nothing"/>
      <w:lvlText w:val="%9. "/>
      <w:lvlJc w:val="left"/>
      <w:pPr>
        <w:ind w:left="992" w:hanging="567"/>
      </w:pPr>
      <w:rPr>
        <w:rFonts w:hint="eastAsia"/>
      </w:rPr>
    </w:lvl>
  </w:abstractNum>
  <w:abstractNum w:abstractNumId="4">
    <w:nsid w:val="6A21A100"/>
    <w:multiLevelType w:val="singleLevel"/>
    <w:tmpl w:val="6A21A100"/>
    <w:lvl w:ilvl="0" w:tentative="0">
      <w:start w:val="2"/>
      <w:numFmt w:val="chineseCounting"/>
      <w:suff w:val="nothing"/>
      <w:lvlText w:val="%1、"/>
      <w:lvlJc w:val="left"/>
      <w:rPr>
        <w:rFonts w:hint="eastAsia"/>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1MjY0N2JlMDcyOTc5MGZmMjU5MWFkYzNmOTdmMGEifQ=="/>
    <w:docVar w:name="KSO_WPS_MARK_KEY" w:val="fe84a7e4-241e-4197-bed2-78e970f951bb"/>
  </w:docVars>
  <w:rsids>
    <w:rsidRoot w:val="79D00A66"/>
    <w:rsid w:val="04BA3565"/>
    <w:rsid w:val="063B2B4D"/>
    <w:rsid w:val="06DE32DA"/>
    <w:rsid w:val="07E64886"/>
    <w:rsid w:val="0F696B20"/>
    <w:rsid w:val="0FF24D67"/>
    <w:rsid w:val="10040085"/>
    <w:rsid w:val="1055163A"/>
    <w:rsid w:val="11744B2C"/>
    <w:rsid w:val="12C21534"/>
    <w:rsid w:val="13F27FF8"/>
    <w:rsid w:val="14445DAD"/>
    <w:rsid w:val="16247C45"/>
    <w:rsid w:val="162C6AF9"/>
    <w:rsid w:val="17F25957"/>
    <w:rsid w:val="1AE6371B"/>
    <w:rsid w:val="208A0FEC"/>
    <w:rsid w:val="20C932CD"/>
    <w:rsid w:val="211C2557"/>
    <w:rsid w:val="21D15060"/>
    <w:rsid w:val="228026A7"/>
    <w:rsid w:val="23D866EE"/>
    <w:rsid w:val="27C26BE0"/>
    <w:rsid w:val="2CC34063"/>
    <w:rsid w:val="2CFF39EA"/>
    <w:rsid w:val="2F462582"/>
    <w:rsid w:val="30BA5B1E"/>
    <w:rsid w:val="339C380E"/>
    <w:rsid w:val="344828F8"/>
    <w:rsid w:val="36F34D9D"/>
    <w:rsid w:val="37E90A73"/>
    <w:rsid w:val="38AD71CE"/>
    <w:rsid w:val="3C314FB9"/>
    <w:rsid w:val="3C486C5E"/>
    <w:rsid w:val="41014921"/>
    <w:rsid w:val="417C1E33"/>
    <w:rsid w:val="41D668C2"/>
    <w:rsid w:val="42775BE0"/>
    <w:rsid w:val="42BC2E2F"/>
    <w:rsid w:val="45B807DB"/>
    <w:rsid w:val="49956188"/>
    <w:rsid w:val="4B3F391B"/>
    <w:rsid w:val="4D6E4C0D"/>
    <w:rsid w:val="4DFC4C28"/>
    <w:rsid w:val="51FF6894"/>
    <w:rsid w:val="57230E23"/>
    <w:rsid w:val="5AC95C92"/>
    <w:rsid w:val="5B054A3B"/>
    <w:rsid w:val="5EB34C8F"/>
    <w:rsid w:val="5EBA426F"/>
    <w:rsid w:val="5F71563F"/>
    <w:rsid w:val="5FEA0785"/>
    <w:rsid w:val="61E70875"/>
    <w:rsid w:val="6252456C"/>
    <w:rsid w:val="62745086"/>
    <w:rsid w:val="640B615E"/>
    <w:rsid w:val="64A53FA6"/>
    <w:rsid w:val="6582360D"/>
    <w:rsid w:val="66EF76BF"/>
    <w:rsid w:val="69476AFE"/>
    <w:rsid w:val="6C375151"/>
    <w:rsid w:val="6CDA3D2E"/>
    <w:rsid w:val="6F063E1D"/>
    <w:rsid w:val="717F4379"/>
    <w:rsid w:val="72514A93"/>
    <w:rsid w:val="72FF004B"/>
    <w:rsid w:val="767C47E8"/>
    <w:rsid w:val="791F1447"/>
    <w:rsid w:val="79D00A66"/>
    <w:rsid w:val="7B7315D6"/>
    <w:rsid w:val="7CD74885"/>
    <w:rsid w:val="7D9618AD"/>
    <w:rsid w:val="7E3F6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2"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_GB2312" w:asciiTheme="minorHAnsi" w:hAnsiTheme="minorHAnsi" w:eastAsiaTheme="minorEastAsia"/>
      <w:color w:val="auto"/>
      <w:kern w:val="2"/>
      <w:sz w:val="32"/>
      <w:szCs w:val="32"/>
      <w:lang w:val="en-US" w:eastAsia="zh-CN" w:bidi="ar-SA"/>
    </w:rPr>
  </w:style>
  <w:style w:type="paragraph" w:styleId="3">
    <w:name w:val="heading 1"/>
    <w:basedOn w:val="1"/>
    <w:next w:val="1"/>
    <w:qFormat/>
    <w:uiPriority w:val="9"/>
    <w:pPr>
      <w:keepNext/>
      <w:keepLines/>
      <w:ind w:firstLine="200" w:firstLineChars="200"/>
      <w:outlineLvl w:val="0"/>
    </w:pPr>
    <w:rPr>
      <w:rFonts w:eastAsia="黑体"/>
      <w:bCs/>
      <w:kern w:val="44"/>
      <w:szCs w:val="44"/>
    </w:rPr>
  </w:style>
  <w:style w:type="paragraph" w:styleId="4">
    <w:name w:val="heading 2"/>
    <w:basedOn w:val="1"/>
    <w:next w:val="1"/>
    <w:unhideWhenUsed/>
    <w:qFormat/>
    <w:uiPriority w:val="9"/>
    <w:pPr>
      <w:keepNext/>
      <w:keepLines/>
      <w:ind w:firstLine="200" w:firstLineChars="200"/>
      <w:outlineLvl w:val="1"/>
    </w:pPr>
    <w:rPr>
      <w:rFonts w:eastAsia="楷体_GB2312" w:asciiTheme="majorHAnsi" w:hAnsiTheme="majorHAnsi" w:cstheme="majorBidi"/>
      <w:bCs/>
      <w:szCs w:val="32"/>
    </w:rPr>
  </w:style>
  <w:style w:type="paragraph" w:styleId="5">
    <w:name w:val="heading 3"/>
    <w:basedOn w:val="1"/>
    <w:next w:val="1"/>
    <w:qFormat/>
    <w:uiPriority w:val="2"/>
    <w:pPr>
      <w:keepNext/>
      <w:keepLines/>
      <w:widowControl w:val="0"/>
      <w:numPr>
        <w:ilvl w:val="2"/>
        <w:numId w:val="1"/>
      </w:numPr>
      <w:spacing w:before="120" w:after="60" w:line="500" w:lineRule="exact"/>
      <w:ind w:left="992" w:firstLine="0" w:firstLineChars="0"/>
      <w:jc w:val="both"/>
      <w:outlineLvl w:val="2"/>
    </w:pPr>
    <w:rPr>
      <w:rFonts w:ascii="Times New Roman" w:hAnsi="Times New Roman" w:eastAsia="仿宋_GB2312" w:cs="Times New Roman"/>
      <w:b/>
      <w:bCs/>
      <w:kern w:val="0"/>
      <w:sz w:val="28"/>
      <w:szCs w:val="32"/>
      <w:lang w:val="en-US" w:eastAsia="zh-CN" w:bidi="ar-SA"/>
    </w:rPr>
  </w:style>
  <w:style w:type="paragraph" w:styleId="6">
    <w:name w:val="heading 4"/>
    <w:basedOn w:val="1"/>
    <w:next w:val="1"/>
    <w:unhideWhenUsed/>
    <w:qFormat/>
    <w:uiPriority w:val="9"/>
    <w:pPr>
      <w:keepNext/>
      <w:keepLines/>
      <w:spacing w:line="560" w:lineRule="exact"/>
      <w:ind w:firstLine="200" w:firstLineChars="200"/>
      <w:jc w:val="left"/>
      <w:outlineLvl w:val="3"/>
    </w:pPr>
    <w:rPr>
      <w:rFonts w:eastAsia="楷体_GB2312" w:asciiTheme="majorHAnsi" w:hAnsiTheme="majorHAnsi" w:cstheme="majorBidi"/>
      <w:bCs/>
      <w:szCs w:val="28"/>
    </w:rPr>
  </w:style>
  <w:style w:type="character" w:default="1" w:styleId="22">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7">
    <w:name w:val="Body Text"/>
    <w:basedOn w:val="1"/>
    <w:next w:val="8"/>
    <w:qFormat/>
    <w:uiPriority w:val="1"/>
    <w:pPr>
      <w:autoSpaceDE w:val="0"/>
      <w:autoSpaceDN w:val="0"/>
      <w:spacing w:before="190"/>
      <w:ind w:left="1333"/>
      <w:jc w:val="left"/>
    </w:pPr>
    <w:rPr>
      <w:rFonts w:eastAsia="宋体"/>
      <w:kern w:val="0"/>
      <w:szCs w:val="32"/>
      <w:lang w:val="zh-CN" w:bidi="zh-CN"/>
    </w:rPr>
  </w:style>
  <w:style w:type="paragraph" w:styleId="8">
    <w:name w:val="Body Text First Indent"/>
    <w:basedOn w:val="7"/>
    <w:qFormat/>
    <w:uiPriority w:val="99"/>
    <w:pPr>
      <w:spacing w:line="360" w:lineRule="auto"/>
      <w:ind w:firstLine="420" w:firstLineChars="100"/>
    </w:pPr>
    <w:rPr>
      <w:rFonts w:ascii="Times New Roman" w:hAnsi="Times New Roman" w:cs="Times New Roman"/>
      <w:sz w:val="24"/>
    </w:rPr>
  </w:style>
  <w:style w:type="paragraph" w:styleId="9">
    <w:name w:val="Body Text Indent"/>
    <w:basedOn w:val="1"/>
    <w:next w:val="1"/>
    <w:qFormat/>
    <w:uiPriority w:val="0"/>
    <w:pPr>
      <w:spacing w:after="120"/>
      <w:ind w:left="420" w:leftChars="200"/>
    </w:pPr>
  </w:style>
  <w:style w:type="paragraph" w:styleId="10">
    <w:name w:val="footer"/>
    <w:basedOn w:val="1"/>
    <w:qFormat/>
    <w:uiPriority w:val="99"/>
    <w:pPr>
      <w:tabs>
        <w:tab w:val="center" w:pos="4153"/>
        <w:tab w:val="right" w:pos="8306"/>
      </w:tabs>
      <w:snapToGrid w:val="0"/>
      <w:spacing w:line="240" w:lineRule="atLeas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2">
    <w:name w:val="Subtitle"/>
    <w:basedOn w:val="1"/>
    <w:next w:val="1"/>
    <w:link w:val="58"/>
    <w:qFormat/>
    <w:uiPriority w:val="11"/>
    <w:pPr>
      <w:widowControl/>
      <w:spacing w:after="120" w:line="276" w:lineRule="auto"/>
      <w:jc w:val="left"/>
    </w:pPr>
    <w:rPr>
      <w:rFonts w:asciiTheme="majorHAnsi" w:hAnsiTheme="majorHAnsi" w:eastAsiaTheme="majorEastAsia" w:cstheme="majorBidi"/>
      <w:i/>
      <w:iCs/>
      <w:color w:val="5B9BD5" w:themeColor="accent1"/>
      <w:spacing w:val="15"/>
      <w:kern w:val="0"/>
      <w:sz w:val="24"/>
      <w:szCs w:val="24"/>
      <w14:textFill>
        <w14:solidFill>
          <w14:schemeClr w14:val="accent1"/>
        </w14:solidFill>
      </w14:textFill>
    </w:rPr>
  </w:style>
  <w:style w:type="paragraph" w:styleId="13">
    <w:name w:val="footnote text"/>
    <w:qFormat/>
    <w:uiPriority w:val="0"/>
    <w:pPr>
      <w:widowControl w:val="0"/>
      <w:snapToGrid w:val="0"/>
      <w:jc w:val="left"/>
    </w:pPr>
    <w:rPr>
      <w:rFonts w:ascii="Times New Roman" w:hAnsi="Times New Roman" w:eastAsia="仿宋_GB2312" w:cs="Times New Roman"/>
      <w:kern w:val="2"/>
      <w:sz w:val="18"/>
      <w:szCs w:val="18"/>
      <w:lang w:val="en-US" w:eastAsia="zh-CN" w:bidi="ar-SA"/>
    </w:rPr>
  </w:style>
  <w:style w:type="paragraph" w:styleId="14">
    <w:name w:val="toc 2"/>
    <w:basedOn w:val="1"/>
    <w:next w:val="15"/>
    <w:unhideWhenUsed/>
    <w:qFormat/>
    <w:uiPriority w:val="39"/>
  </w:style>
  <w:style w:type="paragraph" w:customStyle="1" w:styleId="15">
    <w:name w:val="闻政正文"/>
    <w:link w:val="42"/>
    <w:qFormat/>
    <w:uiPriority w:val="3"/>
    <w:pPr>
      <w:widowControl w:val="0"/>
      <w:spacing w:line="500" w:lineRule="exact"/>
      <w:ind w:firstLine="200" w:firstLineChars="200"/>
      <w:jc w:val="both"/>
    </w:pPr>
    <w:rPr>
      <w:rFonts w:ascii="Times New Roman" w:hAnsi="Times New Roman" w:eastAsia="仿宋_GB2312" w:cs="Times New Roman"/>
      <w:kern w:val="0"/>
      <w:sz w:val="28"/>
      <w:szCs w:val="28"/>
      <w:lang w:val="en-US" w:eastAsia="zh-CN" w:bidi="ar-SA"/>
    </w:rPr>
  </w:style>
  <w:style w:type="paragraph" w:styleId="16">
    <w:name w:val="Normal (Web)"/>
    <w:basedOn w:val="1"/>
    <w:qFormat/>
    <w:uiPriority w:val="0"/>
    <w:pPr>
      <w:widowControl w:val="0"/>
      <w:spacing w:before="100" w:beforeAutospacing="1" w:after="100" w:afterAutospacing="1" w:line="580" w:lineRule="exact"/>
      <w:ind w:left="0" w:right="0" w:firstLine="640" w:firstLineChars="200"/>
      <w:jc w:val="left"/>
    </w:pPr>
    <w:rPr>
      <w:rFonts w:ascii="仿宋_GB2312" w:hAnsi="Calibri" w:eastAsia="仿宋_GB2312" w:cs="Times New Roman"/>
      <w:kern w:val="0"/>
      <w:sz w:val="24"/>
      <w:szCs w:val="21"/>
      <w:lang w:val="en-US" w:eastAsia="zh-CN" w:bidi="ar"/>
    </w:rPr>
  </w:style>
  <w:style w:type="paragraph" w:styleId="17">
    <w:name w:val="Title"/>
    <w:basedOn w:val="1"/>
    <w:next w:val="1"/>
    <w:qFormat/>
    <w:uiPriority w:val="10"/>
    <w:pPr>
      <w:jc w:val="center"/>
      <w:outlineLvl w:val="0"/>
    </w:pPr>
    <w:rPr>
      <w:rFonts w:eastAsia="方正小标宋简体" w:asciiTheme="majorHAnsi" w:hAnsiTheme="majorHAnsi" w:cstheme="majorBidi"/>
      <w:bCs/>
      <w:sz w:val="44"/>
      <w:szCs w:val="32"/>
    </w:rPr>
  </w:style>
  <w:style w:type="paragraph" w:styleId="18">
    <w:name w:val="Body Text First Indent 2"/>
    <w:basedOn w:val="9"/>
    <w:next w:val="8"/>
    <w:qFormat/>
    <w:uiPriority w:val="0"/>
    <w:pPr>
      <w:widowControl/>
      <w:adjustRightInd w:val="0"/>
      <w:snapToGrid w:val="0"/>
      <w:spacing w:line="360" w:lineRule="auto"/>
      <w:ind w:firstLine="420"/>
      <w:jc w:val="left"/>
    </w:pPr>
    <w:rPr>
      <w:rFonts w:cs="Times New Roman"/>
      <w:kern w:val="0"/>
      <w:sz w:val="30"/>
    </w:rPr>
  </w:style>
  <w:style w:type="table" w:styleId="20">
    <w:name w:val="Table Grid"/>
    <w:qFormat/>
    <w:uiPriority w:val="39"/>
    <w:pPr>
      <w:spacing w:line="300" w:lineRule="exact"/>
      <w:jc w:val="center"/>
    </w:pPr>
    <w:rPr>
      <w:rFonts w:ascii="Times New Roman" w:hAnsi="Times New Roman" w:eastAsia="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blHeader/>
    </w:trPr>
    <w:tcPr>
      <w:vAlign w:val="center"/>
    </w:tcPr>
  </w:style>
  <w:style w:type="table" w:styleId="21">
    <w:name w:val="Medium Shading 1 Accent 1"/>
    <w:basedOn w:val="19"/>
    <w:qFormat/>
    <w:uiPriority w:val="63"/>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shd w:val="clear" w:color="auto" w:fill="5B9BD5" w:themeFill="accent1"/>
      </w:tcPr>
    </w:tblStylePr>
    <w:tblStylePr w:type="lastRow">
      <w:pPr>
        <w:spacing w:before="0" w:after="0" w:line="240" w:lineRule="auto"/>
      </w:pPr>
      <w:rPr>
        <w:b/>
        <w:bCs/>
      </w:rPr>
      <w:tblPr/>
      <w:tcPr>
        <w:tcBorders>
          <w:top w:val="double" w:color="84B4DF" w:themeColor="accent1" w:themeTint="BF" w:sz="6"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character" w:styleId="23">
    <w:name w:val="Emphasis"/>
    <w:qFormat/>
    <w:uiPriority w:val="20"/>
    <w:rPr>
      <w:color w:val="CC0000"/>
    </w:rPr>
  </w:style>
  <w:style w:type="character" w:styleId="24">
    <w:name w:val="Hyperlink"/>
    <w:basedOn w:val="22"/>
    <w:unhideWhenUsed/>
    <w:qFormat/>
    <w:uiPriority w:val="99"/>
    <w:rPr>
      <w:color w:val="0000FF"/>
      <w:u w:val="single"/>
    </w:rPr>
  </w:style>
  <w:style w:type="character" w:styleId="25">
    <w:name w:val="annotation reference"/>
    <w:unhideWhenUsed/>
    <w:qFormat/>
    <w:uiPriority w:val="99"/>
    <w:rPr>
      <w:sz w:val="21"/>
      <w:szCs w:val="21"/>
    </w:rPr>
  </w:style>
  <w:style w:type="character" w:styleId="26">
    <w:name w:val="footnote reference"/>
    <w:qFormat/>
    <w:uiPriority w:val="0"/>
    <w:rPr>
      <w:vertAlign w:val="superscript"/>
    </w:rPr>
  </w:style>
  <w:style w:type="paragraph" w:customStyle="1" w:styleId="27">
    <w:name w:val="纯文本1"/>
    <w:basedOn w:val="1"/>
    <w:qFormat/>
    <w:uiPriority w:val="0"/>
    <w:pPr>
      <w:adjustRightInd w:val="0"/>
      <w:textAlignment w:val="baseline"/>
    </w:pPr>
    <w:rPr>
      <w:rFonts w:ascii="宋体" w:hAnsi="Courier New" w:eastAsia="仿宋_GB2312" w:cs="Times New Roman"/>
      <w:sz w:val="32"/>
      <w:szCs w:val="20"/>
    </w:rPr>
  </w:style>
  <w:style w:type="character" w:customStyle="1" w:styleId="28">
    <w:name w:val="font01"/>
    <w:basedOn w:val="22"/>
    <w:qFormat/>
    <w:uiPriority w:val="0"/>
    <w:rPr>
      <w:rFonts w:hint="eastAsia" w:ascii="宋体" w:hAnsi="宋体" w:eastAsia="宋体" w:cs="宋体"/>
      <w:color w:val="000000"/>
      <w:sz w:val="24"/>
      <w:szCs w:val="24"/>
      <w:u w:val="none"/>
    </w:rPr>
  </w:style>
  <w:style w:type="character" w:customStyle="1" w:styleId="29">
    <w:name w:val="font61"/>
    <w:basedOn w:val="22"/>
    <w:qFormat/>
    <w:uiPriority w:val="0"/>
    <w:rPr>
      <w:rFonts w:hint="eastAsia" w:ascii="宋体" w:hAnsi="宋体" w:eastAsia="宋体" w:cs="宋体"/>
      <w:color w:val="000000"/>
      <w:sz w:val="20"/>
      <w:szCs w:val="20"/>
      <w:u w:val="none"/>
    </w:rPr>
  </w:style>
  <w:style w:type="character" w:customStyle="1" w:styleId="30">
    <w:name w:val="font51"/>
    <w:basedOn w:val="22"/>
    <w:qFormat/>
    <w:uiPriority w:val="0"/>
    <w:rPr>
      <w:rFonts w:hint="eastAsia" w:ascii="宋体" w:hAnsi="宋体" w:eastAsia="宋体" w:cs="宋体"/>
      <w:color w:val="000000"/>
      <w:sz w:val="20"/>
      <w:szCs w:val="20"/>
      <w:u w:val="none"/>
    </w:rPr>
  </w:style>
  <w:style w:type="paragraph" w:styleId="31">
    <w:name w:val="No Spacing"/>
    <w:qFormat/>
    <w:uiPriority w:val="1"/>
    <w:pPr>
      <w:widowControl w:val="0"/>
      <w:jc w:val="both"/>
    </w:pPr>
    <w:rPr>
      <w:rFonts w:ascii="Calibri" w:hAnsi="Calibri" w:eastAsia="仿宋_GB2312" w:cs="Times New Roman"/>
      <w:kern w:val="2"/>
      <w:sz w:val="21"/>
      <w:szCs w:val="22"/>
      <w:lang w:val="en-US" w:eastAsia="zh-CN" w:bidi="ar-SA"/>
    </w:rPr>
  </w:style>
  <w:style w:type="paragraph" w:customStyle="1" w:styleId="32">
    <w:name w:val="样式 (中文) 仿宋_GB2312 三号"/>
    <w:qFormat/>
    <w:uiPriority w:val="0"/>
    <w:pPr>
      <w:widowControl w:val="0"/>
      <w:spacing w:before="50" w:after="50" w:line="560" w:lineRule="exact"/>
      <w:ind w:firstLine="600" w:firstLineChars="200"/>
    </w:pPr>
    <w:rPr>
      <w:rFonts w:ascii="仿宋_GB2312" w:hAnsi="宋体" w:eastAsia="仿宋_GB2312" w:cs="Times New Roman"/>
      <w:bCs/>
      <w:color w:val="000000"/>
      <w:kern w:val="2"/>
      <w:sz w:val="30"/>
      <w:szCs w:val="28"/>
      <w:lang w:val="en-US" w:eastAsia="zh-CN" w:bidi="ar-SA"/>
    </w:rPr>
  </w:style>
  <w:style w:type="paragraph" w:customStyle="1" w:styleId="33">
    <w:name w:val="闻政页码"/>
    <w:qFormat/>
    <w:uiPriority w:val="6"/>
    <w:pPr>
      <w:jc w:val="center"/>
    </w:pPr>
    <w:rPr>
      <w:rFonts w:ascii="Times New Roman" w:hAnsi="Times New Roman" w:eastAsia="Times New Roman" w:cs="Times New Roman"/>
      <w:sz w:val="21"/>
      <w:szCs w:val="28"/>
      <w:lang w:val="en-US" w:eastAsia="zh-CN" w:bidi="ar-SA"/>
    </w:rPr>
  </w:style>
  <w:style w:type="paragraph" w:customStyle="1" w:styleId="34">
    <w:name w:val="闻政封面项目信息"/>
    <w:next w:val="35"/>
    <w:qFormat/>
    <w:uiPriority w:val="0"/>
    <w:pPr>
      <w:widowControl w:val="0"/>
      <w:spacing w:before="120"/>
      <w:ind w:left="800" w:leftChars="800"/>
      <w:jc w:val="left"/>
    </w:pPr>
    <w:rPr>
      <w:rFonts w:ascii="Times New Roman" w:hAnsi="Times New Roman" w:eastAsia="黑体" w:cs="Times New Roman"/>
      <w:kern w:val="0"/>
      <w:sz w:val="28"/>
      <w:szCs w:val="28"/>
      <w:lang w:val="en-US" w:eastAsia="zh-CN" w:bidi="ar-SA"/>
    </w:rPr>
  </w:style>
  <w:style w:type="paragraph" w:customStyle="1" w:styleId="35">
    <w:name w:val="闻政封面完成时间"/>
    <w:qFormat/>
    <w:uiPriority w:val="0"/>
    <w:pPr>
      <w:widowControl w:val="0"/>
      <w:spacing w:before="120"/>
      <w:ind w:left="0" w:leftChars="0"/>
      <w:jc w:val="center"/>
    </w:pPr>
    <w:rPr>
      <w:rFonts w:ascii="Times New Roman" w:hAnsi="Times New Roman" w:eastAsia="黑体" w:cs="Times New Roman"/>
      <w:b/>
      <w:kern w:val="0"/>
      <w:sz w:val="28"/>
      <w:szCs w:val="28"/>
      <w:lang w:val="en-US" w:eastAsia="zh-CN" w:bidi="ar-SA"/>
    </w:rPr>
  </w:style>
  <w:style w:type="paragraph" w:customStyle="1" w:styleId="36">
    <w:name w:val="闻政摘要标题"/>
    <w:qFormat/>
    <w:uiPriority w:val="2"/>
    <w:pPr>
      <w:widowControl w:val="0"/>
      <w:spacing w:before="480" w:after="360"/>
      <w:jc w:val="center"/>
      <w:outlineLvl w:val="0"/>
    </w:pPr>
    <w:rPr>
      <w:rFonts w:ascii="Times New Roman" w:hAnsi="Times New Roman" w:eastAsia="黑体" w:cs="Times New Roman"/>
      <w:b/>
      <w:snapToGrid w:val="0"/>
      <w:kern w:val="2"/>
      <w:sz w:val="32"/>
      <w:szCs w:val="24"/>
      <w:lang w:val="en-US" w:eastAsia="zh-CN" w:bidi="ar-SA"/>
    </w:rPr>
  </w:style>
  <w:style w:type="paragraph" w:customStyle="1" w:styleId="37">
    <w:name w:val="正文-闻政"/>
    <w:link w:val="49"/>
    <w:qFormat/>
    <w:uiPriority w:val="0"/>
    <w:pPr>
      <w:spacing w:line="500" w:lineRule="exact"/>
      <w:ind w:firstLine="200" w:firstLineChars="200"/>
    </w:pPr>
    <w:rPr>
      <w:rFonts w:ascii="等线" w:hAnsi="等线" w:eastAsia="仿宋_GB2312" w:cs="Times New Roman"/>
      <w:kern w:val="2"/>
      <w:sz w:val="28"/>
      <w:szCs w:val="22"/>
      <w:lang w:val="en-US" w:eastAsia="zh-CN" w:bidi="ar-SA"/>
    </w:rPr>
  </w:style>
  <w:style w:type="paragraph" w:customStyle="1" w:styleId="38">
    <w:name w:val="闻政封面标题"/>
    <w:next w:val="34"/>
    <w:qFormat/>
    <w:uiPriority w:val="0"/>
    <w:pPr>
      <w:widowControl w:val="0"/>
      <w:spacing w:before="480" w:after="360"/>
      <w:jc w:val="center"/>
    </w:pPr>
    <w:rPr>
      <w:rFonts w:ascii="Times New Roman" w:hAnsi="Times New Roman" w:eastAsia="黑体" w:cs="Times New Roman"/>
      <w:b/>
      <w:snapToGrid w:val="0"/>
      <w:kern w:val="2"/>
      <w:sz w:val="32"/>
      <w:szCs w:val="24"/>
      <w:lang w:val="en-US" w:eastAsia="zh-CN" w:bidi="ar-SA"/>
    </w:rPr>
  </w:style>
  <w:style w:type="paragraph" w:customStyle="1" w:styleId="39">
    <w:name w:val="闻政表"/>
    <w:qFormat/>
    <w:uiPriority w:val="0"/>
    <w:pPr>
      <w:widowControl w:val="0"/>
      <w:spacing w:before="60" w:after="60"/>
      <w:jc w:val="center"/>
    </w:pPr>
    <w:rPr>
      <w:rFonts w:ascii="Times New Roman" w:hAnsi="Times New Roman" w:eastAsia="仿宋_GB2312" w:cs="Times New Roman"/>
      <w:b/>
      <w:kern w:val="2"/>
      <w:sz w:val="24"/>
      <w:szCs w:val="28"/>
      <w:lang w:val="en-US" w:eastAsia="zh-CN" w:bidi="ar-SA"/>
    </w:rPr>
  </w:style>
  <w:style w:type="character" w:customStyle="1" w:styleId="40">
    <w:name w:val="my正文 Char"/>
    <w:link w:val="41"/>
    <w:qFormat/>
    <w:uiPriority w:val="0"/>
    <w:rPr>
      <w:rFonts w:ascii="Times New Roman" w:hAnsi="Times New Roman" w:eastAsia="仿宋" w:cs="Times New Roman"/>
      <w:kern w:val="0"/>
      <w:sz w:val="28"/>
      <w:szCs w:val="24"/>
      <w:lang w:val="en-US" w:eastAsia="zh-CN" w:bidi="ar-SA"/>
    </w:rPr>
  </w:style>
  <w:style w:type="paragraph" w:customStyle="1" w:styleId="41">
    <w:name w:val="my正文"/>
    <w:link w:val="40"/>
    <w:qFormat/>
    <w:uiPriority w:val="0"/>
    <w:pPr>
      <w:widowControl w:val="0"/>
      <w:spacing w:line="360" w:lineRule="auto"/>
      <w:ind w:firstLine="496" w:firstLineChars="177"/>
      <w:jc w:val="both"/>
    </w:pPr>
    <w:rPr>
      <w:rFonts w:ascii="Times New Roman" w:hAnsi="Times New Roman" w:eastAsia="仿宋" w:cs="Times New Roman"/>
      <w:kern w:val="0"/>
      <w:sz w:val="28"/>
      <w:szCs w:val="24"/>
      <w:lang w:val="en-US" w:eastAsia="zh-CN" w:bidi="ar-SA"/>
    </w:rPr>
  </w:style>
  <w:style w:type="character" w:customStyle="1" w:styleId="42">
    <w:name w:val="闻政正文 Char"/>
    <w:link w:val="15"/>
    <w:qFormat/>
    <w:uiPriority w:val="3"/>
    <w:rPr>
      <w:rFonts w:ascii="Times New Roman" w:hAnsi="Times New Roman" w:eastAsia="仿宋_GB2312" w:cs="Times New Roman"/>
      <w:kern w:val="0"/>
      <w:sz w:val="28"/>
      <w:szCs w:val="28"/>
      <w:lang w:val="en-US" w:eastAsia="zh-CN" w:bidi="ar-SA"/>
    </w:rPr>
  </w:style>
  <w:style w:type="paragraph" w:customStyle="1" w:styleId="43">
    <w:name w:val="闻政附件标题"/>
    <w:qFormat/>
    <w:uiPriority w:val="5"/>
    <w:pPr>
      <w:widowControl w:val="0"/>
      <w:numPr>
        <w:ilvl w:val="5"/>
        <w:numId w:val="1"/>
      </w:numPr>
      <w:spacing w:before="120" w:after="60" w:line="240" w:lineRule="auto"/>
      <w:ind w:firstLine="200" w:firstLineChars="0"/>
      <w:jc w:val="both"/>
      <w:outlineLvl w:val="0"/>
    </w:pPr>
    <w:rPr>
      <w:rFonts w:ascii="Times New Roman" w:hAnsi="Times New Roman" w:eastAsia="黑体" w:cs="Times New Roman"/>
      <w:b/>
      <w:kern w:val="0"/>
      <w:sz w:val="32"/>
      <w:szCs w:val="28"/>
      <w:lang w:val="en-US" w:eastAsia="zh-CN" w:bidi="ar-SA"/>
    </w:rPr>
  </w:style>
  <w:style w:type="paragraph" w:customStyle="1" w:styleId="44">
    <w:name w:val="闻政表文字"/>
    <w:qFormat/>
    <w:uiPriority w:val="5"/>
    <w:pPr>
      <w:widowControl/>
      <w:pBdr>
        <w:between w:val="single" w:color="auto" w:sz="4" w:space="1"/>
      </w:pBdr>
      <w:spacing w:line="320" w:lineRule="exact"/>
      <w:ind w:firstLine="0" w:firstLineChars="0"/>
      <w:jc w:val="center"/>
    </w:pPr>
    <w:rPr>
      <w:rFonts w:ascii="Times New Roman" w:hAnsi="Times New Roman" w:eastAsia="宋体" w:cs="宋体"/>
      <w:bCs/>
      <w:color w:val="000000"/>
      <w:kern w:val="0"/>
      <w:sz w:val="22"/>
      <w:szCs w:val="22"/>
      <w:lang w:val="en-US" w:eastAsia="zh-CN" w:bidi="ar-SA"/>
    </w:rPr>
  </w:style>
  <w:style w:type="paragraph" w:customStyle="1" w:styleId="45">
    <w:name w:val="正文文本样式"/>
    <w:qFormat/>
    <w:uiPriority w:val="0"/>
    <w:pPr>
      <w:spacing w:line="360" w:lineRule="auto"/>
      <w:ind w:firstLine="480" w:firstLineChars="200"/>
    </w:pPr>
    <w:rPr>
      <w:rFonts w:ascii="Arial" w:hAnsi="Arial" w:eastAsia="宋体" w:cs="Times New Roman"/>
      <w:kern w:val="2"/>
      <w:sz w:val="24"/>
      <w:szCs w:val="22"/>
      <w:lang w:val="en-US" w:eastAsia="zh-CN" w:bidi="ar-SA"/>
    </w:rPr>
  </w:style>
  <w:style w:type="paragraph" w:customStyle="1" w:styleId="46">
    <w:name w:val="闻政附件一级标题"/>
    <w:next w:val="47"/>
    <w:qFormat/>
    <w:uiPriority w:val="7"/>
    <w:pPr>
      <w:widowControl w:val="0"/>
      <w:spacing w:before="120" w:after="60" w:line="500" w:lineRule="exact"/>
      <w:ind w:firstLine="0" w:firstLineChars="0"/>
      <w:jc w:val="left"/>
    </w:pPr>
    <w:rPr>
      <w:rFonts w:ascii="Times New Roman" w:hAnsi="Times New Roman" w:eastAsia="仿宋_GB2312" w:cs="宋体"/>
      <w:b/>
      <w:kern w:val="0"/>
      <w:sz w:val="28"/>
      <w:szCs w:val="28"/>
      <w:lang w:val="en-US" w:eastAsia="zh-CN" w:bidi="ar-SA"/>
    </w:rPr>
  </w:style>
  <w:style w:type="paragraph" w:customStyle="1" w:styleId="47">
    <w:name w:val="闻政附件正文"/>
    <w:qFormat/>
    <w:uiPriority w:val="99"/>
    <w:pPr>
      <w:widowControl w:val="0"/>
      <w:spacing w:line="500" w:lineRule="exact"/>
      <w:ind w:firstLine="200" w:firstLineChars="200"/>
      <w:jc w:val="both"/>
    </w:pPr>
    <w:rPr>
      <w:rFonts w:ascii="Times New Roman" w:hAnsi="Times New Roman" w:eastAsia="仿宋_GB2312" w:cs="Times New Roman"/>
      <w:kern w:val="0"/>
      <w:sz w:val="24"/>
      <w:szCs w:val="28"/>
      <w:lang w:val="en-US" w:eastAsia="zh-CN" w:bidi="ar-SA"/>
    </w:rPr>
  </w:style>
  <w:style w:type="paragraph" w:customStyle="1" w:styleId="48">
    <w:name w:val="闻政附件报告名"/>
    <w:qFormat/>
    <w:uiPriority w:val="9"/>
    <w:pPr>
      <w:widowControl w:val="0"/>
      <w:spacing w:before="120" w:after="60" w:line="500" w:lineRule="exact"/>
      <w:ind w:firstLine="0" w:firstLineChars="0"/>
      <w:jc w:val="center"/>
    </w:pPr>
    <w:rPr>
      <w:rFonts w:ascii="Times New Roman" w:hAnsi="Times New Roman" w:eastAsia="仿宋_GB2312" w:cs="Times New Roman"/>
      <w:b/>
      <w:kern w:val="0"/>
      <w:sz w:val="28"/>
      <w:szCs w:val="28"/>
      <w:lang w:val="en-US" w:eastAsia="zh-CN" w:bidi="ar-SA"/>
    </w:rPr>
  </w:style>
  <w:style w:type="character" w:customStyle="1" w:styleId="49">
    <w:name w:val="正文-闻政 Char"/>
    <w:link w:val="37"/>
    <w:qFormat/>
    <w:uiPriority w:val="0"/>
    <w:rPr>
      <w:rFonts w:ascii="等线" w:hAnsi="等线" w:eastAsia="仿宋_GB2312"/>
      <w:kern w:val="2"/>
      <w:sz w:val="28"/>
      <w:szCs w:val="22"/>
      <w:lang w:val="en-US" w:eastAsia="zh-CN" w:bidi="ar-SA"/>
    </w:rPr>
  </w:style>
  <w:style w:type="paragraph" w:customStyle="1" w:styleId="50">
    <w:name w:val="列出段落1"/>
    <w:qFormat/>
    <w:uiPriority w:val="34"/>
    <w:pPr>
      <w:widowControl w:val="0"/>
      <w:ind w:firstLine="420" w:firstLineChars="200"/>
      <w:jc w:val="both"/>
    </w:pPr>
    <w:rPr>
      <w:rFonts w:ascii="Calibri" w:hAnsi="Calibri" w:eastAsia="宋体" w:cs="Times New Roman"/>
      <w:kern w:val="0"/>
      <w:sz w:val="20"/>
      <w:szCs w:val="20"/>
      <w:lang w:val="en-US" w:eastAsia="zh-CN" w:bidi="ar-SA"/>
    </w:rPr>
  </w:style>
  <w:style w:type="paragraph" w:customStyle="1" w:styleId="51">
    <w:name w:val="正文首行缩进1"/>
    <w:qFormat/>
    <w:uiPriority w:val="0"/>
    <w:pPr>
      <w:spacing w:after="120"/>
      <w:ind w:firstLine="420"/>
    </w:pPr>
    <w:rPr>
      <w:rFonts w:eastAsia="Calibri" w:cs="Calibri" w:asciiTheme="minorHAnsi" w:hAnsiTheme="minorHAnsi"/>
      <w:color w:val="000000"/>
      <w:kern w:val="2"/>
      <w:sz w:val="21"/>
      <w:szCs w:val="21"/>
      <w:lang w:val="en-US" w:eastAsia="zh-CN" w:bidi="ar-SA"/>
    </w:rPr>
  </w:style>
  <w:style w:type="paragraph" w:customStyle="1" w:styleId="52">
    <w:name w:val="BodyText1I2"/>
    <w:basedOn w:val="1"/>
    <w:qFormat/>
    <w:uiPriority w:val="0"/>
    <w:pPr>
      <w:widowControl/>
      <w:spacing w:after="156"/>
      <w:ind w:left="420" w:leftChars="200" w:firstLine="420"/>
      <w:jc w:val="left"/>
    </w:pPr>
    <w:rPr>
      <w:color w:val="000000"/>
      <w:sz w:val="24"/>
      <w:szCs w:val="20"/>
    </w:rPr>
  </w:style>
  <w:style w:type="character" w:customStyle="1" w:styleId="53">
    <w:name w:val="NormalCharacter"/>
    <w:semiHidden/>
    <w:qFormat/>
    <w:uiPriority w:val="0"/>
    <w:rPr>
      <w:rFonts w:hint="default" w:ascii="Times New Roman" w:hAnsi="Times New Roman" w:eastAsia="仿宋_GB2312" w:cs="Times New Roman"/>
      <w:kern w:val="2"/>
      <w:sz w:val="30"/>
      <w:szCs w:val="24"/>
      <w:lang w:val="en-US" w:eastAsia="zh-CN" w:bidi="ar-SA"/>
    </w:rPr>
  </w:style>
  <w:style w:type="paragraph" w:customStyle="1" w:styleId="54">
    <w:name w:val="样式11"/>
    <w:basedOn w:val="1"/>
    <w:qFormat/>
    <w:uiPriority w:val="0"/>
    <w:pPr>
      <w:spacing w:line="600" w:lineRule="exact"/>
      <w:ind w:firstLine="602" w:firstLineChars="200"/>
    </w:pPr>
    <w:rPr>
      <w:rFonts w:ascii="宋体" w:hAnsi="宋体" w:eastAsiaTheme="minorEastAsia" w:cstheme="minorBidi"/>
      <w:b/>
      <w:sz w:val="30"/>
      <w:szCs w:val="30"/>
    </w:rPr>
  </w:style>
  <w:style w:type="paragraph" w:customStyle="1" w:styleId="55">
    <w:name w:val="正文 A"/>
    <w:qFormat/>
    <w:uiPriority w:val="0"/>
    <w:pPr>
      <w:widowControl w:val="0"/>
      <w:jc w:val="both"/>
    </w:pPr>
    <w:rPr>
      <w:rFonts w:ascii="Times New Roman" w:hAnsi="Arial Unicode MS" w:eastAsia="Arial Unicode MS" w:cs="Arial Unicode MS"/>
      <w:color w:val="000000"/>
      <w:kern w:val="2"/>
      <w:sz w:val="21"/>
      <w:szCs w:val="21"/>
      <w:u w:color="000000"/>
      <w:lang w:val="en-US" w:eastAsia="zh-CN" w:bidi="ar-SA"/>
    </w:rPr>
  </w:style>
  <w:style w:type="paragraph" w:customStyle="1" w:styleId="56">
    <w:name w:val="首行缩进"/>
    <w:basedOn w:val="1"/>
    <w:qFormat/>
    <w:uiPriority w:val="99"/>
    <w:pPr>
      <w:spacing w:line="360" w:lineRule="auto"/>
      <w:ind w:firstLine="480" w:firstLineChars="200"/>
    </w:pPr>
    <w:rPr>
      <w:rFonts w:ascii="宋体" w:hAnsi="宋体" w:cs="宋体"/>
      <w:kern w:val="0"/>
    </w:rPr>
  </w:style>
  <w:style w:type="paragraph" w:customStyle="1" w:styleId="57">
    <w:name w:val="Style1"/>
    <w:basedOn w:val="1"/>
    <w:qFormat/>
    <w:uiPriority w:val="0"/>
    <w:pPr>
      <w:widowControl/>
      <w:tabs>
        <w:tab w:val="left" w:pos="-720"/>
      </w:tabs>
      <w:spacing w:after="120" w:line="400" w:lineRule="exact"/>
      <w:ind w:firstLine="200" w:firstLineChars="200"/>
    </w:pPr>
    <w:rPr>
      <w:rFonts w:ascii="Times New Roman" w:hAnsi="Times New Roman"/>
      <w:spacing w:val="-3"/>
      <w:kern w:val="0"/>
      <w:sz w:val="24"/>
      <w:lang w:val="en-AU" w:eastAsia="en-US"/>
    </w:rPr>
  </w:style>
  <w:style w:type="character" w:customStyle="1" w:styleId="58">
    <w:name w:val="副标题 Char"/>
    <w:basedOn w:val="22"/>
    <w:link w:val="12"/>
    <w:qFormat/>
    <w:uiPriority w:val="11"/>
    <w:rPr>
      <w:rFonts w:asciiTheme="majorHAnsi" w:hAnsiTheme="majorHAnsi" w:eastAsiaTheme="majorEastAsia" w:cstheme="majorBidi"/>
      <w:i/>
      <w:iCs/>
      <w:color w:val="5B9BD5" w:themeColor="accent1"/>
      <w:spacing w:val="15"/>
      <w:kern w:val="0"/>
      <w:sz w:val="24"/>
      <w:szCs w:val="24"/>
      <w14:textFill>
        <w14:solidFill>
          <w14:schemeClr w14:val="accent1"/>
        </w14:solidFill>
      </w14:textFill>
    </w:rPr>
  </w:style>
  <w:style w:type="paragraph" w:customStyle="1" w:styleId="59">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15052</Words>
  <Characters>16317</Characters>
  <Lines>0</Lines>
  <Paragraphs>0</Paragraphs>
  <TotalTime>0</TotalTime>
  <ScaleCrop>false</ScaleCrop>
  <LinksUpToDate>false</LinksUpToDate>
  <CharactersWithSpaces>16344</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2021-05-15T08:41:00Z</dcterms:created>
  <dc:creator>刘鹏</dc:creator>
  <cp:lastModifiedBy>座头鲸9395</cp:lastModifiedBy>
  <cp:lastPrinted>2022-11-11T08:34:00Z</cp:lastPrinted>
  <dcterms:modified xsi:type="dcterms:W3CDTF">2024-12-31T06:08:54Z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EBADD4697C0E4E92B65CF4F64EB6DB9B_13</vt:lpwstr>
  </property>
</Properties>
</file>