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rPr>
          <w:rFonts w:hint="eastAsia" w:ascii="方正小标宋简体" w:hAnsi="方正小标宋简体" w:eastAsia="方正小标宋简体" w:cs="方正小标宋简体"/>
          <w:spacing w:val="8"/>
          <w:w w:val="95"/>
          <w:sz w:val="72"/>
          <w:highlight w:val="none"/>
          <w:lang w:val="en-US" w:eastAsia="zh-CN"/>
        </w:rPr>
      </w:pPr>
    </w:p>
    <w:p>
      <w:pPr>
        <w:jc w:val="center"/>
        <w:rPr>
          <w:rFonts w:hint="eastAsia" w:ascii="方正小标宋简体" w:hAnsi="方正小标宋简体" w:eastAsia="方正小标宋简体" w:cs="方正小标宋简体"/>
          <w:spacing w:val="4"/>
          <w:w w:val="95"/>
          <w:sz w:val="70"/>
          <w:szCs w:val="70"/>
          <w:highlight w:val="none"/>
          <w:lang w:eastAsia="zh-CN"/>
        </w:rPr>
      </w:pPr>
      <w:r>
        <w:rPr>
          <w:rFonts w:hint="eastAsia" w:ascii="方正小标宋简体" w:hAnsi="方正小标宋简体" w:eastAsia="方正小标宋简体" w:cs="方正小标宋简体"/>
          <w:spacing w:val="8"/>
          <w:w w:val="95"/>
          <w:sz w:val="70"/>
          <w:szCs w:val="70"/>
          <w:highlight w:val="none"/>
          <w:lang w:val="en-US" w:eastAsia="zh-CN"/>
        </w:rPr>
        <w:t>2023</w:t>
      </w:r>
      <w:r>
        <w:rPr>
          <w:rFonts w:hint="eastAsia" w:ascii="方正小标宋简体" w:hAnsi="方正小标宋简体" w:eastAsia="方正小标宋简体" w:cs="方正小标宋简体"/>
          <w:spacing w:val="4"/>
          <w:w w:val="95"/>
          <w:sz w:val="70"/>
          <w:szCs w:val="70"/>
          <w:highlight w:val="none"/>
        </w:rPr>
        <w:t>年</w:t>
      </w:r>
      <w:r>
        <w:rPr>
          <w:rFonts w:hint="eastAsia" w:ascii="方正小标宋简体" w:hAnsi="方正小标宋简体" w:eastAsia="方正小标宋简体" w:cs="方正小标宋简体"/>
          <w:spacing w:val="4"/>
          <w:w w:val="95"/>
          <w:sz w:val="70"/>
          <w:szCs w:val="70"/>
          <w:highlight w:val="none"/>
          <w:lang w:eastAsia="zh-CN"/>
        </w:rPr>
        <w:t>文登区政府</w:t>
      </w:r>
      <w:r>
        <w:rPr>
          <w:rFonts w:hint="eastAsia" w:ascii="方正小标宋简体" w:hAnsi="方正小标宋简体" w:eastAsia="方正小标宋简体" w:cs="方正小标宋简体"/>
          <w:spacing w:val="4"/>
          <w:w w:val="95"/>
          <w:sz w:val="70"/>
          <w:szCs w:val="70"/>
          <w:highlight w:val="none"/>
        </w:rPr>
        <w:t>决算</w:t>
      </w:r>
      <w:r>
        <w:rPr>
          <w:rFonts w:hint="eastAsia" w:ascii="方正小标宋简体" w:hAnsi="方正小标宋简体" w:eastAsia="方正小标宋简体" w:cs="方正小标宋简体"/>
          <w:spacing w:val="4"/>
          <w:w w:val="95"/>
          <w:sz w:val="70"/>
          <w:szCs w:val="70"/>
          <w:highlight w:val="none"/>
          <w:lang w:eastAsia="zh-CN"/>
        </w:rPr>
        <w:t>公开</w:t>
      </w:r>
    </w:p>
    <w:p>
      <w:pPr>
        <w:jc w:val="center"/>
        <w:rPr>
          <w:rFonts w:hint="eastAsia" w:ascii="方正小标宋简体" w:hAnsi="方正小标宋简体" w:eastAsia="方正小标宋简体" w:cs="方正小标宋简体"/>
          <w:spacing w:val="4"/>
          <w:w w:val="95"/>
          <w:sz w:val="70"/>
          <w:szCs w:val="70"/>
          <w:highlight w:val="none"/>
          <w:lang w:eastAsia="zh-CN"/>
        </w:rPr>
      </w:pPr>
      <w:r>
        <w:rPr>
          <w:rFonts w:hint="eastAsia" w:ascii="方正小标宋简体" w:hAnsi="方正小标宋简体" w:eastAsia="方正小标宋简体" w:cs="方正小标宋简体"/>
          <w:spacing w:val="4"/>
          <w:w w:val="95"/>
          <w:sz w:val="70"/>
          <w:szCs w:val="70"/>
          <w:highlight w:val="none"/>
          <w:lang w:eastAsia="zh-CN"/>
        </w:rPr>
        <w:t>其他相关情况</w:t>
      </w:r>
    </w:p>
    <w:p>
      <w:pPr>
        <w:ind w:firstLine="2019" w:firstLineChars="300"/>
        <w:jc w:val="both"/>
        <w:rPr>
          <w:rFonts w:hint="eastAsia" w:ascii="方正小标宋简体" w:hAnsi="方正小标宋简体" w:eastAsia="方正小标宋简体" w:cs="方正小标宋简体"/>
          <w:spacing w:val="4"/>
          <w:w w:val="95"/>
          <w:sz w:val="70"/>
          <w:szCs w:val="70"/>
          <w:highlight w:val="none"/>
          <w:lang w:eastAsia="zh-CN"/>
        </w:rPr>
      </w:pPr>
    </w:p>
    <w:p>
      <w:pPr>
        <w:ind w:firstLine="2019" w:firstLineChars="300"/>
        <w:jc w:val="both"/>
        <w:rPr>
          <w:rFonts w:hint="eastAsia" w:ascii="方正小标宋简体" w:hAnsi="方正小标宋简体" w:eastAsia="方正小标宋简体" w:cs="方正小标宋简体"/>
          <w:spacing w:val="4"/>
          <w:w w:val="95"/>
          <w:sz w:val="70"/>
          <w:szCs w:val="70"/>
          <w:highlight w:val="none"/>
          <w:lang w:eastAsia="zh-CN"/>
        </w:rPr>
      </w:pPr>
    </w:p>
    <w:p>
      <w:pPr>
        <w:ind w:firstLine="2019" w:firstLineChars="300"/>
        <w:jc w:val="both"/>
        <w:rPr>
          <w:rFonts w:hint="eastAsia" w:ascii="方正小标宋简体" w:hAnsi="方正小标宋简体" w:eastAsia="方正小标宋简体" w:cs="方正小标宋简体"/>
          <w:spacing w:val="4"/>
          <w:w w:val="95"/>
          <w:sz w:val="70"/>
          <w:szCs w:val="70"/>
          <w:highlight w:val="none"/>
          <w:lang w:eastAsia="zh-CN"/>
        </w:rPr>
      </w:pPr>
    </w:p>
    <w:p>
      <w:pPr>
        <w:ind w:firstLine="2019" w:firstLineChars="300"/>
        <w:jc w:val="both"/>
        <w:rPr>
          <w:rFonts w:hint="eastAsia" w:ascii="方正小标宋简体" w:hAnsi="方正小标宋简体" w:eastAsia="方正小标宋简体" w:cs="方正小标宋简体"/>
          <w:spacing w:val="4"/>
          <w:w w:val="95"/>
          <w:sz w:val="70"/>
          <w:szCs w:val="70"/>
          <w:highlight w:val="none"/>
          <w:lang w:eastAsia="zh-CN"/>
        </w:rPr>
      </w:pPr>
    </w:p>
    <w:p>
      <w:pPr>
        <w:jc w:val="both"/>
        <w:rPr>
          <w:rFonts w:hint="default" w:ascii="方正小标宋简体" w:hAnsi="方正小标宋简体" w:eastAsia="方正小标宋简体" w:cs="方正小标宋简体"/>
          <w:spacing w:val="4"/>
          <w:w w:val="95"/>
          <w:sz w:val="70"/>
          <w:szCs w:val="70"/>
          <w:highlight w:val="none"/>
          <w:lang w:val="en-US" w:eastAsia="zh-CN"/>
        </w:rPr>
      </w:pPr>
    </w:p>
    <w:tbl>
      <w:tblPr>
        <w:tblStyle w:val="19"/>
        <w:tblW w:w="8279" w:type="dxa"/>
        <w:tblInd w:w="93" w:type="dxa"/>
        <w:shd w:val="clear" w:color="auto" w:fill="auto"/>
        <w:tblLayout w:type="autofit"/>
        <w:tblCellMar>
          <w:top w:w="0" w:type="dxa"/>
          <w:left w:w="108" w:type="dxa"/>
          <w:bottom w:w="0" w:type="dxa"/>
          <w:right w:w="108" w:type="dxa"/>
        </w:tblCellMar>
      </w:tblPr>
      <w:tblGrid>
        <w:gridCol w:w="1871"/>
        <w:gridCol w:w="6408"/>
      </w:tblGrid>
      <w:tr>
        <w:tblPrEx>
          <w:shd w:val="clear" w:color="auto" w:fill="auto"/>
          <w:tblCellMar>
            <w:top w:w="0" w:type="dxa"/>
            <w:left w:w="108" w:type="dxa"/>
            <w:bottom w:w="0" w:type="dxa"/>
            <w:right w:w="108" w:type="dxa"/>
          </w:tblCellMar>
        </w:tblPrEx>
        <w:trPr>
          <w:trHeight w:val="510" w:hRule="atLeast"/>
        </w:trPr>
        <w:tc>
          <w:tcPr>
            <w:tcW w:w="1871" w:type="dxa"/>
            <w:tcBorders>
              <w:top w:val="nil"/>
              <w:left w:val="nil"/>
              <w:bottom w:val="nil"/>
              <w:right w:val="nil"/>
            </w:tcBorders>
            <w:shd w:val="clear" w:color="auto" w:fill="FFFFFF"/>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附件1</w:t>
            </w:r>
          </w:p>
        </w:tc>
        <w:tc>
          <w:tcPr>
            <w:tcW w:w="6408" w:type="dxa"/>
            <w:tcBorders>
              <w:top w:val="nil"/>
              <w:left w:val="nil"/>
              <w:bottom w:val="nil"/>
              <w:right w:val="nil"/>
            </w:tcBorders>
            <w:shd w:val="clear" w:color="auto" w:fill="FFFFFF"/>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2023年重大政策和重点项目绩效执行结果</w:t>
            </w:r>
          </w:p>
        </w:tc>
      </w:tr>
      <w:tr>
        <w:tblPrEx>
          <w:tblCellMar>
            <w:top w:w="0" w:type="dxa"/>
            <w:left w:w="108" w:type="dxa"/>
            <w:bottom w:w="0" w:type="dxa"/>
            <w:right w:w="108" w:type="dxa"/>
          </w:tblCellMar>
        </w:tblPrEx>
        <w:trPr>
          <w:trHeight w:val="510" w:hRule="atLeast"/>
        </w:trPr>
        <w:tc>
          <w:tcPr>
            <w:tcW w:w="0" w:type="auto"/>
            <w:tcBorders>
              <w:top w:val="nil"/>
              <w:left w:val="nil"/>
              <w:bottom w:val="nil"/>
              <w:right w:val="nil"/>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附件2</w:t>
            </w:r>
          </w:p>
        </w:tc>
        <w:tc>
          <w:tcPr>
            <w:tcW w:w="0" w:type="auto"/>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2023年财政转移支付安排说明</w:t>
            </w:r>
          </w:p>
        </w:tc>
      </w:tr>
      <w:tr>
        <w:tblPrEx>
          <w:tblCellMar>
            <w:top w:w="0" w:type="dxa"/>
            <w:left w:w="108" w:type="dxa"/>
            <w:bottom w:w="0" w:type="dxa"/>
            <w:right w:w="108" w:type="dxa"/>
          </w:tblCellMar>
        </w:tblPrEx>
        <w:trPr>
          <w:trHeight w:val="510" w:hRule="atLeast"/>
        </w:trPr>
        <w:tc>
          <w:tcPr>
            <w:tcW w:w="0" w:type="auto"/>
            <w:tcBorders>
              <w:top w:val="nil"/>
              <w:left w:val="nil"/>
              <w:bottom w:val="nil"/>
              <w:right w:val="nil"/>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附件3</w:t>
            </w:r>
          </w:p>
        </w:tc>
        <w:tc>
          <w:tcPr>
            <w:tcW w:w="0" w:type="auto"/>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u w:val="none"/>
                <w:lang w:val="en-US" w:eastAsia="zh-CN" w:bidi="ar"/>
              </w:rPr>
              <w:t>2023年文登区政府债务决算的说明</w:t>
            </w:r>
          </w:p>
        </w:tc>
      </w:tr>
      <w:tr>
        <w:tblPrEx>
          <w:tblCellMar>
            <w:top w:w="0" w:type="dxa"/>
            <w:left w:w="108" w:type="dxa"/>
            <w:bottom w:w="0" w:type="dxa"/>
            <w:right w:w="108" w:type="dxa"/>
          </w:tblCellMar>
        </w:tblPrEx>
        <w:trPr>
          <w:trHeight w:val="510" w:hRule="atLeast"/>
        </w:trPr>
        <w:tc>
          <w:tcPr>
            <w:tcW w:w="0" w:type="auto"/>
            <w:tcBorders>
              <w:top w:val="nil"/>
              <w:left w:val="nil"/>
              <w:bottom w:val="nil"/>
              <w:right w:val="nil"/>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附件4</w:t>
            </w:r>
          </w:p>
        </w:tc>
        <w:tc>
          <w:tcPr>
            <w:tcW w:w="0" w:type="auto"/>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2023年三公经费分项数据及增减变化说明</w:t>
            </w:r>
          </w:p>
        </w:tc>
      </w:tr>
      <w:tr>
        <w:tblPrEx>
          <w:tblCellMar>
            <w:top w:w="0" w:type="dxa"/>
            <w:left w:w="108" w:type="dxa"/>
            <w:bottom w:w="0" w:type="dxa"/>
            <w:right w:w="108" w:type="dxa"/>
          </w:tblCellMar>
        </w:tblPrEx>
        <w:trPr>
          <w:trHeight w:val="510" w:hRule="atLeast"/>
        </w:trPr>
        <w:tc>
          <w:tcPr>
            <w:tcW w:w="0" w:type="auto"/>
            <w:tcBorders>
              <w:top w:val="nil"/>
              <w:left w:val="nil"/>
              <w:bottom w:val="nil"/>
              <w:right w:val="nil"/>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附件5</w:t>
            </w:r>
          </w:p>
        </w:tc>
        <w:tc>
          <w:tcPr>
            <w:tcW w:w="0" w:type="auto"/>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2023年预算绩效工作开展情况</w:t>
            </w:r>
          </w:p>
        </w:tc>
      </w:tr>
    </w:tbl>
    <w:p>
      <w:pPr>
        <w:jc w:val="both"/>
        <w:rPr>
          <w:rFonts w:hint="eastAsia" w:ascii="方正小标宋简体" w:hAnsi="方正小标宋简体" w:eastAsia="方正小标宋简体" w:cs="方正小标宋简体"/>
          <w:spacing w:val="4"/>
          <w:w w:val="95"/>
          <w:sz w:val="20"/>
          <w:szCs w:val="20"/>
          <w:highlight w:val="none"/>
          <w:lang w:eastAsia="zh-CN"/>
        </w:rPr>
      </w:pPr>
    </w:p>
    <w:p>
      <w:pPr>
        <w:pStyle w:val="2"/>
        <w:rPr>
          <w:rFonts w:hint="eastAsia" w:ascii="方正小标宋简体" w:hAnsi="方正小标宋简体" w:eastAsia="方正小标宋简体" w:cs="方正小标宋简体"/>
          <w:spacing w:val="4"/>
          <w:w w:val="95"/>
          <w:sz w:val="20"/>
          <w:szCs w:val="20"/>
          <w:highlight w:val="none"/>
          <w:lang w:eastAsia="zh-CN"/>
        </w:rPr>
      </w:pPr>
    </w:p>
    <w:p>
      <w:pPr>
        <w:rPr>
          <w:rFonts w:hint="eastAsia" w:ascii="方正小标宋简体" w:hAnsi="方正小标宋简体" w:eastAsia="方正小标宋简体" w:cs="方正小标宋简体"/>
          <w:spacing w:val="4"/>
          <w:w w:val="95"/>
          <w:sz w:val="20"/>
          <w:szCs w:val="20"/>
          <w:highlight w:val="none"/>
          <w:lang w:eastAsia="zh-CN"/>
        </w:rPr>
      </w:pPr>
    </w:p>
    <w:p>
      <w:pPr>
        <w:pStyle w:val="2"/>
        <w:rPr>
          <w:rFonts w:hint="eastAsia"/>
          <w:lang w:eastAsia="zh-CN"/>
        </w:rPr>
      </w:pPr>
    </w:p>
    <w:p>
      <w:pPr>
        <w:pageBreakBefore w:val="0"/>
        <w:kinsoku/>
        <w:wordWrap/>
        <w:topLinePunct w:val="0"/>
        <w:bidi w:val="0"/>
        <w:spacing w:line="560" w:lineRule="exact"/>
        <w:jc w:val="both"/>
        <w:rPr>
          <w:rFonts w:hint="eastAsia" w:ascii="仿宋_GB2312" w:hAnsi="仿宋_GB2312" w:eastAsia="仿宋_GB2312" w:cs="仿宋_GB2312"/>
          <w:b/>
          <w:bCs/>
          <w:spacing w:val="4"/>
          <w:w w:val="95"/>
          <w:sz w:val="24"/>
          <w:szCs w:val="24"/>
          <w:highlight w:val="none"/>
          <w:lang w:eastAsia="zh-CN"/>
        </w:rPr>
        <w:sectPr>
          <w:pgSz w:w="11900" w:h="16820"/>
          <w:pgMar w:top="1871" w:right="1474" w:bottom="1871" w:left="1587" w:header="850" w:footer="1389" w:gutter="0"/>
          <w:cols w:space="720" w:num="1"/>
        </w:sectPr>
      </w:pPr>
    </w:p>
    <w:p>
      <w:pPr>
        <w:pageBreakBefore w:val="0"/>
        <w:kinsoku/>
        <w:wordWrap/>
        <w:topLinePunct w:val="0"/>
        <w:bidi w:val="0"/>
        <w:spacing w:line="560" w:lineRule="exact"/>
        <w:jc w:val="both"/>
        <w:rPr>
          <w:rFonts w:hint="eastAsia" w:ascii="仿宋_GB2312" w:hAnsi="仿宋_GB2312" w:eastAsia="仿宋_GB2312" w:cs="仿宋_GB2312"/>
          <w:b/>
          <w:bCs/>
          <w:spacing w:val="4"/>
          <w:w w:val="95"/>
          <w:sz w:val="24"/>
          <w:szCs w:val="24"/>
          <w:highlight w:val="none"/>
          <w:lang w:val="en-US" w:eastAsia="zh-CN"/>
        </w:rPr>
      </w:pPr>
      <w:r>
        <w:rPr>
          <w:rFonts w:hint="eastAsia" w:ascii="仿宋_GB2312" w:hAnsi="仿宋_GB2312" w:eastAsia="仿宋_GB2312" w:cs="仿宋_GB2312"/>
          <w:b/>
          <w:bCs/>
          <w:spacing w:val="4"/>
          <w:w w:val="95"/>
          <w:sz w:val="24"/>
          <w:szCs w:val="24"/>
          <w:highlight w:val="none"/>
          <w:lang w:eastAsia="zh-CN"/>
        </w:rPr>
        <w:t>附件</w:t>
      </w:r>
      <w:r>
        <w:rPr>
          <w:rFonts w:hint="eastAsia" w:ascii="仿宋_GB2312" w:hAnsi="仿宋_GB2312" w:eastAsia="仿宋_GB2312" w:cs="仿宋_GB2312"/>
          <w:b/>
          <w:bCs/>
          <w:spacing w:val="4"/>
          <w:w w:val="95"/>
          <w:sz w:val="24"/>
          <w:szCs w:val="24"/>
          <w:highlight w:val="none"/>
          <w:lang w:val="en-US" w:eastAsia="zh-CN"/>
        </w:rPr>
        <w:t>1</w:t>
      </w:r>
    </w:p>
    <w:p>
      <w:pPr>
        <w:pStyle w:val="2"/>
        <w:rPr>
          <w:rFonts w:hint="eastAsia"/>
          <w:lang w:val="en-US" w:eastAsia="zh-CN"/>
        </w:rPr>
      </w:pPr>
    </w:p>
    <w:p>
      <w:pPr>
        <w:rPr>
          <w:rFonts w:hint="eastAsia"/>
          <w:lang w:val="en-US" w:eastAsia="zh-CN"/>
        </w:rPr>
      </w:pPr>
    </w:p>
    <w:p>
      <w:pPr>
        <w:pageBreakBefore w:val="0"/>
        <w:numPr>
          <w:ilvl w:val="0"/>
          <w:numId w:val="0"/>
        </w:numPr>
        <w:tabs>
          <w:tab w:val="left" w:pos="2101"/>
        </w:tabs>
        <w:kinsoku/>
        <w:wordWrap/>
        <w:topLinePunct w:val="0"/>
        <w:bidi w:val="0"/>
        <w:spacing w:before="49" w:line="560" w:lineRule="exact"/>
        <w:ind w:right="0" w:rightChars="0"/>
        <w:jc w:val="center"/>
        <w:rPr>
          <w:rFonts w:eastAsia="黑体"/>
          <w:b/>
          <w:bCs/>
          <w:sz w:val="36"/>
          <w:szCs w:val="36"/>
        </w:rPr>
      </w:pPr>
      <w:r>
        <w:rPr>
          <w:rFonts w:hint="eastAsia" w:ascii="方正小标宋简体" w:hAnsi="方正小标宋简体" w:eastAsia="方正小标宋简体" w:cs="方正小标宋简体"/>
          <w:sz w:val="44"/>
          <w:szCs w:val="44"/>
          <w:highlight w:val="none"/>
          <w:lang w:val="en-US" w:eastAsia="zh-CN"/>
        </w:rPr>
        <w:t>2023年重大政策及重点项目绩效执行结果</w:t>
      </w:r>
    </w:p>
    <w:p>
      <w:pPr>
        <w:pageBreakBefore w:val="0"/>
        <w:kinsoku/>
        <w:wordWrap/>
        <w:topLinePunct w:val="0"/>
        <w:bidi w:val="0"/>
        <w:spacing w:before="62" w:after="62" w:line="560" w:lineRule="exact"/>
        <w:ind w:firstLine="803"/>
        <w:jc w:val="center"/>
        <w:rPr>
          <w:b/>
          <w:bCs/>
          <w:sz w:val="40"/>
          <w:szCs w:val="40"/>
        </w:rPr>
      </w:pPr>
    </w:p>
    <w:p>
      <w:pPr>
        <w:pageBreakBefore w:val="0"/>
        <w:kinsoku/>
        <w:wordWrap/>
        <w:topLinePunct w:val="0"/>
        <w:bidi w:val="0"/>
        <w:spacing w:line="560" w:lineRule="exact"/>
        <w:jc w:val="center"/>
        <w:rPr>
          <w:rFonts w:hint="eastAsia" w:ascii="方正小标宋简体" w:hAnsi="方正小标宋简体" w:eastAsia="方正小标宋简体" w:cs="方正小标宋简体"/>
          <w:b w:val="0"/>
          <w:bCs/>
          <w:color w:val="000000"/>
          <w:kern w:val="0"/>
          <w:sz w:val="36"/>
          <w:szCs w:val="36"/>
        </w:rPr>
      </w:pPr>
      <w:r>
        <w:rPr>
          <w:rFonts w:hint="eastAsia" w:ascii="方正小标宋简体" w:hAnsi="方正小标宋简体" w:eastAsia="方正小标宋简体" w:cs="方正小标宋简体"/>
          <w:b w:val="0"/>
          <w:bCs/>
          <w:color w:val="000000"/>
          <w:kern w:val="0"/>
          <w:sz w:val="36"/>
          <w:szCs w:val="36"/>
        </w:rPr>
        <w:t>2023年文登区绿地及水面养护费项目</w:t>
      </w:r>
    </w:p>
    <w:p>
      <w:pPr>
        <w:pageBreakBefore w:val="0"/>
        <w:kinsoku/>
        <w:wordWrap/>
        <w:topLinePunct w:val="0"/>
        <w:bidi w:val="0"/>
        <w:spacing w:line="560" w:lineRule="exact"/>
        <w:jc w:val="center"/>
        <w:rPr>
          <w:rFonts w:hint="eastAsia" w:ascii="方正小标宋简体" w:hAnsi="方正小标宋简体" w:eastAsia="方正小标宋简体" w:cs="方正小标宋简体"/>
          <w:b w:val="0"/>
          <w:bCs/>
          <w:color w:val="000000"/>
          <w:kern w:val="0"/>
          <w:sz w:val="36"/>
          <w:szCs w:val="36"/>
        </w:rPr>
      </w:pPr>
      <w:r>
        <w:rPr>
          <w:rFonts w:hint="eastAsia" w:ascii="方正小标宋简体" w:hAnsi="方正小标宋简体" w:eastAsia="方正小标宋简体" w:cs="方正小标宋简体"/>
          <w:b w:val="0"/>
          <w:bCs/>
          <w:color w:val="000000"/>
          <w:kern w:val="0"/>
          <w:sz w:val="36"/>
          <w:szCs w:val="36"/>
        </w:rPr>
        <w:t>绩效评价报告</w:t>
      </w:r>
    </w:p>
    <w:p>
      <w:pPr>
        <w:autoSpaceDE w:val="0"/>
        <w:autoSpaceDN w:val="0"/>
        <w:adjustRightInd w:val="0"/>
        <w:spacing w:line="590" w:lineRule="exact"/>
        <w:ind w:firstLine="0" w:firstLineChars="0"/>
        <w:jc w:val="center"/>
        <w:rPr>
          <w:rFonts w:ascii="仿宋" w:hAnsi="仿宋" w:eastAsia="仿宋" w:cs="仿宋"/>
          <w:b/>
          <w:bCs/>
          <w:color w:val="000000"/>
          <w:kern w:val="0"/>
          <w:sz w:val="52"/>
          <w:szCs w:val="52"/>
        </w:rPr>
      </w:pPr>
    </w:p>
    <w:p>
      <w:pPr>
        <w:spacing w:line="590" w:lineRule="exact"/>
        <w:ind w:left="680" w:firstLine="640" w:firstLineChars="200"/>
        <w:rPr>
          <w:rFonts w:ascii="仿宋" w:hAnsi="仿宋" w:eastAsia="仿宋" w:cs="仿宋"/>
          <w:sz w:val="32"/>
        </w:rPr>
      </w:pPr>
    </w:p>
    <w:p>
      <w:pPr>
        <w:spacing w:line="590" w:lineRule="exact"/>
        <w:ind w:firstLine="640" w:firstLineChars="200"/>
        <w:rPr>
          <w:rFonts w:ascii="仿宋" w:hAnsi="仿宋" w:eastAsia="仿宋" w:cs="仿宋"/>
          <w:sz w:val="32"/>
        </w:rPr>
      </w:pPr>
    </w:p>
    <w:p>
      <w:pPr>
        <w:spacing w:line="590" w:lineRule="exact"/>
        <w:ind w:firstLine="0" w:firstLineChars="0"/>
        <w:rPr>
          <w:rFonts w:ascii="仿宋" w:hAnsi="仿宋" w:eastAsia="仿宋" w:cs="仿宋"/>
          <w:sz w:val="32"/>
        </w:rPr>
      </w:pPr>
    </w:p>
    <w:p>
      <w:pPr>
        <w:spacing w:line="590" w:lineRule="exact"/>
        <w:ind w:firstLine="602" w:firstLineChars="200"/>
        <w:rPr>
          <w:rFonts w:ascii="仿宋" w:hAnsi="仿宋" w:eastAsia="仿宋" w:cs="仿宋"/>
          <w:b/>
          <w:bCs/>
          <w:sz w:val="30"/>
        </w:rPr>
      </w:pPr>
    </w:p>
    <w:p>
      <w:pPr>
        <w:spacing w:line="590" w:lineRule="exact"/>
        <w:ind w:firstLine="602" w:firstLineChars="200"/>
        <w:rPr>
          <w:rFonts w:ascii="仿宋" w:hAnsi="仿宋" w:eastAsia="仿宋" w:cs="仿宋"/>
          <w:b/>
          <w:bCs/>
          <w:sz w:val="30"/>
        </w:rPr>
      </w:pPr>
    </w:p>
    <w:p>
      <w:pPr>
        <w:spacing w:line="590" w:lineRule="exact"/>
        <w:ind w:firstLine="602" w:firstLineChars="200"/>
        <w:rPr>
          <w:rFonts w:ascii="仿宋" w:hAnsi="仿宋" w:eastAsia="仿宋" w:cs="仿宋"/>
          <w:b/>
          <w:bCs/>
          <w:sz w:val="30"/>
        </w:rPr>
      </w:pPr>
    </w:p>
    <w:p>
      <w:pPr>
        <w:pageBreakBefore w:val="0"/>
        <w:kinsoku/>
        <w:wordWrap/>
        <w:topLinePunct w:val="0"/>
        <w:bidi w:val="0"/>
        <w:spacing w:before="87" w:after="87" w:line="560" w:lineRule="exact"/>
        <w:rPr>
          <w:rFonts w:hint="eastAsia" w:ascii="仿宋" w:hAnsi="仿宋" w:cs="仿宋"/>
          <w:b/>
          <w:bCs/>
          <w:szCs w:val="24"/>
        </w:rPr>
      </w:pPr>
    </w:p>
    <w:p>
      <w:pPr>
        <w:pageBreakBefore w:val="0"/>
        <w:kinsoku/>
        <w:wordWrap/>
        <w:topLinePunct w:val="0"/>
        <w:bidi w:val="0"/>
        <w:spacing w:before="87" w:after="87" w:line="560" w:lineRule="exact"/>
        <w:jc w:val="center"/>
        <w:rPr>
          <w:rFonts w:hint="eastAsia" w:ascii="仿宋" w:hAnsi="仿宋" w:cs="仿宋"/>
          <w:b/>
          <w:bCs/>
          <w:szCs w:val="24"/>
        </w:rPr>
      </w:pPr>
      <w:r>
        <w:rPr>
          <w:rFonts w:hint="eastAsia" w:ascii="仿宋" w:hAnsi="仿宋" w:cs="仿宋"/>
          <w:b/>
          <w:bCs/>
          <w:szCs w:val="24"/>
        </w:rPr>
        <w:t>威海市文登区财政局</w:t>
      </w:r>
    </w:p>
    <w:p>
      <w:pPr>
        <w:pageBreakBefore w:val="0"/>
        <w:kinsoku/>
        <w:wordWrap/>
        <w:topLinePunct w:val="0"/>
        <w:bidi w:val="0"/>
        <w:spacing w:before="87" w:after="87" w:line="560" w:lineRule="exact"/>
        <w:jc w:val="center"/>
        <w:rPr>
          <w:rFonts w:hint="eastAsia" w:ascii="仿宋" w:hAnsi="仿宋" w:cs="仿宋"/>
          <w:b/>
          <w:bCs/>
          <w:szCs w:val="24"/>
        </w:rPr>
        <w:sectPr>
          <w:headerReference r:id="rId5" w:type="first"/>
          <w:footerReference r:id="rId8" w:type="first"/>
          <w:headerReference r:id="rId3" w:type="default"/>
          <w:footerReference r:id="rId6" w:type="default"/>
          <w:headerReference r:id="rId4" w:type="even"/>
          <w:footerReference r:id="rId7" w:type="even"/>
          <w:pgSz w:w="11850" w:h="16783"/>
          <w:pgMar w:top="1440" w:right="1440" w:bottom="1440" w:left="1440" w:header="737" w:footer="1077" w:gutter="0"/>
          <w:cols w:equalWidth="0" w:num="1">
            <w:col w:w="9026"/>
          </w:cols>
          <w:docGrid w:linePitch="360" w:charSpace="0"/>
        </w:sectPr>
      </w:pPr>
      <w:r>
        <w:rPr>
          <w:rFonts w:hint="eastAsia" w:ascii="仿宋" w:hAnsi="仿宋" w:cs="仿宋"/>
          <w:b/>
          <w:bCs/>
          <w:szCs w:val="24"/>
        </w:rPr>
        <w:t>评价时间</w:t>
      </w:r>
      <w:r>
        <w:rPr>
          <w:rFonts w:hint="eastAsia" w:ascii="仿宋" w:hAnsi="仿宋" w:cs="仿宋"/>
          <w:b/>
          <w:bCs/>
          <w:szCs w:val="24"/>
          <w:lang w:eastAsia="zh-CN"/>
        </w:rPr>
        <w:t>：</w:t>
      </w:r>
      <w:r>
        <w:rPr>
          <w:rFonts w:hint="eastAsia" w:ascii="仿宋" w:hAnsi="仿宋" w:cs="仿宋"/>
          <w:b/>
          <w:bCs/>
          <w:szCs w:val="24"/>
        </w:rPr>
        <w:t>202</w:t>
      </w:r>
      <w:r>
        <w:rPr>
          <w:rFonts w:hint="eastAsia" w:ascii="仿宋" w:hAnsi="仿宋" w:cs="仿宋"/>
          <w:b/>
          <w:bCs/>
          <w:szCs w:val="24"/>
          <w:lang w:val="en-US" w:eastAsia="zh-CN"/>
        </w:rPr>
        <w:t xml:space="preserve">4 </w:t>
      </w:r>
      <w:r>
        <w:rPr>
          <w:rFonts w:hint="eastAsia" w:ascii="仿宋" w:hAnsi="仿宋" w:cs="仿宋"/>
          <w:b/>
          <w:bCs/>
          <w:szCs w:val="24"/>
        </w:rPr>
        <w:t xml:space="preserve">年 </w:t>
      </w:r>
      <w:r>
        <w:rPr>
          <w:rFonts w:hint="eastAsia" w:ascii="仿宋" w:hAnsi="仿宋" w:cs="仿宋"/>
          <w:b/>
          <w:bCs/>
          <w:szCs w:val="24"/>
          <w:lang w:val="en-US" w:eastAsia="zh-CN"/>
        </w:rPr>
        <w:t>7</w:t>
      </w:r>
      <w:r>
        <w:rPr>
          <w:rFonts w:hint="eastAsia" w:ascii="仿宋" w:hAnsi="仿宋" w:cs="仿宋"/>
          <w:b/>
          <w:bCs/>
          <w:szCs w:val="24"/>
        </w:rPr>
        <w:t xml:space="preserve"> 月</w:t>
      </w:r>
    </w:p>
    <w:p>
      <w:pPr>
        <w:adjustRightInd w:val="0"/>
        <w:snapToGrid w:val="0"/>
        <w:spacing w:line="560" w:lineRule="exact"/>
        <w:ind w:firstLine="640" w:firstLineChars="200"/>
        <w:rPr>
          <w:rFonts w:hint="eastAsia" w:ascii="黑体" w:hAnsi="黑体" w:eastAsia="黑体"/>
          <w:sz w:val="32"/>
          <w:szCs w:val="32"/>
          <w:lang w:eastAsia="zh-CN"/>
        </w:rPr>
      </w:pPr>
      <w:r>
        <w:rPr>
          <w:rFonts w:hint="eastAsia" w:ascii="黑体" w:hAnsi="黑体" w:eastAsia="黑体"/>
          <w:sz w:val="32"/>
          <w:szCs w:val="32"/>
        </w:rPr>
        <w:t>一、项目</w:t>
      </w:r>
      <w:r>
        <w:rPr>
          <w:rFonts w:hint="eastAsia" w:ascii="黑体" w:hAnsi="黑体" w:eastAsia="黑体"/>
          <w:sz w:val="32"/>
          <w:szCs w:val="32"/>
          <w:lang w:eastAsia="zh-CN"/>
        </w:rPr>
        <w:t>概况</w:t>
      </w:r>
    </w:p>
    <w:p>
      <w:pPr>
        <w:pStyle w:val="56"/>
        <w:numPr>
          <w:ilvl w:val="0"/>
          <w:numId w:val="0"/>
        </w:numPr>
        <w:spacing w:line="560" w:lineRule="exact"/>
        <w:ind w:left="0" w:leftChars="0" w:firstLine="420" w:firstLineChars="0"/>
        <w:outlineLvl w:val="3"/>
        <w:rPr>
          <w:rFonts w:hint="eastAsia" w:ascii="楷体_GB2312" w:hAnsi="楷体_GB2312" w:eastAsia="楷体_GB2312" w:cs="楷体_GB2312"/>
          <w:szCs w:val="32"/>
        </w:rPr>
      </w:pPr>
      <w:r>
        <w:rPr>
          <w:rFonts w:hint="eastAsia" w:ascii="楷体_GB2312" w:hAnsi="楷体_GB2312" w:eastAsia="楷体_GB2312" w:cs="楷体_GB2312"/>
          <w:color w:val="auto"/>
          <w:kern w:val="0"/>
          <w:sz w:val="32"/>
          <w:szCs w:val="32"/>
          <w:lang w:val="en-US" w:eastAsia="zh-CN" w:bidi="ar-SA"/>
        </w:rPr>
        <w:t>（一）</w:t>
      </w:r>
      <w:r>
        <w:rPr>
          <w:rFonts w:hint="eastAsia" w:ascii="楷体_GB2312" w:hAnsi="楷体_GB2312" w:eastAsia="楷体_GB2312" w:cs="楷体_GB2312"/>
          <w:szCs w:val="32"/>
        </w:rPr>
        <w:t>项目</w:t>
      </w:r>
      <w:bookmarkStart w:id="0" w:name="_Toc3304"/>
      <w:r>
        <w:rPr>
          <w:rFonts w:hint="eastAsia" w:ascii="楷体_GB2312" w:hAnsi="楷体_GB2312" w:eastAsia="楷体_GB2312" w:cs="楷体_GB2312"/>
          <w:szCs w:val="32"/>
        </w:rPr>
        <w:t>主要内容及实施情况</w:t>
      </w:r>
      <w:bookmarkEnd w:id="0"/>
    </w:p>
    <w:p>
      <w:pPr>
        <w:spacing w:line="560" w:lineRule="exact"/>
        <w:ind w:firstLine="640" w:firstLineChars="200"/>
        <w:rPr>
          <w:rFonts w:hint="eastAsia" w:ascii="Times New Roman" w:hAnsi="Times New Roman" w:eastAsia="仿宋_GB2312" w:cs="Times New Roman"/>
          <w:sz w:val="32"/>
          <w:szCs w:val="32"/>
          <w:lang w:eastAsia="zh-CN"/>
        </w:rPr>
      </w:pPr>
      <w:r>
        <w:rPr>
          <w:rFonts w:hint="eastAsia" w:ascii="Times New Roman" w:hAnsi="Times New Roman" w:eastAsia="仿宋_GB2312" w:cs="Times New Roman"/>
          <w:sz w:val="32"/>
          <w:szCs w:val="32"/>
          <w:lang w:eastAsia="zh-CN"/>
        </w:rPr>
        <w:t>根据《威海中心市区城市绿化养护管理细则》等文件的管护要求，文登区城市管理综合服务中心承担全区公园、绿地等城区河道养护、升级改造、卫生保洁的检查考核事务性工作。2024年文登区城区需管护绿化、水域等面积共1587.29公顷，包括城区1546.28公顷（新增养护面积314.88公顷）绿地及水面、202省道（北至206国道，南至石泽线）41.01公顷米绿化养护；2023年需管护绿地及水域面积1546.28公顷。</w:t>
      </w:r>
    </w:p>
    <w:p>
      <w:pPr>
        <w:spacing w:line="560" w:lineRule="exact"/>
        <w:ind w:firstLine="640" w:firstLineChars="200"/>
        <w:rPr>
          <w:rFonts w:hint="eastAsia" w:ascii="Times New Roman" w:hAnsi="Times New Roman" w:eastAsia="仿宋_GB2312" w:cs="Times New Roman"/>
          <w:sz w:val="32"/>
          <w:szCs w:val="32"/>
          <w:lang w:eastAsia="zh-CN"/>
        </w:rPr>
      </w:pPr>
      <w:r>
        <w:rPr>
          <w:rFonts w:hint="eastAsia" w:ascii="Times New Roman" w:hAnsi="Times New Roman" w:eastAsia="仿宋_GB2312" w:cs="Times New Roman"/>
          <w:sz w:val="32"/>
          <w:szCs w:val="32"/>
          <w:lang w:eastAsia="zh-CN"/>
        </w:rPr>
        <w:t>2023年文登区绿化及水面具体养护工作由威海舜盛建设工程有限公司负责，合同约定管护面积为道路绿地及公园面积953.14公顷、水面面积277.86公顷，合计1231公顷；合同金额为4660万元。</w:t>
      </w:r>
    </w:p>
    <w:p>
      <w:pPr>
        <w:spacing w:line="560" w:lineRule="exact"/>
        <w:ind w:firstLine="640" w:firstLineChars="200"/>
        <w:rPr>
          <w:rFonts w:hint="eastAsia" w:ascii="Times New Roman" w:hAnsi="Times New Roman" w:eastAsia="仿宋_GB2312" w:cs="Times New Roman"/>
          <w:sz w:val="32"/>
          <w:szCs w:val="32"/>
          <w:lang w:eastAsia="zh-CN"/>
        </w:rPr>
      </w:pPr>
      <w:r>
        <w:rPr>
          <w:rFonts w:hint="eastAsia" w:ascii="Times New Roman" w:hAnsi="Times New Roman" w:eastAsia="仿宋_GB2312" w:cs="Times New Roman"/>
          <w:sz w:val="32"/>
          <w:szCs w:val="32"/>
          <w:lang w:eastAsia="zh-CN"/>
        </w:rPr>
        <w:t>服务管护期限为一年，即自2023年1月1日起至2023年12月31日止；管护地点为文登区（原文登园林管理局管理范围内）公园、广场、道路绿地、街头游园绿地（含圣海路）的养护管理；管护内容包括浇水、施肥、苗木修剪、打药、除草、防冻措施、卫生保洁、绿地保护等。</w:t>
      </w:r>
    </w:p>
    <w:p>
      <w:pPr>
        <w:pStyle w:val="4"/>
        <w:numPr>
          <w:ilvl w:val="0"/>
          <w:numId w:val="0"/>
        </w:numPr>
        <w:spacing w:before="0" w:after="0" w:line="560" w:lineRule="exact"/>
        <w:ind w:left="0" w:leftChars="0" w:firstLine="640" w:firstLineChars="200"/>
        <w:jc w:val="left"/>
        <w:rPr>
          <w:rFonts w:hint="eastAsia" w:ascii="楷体_GB2312" w:hAnsi="楷体_GB2312" w:eastAsia="楷体_GB2312" w:cs="楷体_GB2312"/>
          <w:bCs w:val="0"/>
          <w:color w:val="auto"/>
          <w:kern w:val="0"/>
          <w:sz w:val="32"/>
          <w:szCs w:val="32"/>
          <w:lang w:val="en-US" w:eastAsia="zh-CN" w:bidi="ar-SA"/>
        </w:rPr>
      </w:pPr>
      <w:bookmarkStart w:id="1" w:name="_Toc48873004"/>
      <w:bookmarkStart w:id="2" w:name="_Toc45741720"/>
      <w:bookmarkStart w:id="3" w:name="_Toc18111"/>
      <w:r>
        <w:rPr>
          <w:rFonts w:hint="eastAsia" w:ascii="楷体_GB2312" w:hAnsi="楷体_GB2312" w:eastAsia="楷体_GB2312" w:cs="楷体_GB2312"/>
          <w:bCs w:val="0"/>
          <w:color w:val="auto"/>
          <w:kern w:val="0"/>
          <w:sz w:val="32"/>
          <w:szCs w:val="32"/>
          <w:lang w:val="en-US" w:eastAsia="zh-CN" w:bidi="ar-SA"/>
        </w:rPr>
        <w:t>（二）项目资金安排及使用情况</w:t>
      </w:r>
      <w:bookmarkEnd w:id="1"/>
      <w:bookmarkEnd w:id="2"/>
      <w:bookmarkEnd w:id="3"/>
    </w:p>
    <w:p>
      <w:pPr>
        <w:pStyle w:val="15"/>
        <w:spacing w:line="560" w:lineRule="exact"/>
        <w:ind w:firstLine="560"/>
        <w:rPr>
          <w:rFonts w:hint="eastAsia" w:ascii="Times New Roman" w:hAnsi="Times New Roman" w:eastAsia="仿宋_GB2312" w:cs="Times New Roman"/>
          <w:color w:val="auto"/>
          <w:kern w:val="2"/>
          <w:sz w:val="32"/>
          <w:szCs w:val="32"/>
          <w:lang w:val="en-US" w:eastAsia="zh-CN" w:bidi="ar-SA"/>
        </w:rPr>
      </w:pPr>
      <w:bookmarkStart w:id="4" w:name="_Toc17411"/>
      <w:r>
        <w:rPr>
          <w:rFonts w:hint="eastAsia" w:ascii="Times New Roman" w:hAnsi="Times New Roman" w:eastAsia="仿宋_GB2312" w:cs="Times New Roman"/>
          <w:color w:val="auto"/>
          <w:kern w:val="2"/>
          <w:sz w:val="32"/>
          <w:szCs w:val="32"/>
          <w:lang w:val="en-US" w:eastAsia="zh-CN" w:bidi="ar-SA"/>
        </w:rPr>
        <w:t>2023年文登区绿地及水面养护费年初预算金额为4660万元，</w:t>
      </w:r>
      <w:bookmarkEnd w:id="4"/>
      <w:r>
        <w:rPr>
          <w:rFonts w:hint="eastAsia" w:ascii="Times New Roman" w:hAnsi="Times New Roman" w:eastAsia="仿宋_GB2312" w:cs="Times New Roman"/>
          <w:color w:val="auto"/>
          <w:kern w:val="2"/>
          <w:sz w:val="32"/>
          <w:szCs w:val="32"/>
          <w:lang w:val="en-US" w:eastAsia="zh-CN" w:bidi="ar-SA"/>
        </w:rPr>
        <w:t>全部用于绿化及水面养护费用的支出。2023年实际到位资金0元，2023年预算执行率0%。</w:t>
      </w:r>
    </w:p>
    <w:p>
      <w:pPr>
        <w:pStyle w:val="4"/>
        <w:numPr>
          <w:ilvl w:val="0"/>
          <w:numId w:val="0"/>
        </w:numPr>
        <w:spacing w:before="0" w:after="0" w:line="560" w:lineRule="exact"/>
        <w:ind w:left="0" w:leftChars="0" w:firstLine="640" w:firstLineChars="200"/>
        <w:jc w:val="left"/>
        <w:rPr>
          <w:rFonts w:hint="eastAsia" w:ascii="楷体_GB2312" w:hAnsi="楷体_GB2312" w:eastAsia="楷体_GB2312" w:cs="楷体_GB2312"/>
          <w:bCs w:val="0"/>
          <w:color w:val="auto"/>
          <w:kern w:val="0"/>
          <w:sz w:val="32"/>
          <w:szCs w:val="32"/>
          <w:lang w:val="en-US" w:eastAsia="zh-CN" w:bidi="ar-SA"/>
        </w:rPr>
      </w:pPr>
      <w:bookmarkStart w:id="5" w:name="_Toc45741721"/>
      <w:bookmarkStart w:id="6" w:name="_Toc48873005"/>
      <w:bookmarkStart w:id="7" w:name="_Toc30447"/>
      <w:r>
        <w:rPr>
          <w:rFonts w:hint="eastAsia" w:ascii="楷体_GB2312" w:hAnsi="楷体_GB2312" w:eastAsia="楷体_GB2312" w:cs="楷体_GB2312"/>
          <w:bCs w:val="0"/>
          <w:color w:val="auto"/>
          <w:kern w:val="0"/>
          <w:sz w:val="32"/>
          <w:szCs w:val="32"/>
          <w:lang w:val="en-US" w:eastAsia="zh-CN" w:bidi="ar-SA"/>
        </w:rPr>
        <w:t>（三）项目组织管理情况</w:t>
      </w:r>
      <w:bookmarkEnd w:id="5"/>
      <w:bookmarkEnd w:id="6"/>
      <w:bookmarkEnd w:id="7"/>
      <w:bookmarkStart w:id="8" w:name="_Toc32211"/>
    </w:p>
    <w:p>
      <w:pPr>
        <w:pStyle w:val="15"/>
        <w:spacing w:line="560" w:lineRule="exact"/>
        <w:ind w:firstLine="560"/>
        <w:rPr>
          <w:rFonts w:hint="eastAsia" w:ascii="Times New Roman" w:hAnsi="Times New Roman" w:eastAsia="仿宋_GB2312" w:cs="Times New Roman"/>
          <w:color w:val="auto"/>
          <w:kern w:val="2"/>
          <w:sz w:val="32"/>
          <w:szCs w:val="32"/>
          <w:lang w:val="en-US" w:eastAsia="zh-CN" w:bidi="ar-SA"/>
        </w:rPr>
      </w:pPr>
      <w:r>
        <w:rPr>
          <w:rFonts w:hint="eastAsia" w:ascii="Times New Roman" w:hAnsi="Times New Roman" w:eastAsia="仿宋_GB2312" w:cs="Times New Roman"/>
          <w:color w:val="auto"/>
          <w:kern w:val="2"/>
          <w:sz w:val="32"/>
          <w:szCs w:val="32"/>
          <w:lang w:val="en-US" w:eastAsia="zh-CN" w:bidi="ar-SA"/>
        </w:rPr>
        <w:t>责任单位：文登区城市管理综合服务中心</w:t>
      </w:r>
    </w:p>
    <w:p>
      <w:pPr>
        <w:pStyle w:val="15"/>
        <w:spacing w:line="560" w:lineRule="exact"/>
        <w:ind w:firstLine="560"/>
        <w:rPr>
          <w:rFonts w:hint="eastAsia" w:ascii="Times New Roman" w:hAnsi="Times New Roman" w:eastAsia="仿宋_GB2312" w:cs="Times New Roman"/>
          <w:color w:val="auto"/>
          <w:kern w:val="2"/>
          <w:sz w:val="32"/>
          <w:szCs w:val="32"/>
          <w:lang w:val="en-US" w:eastAsia="zh-CN" w:bidi="ar-SA"/>
        </w:rPr>
      </w:pPr>
      <w:r>
        <w:rPr>
          <w:rFonts w:hint="eastAsia" w:ascii="Times New Roman" w:hAnsi="Times New Roman" w:eastAsia="仿宋_GB2312" w:cs="Times New Roman"/>
          <w:color w:val="auto"/>
          <w:kern w:val="2"/>
          <w:sz w:val="32"/>
          <w:szCs w:val="32"/>
          <w:lang w:val="en-US" w:eastAsia="zh-CN" w:bidi="ar-SA"/>
        </w:rPr>
        <w:t>文登区财政局的主要职责：</w:t>
      </w:r>
    </w:p>
    <w:p>
      <w:pPr>
        <w:pStyle w:val="15"/>
        <w:spacing w:line="560" w:lineRule="exact"/>
        <w:ind w:firstLine="560"/>
        <w:rPr>
          <w:rFonts w:hint="eastAsia" w:ascii="Times New Roman" w:hAnsi="Times New Roman" w:eastAsia="仿宋_GB2312" w:cs="Times New Roman"/>
          <w:color w:val="auto"/>
          <w:kern w:val="2"/>
          <w:sz w:val="32"/>
          <w:szCs w:val="32"/>
          <w:lang w:val="zh-CN" w:eastAsia="zh-CN" w:bidi="ar-SA"/>
        </w:rPr>
      </w:pPr>
      <w:r>
        <w:rPr>
          <w:rFonts w:hint="eastAsia" w:ascii="Times New Roman" w:hAnsi="Times New Roman" w:eastAsia="仿宋_GB2312" w:cs="Times New Roman"/>
          <w:color w:val="auto"/>
          <w:kern w:val="2"/>
          <w:sz w:val="32"/>
          <w:szCs w:val="32"/>
          <w:lang w:val="zh-CN" w:eastAsia="zh-CN" w:bidi="ar-SA"/>
        </w:rPr>
        <w:t>负责预算资金的审核、批复及拨付</w:t>
      </w:r>
      <w:r>
        <w:rPr>
          <w:rFonts w:hint="eastAsia" w:ascii="Times New Roman" w:hAnsi="Times New Roman" w:eastAsia="仿宋_GB2312" w:cs="Times New Roman"/>
          <w:color w:val="auto"/>
          <w:kern w:val="2"/>
          <w:sz w:val="32"/>
          <w:szCs w:val="32"/>
          <w:lang w:val="en-US" w:eastAsia="zh-CN" w:bidi="ar-SA"/>
        </w:rPr>
        <w:t>，对项目资金使用情况进行监督检查</w:t>
      </w:r>
      <w:r>
        <w:rPr>
          <w:rFonts w:hint="eastAsia" w:ascii="Times New Roman" w:hAnsi="Times New Roman" w:eastAsia="仿宋_GB2312" w:cs="Times New Roman"/>
          <w:color w:val="auto"/>
          <w:kern w:val="2"/>
          <w:sz w:val="32"/>
          <w:szCs w:val="32"/>
          <w:lang w:val="zh-CN" w:eastAsia="zh-CN" w:bidi="ar-SA"/>
        </w:rPr>
        <w:t>。</w:t>
      </w:r>
    </w:p>
    <w:p>
      <w:pPr>
        <w:pStyle w:val="15"/>
        <w:spacing w:line="560" w:lineRule="exact"/>
        <w:ind w:firstLine="560"/>
        <w:rPr>
          <w:rFonts w:hint="eastAsia" w:ascii="Times New Roman" w:hAnsi="Times New Roman" w:eastAsia="仿宋_GB2312" w:cs="Times New Roman"/>
          <w:color w:val="auto"/>
          <w:kern w:val="2"/>
          <w:sz w:val="32"/>
          <w:szCs w:val="32"/>
          <w:lang w:val="en-US" w:eastAsia="zh-CN" w:bidi="ar-SA"/>
        </w:rPr>
      </w:pPr>
      <w:r>
        <w:rPr>
          <w:rFonts w:hint="eastAsia" w:ascii="Times New Roman" w:hAnsi="Times New Roman" w:eastAsia="仿宋_GB2312" w:cs="Times New Roman"/>
          <w:color w:val="auto"/>
          <w:kern w:val="2"/>
          <w:sz w:val="32"/>
          <w:szCs w:val="32"/>
          <w:lang w:val="en-US" w:eastAsia="zh-CN" w:bidi="ar-SA"/>
        </w:rPr>
        <w:t>文登区城市管理综合服务中心的主要职责：</w:t>
      </w:r>
    </w:p>
    <w:p>
      <w:pPr>
        <w:pStyle w:val="15"/>
        <w:spacing w:line="560" w:lineRule="exact"/>
        <w:ind w:firstLine="560"/>
        <w:rPr>
          <w:rFonts w:hint="eastAsia" w:ascii="Times New Roman" w:hAnsi="Times New Roman" w:eastAsia="仿宋_GB2312" w:cs="Times New Roman"/>
          <w:color w:val="auto"/>
          <w:kern w:val="2"/>
          <w:sz w:val="32"/>
          <w:szCs w:val="32"/>
          <w:lang w:val="en-US" w:eastAsia="zh-CN" w:bidi="ar-SA"/>
        </w:rPr>
      </w:pPr>
      <w:r>
        <w:rPr>
          <w:rFonts w:hint="eastAsia" w:ascii="Times New Roman" w:hAnsi="Times New Roman" w:eastAsia="仿宋_GB2312" w:cs="Times New Roman"/>
          <w:color w:val="auto"/>
          <w:kern w:val="2"/>
          <w:sz w:val="32"/>
          <w:szCs w:val="32"/>
          <w:lang w:val="en-US" w:eastAsia="zh-CN" w:bidi="ar-SA"/>
        </w:rPr>
        <w:t>文登区城市管理综合服务中心承担全区公园、绿地等城区河道养护、升级改造、卫生保洁的检查考核事务性工作、承担城市道路、照明、绿化施工安全生产机构业务指导工作、负责城区市容市貌、市政设施、园林绿化管理等方面的辅助工作。</w:t>
      </w:r>
    </w:p>
    <w:p>
      <w:pPr>
        <w:pStyle w:val="15"/>
        <w:spacing w:line="560" w:lineRule="exact"/>
        <w:ind w:firstLine="560"/>
        <w:rPr>
          <w:rFonts w:hint="eastAsia" w:ascii="Times New Roman" w:hAnsi="Times New Roman" w:eastAsia="仿宋_GB2312" w:cs="Times New Roman"/>
          <w:color w:val="auto"/>
          <w:kern w:val="2"/>
          <w:sz w:val="32"/>
          <w:szCs w:val="32"/>
          <w:lang w:val="en-US" w:eastAsia="zh-CN" w:bidi="ar-SA"/>
        </w:rPr>
      </w:pPr>
      <w:r>
        <w:rPr>
          <w:rFonts w:hint="eastAsia" w:ascii="Times New Roman" w:hAnsi="Times New Roman" w:eastAsia="仿宋_GB2312" w:cs="Times New Roman"/>
          <w:color w:val="auto"/>
          <w:kern w:val="2"/>
          <w:sz w:val="32"/>
          <w:szCs w:val="32"/>
          <w:lang w:val="en-US" w:eastAsia="zh-CN" w:bidi="ar-SA"/>
        </w:rPr>
        <w:t>威海舜盛建设工程有限公司的主要职责：</w:t>
      </w:r>
    </w:p>
    <w:p>
      <w:pPr>
        <w:pStyle w:val="15"/>
        <w:spacing w:line="560" w:lineRule="exact"/>
        <w:ind w:firstLine="560"/>
        <w:rPr>
          <w:rFonts w:hint="eastAsia" w:ascii="Times New Roman" w:hAnsi="Times New Roman" w:eastAsia="仿宋_GB2312" w:cs="Times New Roman"/>
          <w:color w:val="auto"/>
          <w:kern w:val="2"/>
          <w:sz w:val="32"/>
          <w:szCs w:val="32"/>
          <w:lang w:val="en-US" w:eastAsia="zh-CN" w:bidi="ar-SA"/>
        </w:rPr>
      </w:pPr>
      <w:r>
        <w:rPr>
          <w:rFonts w:hint="eastAsia" w:ascii="Times New Roman" w:hAnsi="Times New Roman" w:eastAsia="仿宋_GB2312" w:cs="Times New Roman"/>
          <w:color w:val="auto"/>
          <w:kern w:val="2"/>
          <w:sz w:val="32"/>
          <w:szCs w:val="32"/>
          <w:lang w:val="en-US" w:eastAsia="zh-CN" w:bidi="ar-SA"/>
        </w:rPr>
        <w:t>威海舜盛建设工程有限公司负责实际开展管护文登区城区绿化及水面养护工作，包括浇水、施肥、苗木修剪、打药、除草、防冻措施、卫生保洁、绿地保护等内容。</w:t>
      </w:r>
    </w:p>
    <w:p>
      <w:pPr>
        <w:pStyle w:val="4"/>
        <w:numPr>
          <w:ilvl w:val="0"/>
          <w:numId w:val="0"/>
        </w:numPr>
        <w:spacing w:before="0" w:after="0" w:line="560" w:lineRule="exact"/>
        <w:ind w:left="0" w:leftChars="0" w:firstLine="640" w:firstLineChars="200"/>
        <w:jc w:val="left"/>
        <w:rPr>
          <w:rFonts w:hint="eastAsia" w:ascii="楷体_GB2312" w:hAnsi="楷体_GB2312" w:eastAsia="楷体_GB2312" w:cs="楷体_GB2312"/>
          <w:bCs w:val="0"/>
          <w:color w:val="auto"/>
          <w:kern w:val="0"/>
          <w:sz w:val="32"/>
          <w:szCs w:val="32"/>
          <w:lang w:val="en-US" w:eastAsia="zh-CN" w:bidi="ar-SA"/>
        </w:rPr>
      </w:pPr>
      <w:bookmarkStart w:id="9" w:name="_Toc9520"/>
      <w:r>
        <w:rPr>
          <w:rFonts w:hint="eastAsia" w:ascii="楷体_GB2312" w:hAnsi="楷体_GB2312" w:eastAsia="楷体_GB2312" w:cs="楷体_GB2312"/>
          <w:bCs w:val="0"/>
          <w:color w:val="auto"/>
          <w:kern w:val="0"/>
          <w:sz w:val="32"/>
          <w:szCs w:val="32"/>
          <w:lang w:val="en-US" w:eastAsia="zh-CN" w:bidi="ar-SA"/>
        </w:rPr>
        <w:t>（四）项目绩效目标</w:t>
      </w:r>
      <w:bookmarkEnd w:id="9"/>
    </w:p>
    <w:p>
      <w:pPr>
        <w:spacing w:line="560" w:lineRule="exact"/>
        <w:ind w:firstLine="960" w:firstLineChars="300"/>
        <w:rPr>
          <w:rFonts w:hint="eastAsia" w:ascii="Times New Roman" w:hAnsi="Times New Roman" w:eastAsia="仿宋_GB2312" w:cs="Times New Roman"/>
          <w:color w:val="auto"/>
          <w:kern w:val="2"/>
          <w:sz w:val="32"/>
          <w:szCs w:val="32"/>
          <w:lang w:val="en-US" w:eastAsia="zh-CN" w:bidi="ar-SA"/>
        </w:rPr>
      </w:pPr>
      <w:r>
        <w:rPr>
          <w:rFonts w:hint="eastAsia" w:ascii="Times New Roman" w:hAnsi="Times New Roman" w:eastAsia="仿宋_GB2312" w:cs="Times New Roman"/>
          <w:color w:val="auto"/>
          <w:kern w:val="2"/>
          <w:sz w:val="32"/>
          <w:szCs w:val="32"/>
          <w:lang w:val="en-US" w:eastAsia="zh-CN" w:bidi="ar-SA"/>
        </w:rPr>
        <w:t>1.绩效目标</w:t>
      </w:r>
    </w:p>
    <w:p>
      <w:pPr>
        <w:pStyle w:val="15"/>
        <w:spacing w:line="560" w:lineRule="exact"/>
        <w:ind w:firstLine="560"/>
        <w:rPr>
          <w:color w:val="FF0000"/>
        </w:rPr>
      </w:pPr>
      <w:r>
        <w:rPr>
          <w:rFonts w:hint="eastAsia" w:ascii="Times New Roman" w:hAnsi="Times New Roman" w:eastAsia="仿宋_GB2312" w:cs="Times New Roman"/>
          <w:color w:val="auto"/>
          <w:kern w:val="2"/>
          <w:sz w:val="32"/>
          <w:szCs w:val="32"/>
          <w:lang w:val="en-US" w:eastAsia="zh-CN" w:bidi="ar-SA"/>
        </w:rPr>
        <w:t>为提升居民生活环境，计划在文登城区范围内，定期对绿地及苗木进行浇水、施肥、修剪、病虫害防治等日常养护工作，预计养护城区内绿地及公园面积数1231.4万平方米，养护行道树数量48216株，保证工作质量达标率达到100%，并确保完工率、完工及时率为100%，建立长效管理机制，改善绿化环境，使市民满意度达到80%以上。</w:t>
      </w:r>
    </w:p>
    <w:p>
      <w:pPr>
        <w:numPr>
          <w:ilvl w:val="0"/>
          <w:numId w:val="2"/>
        </w:numPr>
        <w:spacing w:line="560" w:lineRule="exact"/>
        <w:ind w:firstLine="960" w:firstLineChars="300"/>
        <w:rPr>
          <w:rFonts w:hint="eastAsia"/>
          <w:lang w:val="en-US" w:eastAsia="zh-CN"/>
        </w:rPr>
      </w:pPr>
      <w:r>
        <w:rPr>
          <w:rFonts w:hint="eastAsia" w:ascii="Times New Roman" w:hAnsi="Times New Roman" w:eastAsia="仿宋_GB2312" w:cs="Times New Roman"/>
          <w:color w:val="auto"/>
          <w:kern w:val="2"/>
          <w:sz w:val="32"/>
          <w:szCs w:val="32"/>
          <w:lang w:val="en-US" w:eastAsia="zh-CN" w:bidi="ar-SA"/>
        </w:rPr>
        <w:t>文登区城市管理综合服务中心——2023年绿地及水面养护费绩效指标</w:t>
      </w:r>
    </w:p>
    <w:tbl>
      <w:tblPr>
        <w:tblStyle w:val="21"/>
        <w:tblW w:w="4998"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526"/>
        <w:gridCol w:w="2692"/>
        <w:gridCol w:w="2694"/>
        <w:gridCol w:w="161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0" w:hRule="atLeast"/>
        </w:trPr>
        <w:tc>
          <w:tcPr>
            <w:tcW w:w="895" w:type="pct"/>
            <w:vMerge w:val="restart"/>
            <w:tcBorders>
              <w:top w:val="nil"/>
              <w:left w:val="nil"/>
              <w:bottom w:val="nil"/>
              <w:right w:val="nil"/>
              <w:insideV w:val="nil"/>
            </w:tcBorders>
            <w:shd w:val="clear" w:color="auto" w:fill="5B9BD5" w:themeFill="accent1"/>
            <w:vAlign w:val="center"/>
          </w:tcPr>
          <w:p>
            <w:pPr>
              <w:widowControl/>
              <w:spacing w:before="0" w:after="0" w:line="240" w:lineRule="auto"/>
              <w:jc w:val="center"/>
              <w:textAlignment w:val="center"/>
              <w:rPr>
                <w:rFonts w:ascii="Times New Roman" w:hAnsi="Times New Roman" w:eastAsia="仿宋_GB2312" w:cs="Times New Roman"/>
                <w:b w:val="0"/>
                <w:bCs w:val="0"/>
                <w:color w:val="FFFFFF"/>
                <w:kern w:val="0"/>
                <w:sz w:val="24"/>
                <w:szCs w:val="24"/>
                <w:lang w:val="zh-CN"/>
              </w:rPr>
            </w:pPr>
            <w:r>
              <w:rPr>
                <w:rFonts w:ascii="Times New Roman" w:hAnsi="Times New Roman" w:eastAsia="仿宋_GB2312" w:cs="Times New Roman"/>
                <w:b/>
                <w:bCs/>
                <w:color w:val="FFFFFF"/>
                <w:kern w:val="0"/>
                <w:sz w:val="24"/>
                <w:szCs w:val="24"/>
              </w:rPr>
              <w:t>一级指标</w:t>
            </w:r>
          </w:p>
        </w:tc>
        <w:tc>
          <w:tcPr>
            <w:tcW w:w="1579" w:type="pct"/>
            <w:vMerge w:val="restart"/>
            <w:tcBorders>
              <w:top w:val="nil"/>
              <w:bottom w:val="nil"/>
              <w:right w:val="nil"/>
              <w:insideV w:val="nil"/>
            </w:tcBorders>
            <w:shd w:val="clear" w:color="auto" w:fill="5B9BD5" w:themeFill="accent1"/>
            <w:vAlign w:val="center"/>
          </w:tcPr>
          <w:p>
            <w:pPr>
              <w:widowControl/>
              <w:spacing w:before="0" w:after="0" w:line="240" w:lineRule="auto"/>
              <w:jc w:val="center"/>
              <w:textAlignment w:val="center"/>
              <w:rPr>
                <w:rFonts w:ascii="Times New Roman" w:hAnsi="Times New Roman" w:eastAsia="仿宋_GB2312" w:cs="Times New Roman"/>
                <w:b w:val="0"/>
                <w:bCs w:val="0"/>
                <w:color w:val="FFFFFF"/>
                <w:kern w:val="0"/>
                <w:sz w:val="24"/>
                <w:szCs w:val="24"/>
                <w:lang w:val="zh-CN"/>
              </w:rPr>
            </w:pPr>
            <w:r>
              <w:rPr>
                <w:rFonts w:ascii="Times New Roman" w:hAnsi="Times New Roman" w:eastAsia="仿宋_GB2312" w:cs="Times New Roman"/>
                <w:b/>
                <w:bCs/>
                <w:color w:val="FFFFFF"/>
                <w:kern w:val="0"/>
                <w:sz w:val="24"/>
                <w:szCs w:val="24"/>
              </w:rPr>
              <w:t>二级指标</w:t>
            </w:r>
          </w:p>
        </w:tc>
        <w:tc>
          <w:tcPr>
            <w:tcW w:w="1580" w:type="pct"/>
            <w:vMerge w:val="restart"/>
            <w:tcBorders>
              <w:top w:val="nil"/>
              <w:bottom w:val="nil"/>
              <w:right w:val="nil"/>
              <w:insideV w:val="nil"/>
            </w:tcBorders>
            <w:shd w:val="clear" w:color="auto" w:fill="5B9BD5" w:themeFill="accent1"/>
            <w:vAlign w:val="center"/>
          </w:tcPr>
          <w:p>
            <w:pPr>
              <w:widowControl/>
              <w:spacing w:before="0" w:after="0" w:line="240" w:lineRule="auto"/>
              <w:jc w:val="center"/>
              <w:textAlignment w:val="center"/>
              <w:rPr>
                <w:rFonts w:ascii="Times New Roman" w:hAnsi="Times New Roman" w:eastAsia="仿宋_GB2312" w:cs="Times New Roman"/>
                <w:b w:val="0"/>
                <w:bCs w:val="0"/>
                <w:color w:val="FFFFFF"/>
                <w:kern w:val="0"/>
                <w:sz w:val="24"/>
                <w:szCs w:val="24"/>
                <w:lang w:val="zh-CN"/>
              </w:rPr>
            </w:pPr>
            <w:r>
              <w:rPr>
                <w:rFonts w:ascii="Times New Roman" w:hAnsi="Times New Roman" w:eastAsia="仿宋_GB2312" w:cs="Times New Roman"/>
                <w:b/>
                <w:bCs/>
                <w:color w:val="FFFFFF"/>
                <w:kern w:val="0"/>
                <w:sz w:val="24"/>
                <w:szCs w:val="24"/>
              </w:rPr>
              <w:t>三级指标</w:t>
            </w:r>
          </w:p>
        </w:tc>
        <w:tc>
          <w:tcPr>
            <w:tcW w:w="946" w:type="pct"/>
            <w:vMerge w:val="restart"/>
            <w:tcBorders>
              <w:top w:val="nil"/>
              <w:bottom w:val="nil"/>
              <w:right w:val="nil"/>
              <w:insideV w:val="nil"/>
            </w:tcBorders>
            <w:shd w:val="clear" w:color="auto" w:fill="5B9BD5" w:themeFill="accent1"/>
            <w:vAlign w:val="center"/>
          </w:tcPr>
          <w:p>
            <w:pPr>
              <w:widowControl/>
              <w:spacing w:before="0" w:after="0" w:line="240" w:lineRule="auto"/>
              <w:jc w:val="center"/>
              <w:textAlignment w:val="center"/>
              <w:rPr>
                <w:rFonts w:ascii="Times New Roman" w:hAnsi="Times New Roman" w:eastAsia="仿宋_GB2312" w:cs="Times New Roman"/>
                <w:b w:val="0"/>
                <w:bCs w:val="0"/>
                <w:color w:val="FFFFFF"/>
                <w:kern w:val="0"/>
                <w:sz w:val="24"/>
                <w:szCs w:val="24"/>
                <w:lang w:val="zh-CN"/>
              </w:rPr>
            </w:pPr>
            <w:r>
              <w:rPr>
                <w:rFonts w:ascii="Times New Roman" w:hAnsi="Times New Roman" w:eastAsia="仿宋_GB2312" w:cs="Times New Roman"/>
                <w:b/>
                <w:bCs/>
                <w:color w:val="FFFFFF"/>
                <w:kern w:val="0"/>
                <w:sz w:val="24"/>
                <w:szCs w:val="24"/>
              </w:rPr>
              <w:t>年度指标值</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0" w:hRule="atLeast"/>
        </w:trPr>
        <w:tc>
          <w:tcPr>
            <w:tcW w:w="895" w:type="pct"/>
            <w:vMerge w:val="continue"/>
            <w:tcBorders>
              <w:right w:val="nil"/>
            </w:tcBorders>
            <w:shd w:val="clear" w:color="auto" w:fill="D6E6F4" w:themeFill="accent1" w:themeFillTint="3F"/>
            <w:vAlign w:val="center"/>
          </w:tcPr>
          <w:p>
            <w:pPr>
              <w:widowControl/>
              <w:jc w:val="center"/>
              <w:rPr>
                <w:rFonts w:ascii="Times New Roman" w:hAnsi="Times New Roman" w:eastAsia="仿宋_GB2312" w:cs="Times New Roman"/>
                <w:b w:val="0"/>
                <w:bCs w:val="0"/>
                <w:color w:val="000000"/>
                <w:kern w:val="0"/>
                <w:sz w:val="24"/>
                <w:szCs w:val="24"/>
                <w:lang w:val="zh-CN"/>
              </w:rPr>
            </w:pPr>
          </w:p>
        </w:tc>
        <w:tc>
          <w:tcPr>
            <w:tcW w:w="1579" w:type="pct"/>
            <w:vMerge w:val="continue"/>
            <w:tcBorders>
              <w:left w:val="nil"/>
              <w:right w:val="nil"/>
            </w:tcBorders>
            <w:shd w:val="clear" w:color="auto" w:fill="D6E6F4" w:themeFill="accent1" w:themeFillTint="3F"/>
            <w:vAlign w:val="center"/>
          </w:tcPr>
          <w:p>
            <w:pPr>
              <w:widowControl/>
              <w:jc w:val="center"/>
              <w:rPr>
                <w:rFonts w:ascii="Times New Roman" w:hAnsi="Times New Roman" w:eastAsia="仿宋_GB2312" w:cs="Times New Roman"/>
                <w:color w:val="000000"/>
                <w:kern w:val="0"/>
                <w:sz w:val="24"/>
                <w:szCs w:val="24"/>
                <w:lang w:val="zh-CN"/>
              </w:rPr>
            </w:pPr>
          </w:p>
        </w:tc>
        <w:tc>
          <w:tcPr>
            <w:tcW w:w="1580" w:type="pct"/>
            <w:vMerge w:val="continue"/>
            <w:tcBorders>
              <w:left w:val="nil"/>
              <w:right w:val="nil"/>
            </w:tcBorders>
            <w:shd w:val="clear" w:color="auto" w:fill="D6E6F4" w:themeFill="accent1" w:themeFillTint="3F"/>
            <w:vAlign w:val="center"/>
          </w:tcPr>
          <w:p>
            <w:pPr>
              <w:widowControl/>
              <w:jc w:val="center"/>
              <w:rPr>
                <w:rFonts w:ascii="Times New Roman" w:hAnsi="Times New Roman" w:eastAsia="仿宋_GB2312" w:cs="Times New Roman"/>
                <w:color w:val="000000"/>
                <w:kern w:val="0"/>
                <w:sz w:val="24"/>
                <w:szCs w:val="24"/>
                <w:lang w:val="zh-CN"/>
              </w:rPr>
            </w:pPr>
          </w:p>
        </w:tc>
        <w:tc>
          <w:tcPr>
            <w:tcW w:w="946" w:type="pct"/>
            <w:vMerge w:val="continue"/>
            <w:tcBorders>
              <w:left w:val="nil"/>
            </w:tcBorders>
            <w:shd w:val="clear" w:color="auto" w:fill="D6E6F4" w:themeFill="accent1" w:themeFillTint="3F"/>
            <w:vAlign w:val="center"/>
          </w:tcPr>
          <w:p>
            <w:pPr>
              <w:widowControl/>
              <w:jc w:val="center"/>
              <w:rPr>
                <w:rFonts w:ascii="Times New Roman" w:hAnsi="Times New Roman" w:eastAsia="仿宋_GB2312" w:cs="Times New Roman"/>
                <w:color w:val="000000"/>
                <w:kern w:val="0"/>
                <w:sz w:val="24"/>
                <w:szCs w:val="24"/>
                <w:lang w:val="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95" w:type="pct"/>
            <w:vMerge w:val="restart"/>
            <w:tcBorders>
              <w:right w:val="nil"/>
            </w:tcBorders>
            <w:vAlign w:val="center"/>
          </w:tcPr>
          <w:p>
            <w:pPr>
              <w:widowControl/>
              <w:jc w:val="center"/>
              <w:textAlignment w:val="center"/>
              <w:rPr>
                <w:rFonts w:ascii="Times New Roman" w:hAnsi="Times New Roman" w:eastAsia="仿宋_GB2312" w:cs="Times New Roman"/>
                <w:b w:val="0"/>
                <w:bCs w:val="0"/>
                <w:color w:val="000000"/>
                <w:kern w:val="0"/>
                <w:sz w:val="24"/>
                <w:szCs w:val="24"/>
                <w:lang w:val="zh-CN"/>
              </w:rPr>
            </w:pPr>
            <w:r>
              <w:rPr>
                <w:rFonts w:ascii="Times New Roman" w:hAnsi="Times New Roman" w:eastAsia="仿宋_GB2312" w:cs="Times New Roman"/>
                <w:b/>
                <w:bCs/>
                <w:color w:val="000000"/>
                <w:kern w:val="0"/>
                <w:sz w:val="24"/>
                <w:szCs w:val="24"/>
              </w:rPr>
              <w:t>产出指标</w:t>
            </w:r>
          </w:p>
        </w:tc>
        <w:tc>
          <w:tcPr>
            <w:tcW w:w="1579" w:type="pct"/>
            <w:tcBorders>
              <w:left w:val="nil"/>
              <w:right w:val="nil"/>
            </w:tcBorders>
            <w:vAlign w:val="center"/>
          </w:tcPr>
          <w:p>
            <w:pPr>
              <w:widowControl/>
              <w:jc w:val="center"/>
              <w:textAlignment w:val="center"/>
              <w:rPr>
                <w:rFonts w:ascii="Times New Roman" w:hAnsi="Times New Roman" w:eastAsia="仿宋_GB2312" w:cs="Times New Roman"/>
                <w:color w:val="000000"/>
                <w:kern w:val="0"/>
                <w:sz w:val="24"/>
                <w:szCs w:val="24"/>
                <w:lang w:val="zh-CN"/>
              </w:rPr>
            </w:pPr>
            <w:r>
              <w:rPr>
                <w:rFonts w:ascii="Times New Roman" w:hAnsi="Times New Roman" w:eastAsia="仿宋_GB2312" w:cs="Times New Roman"/>
                <w:color w:val="000000"/>
                <w:kern w:val="0"/>
                <w:sz w:val="24"/>
                <w:szCs w:val="24"/>
              </w:rPr>
              <w:t>数量指标</w:t>
            </w:r>
          </w:p>
        </w:tc>
        <w:tc>
          <w:tcPr>
            <w:tcW w:w="1580" w:type="pct"/>
            <w:tcBorders>
              <w:left w:val="nil"/>
              <w:right w:val="nil"/>
            </w:tcBorders>
            <w:vAlign w:val="center"/>
          </w:tcPr>
          <w:p>
            <w:pPr>
              <w:widowControl/>
              <w:jc w:val="center"/>
              <w:textAlignment w:val="center"/>
              <w:rPr>
                <w:rFonts w:ascii="Times New Roman" w:hAnsi="Times New Roman" w:eastAsia="仿宋_GB2312" w:cs="Times New Roman"/>
                <w:color w:val="000000"/>
                <w:kern w:val="0"/>
                <w:sz w:val="24"/>
                <w:szCs w:val="24"/>
              </w:rPr>
            </w:pPr>
            <w:r>
              <w:rPr>
                <w:rFonts w:ascii="Times New Roman" w:hAnsi="Times New Roman" w:eastAsia="仿宋_GB2312" w:cs="Times New Roman"/>
                <w:color w:val="000000"/>
                <w:kern w:val="0"/>
                <w:sz w:val="24"/>
                <w:szCs w:val="24"/>
              </w:rPr>
              <w:t>绿地及公园面积数</w:t>
            </w:r>
          </w:p>
        </w:tc>
        <w:tc>
          <w:tcPr>
            <w:tcW w:w="946" w:type="pct"/>
            <w:tcBorders>
              <w:left w:val="nil"/>
            </w:tcBorders>
            <w:vAlign w:val="center"/>
          </w:tcPr>
          <w:p>
            <w:pPr>
              <w:widowControl/>
              <w:jc w:val="center"/>
              <w:textAlignment w:val="center"/>
              <w:rPr>
                <w:rFonts w:ascii="Times New Roman" w:hAnsi="Times New Roman" w:eastAsia="仿宋_GB2312" w:cs="Times New Roman"/>
                <w:color w:val="000000"/>
                <w:kern w:val="0"/>
                <w:sz w:val="24"/>
                <w:szCs w:val="24"/>
                <w:lang w:val="zh-CN"/>
              </w:rPr>
            </w:pPr>
            <w:r>
              <w:rPr>
                <w:rFonts w:ascii="Times New Roman" w:hAnsi="Times New Roman" w:eastAsia="仿宋_GB2312" w:cs="Times New Roman"/>
                <w:color w:val="000000"/>
                <w:kern w:val="0"/>
                <w:sz w:val="24"/>
                <w:szCs w:val="24"/>
              </w:rPr>
              <w:t>1231.4万平方米</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95" w:type="pct"/>
            <w:vMerge w:val="continue"/>
            <w:tcBorders>
              <w:right w:val="nil"/>
            </w:tcBorders>
            <w:shd w:val="clear" w:color="auto" w:fill="D6E6F4" w:themeFill="accent1" w:themeFillTint="3F"/>
            <w:vAlign w:val="center"/>
          </w:tcPr>
          <w:p>
            <w:pPr>
              <w:widowControl/>
              <w:jc w:val="center"/>
              <w:rPr>
                <w:rFonts w:ascii="Times New Roman" w:hAnsi="Times New Roman" w:eastAsia="仿宋_GB2312" w:cs="Times New Roman"/>
                <w:b w:val="0"/>
                <w:bCs w:val="0"/>
                <w:color w:val="000000"/>
                <w:kern w:val="0"/>
                <w:sz w:val="24"/>
                <w:szCs w:val="24"/>
                <w:lang w:val="zh-CN"/>
              </w:rPr>
            </w:pPr>
          </w:p>
        </w:tc>
        <w:tc>
          <w:tcPr>
            <w:tcW w:w="1579" w:type="pct"/>
            <w:tcBorders>
              <w:left w:val="nil"/>
              <w:right w:val="nil"/>
            </w:tcBorders>
            <w:shd w:val="clear" w:color="auto" w:fill="D6E6F4" w:themeFill="accent1" w:themeFillTint="3F"/>
            <w:vAlign w:val="center"/>
          </w:tcPr>
          <w:p>
            <w:pPr>
              <w:widowControl/>
              <w:jc w:val="center"/>
              <w:textAlignment w:val="center"/>
              <w:rPr>
                <w:rFonts w:ascii="Times New Roman" w:hAnsi="Times New Roman" w:eastAsia="仿宋_GB2312" w:cs="Times New Roman"/>
                <w:color w:val="000000"/>
                <w:kern w:val="0"/>
                <w:sz w:val="24"/>
                <w:szCs w:val="24"/>
              </w:rPr>
            </w:pPr>
            <w:r>
              <w:rPr>
                <w:rFonts w:ascii="Times New Roman" w:hAnsi="Times New Roman" w:eastAsia="仿宋_GB2312" w:cs="Times New Roman"/>
                <w:color w:val="000000"/>
                <w:kern w:val="0"/>
                <w:sz w:val="24"/>
                <w:szCs w:val="24"/>
              </w:rPr>
              <w:t>数量指标</w:t>
            </w:r>
          </w:p>
        </w:tc>
        <w:tc>
          <w:tcPr>
            <w:tcW w:w="1580" w:type="pct"/>
            <w:tcBorders>
              <w:left w:val="nil"/>
              <w:right w:val="nil"/>
            </w:tcBorders>
            <w:shd w:val="clear" w:color="auto" w:fill="D6E6F4" w:themeFill="accent1" w:themeFillTint="3F"/>
            <w:vAlign w:val="center"/>
          </w:tcPr>
          <w:p>
            <w:pPr>
              <w:widowControl/>
              <w:jc w:val="center"/>
              <w:textAlignment w:val="center"/>
              <w:rPr>
                <w:rFonts w:ascii="Times New Roman" w:hAnsi="Times New Roman" w:eastAsia="仿宋_GB2312" w:cs="Times New Roman"/>
                <w:color w:val="000000"/>
                <w:kern w:val="0"/>
                <w:sz w:val="24"/>
                <w:szCs w:val="24"/>
              </w:rPr>
            </w:pPr>
            <w:r>
              <w:rPr>
                <w:rFonts w:ascii="Times New Roman" w:hAnsi="Times New Roman" w:eastAsia="仿宋_GB2312" w:cs="Times New Roman"/>
                <w:color w:val="000000"/>
                <w:kern w:val="0"/>
                <w:sz w:val="24"/>
                <w:szCs w:val="24"/>
              </w:rPr>
              <w:t>养护行道树数量</w:t>
            </w:r>
          </w:p>
        </w:tc>
        <w:tc>
          <w:tcPr>
            <w:tcW w:w="946" w:type="pct"/>
            <w:tcBorders>
              <w:left w:val="nil"/>
            </w:tcBorders>
            <w:shd w:val="clear" w:color="auto" w:fill="D6E6F4" w:themeFill="accent1" w:themeFillTint="3F"/>
            <w:vAlign w:val="center"/>
          </w:tcPr>
          <w:p>
            <w:pPr>
              <w:widowControl/>
              <w:jc w:val="center"/>
              <w:textAlignment w:val="center"/>
              <w:rPr>
                <w:rFonts w:ascii="Times New Roman" w:hAnsi="Times New Roman" w:eastAsia="仿宋_GB2312" w:cs="Times New Roman"/>
                <w:color w:val="000000"/>
                <w:kern w:val="0"/>
                <w:sz w:val="24"/>
                <w:szCs w:val="24"/>
              </w:rPr>
            </w:pPr>
            <w:r>
              <w:rPr>
                <w:rFonts w:ascii="Times New Roman" w:hAnsi="Times New Roman" w:eastAsia="仿宋_GB2312" w:cs="Times New Roman"/>
                <w:color w:val="000000"/>
                <w:kern w:val="0"/>
                <w:sz w:val="24"/>
                <w:szCs w:val="24"/>
              </w:rPr>
              <w:t>48216株</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95" w:type="pct"/>
            <w:vMerge w:val="continue"/>
            <w:tcBorders>
              <w:right w:val="nil"/>
            </w:tcBorders>
            <w:vAlign w:val="center"/>
          </w:tcPr>
          <w:p>
            <w:pPr>
              <w:widowControl/>
              <w:jc w:val="center"/>
              <w:rPr>
                <w:rFonts w:ascii="Times New Roman" w:hAnsi="Times New Roman" w:eastAsia="仿宋_GB2312" w:cs="Times New Roman"/>
                <w:b w:val="0"/>
                <w:bCs w:val="0"/>
                <w:color w:val="000000"/>
                <w:kern w:val="0"/>
                <w:sz w:val="24"/>
                <w:szCs w:val="24"/>
                <w:lang w:val="zh-CN"/>
              </w:rPr>
            </w:pPr>
          </w:p>
        </w:tc>
        <w:tc>
          <w:tcPr>
            <w:tcW w:w="1579" w:type="pct"/>
            <w:tcBorders>
              <w:left w:val="nil"/>
              <w:right w:val="nil"/>
            </w:tcBorders>
            <w:vAlign w:val="center"/>
          </w:tcPr>
          <w:p>
            <w:pPr>
              <w:widowControl/>
              <w:jc w:val="center"/>
              <w:textAlignment w:val="center"/>
              <w:rPr>
                <w:rFonts w:ascii="Times New Roman" w:hAnsi="Times New Roman" w:eastAsia="仿宋_GB2312" w:cs="Times New Roman"/>
                <w:color w:val="000000"/>
                <w:kern w:val="0"/>
                <w:sz w:val="24"/>
                <w:szCs w:val="24"/>
                <w:lang w:val="zh-CN"/>
              </w:rPr>
            </w:pPr>
            <w:r>
              <w:rPr>
                <w:rFonts w:ascii="Times New Roman" w:hAnsi="Times New Roman" w:eastAsia="仿宋_GB2312" w:cs="Times New Roman"/>
                <w:color w:val="000000"/>
                <w:kern w:val="0"/>
                <w:sz w:val="24"/>
                <w:szCs w:val="24"/>
              </w:rPr>
              <w:t>质量指标</w:t>
            </w:r>
          </w:p>
        </w:tc>
        <w:tc>
          <w:tcPr>
            <w:tcW w:w="1580" w:type="pct"/>
            <w:tcBorders>
              <w:left w:val="nil"/>
              <w:right w:val="nil"/>
            </w:tcBorders>
            <w:vAlign w:val="center"/>
          </w:tcPr>
          <w:p>
            <w:pPr>
              <w:widowControl/>
              <w:jc w:val="center"/>
              <w:textAlignment w:val="center"/>
              <w:rPr>
                <w:rFonts w:ascii="Times New Roman" w:hAnsi="Times New Roman" w:eastAsia="仿宋_GB2312" w:cs="Times New Roman"/>
                <w:color w:val="000000"/>
                <w:kern w:val="0"/>
                <w:sz w:val="24"/>
                <w:szCs w:val="24"/>
              </w:rPr>
            </w:pPr>
            <w:r>
              <w:rPr>
                <w:rFonts w:ascii="Times New Roman" w:hAnsi="Times New Roman" w:eastAsia="仿宋_GB2312" w:cs="Times New Roman"/>
                <w:color w:val="000000"/>
                <w:kern w:val="0"/>
                <w:sz w:val="24"/>
                <w:szCs w:val="24"/>
              </w:rPr>
              <w:t>质量达标率</w:t>
            </w:r>
          </w:p>
        </w:tc>
        <w:tc>
          <w:tcPr>
            <w:tcW w:w="946" w:type="pct"/>
            <w:tcBorders>
              <w:left w:val="nil"/>
            </w:tcBorders>
            <w:vAlign w:val="center"/>
          </w:tcPr>
          <w:p>
            <w:pPr>
              <w:widowControl/>
              <w:jc w:val="center"/>
              <w:textAlignment w:val="center"/>
              <w:rPr>
                <w:rFonts w:ascii="Times New Roman" w:hAnsi="Times New Roman" w:eastAsia="仿宋_GB2312" w:cs="Times New Roman"/>
                <w:color w:val="000000"/>
                <w:kern w:val="0"/>
                <w:sz w:val="24"/>
                <w:szCs w:val="24"/>
                <w:lang w:val="zh-CN"/>
              </w:rPr>
            </w:pPr>
            <w:r>
              <w:rPr>
                <w:rFonts w:ascii="Times New Roman" w:hAnsi="Times New Roman" w:eastAsia="仿宋_GB2312" w:cs="Times New Roman"/>
                <w:color w:val="000000"/>
                <w:kern w:val="0"/>
                <w:sz w:val="24"/>
                <w:szCs w:val="24"/>
              </w:rPr>
              <w:t>100%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95" w:type="pct"/>
            <w:vMerge w:val="continue"/>
            <w:tcBorders>
              <w:right w:val="nil"/>
            </w:tcBorders>
            <w:shd w:val="clear" w:color="auto" w:fill="D6E6F4" w:themeFill="accent1" w:themeFillTint="3F"/>
            <w:vAlign w:val="center"/>
          </w:tcPr>
          <w:p>
            <w:pPr>
              <w:widowControl/>
              <w:jc w:val="center"/>
              <w:rPr>
                <w:rFonts w:ascii="Times New Roman" w:hAnsi="Times New Roman" w:eastAsia="仿宋_GB2312" w:cs="Times New Roman"/>
                <w:b w:val="0"/>
                <w:bCs w:val="0"/>
                <w:color w:val="000000"/>
                <w:kern w:val="0"/>
                <w:sz w:val="24"/>
                <w:szCs w:val="24"/>
                <w:lang w:val="zh-CN"/>
              </w:rPr>
            </w:pPr>
          </w:p>
        </w:tc>
        <w:tc>
          <w:tcPr>
            <w:tcW w:w="1579" w:type="pct"/>
            <w:tcBorders>
              <w:left w:val="nil"/>
              <w:right w:val="nil"/>
            </w:tcBorders>
            <w:shd w:val="clear" w:color="auto" w:fill="D6E6F4" w:themeFill="accent1" w:themeFillTint="3F"/>
            <w:vAlign w:val="center"/>
          </w:tcPr>
          <w:p>
            <w:pPr>
              <w:widowControl/>
              <w:jc w:val="center"/>
              <w:textAlignment w:val="center"/>
              <w:rPr>
                <w:rFonts w:ascii="Times New Roman" w:hAnsi="Times New Roman" w:eastAsia="仿宋_GB2312" w:cs="Times New Roman"/>
                <w:color w:val="000000"/>
                <w:kern w:val="0"/>
                <w:sz w:val="24"/>
                <w:szCs w:val="24"/>
                <w:lang w:val="zh-CN"/>
              </w:rPr>
            </w:pPr>
            <w:r>
              <w:rPr>
                <w:rFonts w:ascii="Times New Roman" w:hAnsi="Times New Roman" w:eastAsia="仿宋_GB2312" w:cs="Times New Roman"/>
                <w:color w:val="000000"/>
                <w:kern w:val="0"/>
                <w:sz w:val="24"/>
                <w:szCs w:val="24"/>
              </w:rPr>
              <w:t>时效指标</w:t>
            </w:r>
          </w:p>
        </w:tc>
        <w:tc>
          <w:tcPr>
            <w:tcW w:w="1580" w:type="pct"/>
            <w:tcBorders>
              <w:left w:val="nil"/>
              <w:right w:val="nil"/>
            </w:tcBorders>
            <w:shd w:val="clear" w:color="auto" w:fill="D6E6F4" w:themeFill="accent1" w:themeFillTint="3F"/>
            <w:vAlign w:val="center"/>
          </w:tcPr>
          <w:p>
            <w:pPr>
              <w:widowControl/>
              <w:jc w:val="center"/>
              <w:textAlignment w:val="center"/>
              <w:rPr>
                <w:rFonts w:ascii="Times New Roman" w:hAnsi="Times New Roman" w:eastAsia="仿宋_GB2312" w:cs="Times New Roman"/>
                <w:color w:val="000000"/>
                <w:kern w:val="0"/>
                <w:sz w:val="24"/>
                <w:szCs w:val="24"/>
              </w:rPr>
            </w:pPr>
            <w:r>
              <w:rPr>
                <w:rFonts w:ascii="Times New Roman" w:hAnsi="Times New Roman" w:eastAsia="仿宋_GB2312" w:cs="Times New Roman"/>
                <w:color w:val="000000"/>
                <w:kern w:val="0"/>
                <w:sz w:val="24"/>
                <w:szCs w:val="24"/>
              </w:rPr>
              <w:t>完成及时率</w:t>
            </w:r>
          </w:p>
        </w:tc>
        <w:tc>
          <w:tcPr>
            <w:tcW w:w="946" w:type="pct"/>
            <w:tcBorders>
              <w:left w:val="nil"/>
            </w:tcBorders>
            <w:shd w:val="clear" w:color="auto" w:fill="D6E6F4" w:themeFill="accent1" w:themeFillTint="3F"/>
            <w:vAlign w:val="center"/>
          </w:tcPr>
          <w:p>
            <w:pPr>
              <w:widowControl/>
              <w:jc w:val="center"/>
              <w:textAlignment w:val="center"/>
              <w:rPr>
                <w:rFonts w:ascii="Times New Roman" w:hAnsi="Times New Roman" w:eastAsia="仿宋_GB2312" w:cs="Times New Roman"/>
                <w:color w:val="000000"/>
                <w:kern w:val="0"/>
                <w:sz w:val="24"/>
                <w:szCs w:val="24"/>
                <w:lang w:val="zh-CN"/>
              </w:rPr>
            </w:pPr>
            <w:r>
              <w:rPr>
                <w:rFonts w:ascii="Times New Roman" w:hAnsi="Times New Roman" w:eastAsia="仿宋_GB2312" w:cs="Times New Roman"/>
                <w:color w:val="000000"/>
                <w:kern w:val="0"/>
                <w:sz w:val="24"/>
                <w:szCs w:val="24"/>
              </w:rPr>
              <w:t>100%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95" w:type="pct"/>
            <w:vMerge w:val="restart"/>
            <w:tcBorders>
              <w:right w:val="nil"/>
            </w:tcBorders>
            <w:vAlign w:val="center"/>
          </w:tcPr>
          <w:p>
            <w:pPr>
              <w:widowControl/>
              <w:jc w:val="center"/>
              <w:textAlignment w:val="center"/>
              <w:rPr>
                <w:rFonts w:ascii="Times New Roman" w:hAnsi="Times New Roman" w:eastAsia="仿宋_GB2312" w:cs="Times New Roman"/>
                <w:b w:val="0"/>
                <w:bCs w:val="0"/>
                <w:color w:val="000000"/>
                <w:kern w:val="0"/>
                <w:sz w:val="24"/>
                <w:szCs w:val="24"/>
                <w:lang w:val="zh-CN"/>
              </w:rPr>
            </w:pPr>
            <w:r>
              <w:rPr>
                <w:rFonts w:ascii="Times New Roman" w:hAnsi="Times New Roman" w:eastAsia="仿宋_GB2312" w:cs="Times New Roman"/>
                <w:b/>
                <w:bCs/>
                <w:color w:val="000000"/>
                <w:kern w:val="0"/>
                <w:sz w:val="24"/>
                <w:szCs w:val="24"/>
              </w:rPr>
              <w:t>效益指标</w:t>
            </w:r>
          </w:p>
        </w:tc>
        <w:tc>
          <w:tcPr>
            <w:tcW w:w="1579" w:type="pct"/>
            <w:tcBorders>
              <w:left w:val="nil"/>
              <w:right w:val="nil"/>
            </w:tcBorders>
            <w:vAlign w:val="center"/>
          </w:tcPr>
          <w:p>
            <w:pPr>
              <w:widowControl/>
              <w:jc w:val="center"/>
              <w:textAlignment w:val="center"/>
              <w:rPr>
                <w:rFonts w:ascii="Times New Roman" w:hAnsi="Times New Roman" w:eastAsia="仿宋_GB2312" w:cs="Times New Roman"/>
                <w:color w:val="000000"/>
                <w:kern w:val="0"/>
                <w:sz w:val="24"/>
                <w:szCs w:val="24"/>
                <w:lang w:val="zh-CN"/>
              </w:rPr>
            </w:pPr>
            <w:r>
              <w:rPr>
                <w:rFonts w:ascii="Times New Roman" w:hAnsi="Times New Roman" w:eastAsia="仿宋_GB2312" w:cs="Times New Roman"/>
                <w:color w:val="000000"/>
                <w:kern w:val="0"/>
                <w:sz w:val="24"/>
                <w:szCs w:val="24"/>
              </w:rPr>
              <w:t>社会效益指标</w:t>
            </w:r>
          </w:p>
        </w:tc>
        <w:tc>
          <w:tcPr>
            <w:tcW w:w="1580" w:type="pct"/>
            <w:tcBorders>
              <w:left w:val="nil"/>
              <w:right w:val="nil"/>
            </w:tcBorders>
            <w:vAlign w:val="center"/>
          </w:tcPr>
          <w:p>
            <w:pPr>
              <w:widowControl/>
              <w:jc w:val="center"/>
              <w:textAlignment w:val="center"/>
              <w:rPr>
                <w:rFonts w:ascii="Times New Roman" w:hAnsi="Times New Roman" w:eastAsia="仿宋_GB2312" w:cs="Times New Roman"/>
                <w:color w:val="000000"/>
                <w:kern w:val="0"/>
                <w:sz w:val="24"/>
                <w:szCs w:val="24"/>
              </w:rPr>
            </w:pPr>
            <w:r>
              <w:rPr>
                <w:rFonts w:ascii="Times New Roman" w:hAnsi="Times New Roman" w:eastAsia="仿宋_GB2312" w:cs="Times New Roman"/>
                <w:color w:val="000000"/>
                <w:kern w:val="0"/>
                <w:sz w:val="24"/>
                <w:szCs w:val="24"/>
              </w:rPr>
              <w:t>提升居民生活环境</w:t>
            </w:r>
          </w:p>
        </w:tc>
        <w:tc>
          <w:tcPr>
            <w:tcW w:w="946" w:type="pct"/>
            <w:tcBorders>
              <w:left w:val="nil"/>
            </w:tcBorders>
            <w:vAlign w:val="center"/>
          </w:tcPr>
          <w:p>
            <w:pPr>
              <w:widowControl/>
              <w:jc w:val="center"/>
              <w:textAlignment w:val="center"/>
              <w:rPr>
                <w:rFonts w:ascii="Times New Roman" w:hAnsi="Times New Roman" w:eastAsia="仿宋_GB2312" w:cs="Times New Roman"/>
                <w:color w:val="000000"/>
                <w:kern w:val="0"/>
                <w:sz w:val="24"/>
                <w:szCs w:val="24"/>
                <w:lang w:val="zh-CN"/>
              </w:rPr>
            </w:pPr>
            <w:r>
              <w:rPr>
                <w:rFonts w:ascii="Times New Roman" w:hAnsi="Times New Roman" w:eastAsia="仿宋_GB2312" w:cs="Times New Roman"/>
                <w:color w:val="000000"/>
                <w:kern w:val="0"/>
                <w:sz w:val="24"/>
                <w:szCs w:val="24"/>
              </w:rPr>
              <w:t>效果显著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95" w:type="pct"/>
            <w:vMerge w:val="continue"/>
            <w:tcBorders>
              <w:right w:val="nil"/>
            </w:tcBorders>
            <w:shd w:val="clear" w:color="auto" w:fill="D6E6F4" w:themeFill="accent1" w:themeFillTint="3F"/>
            <w:vAlign w:val="center"/>
          </w:tcPr>
          <w:p>
            <w:pPr>
              <w:widowControl/>
              <w:jc w:val="center"/>
              <w:rPr>
                <w:rFonts w:ascii="Times New Roman" w:hAnsi="Times New Roman" w:eastAsia="仿宋_GB2312" w:cs="Times New Roman"/>
                <w:b w:val="0"/>
                <w:bCs w:val="0"/>
                <w:color w:val="000000"/>
                <w:kern w:val="0"/>
                <w:sz w:val="24"/>
                <w:szCs w:val="24"/>
                <w:lang w:val="zh-CN"/>
              </w:rPr>
            </w:pPr>
          </w:p>
        </w:tc>
        <w:tc>
          <w:tcPr>
            <w:tcW w:w="1579" w:type="pct"/>
            <w:tcBorders>
              <w:left w:val="nil"/>
              <w:right w:val="nil"/>
            </w:tcBorders>
            <w:shd w:val="clear" w:color="auto" w:fill="D6E6F4" w:themeFill="accent1" w:themeFillTint="3F"/>
            <w:vAlign w:val="center"/>
          </w:tcPr>
          <w:p>
            <w:pPr>
              <w:widowControl/>
              <w:jc w:val="center"/>
              <w:textAlignment w:val="center"/>
              <w:rPr>
                <w:rFonts w:ascii="Times New Roman" w:hAnsi="Times New Roman" w:eastAsia="仿宋_GB2312" w:cs="Times New Roman"/>
                <w:color w:val="000000"/>
                <w:kern w:val="0"/>
                <w:sz w:val="24"/>
                <w:szCs w:val="24"/>
                <w:lang w:val="zh-CN"/>
              </w:rPr>
            </w:pPr>
            <w:r>
              <w:rPr>
                <w:rFonts w:ascii="Times New Roman" w:hAnsi="Times New Roman" w:eastAsia="仿宋_GB2312" w:cs="Times New Roman"/>
                <w:color w:val="000000"/>
                <w:kern w:val="0"/>
                <w:sz w:val="24"/>
                <w:szCs w:val="24"/>
              </w:rPr>
              <w:t>生态效益指标</w:t>
            </w:r>
          </w:p>
        </w:tc>
        <w:tc>
          <w:tcPr>
            <w:tcW w:w="1580" w:type="pct"/>
            <w:tcBorders>
              <w:left w:val="nil"/>
              <w:right w:val="nil"/>
            </w:tcBorders>
            <w:shd w:val="clear" w:color="auto" w:fill="D6E6F4" w:themeFill="accent1" w:themeFillTint="3F"/>
            <w:vAlign w:val="center"/>
          </w:tcPr>
          <w:p>
            <w:pPr>
              <w:widowControl/>
              <w:jc w:val="center"/>
              <w:textAlignment w:val="center"/>
              <w:rPr>
                <w:rFonts w:ascii="Times New Roman" w:hAnsi="Times New Roman" w:eastAsia="仿宋_GB2312" w:cs="Times New Roman"/>
                <w:color w:val="000000"/>
                <w:kern w:val="0"/>
                <w:sz w:val="24"/>
                <w:szCs w:val="24"/>
              </w:rPr>
            </w:pPr>
            <w:r>
              <w:rPr>
                <w:rFonts w:ascii="Times New Roman" w:hAnsi="Times New Roman" w:eastAsia="仿宋_GB2312" w:cs="Times New Roman"/>
                <w:color w:val="000000"/>
                <w:kern w:val="0"/>
                <w:sz w:val="24"/>
                <w:szCs w:val="24"/>
              </w:rPr>
              <w:t>改善绿地环境</w:t>
            </w:r>
          </w:p>
        </w:tc>
        <w:tc>
          <w:tcPr>
            <w:tcW w:w="946" w:type="pct"/>
            <w:tcBorders>
              <w:left w:val="nil"/>
            </w:tcBorders>
            <w:shd w:val="clear" w:color="auto" w:fill="D6E6F4" w:themeFill="accent1" w:themeFillTint="3F"/>
            <w:vAlign w:val="center"/>
          </w:tcPr>
          <w:p>
            <w:pPr>
              <w:widowControl/>
              <w:jc w:val="center"/>
              <w:textAlignment w:val="center"/>
              <w:rPr>
                <w:rFonts w:ascii="Times New Roman" w:hAnsi="Times New Roman" w:eastAsia="仿宋_GB2312" w:cs="Times New Roman"/>
                <w:color w:val="000000"/>
                <w:kern w:val="0"/>
                <w:sz w:val="24"/>
                <w:szCs w:val="24"/>
                <w:lang w:val="zh-CN"/>
              </w:rPr>
            </w:pPr>
            <w:r>
              <w:rPr>
                <w:rFonts w:ascii="Times New Roman" w:hAnsi="Times New Roman" w:eastAsia="仿宋_GB2312" w:cs="Times New Roman"/>
                <w:color w:val="000000"/>
                <w:kern w:val="0"/>
                <w:sz w:val="24"/>
                <w:szCs w:val="24"/>
              </w:rPr>
              <w:t>效果显著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95" w:type="pct"/>
            <w:vMerge w:val="continue"/>
            <w:tcBorders>
              <w:right w:val="nil"/>
            </w:tcBorders>
            <w:vAlign w:val="center"/>
          </w:tcPr>
          <w:p>
            <w:pPr>
              <w:widowControl/>
              <w:jc w:val="center"/>
              <w:rPr>
                <w:rFonts w:ascii="Times New Roman" w:hAnsi="Times New Roman" w:eastAsia="仿宋_GB2312" w:cs="Times New Roman"/>
                <w:b w:val="0"/>
                <w:bCs w:val="0"/>
                <w:color w:val="000000"/>
                <w:kern w:val="0"/>
                <w:sz w:val="24"/>
                <w:szCs w:val="24"/>
                <w:lang w:val="zh-CN"/>
              </w:rPr>
            </w:pPr>
          </w:p>
        </w:tc>
        <w:tc>
          <w:tcPr>
            <w:tcW w:w="1579" w:type="pct"/>
            <w:tcBorders>
              <w:left w:val="nil"/>
              <w:right w:val="nil"/>
            </w:tcBorders>
            <w:vAlign w:val="center"/>
          </w:tcPr>
          <w:p>
            <w:pPr>
              <w:widowControl/>
              <w:jc w:val="center"/>
              <w:textAlignment w:val="center"/>
              <w:rPr>
                <w:rFonts w:ascii="Times New Roman" w:hAnsi="Times New Roman" w:eastAsia="仿宋_GB2312" w:cs="Times New Roman"/>
                <w:color w:val="000000"/>
                <w:kern w:val="0"/>
                <w:sz w:val="24"/>
                <w:szCs w:val="24"/>
                <w:lang w:val="zh-CN"/>
              </w:rPr>
            </w:pPr>
            <w:r>
              <w:rPr>
                <w:rFonts w:ascii="Times New Roman" w:hAnsi="Times New Roman" w:eastAsia="仿宋_GB2312" w:cs="Times New Roman"/>
                <w:color w:val="000000"/>
                <w:kern w:val="0"/>
                <w:sz w:val="24"/>
                <w:szCs w:val="24"/>
              </w:rPr>
              <w:t>可持续影响指标</w:t>
            </w:r>
          </w:p>
        </w:tc>
        <w:tc>
          <w:tcPr>
            <w:tcW w:w="1580" w:type="pct"/>
            <w:tcBorders>
              <w:left w:val="nil"/>
              <w:right w:val="nil"/>
            </w:tcBorders>
            <w:vAlign w:val="center"/>
          </w:tcPr>
          <w:p>
            <w:pPr>
              <w:widowControl/>
              <w:jc w:val="center"/>
              <w:textAlignment w:val="center"/>
              <w:rPr>
                <w:rFonts w:ascii="Times New Roman" w:hAnsi="Times New Roman" w:eastAsia="仿宋_GB2312" w:cs="Times New Roman"/>
                <w:color w:val="000000"/>
                <w:kern w:val="0"/>
                <w:sz w:val="24"/>
                <w:szCs w:val="24"/>
              </w:rPr>
            </w:pPr>
            <w:r>
              <w:rPr>
                <w:rFonts w:ascii="Times New Roman" w:hAnsi="Times New Roman" w:eastAsia="仿宋_GB2312" w:cs="Times New Roman"/>
                <w:color w:val="000000"/>
                <w:kern w:val="0"/>
                <w:sz w:val="24"/>
                <w:szCs w:val="24"/>
              </w:rPr>
              <w:t>建立长效管理机制</w:t>
            </w:r>
          </w:p>
        </w:tc>
        <w:tc>
          <w:tcPr>
            <w:tcW w:w="946" w:type="pct"/>
            <w:tcBorders>
              <w:left w:val="nil"/>
            </w:tcBorders>
            <w:vAlign w:val="center"/>
          </w:tcPr>
          <w:p>
            <w:pPr>
              <w:widowControl/>
              <w:jc w:val="center"/>
              <w:textAlignment w:val="center"/>
              <w:rPr>
                <w:rFonts w:ascii="Times New Roman" w:hAnsi="Times New Roman" w:eastAsia="仿宋_GB2312" w:cs="Times New Roman"/>
                <w:color w:val="000000"/>
                <w:kern w:val="0"/>
                <w:sz w:val="24"/>
                <w:szCs w:val="24"/>
                <w:lang w:val="zh-CN"/>
              </w:rPr>
            </w:pPr>
            <w:r>
              <w:rPr>
                <w:rFonts w:ascii="Times New Roman" w:hAnsi="Times New Roman" w:eastAsia="仿宋_GB2312" w:cs="Times New Roman"/>
                <w:color w:val="000000"/>
                <w:kern w:val="0"/>
                <w:sz w:val="24"/>
                <w:szCs w:val="24"/>
              </w:rPr>
              <w:t>效果显著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95" w:type="pct"/>
            <w:tcBorders>
              <w:right w:val="nil"/>
            </w:tcBorders>
            <w:shd w:val="clear" w:color="auto" w:fill="D6E6F4" w:themeFill="accent1" w:themeFillTint="3F"/>
            <w:vAlign w:val="center"/>
          </w:tcPr>
          <w:p>
            <w:pPr>
              <w:widowControl/>
              <w:jc w:val="center"/>
              <w:textAlignment w:val="center"/>
              <w:rPr>
                <w:rFonts w:ascii="Times New Roman" w:hAnsi="Times New Roman" w:eastAsia="仿宋_GB2312" w:cs="Times New Roman"/>
                <w:b w:val="0"/>
                <w:bCs w:val="0"/>
                <w:color w:val="000000"/>
                <w:kern w:val="0"/>
                <w:sz w:val="24"/>
                <w:szCs w:val="24"/>
                <w:lang w:val="zh-CN"/>
              </w:rPr>
            </w:pPr>
            <w:r>
              <w:rPr>
                <w:rFonts w:ascii="Times New Roman" w:hAnsi="Times New Roman" w:eastAsia="仿宋_GB2312" w:cs="Times New Roman"/>
                <w:b/>
                <w:bCs/>
                <w:color w:val="000000"/>
                <w:kern w:val="0"/>
                <w:sz w:val="24"/>
                <w:szCs w:val="24"/>
              </w:rPr>
              <w:t>满意度指标</w:t>
            </w:r>
          </w:p>
        </w:tc>
        <w:tc>
          <w:tcPr>
            <w:tcW w:w="1579" w:type="pct"/>
            <w:tcBorders>
              <w:left w:val="nil"/>
              <w:right w:val="nil"/>
            </w:tcBorders>
            <w:shd w:val="clear" w:color="auto" w:fill="D6E6F4" w:themeFill="accent1" w:themeFillTint="3F"/>
            <w:vAlign w:val="center"/>
          </w:tcPr>
          <w:p>
            <w:pPr>
              <w:widowControl/>
              <w:jc w:val="center"/>
              <w:textAlignment w:val="center"/>
              <w:rPr>
                <w:rFonts w:ascii="Times New Roman" w:hAnsi="Times New Roman" w:eastAsia="仿宋_GB2312" w:cs="Times New Roman"/>
                <w:color w:val="000000"/>
                <w:kern w:val="0"/>
                <w:sz w:val="24"/>
                <w:szCs w:val="24"/>
                <w:lang w:val="zh-CN"/>
              </w:rPr>
            </w:pPr>
            <w:r>
              <w:rPr>
                <w:rFonts w:ascii="Times New Roman" w:hAnsi="Times New Roman" w:eastAsia="仿宋_GB2312" w:cs="Times New Roman"/>
                <w:color w:val="000000"/>
                <w:kern w:val="0"/>
                <w:sz w:val="24"/>
                <w:szCs w:val="24"/>
              </w:rPr>
              <w:t>服务对象满意度指标</w:t>
            </w:r>
          </w:p>
        </w:tc>
        <w:tc>
          <w:tcPr>
            <w:tcW w:w="1580" w:type="pct"/>
            <w:tcBorders>
              <w:left w:val="nil"/>
              <w:right w:val="nil"/>
            </w:tcBorders>
            <w:shd w:val="clear" w:color="auto" w:fill="D6E6F4" w:themeFill="accent1" w:themeFillTint="3F"/>
            <w:vAlign w:val="center"/>
          </w:tcPr>
          <w:p>
            <w:pPr>
              <w:widowControl/>
              <w:jc w:val="center"/>
              <w:textAlignment w:val="center"/>
              <w:rPr>
                <w:rFonts w:ascii="Times New Roman" w:hAnsi="Times New Roman" w:eastAsia="仿宋_GB2312" w:cs="Times New Roman"/>
                <w:color w:val="000000"/>
                <w:kern w:val="0"/>
                <w:sz w:val="24"/>
                <w:szCs w:val="24"/>
              </w:rPr>
            </w:pPr>
            <w:r>
              <w:rPr>
                <w:rFonts w:ascii="Times New Roman" w:hAnsi="Times New Roman" w:eastAsia="仿宋_GB2312" w:cs="Times New Roman"/>
                <w:color w:val="000000"/>
                <w:kern w:val="0"/>
                <w:sz w:val="24"/>
                <w:szCs w:val="24"/>
              </w:rPr>
              <w:t>市民满意度</w:t>
            </w:r>
          </w:p>
        </w:tc>
        <w:tc>
          <w:tcPr>
            <w:tcW w:w="946" w:type="pct"/>
            <w:tcBorders>
              <w:left w:val="nil"/>
            </w:tcBorders>
            <w:shd w:val="clear" w:color="auto" w:fill="D6E6F4" w:themeFill="accent1" w:themeFillTint="3F"/>
            <w:vAlign w:val="center"/>
          </w:tcPr>
          <w:p>
            <w:pPr>
              <w:widowControl/>
              <w:jc w:val="center"/>
              <w:textAlignment w:val="center"/>
              <w:rPr>
                <w:rFonts w:ascii="Times New Roman" w:hAnsi="Times New Roman" w:eastAsia="仿宋_GB2312" w:cs="Times New Roman"/>
                <w:color w:val="000000"/>
                <w:kern w:val="0"/>
                <w:sz w:val="24"/>
                <w:szCs w:val="24"/>
                <w:lang w:val="zh-CN"/>
              </w:rPr>
            </w:pPr>
            <w:r>
              <w:rPr>
                <w:rFonts w:ascii="Times New Roman" w:hAnsi="Times New Roman" w:eastAsia="仿宋_GB2312" w:cs="Times New Roman"/>
                <w:color w:val="000000"/>
                <w:kern w:val="0"/>
                <w:sz w:val="24"/>
                <w:szCs w:val="24"/>
              </w:rPr>
              <w:t>≥80%</w:t>
            </w:r>
          </w:p>
        </w:tc>
      </w:tr>
      <w:bookmarkEnd w:id="8"/>
    </w:tbl>
    <w:p>
      <w:pPr>
        <w:numPr>
          <w:ilvl w:val="0"/>
          <w:numId w:val="3"/>
        </w:numPr>
        <w:adjustRightInd w:val="0"/>
        <w:snapToGrid w:val="0"/>
        <w:spacing w:line="560" w:lineRule="exact"/>
        <w:ind w:firstLine="640" w:firstLineChars="200"/>
        <w:rPr>
          <w:rFonts w:hint="eastAsia" w:ascii="黑体" w:hAnsi="黑体" w:eastAsia="黑体"/>
          <w:sz w:val="32"/>
          <w:szCs w:val="32"/>
        </w:rPr>
      </w:pPr>
      <w:r>
        <w:rPr>
          <w:rFonts w:hint="eastAsia" w:ascii="黑体" w:hAnsi="黑体" w:eastAsia="黑体"/>
          <w:sz w:val="32"/>
          <w:szCs w:val="32"/>
        </w:rPr>
        <w:t>绩效评价综合结论</w:t>
      </w:r>
    </w:p>
    <w:p>
      <w:pPr>
        <w:pStyle w:val="15"/>
        <w:spacing w:line="560" w:lineRule="exact"/>
        <w:ind w:firstLine="560"/>
        <w:rPr>
          <w:rFonts w:hint="eastAsia" w:ascii="Times New Roman" w:hAnsi="Times New Roman" w:eastAsia="仿宋_GB2312" w:cs="Times New Roman"/>
          <w:color w:val="auto"/>
          <w:kern w:val="2"/>
          <w:sz w:val="32"/>
          <w:szCs w:val="32"/>
          <w:lang w:val="en-US" w:eastAsia="zh-CN" w:bidi="ar-SA"/>
        </w:rPr>
      </w:pPr>
      <w:r>
        <w:rPr>
          <w:rFonts w:hint="eastAsia" w:ascii="Times New Roman" w:hAnsi="Times New Roman" w:eastAsia="仿宋_GB2312" w:cs="Times New Roman"/>
          <w:color w:val="auto"/>
          <w:kern w:val="2"/>
          <w:sz w:val="32"/>
          <w:szCs w:val="32"/>
          <w:lang w:val="en-US" w:eastAsia="zh-CN" w:bidi="ar-SA"/>
        </w:rPr>
        <w:t>根据评价组设计的指标评价体系及评分标准，通过问卷调查和访谈获取的数据，评价组对文登区2023年绿地及水面养护费进行了独立客观的评价，最终评分结果为85.98分，绩效评级为“良”。其中决策指标权重为20分，得分为18分，得分率为90%；过程指标权重20分，得分为12分，得分率为60%；产出指标权重为30分，得分为27.74分，得分率为92.5%；效益及满意度指标权重为30分，得分为28.24分，得分率为94.1%。各指标得分情况详见表3-1。</w:t>
      </w:r>
    </w:p>
    <w:p>
      <w:pPr>
        <w:pStyle w:val="15"/>
        <w:spacing w:line="520" w:lineRule="exact"/>
        <w:ind w:firstLine="482"/>
        <w:jc w:val="center"/>
        <w:rPr>
          <w:rStyle w:val="58"/>
          <w:rFonts w:ascii="Times New Roman" w:hAnsi="Times New Roman" w:eastAsia="仿宋_GB2312" w:cs="Times New Roman"/>
          <w:b/>
          <w:i w:val="0"/>
          <w:iCs w:val="0"/>
          <w:color w:val="auto"/>
          <w:spacing w:val="0"/>
          <w:szCs w:val="28"/>
        </w:rPr>
      </w:pPr>
      <w:r>
        <w:rPr>
          <w:b/>
          <w:sz w:val="24"/>
        </w:rPr>
        <w:t>表3-1绩效评价指标整体得分情况表</w:t>
      </w:r>
    </w:p>
    <w:tbl>
      <w:tblPr>
        <w:tblStyle w:val="19"/>
        <w:tblW w:w="8537" w:type="dxa"/>
        <w:tblInd w:w="0" w:type="dxa"/>
        <w:tblLayout w:type="fixed"/>
        <w:tblCellMar>
          <w:top w:w="0" w:type="dxa"/>
          <w:left w:w="108" w:type="dxa"/>
          <w:bottom w:w="0" w:type="dxa"/>
          <w:right w:w="108" w:type="dxa"/>
        </w:tblCellMar>
      </w:tblPr>
      <w:tblGrid>
        <w:gridCol w:w="961"/>
        <w:gridCol w:w="1274"/>
        <w:gridCol w:w="1576"/>
        <w:gridCol w:w="1576"/>
        <w:gridCol w:w="1576"/>
        <w:gridCol w:w="1574"/>
      </w:tblGrid>
      <w:tr>
        <w:tblPrEx>
          <w:tblCellMar>
            <w:top w:w="0" w:type="dxa"/>
            <w:left w:w="108" w:type="dxa"/>
            <w:bottom w:w="0" w:type="dxa"/>
            <w:right w:w="108" w:type="dxa"/>
          </w:tblCellMar>
        </w:tblPrEx>
        <w:trPr>
          <w:trHeight w:val="351" w:hRule="atLeast"/>
        </w:trPr>
        <w:tc>
          <w:tcPr>
            <w:tcW w:w="961" w:type="dxa"/>
            <w:tcBorders>
              <w:top w:val="single" w:color="auto" w:sz="4" w:space="0"/>
              <w:left w:val="single" w:color="auto" w:sz="4" w:space="0"/>
              <w:bottom w:val="single" w:color="auto" w:sz="4" w:space="0"/>
              <w:right w:val="single" w:color="auto" w:sz="4" w:space="0"/>
            </w:tcBorders>
            <w:shd w:val="clear" w:color="auto" w:fill="8EAADB" w:themeFill="accent5" w:themeFillTint="99"/>
            <w:vAlign w:val="center"/>
          </w:tcPr>
          <w:p>
            <w:pPr>
              <w:widowControl/>
              <w:jc w:val="center"/>
              <w:rPr>
                <w:rFonts w:ascii="Times New Roman" w:hAnsi="Times New Roman" w:eastAsia="仿宋_GB2312" w:cs="Times New Roman"/>
                <w:b/>
                <w:bCs/>
                <w:kern w:val="0"/>
                <w:sz w:val="22"/>
                <w:szCs w:val="22"/>
              </w:rPr>
            </w:pPr>
            <w:r>
              <w:rPr>
                <w:rFonts w:ascii="Times New Roman" w:hAnsi="Times New Roman" w:eastAsia="仿宋_GB2312" w:cs="Times New Roman"/>
                <w:b/>
                <w:bCs/>
                <w:kern w:val="0"/>
                <w:sz w:val="22"/>
                <w:szCs w:val="22"/>
              </w:rPr>
              <w:t>指标</w:t>
            </w:r>
          </w:p>
        </w:tc>
        <w:tc>
          <w:tcPr>
            <w:tcW w:w="1274" w:type="dxa"/>
            <w:tcBorders>
              <w:top w:val="single" w:color="auto" w:sz="4" w:space="0"/>
              <w:left w:val="nil"/>
              <w:bottom w:val="single" w:color="auto" w:sz="4" w:space="0"/>
              <w:right w:val="single" w:color="auto" w:sz="4" w:space="0"/>
            </w:tcBorders>
            <w:shd w:val="clear" w:color="auto" w:fill="8EAADB" w:themeFill="accent5" w:themeFillTint="99"/>
            <w:vAlign w:val="center"/>
          </w:tcPr>
          <w:p>
            <w:pPr>
              <w:widowControl/>
              <w:jc w:val="center"/>
              <w:rPr>
                <w:rFonts w:ascii="Times New Roman" w:hAnsi="Times New Roman" w:eastAsia="仿宋_GB2312" w:cs="Times New Roman"/>
                <w:b/>
                <w:bCs/>
                <w:kern w:val="0"/>
                <w:sz w:val="22"/>
                <w:szCs w:val="22"/>
              </w:rPr>
            </w:pPr>
            <w:r>
              <w:rPr>
                <w:rFonts w:ascii="Times New Roman" w:hAnsi="Times New Roman" w:eastAsia="仿宋_GB2312" w:cs="Times New Roman"/>
                <w:b/>
                <w:bCs/>
                <w:kern w:val="0"/>
                <w:sz w:val="22"/>
                <w:szCs w:val="22"/>
              </w:rPr>
              <w:t>A.决策</w:t>
            </w:r>
          </w:p>
        </w:tc>
        <w:tc>
          <w:tcPr>
            <w:tcW w:w="1576" w:type="dxa"/>
            <w:tcBorders>
              <w:top w:val="single" w:color="auto" w:sz="4" w:space="0"/>
              <w:left w:val="nil"/>
              <w:bottom w:val="single" w:color="auto" w:sz="4" w:space="0"/>
              <w:right w:val="single" w:color="auto" w:sz="4" w:space="0"/>
            </w:tcBorders>
            <w:shd w:val="clear" w:color="auto" w:fill="8EAADB" w:themeFill="accent5" w:themeFillTint="99"/>
            <w:vAlign w:val="center"/>
          </w:tcPr>
          <w:p>
            <w:pPr>
              <w:widowControl/>
              <w:jc w:val="center"/>
              <w:rPr>
                <w:rFonts w:ascii="Times New Roman" w:hAnsi="Times New Roman" w:eastAsia="仿宋_GB2312" w:cs="Times New Roman"/>
                <w:b/>
                <w:bCs/>
                <w:kern w:val="0"/>
                <w:sz w:val="22"/>
                <w:szCs w:val="22"/>
              </w:rPr>
            </w:pPr>
            <w:r>
              <w:rPr>
                <w:rFonts w:ascii="Times New Roman" w:hAnsi="Times New Roman" w:eastAsia="仿宋_GB2312" w:cs="Times New Roman"/>
                <w:b/>
                <w:bCs/>
                <w:kern w:val="0"/>
                <w:sz w:val="22"/>
                <w:szCs w:val="22"/>
              </w:rPr>
              <w:t>B.过程</w:t>
            </w:r>
          </w:p>
        </w:tc>
        <w:tc>
          <w:tcPr>
            <w:tcW w:w="1576" w:type="dxa"/>
            <w:tcBorders>
              <w:top w:val="single" w:color="auto" w:sz="4" w:space="0"/>
              <w:left w:val="nil"/>
              <w:bottom w:val="single" w:color="auto" w:sz="4" w:space="0"/>
              <w:right w:val="single" w:color="auto" w:sz="4" w:space="0"/>
            </w:tcBorders>
            <w:shd w:val="clear" w:color="auto" w:fill="8EAADB" w:themeFill="accent5" w:themeFillTint="99"/>
            <w:vAlign w:val="center"/>
          </w:tcPr>
          <w:p>
            <w:pPr>
              <w:widowControl/>
              <w:jc w:val="center"/>
              <w:rPr>
                <w:rFonts w:ascii="Times New Roman" w:hAnsi="Times New Roman" w:eastAsia="仿宋_GB2312" w:cs="Times New Roman"/>
                <w:b/>
                <w:bCs/>
                <w:kern w:val="0"/>
                <w:sz w:val="22"/>
                <w:szCs w:val="22"/>
              </w:rPr>
            </w:pPr>
            <w:r>
              <w:rPr>
                <w:rFonts w:ascii="Times New Roman" w:hAnsi="Times New Roman" w:eastAsia="仿宋_GB2312" w:cs="Times New Roman"/>
                <w:b/>
                <w:bCs/>
                <w:kern w:val="0"/>
                <w:sz w:val="22"/>
                <w:szCs w:val="22"/>
              </w:rPr>
              <w:t>C.产出</w:t>
            </w:r>
          </w:p>
        </w:tc>
        <w:tc>
          <w:tcPr>
            <w:tcW w:w="1576" w:type="dxa"/>
            <w:tcBorders>
              <w:top w:val="single" w:color="auto" w:sz="4" w:space="0"/>
              <w:left w:val="nil"/>
              <w:bottom w:val="single" w:color="auto" w:sz="4" w:space="0"/>
              <w:right w:val="single" w:color="auto" w:sz="4" w:space="0"/>
            </w:tcBorders>
            <w:shd w:val="clear" w:color="auto" w:fill="8EAADB" w:themeFill="accent5" w:themeFillTint="99"/>
            <w:vAlign w:val="center"/>
          </w:tcPr>
          <w:p>
            <w:pPr>
              <w:widowControl/>
              <w:jc w:val="center"/>
              <w:rPr>
                <w:rFonts w:ascii="Times New Roman" w:hAnsi="Times New Roman" w:eastAsia="仿宋_GB2312" w:cs="Times New Roman"/>
                <w:b/>
                <w:bCs/>
                <w:kern w:val="0"/>
                <w:sz w:val="22"/>
                <w:szCs w:val="22"/>
              </w:rPr>
            </w:pPr>
            <w:r>
              <w:rPr>
                <w:rFonts w:ascii="Times New Roman" w:hAnsi="Times New Roman" w:eastAsia="仿宋_GB2312" w:cs="Times New Roman"/>
                <w:b/>
                <w:bCs/>
                <w:kern w:val="0"/>
                <w:sz w:val="22"/>
                <w:szCs w:val="22"/>
              </w:rPr>
              <w:t>D.效益</w:t>
            </w:r>
          </w:p>
        </w:tc>
        <w:tc>
          <w:tcPr>
            <w:tcW w:w="1574" w:type="dxa"/>
            <w:tcBorders>
              <w:top w:val="single" w:color="auto" w:sz="4" w:space="0"/>
              <w:left w:val="nil"/>
              <w:bottom w:val="single" w:color="auto" w:sz="4" w:space="0"/>
              <w:right w:val="single" w:color="auto" w:sz="4" w:space="0"/>
            </w:tcBorders>
            <w:shd w:val="clear" w:color="auto" w:fill="8EAADB" w:themeFill="accent5" w:themeFillTint="99"/>
            <w:vAlign w:val="center"/>
          </w:tcPr>
          <w:p>
            <w:pPr>
              <w:widowControl/>
              <w:jc w:val="center"/>
              <w:rPr>
                <w:rFonts w:ascii="Times New Roman" w:hAnsi="Times New Roman" w:eastAsia="仿宋_GB2312" w:cs="Times New Roman"/>
                <w:b/>
                <w:bCs/>
                <w:kern w:val="0"/>
                <w:sz w:val="22"/>
                <w:szCs w:val="22"/>
              </w:rPr>
            </w:pPr>
            <w:r>
              <w:rPr>
                <w:rFonts w:ascii="Times New Roman" w:hAnsi="Times New Roman" w:eastAsia="仿宋_GB2312" w:cs="Times New Roman"/>
                <w:b/>
                <w:bCs/>
                <w:kern w:val="0"/>
                <w:sz w:val="22"/>
                <w:szCs w:val="22"/>
              </w:rPr>
              <w:t>合计</w:t>
            </w:r>
          </w:p>
        </w:tc>
      </w:tr>
      <w:tr>
        <w:tblPrEx>
          <w:tblCellMar>
            <w:top w:w="0" w:type="dxa"/>
            <w:left w:w="108" w:type="dxa"/>
            <w:bottom w:w="0" w:type="dxa"/>
            <w:right w:w="108" w:type="dxa"/>
          </w:tblCellMar>
        </w:tblPrEx>
        <w:trPr>
          <w:trHeight w:val="323" w:hRule="atLeast"/>
        </w:trPr>
        <w:tc>
          <w:tcPr>
            <w:tcW w:w="961"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Times New Roman" w:hAnsi="Times New Roman" w:eastAsia="仿宋_GB2312" w:cs="Times New Roman"/>
                <w:kern w:val="0"/>
                <w:sz w:val="22"/>
                <w:szCs w:val="22"/>
              </w:rPr>
            </w:pPr>
            <w:r>
              <w:rPr>
                <w:rFonts w:ascii="Times New Roman" w:hAnsi="Times New Roman" w:eastAsia="仿宋_GB2312" w:cs="Times New Roman"/>
                <w:kern w:val="0"/>
                <w:sz w:val="22"/>
                <w:szCs w:val="22"/>
              </w:rPr>
              <w:t>权重</w:t>
            </w:r>
          </w:p>
        </w:tc>
        <w:tc>
          <w:tcPr>
            <w:tcW w:w="1274" w:type="dxa"/>
            <w:tcBorders>
              <w:top w:val="nil"/>
              <w:left w:val="nil"/>
              <w:bottom w:val="single" w:color="auto" w:sz="4" w:space="0"/>
              <w:right w:val="single" w:color="auto" w:sz="4" w:space="0"/>
            </w:tcBorders>
            <w:shd w:val="clear" w:color="auto" w:fill="auto"/>
            <w:vAlign w:val="center"/>
          </w:tcPr>
          <w:p>
            <w:pPr>
              <w:widowControl/>
              <w:jc w:val="center"/>
              <w:rPr>
                <w:rFonts w:ascii="Times New Roman" w:hAnsi="Times New Roman" w:eastAsia="仿宋_GB2312" w:cs="Times New Roman"/>
                <w:kern w:val="0"/>
                <w:sz w:val="22"/>
                <w:szCs w:val="22"/>
              </w:rPr>
            </w:pPr>
            <w:r>
              <w:rPr>
                <w:rFonts w:ascii="Times New Roman" w:hAnsi="Times New Roman" w:eastAsia="仿宋_GB2312" w:cs="Times New Roman"/>
                <w:kern w:val="0"/>
                <w:sz w:val="22"/>
                <w:szCs w:val="22"/>
              </w:rPr>
              <w:t>20</w:t>
            </w:r>
          </w:p>
        </w:tc>
        <w:tc>
          <w:tcPr>
            <w:tcW w:w="1576" w:type="dxa"/>
            <w:tcBorders>
              <w:top w:val="nil"/>
              <w:left w:val="nil"/>
              <w:bottom w:val="single" w:color="auto" w:sz="4" w:space="0"/>
              <w:right w:val="single" w:color="auto" w:sz="4" w:space="0"/>
            </w:tcBorders>
            <w:shd w:val="clear" w:color="auto" w:fill="auto"/>
            <w:vAlign w:val="center"/>
          </w:tcPr>
          <w:p>
            <w:pPr>
              <w:widowControl/>
              <w:jc w:val="center"/>
              <w:rPr>
                <w:rFonts w:ascii="Times New Roman" w:hAnsi="Times New Roman" w:eastAsia="仿宋_GB2312" w:cs="Times New Roman"/>
                <w:kern w:val="0"/>
                <w:sz w:val="22"/>
                <w:szCs w:val="22"/>
              </w:rPr>
            </w:pPr>
            <w:r>
              <w:rPr>
                <w:rFonts w:ascii="Times New Roman" w:hAnsi="Times New Roman" w:eastAsia="仿宋_GB2312" w:cs="Times New Roman"/>
                <w:kern w:val="0"/>
                <w:sz w:val="22"/>
                <w:szCs w:val="22"/>
              </w:rPr>
              <w:t>20</w:t>
            </w:r>
          </w:p>
        </w:tc>
        <w:tc>
          <w:tcPr>
            <w:tcW w:w="1576" w:type="dxa"/>
            <w:tcBorders>
              <w:top w:val="nil"/>
              <w:left w:val="nil"/>
              <w:bottom w:val="single" w:color="auto" w:sz="4" w:space="0"/>
              <w:right w:val="single" w:color="auto" w:sz="4" w:space="0"/>
            </w:tcBorders>
            <w:shd w:val="clear" w:color="auto" w:fill="auto"/>
            <w:vAlign w:val="center"/>
          </w:tcPr>
          <w:p>
            <w:pPr>
              <w:keepLines/>
              <w:widowControl/>
              <w:spacing w:line="240" w:lineRule="exact"/>
              <w:contextualSpacing/>
              <w:jc w:val="center"/>
              <w:rPr>
                <w:rFonts w:ascii="Times New Roman" w:hAnsi="Times New Roman" w:eastAsia="仿宋_GB2312" w:cs="Times New Roman"/>
                <w:kern w:val="0"/>
                <w:szCs w:val="22"/>
              </w:rPr>
            </w:pPr>
            <w:r>
              <w:rPr>
                <w:rFonts w:ascii="Times New Roman" w:hAnsi="Times New Roman" w:eastAsia="仿宋_GB2312" w:cs="Times New Roman"/>
                <w:kern w:val="0"/>
                <w:szCs w:val="22"/>
              </w:rPr>
              <w:t>30</w:t>
            </w:r>
          </w:p>
        </w:tc>
        <w:tc>
          <w:tcPr>
            <w:tcW w:w="1576" w:type="dxa"/>
            <w:tcBorders>
              <w:top w:val="nil"/>
              <w:left w:val="nil"/>
              <w:bottom w:val="single" w:color="auto" w:sz="4" w:space="0"/>
              <w:right w:val="single" w:color="auto" w:sz="4" w:space="0"/>
            </w:tcBorders>
            <w:shd w:val="clear" w:color="auto" w:fill="auto"/>
            <w:vAlign w:val="center"/>
          </w:tcPr>
          <w:p>
            <w:pPr>
              <w:widowControl/>
              <w:jc w:val="center"/>
              <w:rPr>
                <w:rFonts w:ascii="Times New Roman" w:hAnsi="Times New Roman" w:eastAsia="仿宋_GB2312" w:cs="Times New Roman"/>
                <w:kern w:val="0"/>
                <w:sz w:val="22"/>
                <w:szCs w:val="22"/>
              </w:rPr>
            </w:pPr>
            <w:r>
              <w:rPr>
                <w:rFonts w:ascii="Times New Roman" w:hAnsi="Times New Roman" w:eastAsia="仿宋_GB2312" w:cs="Times New Roman"/>
                <w:kern w:val="0"/>
                <w:sz w:val="22"/>
                <w:szCs w:val="22"/>
              </w:rPr>
              <w:t>30</w:t>
            </w:r>
          </w:p>
        </w:tc>
        <w:tc>
          <w:tcPr>
            <w:tcW w:w="1574" w:type="dxa"/>
            <w:tcBorders>
              <w:top w:val="nil"/>
              <w:left w:val="nil"/>
              <w:bottom w:val="single" w:color="auto" w:sz="4" w:space="0"/>
              <w:right w:val="single" w:color="auto" w:sz="4" w:space="0"/>
            </w:tcBorders>
            <w:shd w:val="clear" w:color="auto" w:fill="auto"/>
            <w:vAlign w:val="center"/>
          </w:tcPr>
          <w:p>
            <w:pPr>
              <w:widowControl/>
              <w:jc w:val="center"/>
              <w:rPr>
                <w:rFonts w:ascii="Times New Roman" w:hAnsi="Times New Roman" w:eastAsia="仿宋_GB2312" w:cs="Times New Roman"/>
                <w:kern w:val="0"/>
                <w:sz w:val="22"/>
                <w:szCs w:val="22"/>
              </w:rPr>
            </w:pPr>
            <w:r>
              <w:rPr>
                <w:rFonts w:ascii="Times New Roman" w:hAnsi="Times New Roman" w:eastAsia="仿宋_GB2312" w:cs="Times New Roman"/>
                <w:kern w:val="0"/>
                <w:sz w:val="22"/>
                <w:szCs w:val="22"/>
              </w:rPr>
              <w:t>100</w:t>
            </w:r>
          </w:p>
        </w:tc>
      </w:tr>
      <w:tr>
        <w:trPr>
          <w:trHeight w:val="351" w:hRule="atLeast"/>
        </w:trPr>
        <w:tc>
          <w:tcPr>
            <w:tcW w:w="961"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Times New Roman" w:hAnsi="Times New Roman" w:eastAsia="仿宋_GB2312" w:cs="Times New Roman"/>
                <w:kern w:val="0"/>
                <w:sz w:val="22"/>
                <w:szCs w:val="22"/>
              </w:rPr>
            </w:pPr>
            <w:r>
              <w:rPr>
                <w:rFonts w:ascii="Times New Roman" w:hAnsi="Times New Roman" w:eastAsia="仿宋_GB2312" w:cs="Times New Roman"/>
                <w:kern w:val="0"/>
                <w:sz w:val="22"/>
                <w:szCs w:val="22"/>
              </w:rPr>
              <w:t>得分</w:t>
            </w:r>
          </w:p>
        </w:tc>
        <w:tc>
          <w:tcPr>
            <w:tcW w:w="1274" w:type="dxa"/>
            <w:tcBorders>
              <w:top w:val="nil"/>
              <w:left w:val="nil"/>
              <w:bottom w:val="single" w:color="auto" w:sz="4" w:space="0"/>
              <w:right w:val="single" w:color="auto" w:sz="4" w:space="0"/>
            </w:tcBorders>
            <w:shd w:val="clear" w:color="auto" w:fill="auto"/>
            <w:vAlign w:val="center"/>
          </w:tcPr>
          <w:p>
            <w:pPr>
              <w:widowControl/>
              <w:jc w:val="center"/>
              <w:rPr>
                <w:rFonts w:ascii="Times New Roman" w:hAnsi="Times New Roman" w:eastAsia="仿宋_GB2312" w:cs="Times New Roman"/>
                <w:kern w:val="0"/>
                <w:sz w:val="22"/>
                <w:szCs w:val="22"/>
              </w:rPr>
            </w:pPr>
            <w:r>
              <w:rPr>
                <w:rFonts w:ascii="Times New Roman" w:hAnsi="Times New Roman" w:eastAsia="仿宋_GB2312" w:cs="Times New Roman"/>
                <w:kern w:val="0"/>
                <w:sz w:val="22"/>
                <w:szCs w:val="22"/>
              </w:rPr>
              <w:t>18</w:t>
            </w:r>
          </w:p>
        </w:tc>
        <w:tc>
          <w:tcPr>
            <w:tcW w:w="1576" w:type="dxa"/>
            <w:tcBorders>
              <w:top w:val="nil"/>
              <w:left w:val="nil"/>
              <w:bottom w:val="single" w:color="auto" w:sz="4" w:space="0"/>
              <w:right w:val="single" w:color="auto" w:sz="4" w:space="0"/>
            </w:tcBorders>
            <w:shd w:val="clear" w:color="auto" w:fill="auto"/>
            <w:vAlign w:val="center"/>
          </w:tcPr>
          <w:p>
            <w:pPr>
              <w:widowControl/>
              <w:jc w:val="center"/>
              <w:rPr>
                <w:rFonts w:ascii="Times New Roman" w:hAnsi="Times New Roman" w:eastAsia="仿宋_GB2312" w:cs="Times New Roman"/>
                <w:kern w:val="0"/>
                <w:sz w:val="22"/>
                <w:szCs w:val="22"/>
              </w:rPr>
            </w:pPr>
            <w:r>
              <w:rPr>
                <w:rFonts w:ascii="Times New Roman" w:hAnsi="Times New Roman" w:eastAsia="仿宋_GB2312" w:cs="Times New Roman"/>
                <w:kern w:val="0"/>
                <w:sz w:val="22"/>
                <w:szCs w:val="22"/>
              </w:rPr>
              <w:t>12</w:t>
            </w:r>
          </w:p>
        </w:tc>
        <w:tc>
          <w:tcPr>
            <w:tcW w:w="1576" w:type="dxa"/>
            <w:tcBorders>
              <w:top w:val="nil"/>
              <w:left w:val="nil"/>
              <w:bottom w:val="single" w:color="auto" w:sz="4" w:space="0"/>
              <w:right w:val="single" w:color="auto" w:sz="4" w:space="0"/>
            </w:tcBorders>
            <w:shd w:val="clear" w:color="auto" w:fill="auto"/>
            <w:vAlign w:val="center"/>
          </w:tcPr>
          <w:p>
            <w:pPr>
              <w:widowControl/>
              <w:jc w:val="center"/>
              <w:rPr>
                <w:rFonts w:ascii="Times New Roman" w:hAnsi="Times New Roman" w:eastAsia="仿宋_GB2312" w:cs="Times New Roman"/>
                <w:kern w:val="0"/>
                <w:sz w:val="22"/>
                <w:szCs w:val="22"/>
              </w:rPr>
            </w:pPr>
            <w:r>
              <w:rPr>
                <w:rFonts w:ascii="Times New Roman" w:hAnsi="Times New Roman" w:eastAsia="仿宋_GB2312" w:cs="Times New Roman"/>
                <w:kern w:val="0"/>
                <w:szCs w:val="22"/>
              </w:rPr>
              <w:t>27.74</w:t>
            </w:r>
          </w:p>
        </w:tc>
        <w:tc>
          <w:tcPr>
            <w:tcW w:w="1576" w:type="dxa"/>
            <w:tcBorders>
              <w:top w:val="nil"/>
              <w:left w:val="nil"/>
              <w:bottom w:val="single" w:color="auto" w:sz="4" w:space="0"/>
              <w:right w:val="single" w:color="auto" w:sz="4" w:space="0"/>
            </w:tcBorders>
            <w:shd w:val="clear" w:color="auto" w:fill="auto"/>
            <w:vAlign w:val="center"/>
          </w:tcPr>
          <w:p>
            <w:pPr>
              <w:widowControl/>
              <w:jc w:val="center"/>
              <w:rPr>
                <w:rFonts w:ascii="Times New Roman" w:hAnsi="Times New Roman" w:eastAsia="仿宋_GB2312" w:cs="Times New Roman"/>
                <w:kern w:val="0"/>
                <w:sz w:val="22"/>
                <w:szCs w:val="22"/>
              </w:rPr>
            </w:pPr>
            <w:r>
              <w:rPr>
                <w:rFonts w:ascii="Times New Roman" w:hAnsi="Times New Roman" w:eastAsia="仿宋_GB2312" w:cs="Times New Roman"/>
                <w:kern w:val="0"/>
                <w:sz w:val="22"/>
                <w:szCs w:val="22"/>
              </w:rPr>
              <w:t>28.24</w:t>
            </w:r>
          </w:p>
        </w:tc>
        <w:tc>
          <w:tcPr>
            <w:tcW w:w="1574" w:type="dxa"/>
            <w:tcBorders>
              <w:top w:val="nil"/>
              <w:left w:val="nil"/>
              <w:bottom w:val="single" w:color="auto" w:sz="4" w:space="0"/>
              <w:right w:val="single" w:color="auto" w:sz="4" w:space="0"/>
            </w:tcBorders>
            <w:shd w:val="clear" w:color="auto" w:fill="auto"/>
            <w:vAlign w:val="center"/>
          </w:tcPr>
          <w:p>
            <w:pPr>
              <w:widowControl/>
              <w:jc w:val="center"/>
              <w:rPr>
                <w:rFonts w:ascii="Times New Roman" w:hAnsi="Times New Roman" w:eastAsia="仿宋_GB2312" w:cs="Times New Roman"/>
                <w:kern w:val="0"/>
                <w:sz w:val="22"/>
                <w:szCs w:val="22"/>
              </w:rPr>
            </w:pPr>
            <w:r>
              <w:rPr>
                <w:rFonts w:ascii="Times New Roman" w:hAnsi="Times New Roman" w:eastAsia="仿宋_GB2312" w:cs="Times New Roman"/>
                <w:kern w:val="0"/>
                <w:sz w:val="22"/>
                <w:szCs w:val="22"/>
              </w:rPr>
              <w:t>85.98</w:t>
            </w:r>
          </w:p>
        </w:tc>
      </w:tr>
      <w:tr>
        <w:trPr>
          <w:trHeight w:val="368" w:hRule="atLeast"/>
        </w:trPr>
        <w:tc>
          <w:tcPr>
            <w:tcW w:w="961"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Times New Roman" w:hAnsi="Times New Roman" w:eastAsia="仿宋_GB2312" w:cs="Times New Roman"/>
                <w:kern w:val="0"/>
                <w:sz w:val="22"/>
                <w:szCs w:val="22"/>
              </w:rPr>
            </w:pPr>
            <w:r>
              <w:rPr>
                <w:rFonts w:ascii="Times New Roman" w:hAnsi="Times New Roman" w:eastAsia="仿宋_GB2312" w:cs="Times New Roman"/>
                <w:kern w:val="0"/>
                <w:sz w:val="22"/>
                <w:szCs w:val="22"/>
              </w:rPr>
              <w:t>得分率</w:t>
            </w:r>
          </w:p>
        </w:tc>
        <w:tc>
          <w:tcPr>
            <w:tcW w:w="1274" w:type="dxa"/>
            <w:tcBorders>
              <w:top w:val="nil"/>
              <w:left w:val="nil"/>
              <w:bottom w:val="single" w:color="auto" w:sz="4" w:space="0"/>
              <w:right w:val="single" w:color="auto" w:sz="4" w:space="0"/>
            </w:tcBorders>
            <w:shd w:val="clear" w:color="auto" w:fill="auto"/>
            <w:vAlign w:val="center"/>
          </w:tcPr>
          <w:p>
            <w:pPr>
              <w:widowControl/>
              <w:jc w:val="center"/>
              <w:rPr>
                <w:rFonts w:ascii="Times New Roman" w:hAnsi="Times New Roman" w:eastAsia="仿宋_GB2312" w:cs="Times New Roman"/>
                <w:kern w:val="0"/>
                <w:sz w:val="22"/>
                <w:szCs w:val="22"/>
              </w:rPr>
            </w:pPr>
            <w:r>
              <w:rPr>
                <w:rFonts w:ascii="Times New Roman" w:hAnsi="Times New Roman" w:eastAsia="仿宋_GB2312" w:cs="Times New Roman"/>
                <w:kern w:val="0"/>
                <w:sz w:val="22"/>
                <w:szCs w:val="22"/>
              </w:rPr>
              <w:t>90%</w:t>
            </w:r>
          </w:p>
        </w:tc>
        <w:tc>
          <w:tcPr>
            <w:tcW w:w="1576" w:type="dxa"/>
            <w:tcBorders>
              <w:top w:val="nil"/>
              <w:left w:val="nil"/>
              <w:bottom w:val="single" w:color="auto" w:sz="4" w:space="0"/>
              <w:right w:val="single" w:color="auto" w:sz="4" w:space="0"/>
            </w:tcBorders>
            <w:shd w:val="clear" w:color="auto" w:fill="auto"/>
            <w:vAlign w:val="center"/>
          </w:tcPr>
          <w:p>
            <w:pPr>
              <w:widowControl/>
              <w:jc w:val="center"/>
              <w:rPr>
                <w:rFonts w:ascii="Times New Roman" w:hAnsi="Times New Roman" w:eastAsia="仿宋_GB2312" w:cs="Times New Roman"/>
                <w:bCs/>
                <w:kern w:val="0"/>
                <w:sz w:val="22"/>
                <w:szCs w:val="22"/>
              </w:rPr>
            </w:pPr>
            <w:r>
              <w:rPr>
                <w:rFonts w:ascii="Times New Roman" w:hAnsi="Times New Roman" w:eastAsia="仿宋_GB2312" w:cs="Times New Roman"/>
                <w:bCs/>
                <w:kern w:val="0"/>
                <w:szCs w:val="22"/>
              </w:rPr>
              <w:t>60%</w:t>
            </w:r>
          </w:p>
        </w:tc>
        <w:tc>
          <w:tcPr>
            <w:tcW w:w="1576" w:type="dxa"/>
            <w:tcBorders>
              <w:top w:val="nil"/>
              <w:left w:val="nil"/>
              <w:bottom w:val="single" w:color="auto" w:sz="4" w:space="0"/>
              <w:right w:val="single" w:color="auto" w:sz="4" w:space="0"/>
            </w:tcBorders>
            <w:shd w:val="clear" w:color="auto" w:fill="auto"/>
            <w:vAlign w:val="center"/>
          </w:tcPr>
          <w:p>
            <w:pPr>
              <w:widowControl/>
              <w:jc w:val="center"/>
              <w:rPr>
                <w:rFonts w:ascii="Times New Roman" w:hAnsi="Times New Roman" w:eastAsia="仿宋_GB2312" w:cs="Times New Roman"/>
                <w:kern w:val="0"/>
                <w:sz w:val="22"/>
                <w:szCs w:val="22"/>
              </w:rPr>
            </w:pPr>
            <w:r>
              <w:rPr>
                <w:rFonts w:ascii="Times New Roman" w:hAnsi="Times New Roman" w:eastAsia="仿宋_GB2312" w:cs="Times New Roman"/>
                <w:kern w:val="0"/>
                <w:sz w:val="22"/>
                <w:szCs w:val="22"/>
              </w:rPr>
              <w:t>92.5%</w:t>
            </w:r>
          </w:p>
        </w:tc>
        <w:tc>
          <w:tcPr>
            <w:tcW w:w="1576" w:type="dxa"/>
            <w:tcBorders>
              <w:top w:val="nil"/>
              <w:left w:val="nil"/>
              <w:bottom w:val="single" w:color="auto" w:sz="4" w:space="0"/>
              <w:right w:val="single" w:color="auto" w:sz="4" w:space="0"/>
            </w:tcBorders>
            <w:shd w:val="clear" w:color="auto" w:fill="auto"/>
            <w:vAlign w:val="center"/>
          </w:tcPr>
          <w:p>
            <w:pPr>
              <w:widowControl/>
              <w:jc w:val="center"/>
              <w:rPr>
                <w:rFonts w:ascii="Times New Roman" w:hAnsi="Times New Roman" w:eastAsia="仿宋_GB2312" w:cs="Times New Roman"/>
                <w:kern w:val="0"/>
                <w:sz w:val="22"/>
                <w:szCs w:val="22"/>
              </w:rPr>
            </w:pPr>
            <w:r>
              <w:rPr>
                <w:rFonts w:ascii="Times New Roman" w:hAnsi="Times New Roman" w:eastAsia="仿宋_GB2312" w:cs="Times New Roman"/>
                <w:kern w:val="0"/>
                <w:sz w:val="22"/>
                <w:szCs w:val="22"/>
              </w:rPr>
              <w:t>94.1%</w:t>
            </w:r>
          </w:p>
        </w:tc>
        <w:tc>
          <w:tcPr>
            <w:tcW w:w="1574" w:type="dxa"/>
            <w:tcBorders>
              <w:top w:val="nil"/>
              <w:left w:val="nil"/>
              <w:bottom w:val="single" w:color="auto" w:sz="4" w:space="0"/>
              <w:right w:val="single" w:color="auto" w:sz="4" w:space="0"/>
            </w:tcBorders>
            <w:shd w:val="clear" w:color="auto" w:fill="auto"/>
            <w:vAlign w:val="center"/>
          </w:tcPr>
          <w:p>
            <w:pPr>
              <w:widowControl/>
              <w:jc w:val="center"/>
              <w:rPr>
                <w:rFonts w:ascii="Times New Roman" w:hAnsi="Times New Roman" w:eastAsia="仿宋_GB2312" w:cs="Times New Roman"/>
                <w:kern w:val="0"/>
                <w:sz w:val="22"/>
                <w:szCs w:val="22"/>
              </w:rPr>
            </w:pPr>
            <w:r>
              <w:rPr>
                <w:rFonts w:ascii="Times New Roman" w:hAnsi="Times New Roman" w:eastAsia="仿宋_GB2312" w:cs="Times New Roman"/>
                <w:kern w:val="0"/>
                <w:sz w:val="22"/>
                <w:szCs w:val="22"/>
              </w:rPr>
              <w:t>85.98%</w:t>
            </w:r>
          </w:p>
        </w:tc>
      </w:tr>
    </w:tbl>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黑体" w:hAnsi="黑体" w:eastAsia="黑体"/>
          <w:sz w:val="32"/>
          <w:szCs w:val="32"/>
        </w:rPr>
      </w:pPr>
      <w:r>
        <w:rPr>
          <w:rFonts w:hint="eastAsia" w:ascii="黑体" w:hAnsi="黑体" w:eastAsia="黑体"/>
          <w:sz w:val="32"/>
          <w:szCs w:val="32"/>
          <w:lang w:eastAsia="zh-CN"/>
        </w:rPr>
        <w:t>三、</w:t>
      </w:r>
      <w:r>
        <w:rPr>
          <w:rFonts w:hint="eastAsia" w:ascii="黑体" w:hAnsi="黑体" w:eastAsia="黑体"/>
          <w:sz w:val="32"/>
          <w:szCs w:val="32"/>
        </w:rPr>
        <w:t>存在的主要问题及原因分析</w:t>
      </w:r>
    </w:p>
    <w:p>
      <w:pPr>
        <w:pStyle w:val="16"/>
        <w:widowControl/>
        <w:numPr>
          <w:ilvl w:val="0"/>
          <w:numId w:val="0"/>
        </w:numPr>
        <w:spacing w:line="500" w:lineRule="exact"/>
        <w:ind w:left="0" w:leftChars="0" w:firstLine="640" w:firstLineChars="200"/>
        <w:jc w:val="both"/>
        <w:rPr>
          <w:rFonts w:ascii="Times New Roman" w:hAnsi="Times New Roman" w:eastAsia="仿宋_GB2312"/>
          <w:b/>
          <w:bCs/>
          <w:sz w:val="28"/>
          <w:szCs w:val="28"/>
          <w:lang w:bidi="ar"/>
        </w:rPr>
      </w:pPr>
      <w:r>
        <w:rPr>
          <w:rFonts w:hint="eastAsia" w:ascii="楷体_GB2312" w:hAnsi="楷体_GB2312" w:eastAsia="楷体_GB2312" w:cs="楷体_GB2312"/>
          <w:bCs w:val="0"/>
          <w:color w:val="auto"/>
          <w:kern w:val="0"/>
          <w:sz w:val="32"/>
          <w:szCs w:val="32"/>
          <w:lang w:val="en-US" w:eastAsia="zh-CN" w:bidi="ar-SA"/>
        </w:rPr>
        <w:t>（一）绿地及水面养护单价偏高</w:t>
      </w:r>
    </w:p>
    <w:p>
      <w:pPr>
        <w:adjustRightInd w:val="0"/>
        <w:snapToGrid w:val="0"/>
        <w:spacing w:line="560" w:lineRule="exact"/>
        <w:ind w:firstLine="640" w:firstLineChars="200"/>
        <w:rPr>
          <w:rFonts w:hint="eastAsia" w:ascii="Times New Roman" w:hAnsi="Times New Roman" w:eastAsia="仿宋_GB2312" w:cs="Times New Roman"/>
          <w:color w:val="auto"/>
          <w:kern w:val="2"/>
          <w:sz w:val="32"/>
          <w:szCs w:val="32"/>
          <w:lang w:val="en-US" w:eastAsia="zh-CN" w:bidi="ar-SA"/>
        </w:rPr>
      </w:pPr>
      <w:r>
        <w:rPr>
          <w:rFonts w:hint="eastAsia" w:ascii="Times New Roman" w:hAnsi="Times New Roman" w:eastAsia="仿宋_GB2312" w:cs="Times New Roman"/>
          <w:color w:val="auto"/>
          <w:kern w:val="2"/>
          <w:sz w:val="32"/>
          <w:szCs w:val="32"/>
          <w:lang w:val="en-US" w:eastAsia="zh-CN" w:bidi="ar-SA"/>
        </w:rPr>
        <w:t>文登区绿地及水面养护单价为3元/平方米，养护标准为一级养护、二级养护。与威海市其他区市以及省内其他区市的养护案例进行对比，通过调整系数将威海市其他区市、省内其他区市的养护单价调整至文登区相同标准后的单价分别为2.88元/平方米和2.82元/平方米，文登区养护单价偏高。</w:t>
      </w:r>
    </w:p>
    <w:p>
      <w:pPr>
        <w:pStyle w:val="16"/>
        <w:widowControl/>
        <w:numPr>
          <w:ilvl w:val="0"/>
          <w:numId w:val="0"/>
        </w:numPr>
        <w:spacing w:line="500" w:lineRule="exact"/>
        <w:ind w:left="0" w:leftChars="0" w:firstLine="640" w:firstLineChars="200"/>
        <w:jc w:val="both"/>
        <w:rPr>
          <w:rFonts w:hint="eastAsia" w:ascii="楷体_GB2312" w:hAnsi="楷体_GB2312" w:eastAsia="楷体_GB2312" w:cs="楷体_GB2312"/>
          <w:bCs w:val="0"/>
          <w:color w:val="auto"/>
          <w:kern w:val="0"/>
          <w:sz w:val="32"/>
          <w:szCs w:val="32"/>
          <w:lang w:val="en-US" w:eastAsia="zh-CN" w:bidi="ar-SA"/>
        </w:rPr>
      </w:pPr>
      <w:r>
        <w:rPr>
          <w:rFonts w:hint="eastAsia" w:ascii="楷体_GB2312" w:hAnsi="楷体_GB2312" w:eastAsia="楷体_GB2312" w:cs="楷体_GB2312"/>
          <w:bCs w:val="0"/>
          <w:color w:val="auto"/>
          <w:kern w:val="0"/>
          <w:sz w:val="32"/>
          <w:szCs w:val="32"/>
          <w:lang w:val="en-US" w:eastAsia="zh-CN" w:bidi="ar-SA"/>
        </w:rPr>
        <w:t>（二）养护合同面积与实际养护面积不符</w:t>
      </w:r>
    </w:p>
    <w:p>
      <w:pPr>
        <w:pStyle w:val="15"/>
        <w:spacing w:line="560" w:lineRule="exact"/>
        <w:ind w:firstLine="560"/>
        <w:rPr>
          <w:rFonts w:hint="eastAsia" w:ascii="Times New Roman" w:hAnsi="Times New Roman" w:eastAsia="仿宋_GB2312" w:cs="Times New Roman"/>
          <w:color w:val="auto"/>
          <w:kern w:val="2"/>
          <w:sz w:val="32"/>
          <w:szCs w:val="32"/>
          <w:lang w:val="en-US" w:eastAsia="zh-CN" w:bidi="ar-SA"/>
        </w:rPr>
      </w:pPr>
      <w:r>
        <w:rPr>
          <w:rFonts w:hint="eastAsia" w:ascii="Times New Roman" w:hAnsi="Times New Roman" w:eastAsia="仿宋_GB2312" w:cs="Times New Roman"/>
          <w:color w:val="auto"/>
          <w:kern w:val="2"/>
          <w:sz w:val="32"/>
          <w:szCs w:val="32"/>
          <w:lang w:val="en-US" w:eastAsia="zh-CN" w:bidi="ar-SA"/>
        </w:rPr>
        <w:t>根据2023年养护合同，威海舜盛建设工程有限公司承担的养护面积为1231公顷，且2023年仅此一家养护单位，而实际养护面积为1546.28公顷，二者不符。</w:t>
      </w:r>
    </w:p>
    <w:p>
      <w:pPr>
        <w:pStyle w:val="16"/>
        <w:widowControl/>
        <w:numPr>
          <w:ilvl w:val="0"/>
          <w:numId w:val="0"/>
        </w:numPr>
        <w:spacing w:line="500" w:lineRule="exact"/>
        <w:ind w:left="0" w:leftChars="0" w:firstLine="640" w:firstLineChars="200"/>
        <w:jc w:val="both"/>
        <w:rPr>
          <w:rFonts w:hint="eastAsia" w:ascii="楷体_GB2312" w:hAnsi="楷体_GB2312" w:eastAsia="楷体_GB2312" w:cs="楷体_GB2312"/>
          <w:bCs w:val="0"/>
          <w:color w:val="auto"/>
          <w:kern w:val="0"/>
          <w:sz w:val="32"/>
          <w:szCs w:val="32"/>
          <w:lang w:val="en-US" w:eastAsia="zh-CN" w:bidi="ar-SA"/>
        </w:rPr>
      </w:pPr>
      <w:r>
        <w:rPr>
          <w:rFonts w:hint="eastAsia" w:ascii="楷体_GB2312" w:hAnsi="楷体_GB2312" w:eastAsia="楷体_GB2312" w:cs="楷体_GB2312"/>
          <w:bCs w:val="0"/>
          <w:color w:val="auto"/>
          <w:kern w:val="0"/>
          <w:sz w:val="32"/>
          <w:szCs w:val="32"/>
          <w:lang w:val="en-US" w:eastAsia="zh-CN" w:bidi="ar-SA"/>
        </w:rPr>
        <w:t>（三）行道树养护范围不准，与预算编制数据存在偏差</w:t>
      </w:r>
    </w:p>
    <w:p>
      <w:pPr>
        <w:pStyle w:val="15"/>
        <w:spacing w:line="560" w:lineRule="exact"/>
        <w:ind w:firstLine="560"/>
        <w:rPr>
          <w:rFonts w:hint="eastAsia" w:ascii="Times New Roman" w:hAnsi="Times New Roman" w:eastAsia="仿宋_GB2312" w:cs="Times New Roman"/>
          <w:color w:val="auto"/>
          <w:kern w:val="2"/>
          <w:sz w:val="32"/>
          <w:szCs w:val="32"/>
          <w:lang w:val="en-US" w:eastAsia="zh-CN" w:bidi="ar-SA"/>
        </w:rPr>
      </w:pPr>
      <w:r>
        <w:rPr>
          <w:rFonts w:hint="eastAsia" w:ascii="Times New Roman" w:hAnsi="Times New Roman" w:eastAsia="仿宋_GB2312" w:cs="Times New Roman"/>
          <w:color w:val="auto"/>
          <w:kern w:val="2"/>
          <w:sz w:val="32"/>
          <w:szCs w:val="32"/>
          <w:lang w:val="en-US" w:eastAsia="zh-CN" w:bidi="ar-SA"/>
        </w:rPr>
        <w:t>绩效目标表中行道树养护数量为4.8万株，而预算编制时行道树数量为5.5万株。通过评价组调查了解到，威石路、龙海路共计12105株行道树现由文登区公路管理局养护，不在本项目养护范围内，故实际</w:t>
      </w:r>
      <w:bookmarkStart w:id="10" w:name="OLE_LINK44"/>
      <w:bookmarkStart w:id="11" w:name="OLE_LINK43"/>
      <w:r>
        <w:rPr>
          <w:rFonts w:hint="eastAsia" w:ascii="Times New Roman" w:hAnsi="Times New Roman" w:eastAsia="仿宋_GB2312" w:cs="Times New Roman"/>
          <w:color w:val="auto"/>
          <w:kern w:val="2"/>
          <w:sz w:val="32"/>
          <w:szCs w:val="32"/>
          <w:lang w:val="en-US" w:eastAsia="zh-CN" w:bidi="ar-SA"/>
        </w:rPr>
        <w:t>行道树养护数量低于4.8万株，预算编制测算依据不充分。</w:t>
      </w:r>
      <w:bookmarkStart w:id="12" w:name="OLE_LINK60"/>
      <w:bookmarkStart w:id="13" w:name="OLE_LINK7"/>
      <w:bookmarkStart w:id="14" w:name="OLE_LINK53"/>
      <w:bookmarkStart w:id="15" w:name="OLE_LINK6"/>
      <w:bookmarkStart w:id="16" w:name="OLE_LINK5"/>
    </w:p>
    <w:bookmarkEnd w:id="10"/>
    <w:bookmarkEnd w:id="11"/>
    <w:bookmarkEnd w:id="12"/>
    <w:bookmarkEnd w:id="13"/>
    <w:bookmarkEnd w:id="14"/>
    <w:bookmarkEnd w:id="15"/>
    <w:bookmarkEnd w:id="16"/>
    <w:p>
      <w:pPr>
        <w:pStyle w:val="16"/>
        <w:widowControl/>
        <w:numPr>
          <w:ilvl w:val="0"/>
          <w:numId w:val="0"/>
        </w:numPr>
        <w:spacing w:line="500" w:lineRule="exact"/>
        <w:ind w:left="0" w:leftChars="0" w:firstLine="640" w:firstLineChars="200"/>
        <w:jc w:val="both"/>
        <w:rPr>
          <w:rFonts w:hint="eastAsia" w:ascii="楷体_GB2312" w:hAnsi="楷体_GB2312" w:eastAsia="楷体_GB2312" w:cs="楷体_GB2312"/>
          <w:bCs w:val="0"/>
          <w:color w:val="auto"/>
          <w:kern w:val="0"/>
          <w:sz w:val="32"/>
          <w:szCs w:val="32"/>
          <w:lang w:val="en-US" w:eastAsia="zh-CN" w:bidi="ar-SA"/>
        </w:rPr>
      </w:pPr>
      <w:r>
        <w:rPr>
          <w:rFonts w:hint="eastAsia" w:ascii="楷体_GB2312" w:hAnsi="楷体_GB2312" w:eastAsia="楷体_GB2312" w:cs="楷体_GB2312"/>
          <w:bCs w:val="0"/>
          <w:color w:val="auto"/>
          <w:kern w:val="0"/>
          <w:sz w:val="32"/>
          <w:szCs w:val="32"/>
          <w:lang w:val="en-US" w:eastAsia="zh-CN" w:bidi="ar-SA"/>
        </w:rPr>
        <w:t>（四）养护效果有待进一步提高</w:t>
      </w:r>
    </w:p>
    <w:p>
      <w:pPr>
        <w:pStyle w:val="16"/>
        <w:widowControl/>
        <w:spacing w:line="500" w:lineRule="exact"/>
        <w:ind w:firstLine="640" w:firstLineChars="200"/>
        <w:jc w:val="both"/>
        <w:rPr>
          <w:rFonts w:hint="eastAsia" w:ascii="Times New Roman" w:hAnsi="Times New Roman" w:eastAsia="仿宋_GB2312" w:cs="Times New Roman"/>
          <w:color w:val="auto"/>
          <w:kern w:val="2"/>
          <w:sz w:val="32"/>
          <w:szCs w:val="32"/>
          <w:lang w:val="en-US" w:eastAsia="zh-CN" w:bidi="ar-SA"/>
        </w:rPr>
      </w:pPr>
      <w:r>
        <w:rPr>
          <w:rFonts w:hint="eastAsia" w:ascii="Times New Roman" w:hAnsi="Times New Roman" w:eastAsia="仿宋_GB2312" w:cs="Times New Roman"/>
          <w:color w:val="auto"/>
          <w:kern w:val="2"/>
          <w:sz w:val="32"/>
          <w:szCs w:val="32"/>
          <w:lang w:val="en-US" w:eastAsia="zh-CN" w:bidi="ar-SA"/>
        </w:rPr>
        <w:t>根据现场调研及问卷调查结果显示，群众反映仍存在有杂草、死树未清理，树木病虫害，抱龙河水面垃圾较多、水质浑浊，行道树遮挡路牌等问题，综合满意度为91.12%，绿化养护质量有待进一步提高。</w:t>
      </w:r>
    </w:p>
    <w:p>
      <w:pPr>
        <w:pStyle w:val="16"/>
        <w:widowControl/>
        <w:numPr>
          <w:ilvl w:val="0"/>
          <w:numId w:val="0"/>
        </w:numPr>
        <w:spacing w:line="500" w:lineRule="exact"/>
        <w:ind w:left="0" w:leftChars="0" w:firstLine="640" w:firstLineChars="200"/>
        <w:jc w:val="both"/>
        <w:rPr>
          <w:rFonts w:hint="default" w:ascii="楷体_GB2312" w:hAnsi="楷体_GB2312" w:eastAsia="楷体_GB2312" w:cs="楷体_GB2312"/>
          <w:bCs w:val="0"/>
          <w:color w:val="auto"/>
          <w:kern w:val="0"/>
          <w:sz w:val="32"/>
          <w:szCs w:val="32"/>
          <w:lang w:val="en-US" w:eastAsia="zh-CN" w:bidi="ar-SA"/>
        </w:rPr>
      </w:pPr>
      <w:r>
        <w:rPr>
          <w:rFonts w:hint="eastAsia" w:ascii="楷体_GB2312" w:hAnsi="楷体_GB2312" w:eastAsia="楷体_GB2312" w:cs="楷体_GB2312"/>
          <w:bCs w:val="0"/>
          <w:color w:val="auto"/>
          <w:kern w:val="0"/>
          <w:sz w:val="32"/>
          <w:szCs w:val="32"/>
          <w:lang w:val="en-US" w:eastAsia="zh-CN" w:bidi="ar-SA"/>
        </w:rPr>
        <w:t>（五）资金到位率低，资金短缺</w:t>
      </w:r>
    </w:p>
    <w:p>
      <w:pPr>
        <w:pStyle w:val="2"/>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Times New Roman" w:hAnsi="Times New Roman" w:eastAsia="仿宋_GB2312" w:cs="Times New Roman"/>
          <w:color w:val="auto"/>
          <w:kern w:val="2"/>
          <w:sz w:val="32"/>
          <w:szCs w:val="32"/>
          <w:lang w:val="en-US" w:eastAsia="zh-CN" w:bidi="ar-SA"/>
        </w:rPr>
      </w:pPr>
      <w:r>
        <w:rPr>
          <w:rFonts w:hint="eastAsia" w:ascii="Times New Roman" w:hAnsi="Times New Roman" w:eastAsia="仿宋_GB2312" w:cs="Times New Roman"/>
          <w:color w:val="auto"/>
          <w:kern w:val="2"/>
          <w:sz w:val="32"/>
          <w:szCs w:val="32"/>
          <w:lang w:val="en-US" w:eastAsia="zh-CN" w:bidi="ar-SA"/>
        </w:rPr>
        <w:t>2023年文登区绿地及水面养护费年初预算4660万元，2023年绿地及水面养护费实际到位资金0万元，2023年资金到位率0%，文登区绿化管护经费存在明显缺口，且随着绿化面积的不断增加，单位养护费不断降低，为降低维护成本，有可能会导致养护水平下降等问题。</w:t>
      </w:r>
    </w:p>
    <w:p>
      <w:pPr>
        <w:pStyle w:val="4"/>
        <w:numPr>
          <w:ilvl w:val="0"/>
          <w:numId w:val="0"/>
        </w:numPr>
        <w:adjustRightInd w:val="0"/>
        <w:snapToGrid w:val="0"/>
        <w:spacing w:before="0" w:after="0" w:line="560" w:lineRule="exact"/>
        <w:ind w:left="0" w:leftChars="0" w:firstLine="640" w:firstLineChars="200"/>
        <w:rPr>
          <w:rFonts w:hint="eastAsia" w:ascii="黑体" w:hAnsi="黑体" w:eastAsia="黑体" w:cs="仿宋_GB2312"/>
          <w:bCs w:val="0"/>
          <w:color w:val="auto"/>
          <w:kern w:val="2"/>
          <w:sz w:val="32"/>
          <w:szCs w:val="32"/>
          <w:lang w:val="en-US" w:eastAsia="zh-CN" w:bidi="ar-SA"/>
        </w:rPr>
      </w:pPr>
      <w:r>
        <w:rPr>
          <w:rFonts w:hint="eastAsia" w:ascii="黑体" w:hAnsi="黑体" w:eastAsia="黑体" w:cs="仿宋_GB2312"/>
          <w:bCs w:val="0"/>
          <w:color w:val="auto"/>
          <w:kern w:val="2"/>
          <w:sz w:val="32"/>
          <w:szCs w:val="32"/>
          <w:lang w:val="en-US" w:eastAsia="zh-CN" w:bidi="ar-SA"/>
        </w:rPr>
        <w:t>四、建议和对策</w:t>
      </w:r>
    </w:p>
    <w:p>
      <w:pPr>
        <w:pStyle w:val="16"/>
        <w:widowControl/>
        <w:numPr>
          <w:ilvl w:val="0"/>
          <w:numId w:val="0"/>
        </w:numPr>
        <w:spacing w:line="500" w:lineRule="exact"/>
        <w:ind w:left="0" w:leftChars="0" w:firstLine="640" w:firstLineChars="200"/>
        <w:jc w:val="both"/>
        <w:rPr>
          <w:rFonts w:hint="eastAsia" w:ascii="楷体_GB2312" w:hAnsi="楷体_GB2312" w:eastAsia="楷体_GB2312" w:cs="楷体_GB2312"/>
          <w:bCs w:val="0"/>
          <w:color w:val="auto"/>
          <w:kern w:val="0"/>
          <w:sz w:val="32"/>
          <w:szCs w:val="32"/>
          <w:lang w:val="en-US" w:eastAsia="zh-CN" w:bidi="ar-SA"/>
        </w:rPr>
      </w:pPr>
      <w:r>
        <w:rPr>
          <w:rFonts w:hint="eastAsia" w:ascii="楷体_GB2312" w:hAnsi="楷体_GB2312" w:eastAsia="楷体_GB2312" w:cs="楷体_GB2312"/>
          <w:bCs w:val="0"/>
          <w:color w:val="auto"/>
          <w:kern w:val="0"/>
          <w:sz w:val="32"/>
          <w:szCs w:val="32"/>
          <w:lang w:val="en-US" w:eastAsia="zh-CN" w:bidi="ar-SA"/>
        </w:rPr>
        <w:t>（一）明确行道树养护基础数据和绿地养护单价标准，提高资金使用效益</w:t>
      </w:r>
    </w:p>
    <w:p>
      <w:pPr>
        <w:pStyle w:val="16"/>
        <w:widowControl/>
        <w:spacing w:line="560" w:lineRule="exact"/>
        <w:ind w:firstLine="640" w:firstLineChars="200"/>
        <w:jc w:val="both"/>
        <w:rPr>
          <w:rFonts w:hint="eastAsia" w:ascii="Times New Roman" w:hAnsi="Times New Roman" w:eastAsia="仿宋_GB2312" w:cs="Times New Roman"/>
          <w:color w:val="auto"/>
          <w:kern w:val="2"/>
          <w:sz w:val="32"/>
          <w:szCs w:val="32"/>
          <w:lang w:val="en-US" w:eastAsia="zh-CN" w:bidi="ar-SA"/>
        </w:rPr>
      </w:pPr>
      <w:r>
        <w:rPr>
          <w:rFonts w:hint="eastAsia" w:ascii="Times New Roman" w:hAnsi="Times New Roman" w:eastAsia="仿宋_GB2312" w:cs="Times New Roman"/>
          <w:color w:val="auto"/>
          <w:kern w:val="2"/>
          <w:sz w:val="32"/>
          <w:szCs w:val="32"/>
          <w:lang w:val="en-US" w:eastAsia="zh-CN" w:bidi="ar-SA"/>
        </w:rPr>
        <w:t>应根据行道树历史数据，结合近年行道树数量的增减变动情况，合理确定行道树养护的基础数据，明确行道树养护范围，将不属于养护范围内的威石路、龙海路12105株行道树数据剔除，按照5元/株的养护单价，可压减预算资金6万元。根据成本绩效分析，通过对养护案例按一定的调整系数进行调整后算数平均，建议核定公园绿地养护单价为2.85元/平方米，按照2024年实际养护面积1587.29公顷，可压减预算资金238万元。</w:t>
      </w:r>
    </w:p>
    <w:p>
      <w:pPr>
        <w:pStyle w:val="16"/>
        <w:widowControl/>
        <w:spacing w:line="560" w:lineRule="exact"/>
        <w:ind w:firstLine="640" w:firstLineChars="200"/>
        <w:jc w:val="both"/>
        <w:rPr>
          <w:rFonts w:hint="eastAsia" w:ascii="Times New Roman" w:hAnsi="Times New Roman" w:eastAsia="仿宋_GB2312" w:cs="Times New Roman"/>
          <w:color w:val="auto"/>
          <w:kern w:val="2"/>
          <w:sz w:val="32"/>
          <w:szCs w:val="32"/>
          <w:lang w:val="en-US" w:eastAsia="zh-CN" w:bidi="ar-SA"/>
        </w:rPr>
      </w:pPr>
      <w:r>
        <w:rPr>
          <w:rFonts w:hint="eastAsia" w:ascii="Times New Roman" w:hAnsi="Times New Roman" w:eastAsia="仿宋_GB2312" w:cs="Times New Roman"/>
          <w:color w:val="auto"/>
          <w:kern w:val="2"/>
          <w:sz w:val="32"/>
          <w:szCs w:val="32"/>
          <w:lang w:val="en-US" w:eastAsia="zh-CN" w:bidi="ar-SA"/>
        </w:rPr>
        <w:t>建议文登区绿地及水面养护项目年度总预算为4542万元，避免造成财政资金的浪费，节约财政资金，提高资金使用效益。</w:t>
      </w:r>
    </w:p>
    <w:p>
      <w:pPr>
        <w:pStyle w:val="16"/>
        <w:widowControl/>
        <w:numPr>
          <w:ilvl w:val="0"/>
          <w:numId w:val="0"/>
        </w:numPr>
        <w:spacing w:line="500" w:lineRule="exact"/>
        <w:ind w:left="0" w:leftChars="0" w:firstLine="640" w:firstLineChars="200"/>
        <w:jc w:val="both"/>
        <w:rPr>
          <w:rFonts w:hint="eastAsia" w:ascii="楷体_GB2312" w:hAnsi="楷体_GB2312" w:eastAsia="楷体_GB2312" w:cs="楷体_GB2312"/>
          <w:bCs w:val="0"/>
          <w:color w:val="auto"/>
          <w:kern w:val="0"/>
          <w:sz w:val="32"/>
          <w:szCs w:val="32"/>
          <w:lang w:val="en-US" w:eastAsia="zh-CN" w:bidi="ar-SA"/>
        </w:rPr>
      </w:pPr>
      <w:r>
        <w:rPr>
          <w:rFonts w:hint="eastAsia" w:ascii="楷体_GB2312" w:hAnsi="楷体_GB2312" w:eastAsia="楷体_GB2312" w:cs="楷体_GB2312"/>
          <w:bCs w:val="0"/>
          <w:color w:val="auto"/>
          <w:kern w:val="0"/>
          <w:sz w:val="32"/>
          <w:szCs w:val="32"/>
          <w:lang w:val="en-US" w:eastAsia="zh-CN" w:bidi="ar-SA"/>
        </w:rPr>
        <w:t>（二）从实际出发，规范养护合同内容签订</w:t>
      </w:r>
    </w:p>
    <w:p>
      <w:pPr>
        <w:pStyle w:val="16"/>
        <w:widowControl/>
        <w:spacing w:line="560" w:lineRule="exact"/>
        <w:ind w:firstLine="640" w:firstLineChars="200"/>
        <w:rPr>
          <w:rFonts w:hint="eastAsia" w:ascii="Times New Roman" w:hAnsi="Times New Roman" w:eastAsia="仿宋_GB2312" w:cs="Times New Roman"/>
          <w:color w:val="auto"/>
          <w:kern w:val="2"/>
          <w:sz w:val="32"/>
          <w:szCs w:val="32"/>
          <w:lang w:val="en-US" w:eastAsia="zh-CN" w:bidi="ar-SA"/>
        </w:rPr>
      </w:pPr>
      <w:r>
        <w:rPr>
          <w:rFonts w:hint="eastAsia" w:ascii="Times New Roman" w:hAnsi="Times New Roman" w:eastAsia="仿宋_GB2312" w:cs="Times New Roman"/>
          <w:color w:val="auto"/>
          <w:kern w:val="2"/>
          <w:sz w:val="32"/>
          <w:szCs w:val="32"/>
          <w:lang w:val="en-US" w:eastAsia="zh-CN" w:bidi="ar-SA"/>
        </w:rPr>
        <w:t>养护合同应明确养护面积和养护范围，养护面积应与实际养护面积相一致，准确描述绿地养护的具体范围，如公园名称、道路名称等，必要时可以附上详细的养护数据来确保双方对养护范围的理解一致；同时可以明确不同养护区域达到的养护标准和质量要求。</w:t>
      </w:r>
    </w:p>
    <w:p>
      <w:pPr>
        <w:pStyle w:val="16"/>
        <w:widowControl/>
        <w:numPr>
          <w:ilvl w:val="0"/>
          <w:numId w:val="0"/>
        </w:numPr>
        <w:spacing w:line="500" w:lineRule="exact"/>
        <w:ind w:left="0" w:leftChars="0" w:firstLine="640" w:firstLineChars="200"/>
        <w:jc w:val="both"/>
        <w:rPr>
          <w:rFonts w:hint="eastAsia" w:ascii="楷体_GB2312" w:hAnsi="楷体_GB2312" w:eastAsia="楷体_GB2312" w:cs="楷体_GB2312"/>
          <w:bCs w:val="0"/>
          <w:color w:val="auto"/>
          <w:kern w:val="0"/>
          <w:sz w:val="32"/>
          <w:szCs w:val="32"/>
          <w:lang w:val="en-US" w:eastAsia="zh-CN" w:bidi="ar-SA"/>
        </w:rPr>
      </w:pPr>
      <w:r>
        <w:rPr>
          <w:rFonts w:hint="eastAsia" w:ascii="楷体_GB2312" w:hAnsi="楷体_GB2312" w:eastAsia="楷体_GB2312" w:cs="楷体_GB2312"/>
          <w:bCs w:val="0"/>
          <w:color w:val="auto"/>
          <w:kern w:val="0"/>
          <w:sz w:val="32"/>
          <w:szCs w:val="32"/>
          <w:lang w:val="en-US" w:eastAsia="zh-CN" w:bidi="ar-SA"/>
        </w:rPr>
        <w:t>（三）加强对养护单位的过程管理，过程和结果并重</w:t>
      </w:r>
    </w:p>
    <w:p>
      <w:pPr>
        <w:widowControl/>
        <w:spacing w:line="560" w:lineRule="exact"/>
        <w:ind w:firstLine="640" w:firstLineChars="200"/>
        <w:jc w:val="left"/>
        <w:rPr>
          <w:rFonts w:hint="eastAsia" w:ascii="Times New Roman" w:hAnsi="Times New Roman" w:eastAsia="仿宋_GB2312" w:cs="Times New Roman"/>
          <w:color w:val="auto"/>
          <w:kern w:val="2"/>
          <w:sz w:val="32"/>
          <w:szCs w:val="32"/>
          <w:lang w:val="en-US" w:eastAsia="zh-CN" w:bidi="ar-SA"/>
        </w:rPr>
      </w:pPr>
      <w:bookmarkStart w:id="17" w:name="OLE_LINK45"/>
      <w:bookmarkStart w:id="18" w:name="OLE_LINK46"/>
      <w:r>
        <w:rPr>
          <w:rFonts w:hint="eastAsia" w:ascii="Times New Roman" w:hAnsi="Times New Roman" w:eastAsia="仿宋_GB2312" w:cs="Times New Roman"/>
          <w:color w:val="auto"/>
          <w:kern w:val="2"/>
          <w:sz w:val="32"/>
          <w:szCs w:val="32"/>
          <w:lang w:val="en-US" w:eastAsia="zh-CN" w:bidi="ar-SA"/>
        </w:rPr>
        <w:t>注重对养护公司养护成果考核的同时，适当关注养护公司自身的业务管理和养护过程管理。对养护公司业务管理的规范性和有效性，日常养护记录等资料的完备性方面也应纳入考核范围，敦促养护单位及时提交月报、年度养护计划和工作总结，建立统一的工作台账，实现对养护过程和效果的全面监管。</w:t>
      </w:r>
      <w:bookmarkEnd w:id="17"/>
      <w:bookmarkEnd w:id="18"/>
    </w:p>
    <w:p>
      <w:pPr>
        <w:widowControl/>
        <w:spacing w:line="560" w:lineRule="exact"/>
        <w:ind w:firstLine="640" w:firstLineChars="200"/>
        <w:jc w:val="left"/>
        <w:rPr>
          <w:rFonts w:hint="eastAsia" w:ascii="Times New Roman" w:hAnsi="Times New Roman" w:eastAsia="仿宋_GB2312" w:cs="Times New Roman"/>
          <w:color w:val="auto"/>
          <w:kern w:val="2"/>
          <w:sz w:val="32"/>
          <w:szCs w:val="32"/>
          <w:lang w:val="en-US" w:eastAsia="zh-CN" w:bidi="ar-SA"/>
        </w:rPr>
      </w:pPr>
      <w:r>
        <w:rPr>
          <w:rFonts w:hint="eastAsia" w:ascii="Times New Roman" w:hAnsi="Times New Roman" w:eastAsia="仿宋_GB2312" w:cs="Times New Roman"/>
          <w:color w:val="auto"/>
          <w:kern w:val="2"/>
          <w:sz w:val="32"/>
          <w:szCs w:val="32"/>
          <w:lang w:val="en-US" w:eastAsia="zh-CN" w:bidi="ar-SA"/>
        </w:rPr>
        <w:t>可组织养护单位统一对现有行道树数量进行清点，必要时可采购第三方服务，保证养护基础数据的准确性。建立养护数据台账，对养护面积变更、行道树增减等情况及时进行更新，与养护单位进行信息的同步更新，提高养护数据的准确性。</w:t>
      </w:r>
    </w:p>
    <w:p>
      <w:pPr>
        <w:pStyle w:val="16"/>
        <w:widowControl/>
        <w:numPr>
          <w:ilvl w:val="0"/>
          <w:numId w:val="0"/>
        </w:numPr>
        <w:spacing w:line="500" w:lineRule="exact"/>
        <w:ind w:left="0" w:leftChars="0" w:firstLine="640" w:firstLineChars="200"/>
        <w:jc w:val="both"/>
        <w:rPr>
          <w:rFonts w:hint="eastAsia" w:ascii="楷体_GB2312" w:hAnsi="楷体_GB2312" w:eastAsia="楷体_GB2312" w:cs="楷体_GB2312"/>
          <w:bCs w:val="0"/>
          <w:color w:val="auto"/>
          <w:kern w:val="0"/>
          <w:sz w:val="32"/>
          <w:szCs w:val="32"/>
          <w:lang w:val="en-US" w:eastAsia="zh-CN" w:bidi="ar-SA"/>
        </w:rPr>
      </w:pPr>
      <w:r>
        <w:rPr>
          <w:rFonts w:hint="eastAsia" w:ascii="楷体_GB2312" w:hAnsi="楷体_GB2312" w:eastAsia="楷体_GB2312" w:cs="楷体_GB2312"/>
          <w:bCs w:val="0"/>
          <w:color w:val="auto"/>
          <w:kern w:val="0"/>
          <w:sz w:val="32"/>
          <w:szCs w:val="32"/>
          <w:lang w:val="en-US" w:eastAsia="zh-CN" w:bidi="ar-SA"/>
        </w:rPr>
        <w:t>（四）加强队伍建设，防护与教育并举，提高养护成果</w:t>
      </w:r>
    </w:p>
    <w:p>
      <w:pPr>
        <w:spacing w:line="560" w:lineRule="exact"/>
        <w:ind w:firstLine="640" w:firstLineChars="200"/>
        <w:rPr>
          <w:rFonts w:hint="eastAsia" w:ascii="Times New Roman" w:hAnsi="Times New Roman" w:eastAsia="仿宋_GB2312" w:cs="Times New Roman"/>
          <w:color w:val="auto"/>
          <w:kern w:val="2"/>
          <w:sz w:val="32"/>
          <w:szCs w:val="32"/>
          <w:lang w:val="en-US" w:eastAsia="zh-CN" w:bidi="ar-SA"/>
        </w:rPr>
      </w:pPr>
      <w:r>
        <w:rPr>
          <w:rFonts w:hint="eastAsia" w:ascii="Times New Roman" w:hAnsi="Times New Roman" w:eastAsia="仿宋_GB2312" w:cs="Times New Roman"/>
          <w:color w:val="auto"/>
          <w:kern w:val="2"/>
          <w:sz w:val="32"/>
          <w:szCs w:val="32"/>
          <w:lang w:val="en-US" w:eastAsia="zh-CN" w:bidi="ar-SA"/>
        </w:rPr>
        <w:t>由于养护雇佣工年龄结构偏大、临时工队伍不稳定等原因，应加强对养护人员的专业技术培训，提高养护管理技术水平，通过加强绿化专业人员培训，提高养护管理技术水平，提高群众满意度。</w:t>
      </w:r>
    </w:p>
    <w:p>
      <w:pPr>
        <w:widowControl/>
        <w:spacing w:line="560" w:lineRule="exact"/>
        <w:ind w:firstLine="640" w:firstLineChars="200"/>
        <w:jc w:val="left"/>
        <w:rPr>
          <w:rFonts w:hint="eastAsia" w:ascii="Times New Roman" w:hAnsi="Times New Roman" w:eastAsia="仿宋_GB2312" w:cs="Times New Roman"/>
          <w:color w:val="auto"/>
          <w:kern w:val="2"/>
          <w:sz w:val="32"/>
          <w:szCs w:val="32"/>
          <w:lang w:val="en-US" w:eastAsia="zh-CN" w:bidi="ar-SA"/>
        </w:rPr>
      </w:pPr>
      <w:r>
        <w:rPr>
          <w:rFonts w:hint="eastAsia" w:ascii="Times New Roman" w:hAnsi="Times New Roman" w:eastAsia="仿宋_GB2312" w:cs="Times New Roman"/>
          <w:color w:val="auto"/>
          <w:kern w:val="2"/>
          <w:sz w:val="32"/>
          <w:szCs w:val="32"/>
          <w:lang w:val="en-US" w:eastAsia="zh-CN" w:bidi="ar-SA"/>
        </w:rPr>
        <w:t>绿地养护工作不仅是养护管理部门的责任，更是每个公民的责任。城市管理者应不断加强公民对绿化的关注度，通过媒体、公众号等进行宣传与教育，提高公民爱绿、护绿的意识，减少恶意损坏植物的现象发生。</w:t>
      </w:r>
    </w:p>
    <w:p>
      <w:pPr>
        <w:pStyle w:val="16"/>
        <w:widowControl/>
        <w:numPr>
          <w:ilvl w:val="0"/>
          <w:numId w:val="0"/>
        </w:numPr>
        <w:spacing w:line="500" w:lineRule="exact"/>
        <w:ind w:left="0" w:leftChars="0" w:firstLine="640" w:firstLineChars="200"/>
        <w:jc w:val="both"/>
        <w:rPr>
          <w:rFonts w:hint="eastAsia" w:ascii="楷体_GB2312" w:hAnsi="楷体_GB2312" w:eastAsia="楷体_GB2312" w:cs="楷体_GB2312"/>
          <w:bCs w:val="0"/>
          <w:color w:val="auto"/>
          <w:kern w:val="0"/>
          <w:sz w:val="32"/>
          <w:szCs w:val="32"/>
          <w:lang w:val="en-US" w:eastAsia="zh-CN" w:bidi="ar-SA"/>
        </w:rPr>
      </w:pPr>
      <w:r>
        <w:rPr>
          <w:rFonts w:hint="eastAsia" w:ascii="楷体_GB2312" w:hAnsi="楷体_GB2312" w:eastAsia="楷体_GB2312" w:cs="楷体_GB2312"/>
          <w:bCs w:val="0"/>
          <w:color w:val="auto"/>
          <w:kern w:val="0"/>
          <w:sz w:val="32"/>
          <w:szCs w:val="32"/>
          <w:lang w:val="en-US" w:eastAsia="zh-CN" w:bidi="ar-SA"/>
        </w:rPr>
        <w:t>（五）适当延长合同期限，提高绿化养护质量</w:t>
      </w:r>
    </w:p>
    <w:p>
      <w:pPr>
        <w:pStyle w:val="16"/>
        <w:widowControl/>
        <w:spacing w:line="560" w:lineRule="exact"/>
        <w:ind w:firstLine="640" w:firstLineChars="200"/>
        <w:jc w:val="both"/>
        <w:rPr>
          <w:rFonts w:hint="eastAsia" w:ascii="Times New Roman" w:hAnsi="Times New Roman" w:eastAsia="仿宋_GB2312" w:cs="Times New Roman"/>
          <w:color w:val="auto"/>
          <w:kern w:val="2"/>
          <w:sz w:val="32"/>
          <w:szCs w:val="32"/>
          <w:lang w:val="en-US" w:eastAsia="zh-CN" w:bidi="ar-SA"/>
        </w:rPr>
      </w:pPr>
      <w:r>
        <w:rPr>
          <w:rFonts w:hint="eastAsia" w:ascii="Times New Roman" w:hAnsi="Times New Roman" w:eastAsia="仿宋_GB2312" w:cs="Times New Roman"/>
          <w:color w:val="auto"/>
          <w:kern w:val="2"/>
          <w:sz w:val="32"/>
          <w:szCs w:val="32"/>
          <w:lang w:val="en-US" w:eastAsia="zh-CN" w:bidi="ar-SA"/>
        </w:rPr>
        <w:t>无论是2023年还是2024年管护合同签订的管护期限均为一年，根据《威海市区城市绿化养护管理办法》第十条：“各级城市绿化主管部门应与中标的养护单位依法签订养护合同，养护期一般为2年。”适当延长绿化养护合同期限在一定程度上可以提高绿化养护质量，保证绿化管养工作的连续性和稳定性，确保植物健康生长，同时减少频繁更换养护队伍的麻烦，以及减少因频繁更换养护队伍可能导致的植物损伤。</w:t>
      </w:r>
    </w:p>
    <w:p>
      <w:pPr>
        <w:pStyle w:val="16"/>
        <w:widowControl/>
        <w:spacing w:line="560" w:lineRule="exact"/>
        <w:ind w:left="-710"/>
        <w:jc w:val="both"/>
        <w:rPr>
          <w:rFonts w:hint="eastAsia" w:ascii="Times New Roman" w:hAnsi="Times New Roman" w:eastAsia="仿宋_GB2312" w:cs="Times New Roman"/>
          <w:color w:val="auto"/>
          <w:kern w:val="2"/>
          <w:sz w:val="32"/>
          <w:szCs w:val="32"/>
          <w:lang w:val="en-US" w:eastAsia="zh-CN" w:bidi="ar-SA"/>
        </w:rPr>
        <w:sectPr>
          <w:headerReference r:id="rId9" w:type="default"/>
          <w:footerReference r:id="rId10" w:type="default"/>
          <w:footnotePr>
            <w:numRestart w:val="eachPage"/>
          </w:footnotePr>
          <w:pgSz w:w="11906" w:h="16838"/>
          <w:pgMar w:top="1440" w:right="1797" w:bottom="1440" w:left="1797" w:header="851" w:footer="992" w:gutter="0"/>
          <w:pgNumType w:start="1"/>
          <w:cols w:space="425" w:num="1"/>
          <w:docGrid w:type="lines" w:linePitch="312" w:charSpace="0"/>
        </w:sectPr>
      </w:pPr>
    </w:p>
    <w:p>
      <w:pPr>
        <w:spacing w:line="590" w:lineRule="exact"/>
        <w:ind w:firstLine="0" w:firstLineChars="0"/>
        <w:jc w:val="right"/>
        <w:rPr>
          <w:rFonts w:ascii="仿宋" w:hAnsi="仿宋" w:eastAsia="仿宋" w:cs="仿宋"/>
          <w:b/>
          <w:bCs/>
          <w:sz w:val="36"/>
          <w:szCs w:val="36"/>
        </w:rPr>
      </w:pPr>
    </w:p>
    <w:p>
      <w:pPr>
        <w:spacing w:line="590" w:lineRule="exact"/>
        <w:ind w:firstLine="723"/>
        <w:jc w:val="center"/>
        <w:rPr>
          <w:rFonts w:ascii="仿宋" w:hAnsi="仿宋" w:eastAsia="仿宋" w:cs="仿宋"/>
          <w:b/>
          <w:bCs/>
          <w:sz w:val="36"/>
          <w:szCs w:val="36"/>
        </w:rPr>
      </w:pPr>
    </w:p>
    <w:p>
      <w:pPr>
        <w:spacing w:line="590" w:lineRule="exact"/>
        <w:ind w:firstLine="723"/>
        <w:jc w:val="center"/>
        <w:rPr>
          <w:rFonts w:ascii="仿宋" w:hAnsi="仿宋" w:eastAsia="仿宋" w:cs="仿宋"/>
          <w:b/>
          <w:bCs/>
          <w:sz w:val="36"/>
          <w:szCs w:val="36"/>
        </w:rPr>
      </w:pPr>
    </w:p>
    <w:p>
      <w:pPr>
        <w:spacing w:line="590" w:lineRule="exact"/>
        <w:ind w:firstLine="803"/>
        <w:jc w:val="center"/>
        <w:rPr>
          <w:rFonts w:ascii="仿宋" w:hAnsi="仿宋" w:eastAsia="仿宋" w:cs="仿宋"/>
          <w:b/>
          <w:bCs/>
          <w:sz w:val="40"/>
          <w:szCs w:val="40"/>
        </w:rPr>
      </w:pPr>
    </w:p>
    <w:p>
      <w:pPr>
        <w:autoSpaceDE w:val="0"/>
        <w:autoSpaceDN w:val="0"/>
        <w:adjustRightInd w:val="0"/>
        <w:spacing w:line="590" w:lineRule="exact"/>
        <w:ind w:firstLine="0" w:firstLineChars="0"/>
        <w:jc w:val="center"/>
        <w:rPr>
          <w:rFonts w:hint="eastAsia" w:ascii="方正小标宋简体" w:hAnsi="方正小标宋简体" w:eastAsia="方正小标宋简体" w:cs="方正小标宋简体"/>
          <w:b/>
          <w:bCs/>
          <w:color w:val="000000"/>
          <w:kern w:val="0"/>
          <w:sz w:val="44"/>
          <w:szCs w:val="44"/>
          <w:lang w:val="en-US" w:eastAsia="zh-CN"/>
        </w:rPr>
      </w:pPr>
      <w:r>
        <w:rPr>
          <w:rFonts w:hint="eastAsia" w:ascii="方正小标宋简体" w:hAnsi="方正小标宋简体" w:eastAsia="方正小标宋简体" w:cs="方正小标宋简体"/>
          <w:b/>
          <w:bCs/>
          <w:color w:val="000000"/>
          <w:kern w:val="0"/>
          <w:sz w:val="44"/>
          <w:szCs w:val="44"/>
          <w:lang w:val="en-US" w:eastAsia="zh-CN"/>
        </w:rPr>
        <w:t>2023年威海市文登区</w:t>
      </w:r>
    </w:p>
    <w:p>
      <w:pPr>
        <w:autoSpaceDE w:val="0"/>
        <w:autoSpaceDN w:val="0"/>
        <w:adjustRightInd w:val="0"/>
        <w:spacing w:line="590" w:lineRule="exact"/>
        <w:ind w:firstLine="0" w:firstLineChars="0"/>
        <w:jc w:val="center"/>
        <w:rPr>
          <w:rFonts w:hint="eastAsia" w:ascii="方正小标宋简体" w:hAnsi="方正小标宋简体" w:eastAsia="方正小标宋简体" w:cs="方正小标宋简体"/>
          <w:b/>
          <w:bCs/>
          <w:color w:val="000000"/>
          <w:kern w:val="0"/>
          <w:sz w:val="44"/>
          <w:szCs w:val="44"/>
          <w:lang w:val="en-US" w:eastAsia="zh-CN"/>
        </w:rPr>
      </w:pPr>
      <w:r>
        <w:rPr>
          <w:rFonts w:hint="eastAsia" w:ascii="方正小标宋简体" w:hAnsi="方正小标宋简体" w:eastAsia="方正小标宋简体" w:cs="方正小标宋简体"/>
          <w:b/>
          <w:bCs/>
          <w:color w:val="000000"/>
          <w:kern w:val="0"/>
          <w:sz w:val="44"/>
          <w:szCs w:val="44"/>
          <w:lang w:val="en-US" w:eastAsia="zh-CN"/>
        </w:rPr>
        <w:t>义务教育学校课后托管经费项目</w:t>
      </w:r>
    </w:p>
    <w:p>
      <w:pPr>
        <w:autoSpaceDE w:val="0"/>
        <w:autoSpaceDN w:val="0"/>
        <w:adjustRightInd w:val="0"/>
        <w:spacing w:line="590" w:lineRule="exact"/>
        <w:ind w:firstLine="0" w:firstLineChars="0"/>
        <w:jc w:val="center"/>
        <w:rPr>
          <w:rFonts w:hint="eastAsia" w:ascii="方正小标宋简体" w:hAnsi="方正小标宋简体" w:eastAsia="方正小标宋简体" w:cs="方正小标宋简体"/>
          <w:b/>
          <w:bCs/>
          <w:color w:val="000000"/>
          <w:kern w:val="0"/>
          <w:sz w:val="44"/>
          <w:szCs w:val="44"/>
        </w:rPr>
      </w:pPr>
      <w:r>
        <w:rPr>
          <w:rFonts w:hint="eastAsia" w:ascii="方正小标宋简体" w:hAnsi="方正小标宋简体" w:eastAsia="方正小标宋简体" w:cs="方正小标宋简体"/>
          <w:b/>
          <w:bCs/>
          <w:color w:val="000000"/>
          <w:kern w:val="0"/>
          <w:sz w:val="44"/>
          <w:szCs w:val="44"/>
          <w:lang w:val="en-US" w:eastAsia="zh-CN"/>
        </w:rPr>
        <w:t>绩效评价报告</w:t>
      </w:r>
    </w:p>
    <w:p>
      <w:pPr>
        <w:autoSpaceDE w:val="0"/>
        <w:autoSpaceDN w:val="0"/>
        <w:adjustRightInd w:val="0"/>
        <w:spacing w:line="590" w:lineRule="exact"/>
        <w:ind w:firstLine="0" w:firstLineChars="0"/>
        <w:jc w:val="center"/>
        <w:rPr>
          <w:rFonts w:ascii="仿宋" w:hAnsi="仿宋" w:eastAsia="仿宋" w:cs="仿宋"/>
          <w:b/>
          <w:bCs/>
          <w:color w:val="000000"/>
          <w:kern w:val="0"/>
          <w:sz w:val="52"/>
          <w:szCs w:val="52"/>
        </w:rPr>
      </w:pPr>
    </w:p>
    <w:p>
      <w:pPr>
        <w:spacing w:line="590" w:lineRule="exact"/>
        <w:ind w:left="680"/>
        <w:rPr>
          <w:rFonts w:ascii="仿宋" w:hAnsi="仿宋" w:eastAsia="仿宋" w:cs="仿宋"/>
          <w:sz w:val="32"/>
        </w:rPr>
      </w:pPr>
    </w:p>
    <w:p>
      <w:pPr>
        <w:spacing w:line="590" w:lineRule="exact"/>
        <w:rPr>
          <w:rFonts w:ascii="仿宋" w:hAnsi="仿宋" w:eastAsia="仿宋" w:cs="仿宋"/>
          <w:sz w:val="32"/>
        </w:rPr>
      </w:pPr>
    </w:p>
    <w:p>
      <w:pPr>
        <w:spacing w:line="590" w:lineRule="exact"/>
        <w:ind w:firstLine="0" w:firstLineChars="0"/>
        <w:rPr>
          <w:rFonts w:ascii="仿宋" w:hAnsi="仿宋" w:eastAsia="仿宋" w:cs="仿宋"/>
          <w:sz w:val="32"/>
        </w:rPr>
      </w:pPr>
    </w:p>
    <w:p>
      <w:pPr>
        <w:spacing w:line="590" w:lineRule="exact"/>
        <w:ind w:firstLine="602"/>
        <w:rPr>
          <w:rFonts w:ascii="仿宋" w:hAnsi="仿宋" w:eastAsia="仿宋" w:cs="仿宋"/>
          <w:b/>
          <w:bCs/>
        </w:rPr>
      </w:pPr>
    </w:p>
    <w:p>
      <w:pPr>
        <w:spacing w:line="590" w:lineRule="exact"/>
        <w:ind w:firstLine="602"/>
        <w:rPr>
          <w:rFonts w:ascii="仿宋" w:hAnsi="仿宋" w:eastAsia="仿宋" w:cs="仿宋"/>
          <w:b/>
          <w:bCs/>
        </w:rPr>
      </w:pPr>
    </w:p>
    <w:p>
      <w:pPr>
        <w:spacing w:line="590" w:lineRule="exact"/>
        <w:ind w:firstLine="602"/>
        <w:rPr>
          <w:rFonts w:ascii="仿宋" w:hAnsi="仿宋" w:eastAsia="仿宋" w:cs="仿宋"/>
          <w:b/>
          <w:bCs/>
        </w:rPr>
      </w:pPr>
    </w:p>
    <w:p>
      <w:pPr>
        <w:spacing w:line="590" w:lineRule="exact"/>
        <w:ind w:firstLine="602"/>
        <w:rPr>
          <w:rFonts w:ascii="仿宋" w:hAnsi="仿宋" w:eastAsia="仿宋" w:cs="仿宋"/>
          <w:b/>
          <w:bCs/>
        </w:rPr>
      </w:pPr>
    </w:p>
    <w:p>
      <w:pPr>
        <w:spacing w:line="590" w:lineRule="exact"/>
        <w:jc w:val="center"/>
        <w:rPr>
          <w:rFonts w:ascii="仿宋" w:hAnsi="仿宋" w:eastAsia="仿宋" w:cs="仿宋"/>
          <w:b/>
          <w:bCs/>
          <w:sz w:val="32"/>
          <w:szCs w:val="24"/>
        </w:rPr>
      </w:pPr>
      <w:r>
        <w:rPr>
          <w:rFonts w:hint="eastAsia" w:ascii="仿宋" w:hAnsi="仿宋" w:eastAsia="仿宋" w:cs="仿宋"/>
          <w:b/>
          <w:bCs/>
          <w:sz w:val="32"/>
          <w:szCs w:val="24"/>
        </w:rPr>
        <w:t>威海市文登区财政局</w:t>
      </w:r>
    </w:p>
    <w:p>
      <w:pPr>
        <w:spacing w:line="590" w:lineRule="exact"/>
        <w:jc w:val="center"/>
        <w:rPr>
          <w:rFonts w:ascii="仿宋" w:hAnsi="仿宋" w:eastAsia="仿宋" w:cs="仿宋"/>
          <w:b/>
          <w:bCs/>
          <w:sz w:val="32"/>
          <w:szCs w:val="24"/>
        </w:rPr>
        <w:sectPr>
          <w:headerReference r:id="rId13" w:type="first"/>
          <w:footerReference r:id="rId16" w:type="first"/>
          <w:headerReference r:id="rId11" w:type="default"/>
          <w:footerReference r:id="rId14" w:type="default"/>
          <w:headerReference r:id="rId12" w:type="even"/>
          <w:footerReference r:id="rId15" w:type="even"/>
          <w:pgSz w:w="11850" w:h="16783"/>
          <w:pgMar w:top="1440" w:right="1440" w:bottom="1440" w:left="1440" w:header="737" w:footer="1077" w:gutter="0"/>
          <w:cols w:equalWidth="0" w:num="1">
            <w:col w:w="9026"/>
          </w:cols>
          <w:docGrid w:linePitch="360" w:charSpace="0"/>
        </w:sectPr>
      </w:pPr>
      <w:r>
        <w:rPr>
          <w:rFonts w:hint="eastAsia" w:ascii="仿宋" w:hAnsi="仿宋" w:eastAsia="仿宋" w:cs="仿宋"/>
          <w:b/>
          <w:bCs/>
          <w:sz w:val="32"/>
          <w:szCs w:val="24"/>
        </w:rPr>
        <w:t>评价时间：202</w:t>
      </w:r>
      <w:r>
        <w:rPr>
          <w:rFonts w:hint="eastAsia" w:ascii="仿宋" w:hAnsi="仿宋" w:eastAsia="仿宋" w:cs="仿宋"/>
          <w:b/>
          <w:bCs/>
          <w:sz w:val="32"/>
          <w:szCs w:val="24"/>
          <w:lang w:val="en-US" w:eastAsia="zh-CN"/>
        </w:rPr>
        <w:t>4</w:t>
      </w:r>
      <w:r>
        <w:rPr>
          <w:rFonts w:hint="eastAsia" w:ascii="仿宋" w:hAnsi="仿宋" w:eastAsia="仿宋" w:cs="仿宋"/>
          <w:b/>
          <w:bCs/>
          <w:sz w:val="32"/>
          <w:szCs w:val="24"/>
        </w:rPr>
        <w:t xml:space="preserve"> 年 </w:t>
      </w:r>
      <w:r>
        <w:rPr>
          <w:rFonts w:hint="eastAsia" w:ascii="仿宋" w:hAnsi="仿宋" w:eastAsia="仿宋" w:cs="仿宋"/>
          <w:b/>
          <w:bCs/>
          <w:sz w:val="32"/>
          <w:szCs w:val="24"/>
          <w:lang w:val="en-US" w:eastAsia="zh-CN"/>
        </w:rPr>
        <w:t>7</w:t>
      </w:r>
      <w:r>
        <w:rPr>
          <w:rFonts w:hint="eastAsia" w:ascii="仿宋" w:hAnsi="仿宋" w:eastAsia="仿宋" w:cs="仿宋"/>
          <w:b/>
          <w:bCs/>
          <w:sz w:val="32"/>
          <w:szCs w:val="24"/>
        </w:rPr>
        <w:t xml:space="preserve"> 月</w:t>
      </w:r>
    </w:p>
    <w:p>
      <w:pPr>
        <w:pStyle w:val="3"/>
        <w:pageBreakBefore w:val="0"/>
        <w:widowControl w:val="0"/>
        <w:numPr>
          <w:ilvl w:val="0"/>
          <w:numId w:val="4"/>
        </w:numPr>
        <w:kinsoku/>
        <w:wordWrap/>
        <w:overflowPunct/>
        <w:topLinePunct w:val="0"/>
        <w:bidi w:val="0"/>
        <w:adjustRightInd/>
        <w:snapToGrid/>
        <w:spacing w:line="560" w:lineRule="exact"/>
        <w:ind w:firstLine="640" w:firstLineChars="200"/>
        <w:textAlignment w:val="auto"/>
        <w:rPr>
          <w:rFonts w:ascii="Times New Roman" w:hAnsi="Times New Roman" w:eastAsia="黑体" w:cs="Times New Roman"/>
        </w:rPr>
      </w:pPr>
      <w:bookmarkStart w:id="19" w:name="_Toc109805674"/>
      <w:r>
        <w:rPr>
          <w:rFonts w:ascii="Times New Roman" w:hAnsi="Times New Roman" w:eastAsia="黑体" w:cs="Times New Roman"/>
        </w:rPr>
        <w:t>项目概况</w:t>
      </w:r>
      <w:bookmarkEnd w:id="19"/>
    </w:p>
    <w:p>
      <w:pPr>
        <w:ind w:firstLine="640" w:firstLineChars="200"/>
        <w:rPr>
          <w:rFonts w:eastAsia="仿宋_GB2312"/>
          <w:b/>
          <w:sz w:val="28"/>
          <w:szCs w:val="28"/>
          <w:lang w:bidi="en-US"/>
        </w:rPr>
      </w:pPr>
      <w:r>
        <w:rPr>
          <w:rFonts w:hint="eastAsia" w:eastAsia="楷体_GB2312"/>
          <w:sz w:val="32"/>
          <w:szCs w:val="32"/>
        </w:rPr>
        <w:t>（一）</w:t>
      </w:r>
      <w:r>
        <w:rPr>
          <w:rFonts w:eastAsia="楷体_GB2312"/>
          <w:sz w:val="32"/>
          <w:szCs w:val="32"/>
        </w:rPr>
        <w:t>项目立项背景及实施目的</w:t>
      </w:r>
    </w:p>
    <w:p>
      <w:pPr>
        <w:spacing w:line="600" w:lineRule="exact"/>
        <w:ind w:firstLine="640" w:firstLineChars="200"/>
        <w:rPr>
          <w:rFonts w:eastAsia="仿宋_GB2312"/>
          <w:bCs/>
          <w:sz w:val="32"/>
          <w:szCs w:val="32"/>
          <w:lang w:bidi="en-US"/>
        </w:rPr>
      </w:pPr>
      <w:r>
        <w:rPr>
          <w:rFonts w:hint="eastAsia" w:eastAsia="仿宋_GB2312"/>
          <w:bCs/>
          <w:sz w:val="32"/>
          <w:szCs w:val="32"/>
          <w:lang w:bidi="en-US"/>
        </w:rPr>
        <w:t>为减轻学生校外过重课业负担、促进学生特长发展、提升学生综合素质，同时保障学生安全，缓解部分学生家长按时接送孩子困难的问题，文登区教育和体育局等四部门联合下发文件，启动义务教育阶段学校课后托管服务。</w:t>
      </w:r>
    </w:p>
    <w:p>
      <w:pPr>
        <w:spacing w:line="600" w:lineRule="exact"/>
        <w:ind w:firstLine="640" w:firstLineChars="200"/>
        <w:rPr>
          <w:rFonts w:eastAsia="楷体_GB2312"/>
          <w:sz w:val="32"/>
          <w:szCs w:val="32"/>
        </w:rPr>
      </w:pPr>
      <w:r>
        <w:rPr>
          <w:rFonts w:hint="eastAsia" w:eastAsia="楷体_GB2312"/>
          <w:sz w:val="32"/>
          <w:szCs w:val="32"/>
        </w:rPr>
        <w:t>（二）</w:t>
      </w:r>
      <w:r>
        <w:rPr>
          <w:rFonts w:eastAsia="楷体_GB2312"/>
          <w:sz w:val="32"/>
          <w:szCs w:val="32"/>
        </w:rPr>
        <w:t>项目预算安排和支出情况</w:t>
      </w:r>
    </w:p>
    <w:p>
      <w:pPr>
        <w:spacing w:line="600" w:lineRule="exact"/>
        <w:ind w:firstLine="561"/>
        <w:rPr>
          <w:rFonts w:ascii="仿宋_GB2312" w:eastAsia="仿宋_GB2312"/>
          <w:sz w:val="32"/>
          <w:szCs w:val="32"/>
        </w:rPr>
      </w:pPr>
      <w:r>
        <w:rPr>
          <w:rFonts w:hint="eastAsia" w:ascii="仿宋_GB2312" w:eastAsia="仿宋_GB2312"/>
          <w:sz w:val="32"/>
          <w:szCs w:val="32"/>
        </w:rPr>
        <w:t>项目计划资金安排如下：项目</w:t>
      </w:r>
      <w:r>
        <w:rPr>
          <w:rFonts w:hint="eastAsia" w:eastAsia="仿宋_GB2312"/>
          <w:bCs/>
          <w:sz w:val="32"/>
          <w:szCs w:val="32"/>
          <w:lang w:bidi="en-US"/>
        </w:rPr>
        <w:t>2023</w:t>
      </w:r>
      <w:r>
        <w:rPr>
          <w:rFonts w:hint="eastAsia" w:ascii="仿宋_GB2312" w:eastAsia="仿宋_GB2312"/>
          <w:sz w:val="32"/>
          <w:szCs w:val="32"/>
        </w:rPr>
        <w:t>年度本级财政共安排预算资金</w:t>
      </w:r>
      <w:r>
        <w:rPr>
          <w:rFonts w:hint="eastAsia" w:eastAsia="仿宋_GB2312"/>
          <w:bCs/>
          <w:sz w:val="32"/>
          <w:szCs w:val="32"/>
          <w:lang w:bidi="en-US"/>
        </w:rPr>
        <w:t>100</w:t>
      </w:r>
      <w:r>
        <w:rPr>
          <w:rFonts w:hint="eastAsia" w:ascii="仿宋_GB2312" w:eastAsia="仿宋_GB2312"/>
          <w:sz w:val="32"/>
          <w:szCs w:val="32"/>
        </w:rPr>
        <w:t>万元，用于课后托管服务经费保障。</w:t>
      </w:r>
    </w:p>
    <w:p>
      <w:pPr>
        <w:spacing w:line="600" w:lineRule="exact"/>
        <w:ind w:firstLine="640" w:firstLineChars="200"/>
        <w:rPr>
          <w:rFonts w:ascii="楷体_GB2312" w:eastAsia="楷体_GB2312"/>
          <w:bCs/>
          <w:sz w:val="32"/>
          <w:szCs w:val="32"/>
          <w:lang w:bidi="en-US"/>
        </w:rPr>
      </w:pPr>
      <w:r>
        <w:rPr>
          <w:rFonts w:hint="eastAsia" w:eastAsia="仿宋_GB2312"/>
          <w:bCs/>
          <w:sz w:val="32"/>
          <w:szCs w:val="32"/>
          <w:lang w:bidi="en-US"/>
        </w:rPr>
        <w:t>项目资金支出情况：项目拨付资金全部用于课后托管服务经费保障，文登区教育和体育局针对该补贴资金制定了专门的发放方案，方案规定按照每师每课时50元标准核定补助。各学校在收到补助经费后全部发放给参与课后服务的教职工。</w:t>
      </w:r>
      <w:r>
        <w:rPr>
          <w:rFonts w:hint="eastAsia" w:ascii="楷体_GB2312" w:eastAsia="楷体_GB2312"/>
          <w:bCs/>
          <w:sz w:val="32"/>
          <w:szCs w:val="32"/>
          <w:lang w:bidi="en-US"/>
        </w:rPr>
        <w:t>（注：资金分配情况详见附件3：课后托管保障资金分配情况统计表）</w:t>
      </w:r>
    </w:p>
    <w:p>
      <w:pPr>
        <w:spacing w:line="600" w:lineRule="exact"/>
        <w:ind w:firstLine="640" w:firstLineChars="200"/>
        <w:rPr>
          <w:rFonts w:eastAsia="仿宋_GB2312"/>
          <w:bCs/>
          <w:sz w:val="32"/>
          <w:szCs w:val="32"/>
          <w:lang w:bidi="en-US"/>
        </w:rPr>
      </w:pPr>
      <w:r>
        <w:rPr>
          <w:rFonts w:hint="eastAsia" w:eastAsia="楷体_GB2312"/>
          <w:sz w:val="32"/>
          <w:szCs w:val="32"/>
        </w:rPr>
        <w:t>（三）</w:t>
      </w:r>
      <w:r>
        <w:rPr>
          <w:rFonts w:eastAsia="楷体_GB2312"/>
          <w:sz w:val="32"/>
          <w:szCs w:val="32"/>
        </w:rPr>
        <w:t>项目主要内容</w:t>
      </w:r>
      <w:r>
        <w:rPr>
          <w:rFonts w:hint="eastAsia" w:eastAsia="楷体_GB2312"/>
          <w:sz w:val="32"/>
          <w:szCs w:val="32"/>
        </w:rPr>
        <w:t>和实施情况</w:t>
      </w:r>
    </w:p>
    <w:p>
      <w:pPr>
        <w:spacing w:line="600" w:lineRule="exact"/>
        <w:ind w:firstLine="640" w:firstLineChars="200"/>
        <w:rPr>
          <w:rFonts w:eastAsia="仿宋_GB2312"/>
          <w:bCs/>
          <w:sz w:val="32"/>
          <w:szCs w:val="32"/>
          <w:lang w:bidi="en-US"/>
        </w:rPr>
      </w:pPr>
      <w:r>
        <w:rPr>
          <w:rFonts w:hint="eastAsia" w:eastAsia="仿宋_GB2312"/>
          <w:bCs/>
          <w:sz w:val="32"/>
          <w:szCs w:val="32"/>
          <w:lang w:bidi="en-US"/>
        </w:rPr>
        <w:t xml:space="preserve">项目主要内容：项目为义务教育阶段在校生提供课后托管服务，主要服务内容包括开展作业辅导和素质拓展活动等，项目坚持公益属性原则，由学生及家长自愿选择是否参加课后托管服务。  </w:t>
      </w:r>
    </w:p>
    <w:p>
      <w:pPr>
        <w:spacing w:line="600" w:lineRule="exact"/>
        <w:ind w:firstLine="640" w:firstLineChars="200"/>
        <w:rPr>
          <w:rFonts w:eastAsia="仿宋_GB2312"/>
          <w:bCs/>
          <w:sz w:val="32"/>
          <w:szCs w:val="32"/>
          <w:lang w:bidi="en-US"/>
        </w:rPr>
      </w:pPr>
      <w:r>
        <w:rPr>
          <w:rFonts w:hint="eastAsia" w:eastAsia="仿宋_GB2312"/>
          <w:bCs/>
          <w:sz w:val="32"/>
          <w:szCs w:val="32"/>
          <w:lang w:bidi="en-US"/>
        </w:rPr>
        <w:t>项目实施情况：自2021年开始，文登区在全区义务教育阶段学校开展课后托管服务，截止本次评价，该项目经费完全由文登区财政补贴资金保障，各学校均未收取服务性收费。</w:t>
      </w:r>
    </w:p>
    <w:p>
      <w:pPr>
        <w:pStyle w:val="59"/>
        <w:spacing w:line="600" w:lineRule="exact"/>
        <w:ind w:left="640"/>
        <w:rPr>
          <w:rFonts w:eastAsia="黑体"/>
          <w:sz w:val="32"/>
          <w:szCs w:val="32"/>
        </w:rPr>
      </w:pPr>
      <w:r>
        <w:rPr>
          <w:rFonts w:hint="eastAsia" w:eastAsia="黑体"/>
          <w:sz w:val="32"/>
          <w:szCs w:val="32"/>
          <w:lang w:eastAsia="zh-CN"/>
        </w:rPr>
        <w:t>二</w:t>
      </w:r>
      <w:r>
        <w:rPr>
          <w:rFonts w:hint="eastAsia" w:eastAsia="黑体"/>
          <w:sz w:val="32"/>
          <w:szCs w:val="32"/>
        </w:rPr>
        <w:t>、</w:t>
      </w:r>
      <w:r>
        <w:rPr>
          <w:rFonts w:eastAsia="黑体"/>
          <w:sz w:val="32"/>
          <w:szCs w:val="32"/>
        </w:rPr>
        <w:t>评价结论和绩效分析</w:t>
      </w:r>
    </w:p>
    <w:p>
      <w:pPr>
        <w:pStyle w:val="59"/>
        <w:spacing w:line="600" w:lineRule="exact"/>
        <w:ind w:left="640"/>
        <w:rPr>
          <w:rFonts w:eastAsia="楷体_GB2312"/>
          <w:sz w:val="32"/>
          <w:szCs w:val="32"/>
        </w:rPr>
      </w:pPr>
      <w:r>
        <w:rPr>
          <w:rFonts w:eastAsia="楷体_GB2312"/>
          <w:sz w:val="32"/>
          <w:szCs w:val="32"/>
        </w:rPr>
        <w:t>（一）综合评价结论</w:t>
      </w:r>
    </w:p>
    <w:p>
      <w:pPr>
        <w:spacing w:line="600" w:lineRule="exact"/>
        <w:ind w:firstLine="640" w:firstLineChars="200"/>
        <w:rPr>
          <w:rFonts w:ascii="楷体_GB2312" w:eastAsia="楷体_GB2312"/>
          <w:bCs/>
          <w:sz w:val="32"/>
          <w:szCs w:val="32"/>
          <w:lang w:bidi="en-US"/>
        </w:rPr>
      </w:pPr>
      <w:r>
        <w:rPr>
          <w:rFonts w:hint="eastAsia" w:eastAsia="仿宋_GB2312"/>
          <w:bCs/>
          <w:sz w:val="32"/>
          <w:szCs w:val="32"/>
          <w:lang w:bidi="en-US"/>
        </w:rPr>
        <w:t>经综合评价，威海市文登区义务教育阶段学生课后托管经费项目得分89.92分，评价等级为良。</w:t>
      </w:r>
      <w:r>
        <w:rPr>
          <w:rFonts w:hint="eastAsia" w:ascii="楷体_GB2312" w:eastAsia="楷体_GB2312"/>
          <w:bCs/>
          <w:sz w:val="32"/>
          <w:szCs w:val="32"/>
          <w:lang w:bidi="en-US"/>
        </w:rPr>
        <w:t>（注：详细评分指标、评分依据及评分计算过程详见附件2：绩效评价指标表）</w:t>
      </w:r>
    </w:p>
    <w:p>
      <w:pPr>
        <w:pStyle w:val="59"/>
        <w:spacing w:line="600" w:lineRule="exact"/>
        <w:ind w:left="640"/>
        <w:rPr>
          <w:rFonts w:eastAsia="楷体_GB2312"/>
          <w:sz w:val="32"/>
          <w:szCs w:val="32"/>
        </w:rPr>
      </w:pPr>
      <w:r>
        <w:rPr>
          <w:rFonts w:eastAsia="楷体_GB2312"/>
          <w:sz w:val="32"/>
          <w:szCs w:val="32"/>
        </w:rPr>
        <w:t>（二）绩效分析</w:t>
      </w:r>
    </w:p>
    <w:p>
      <w:pPr>
        <w:spacing w:line="560" w:lineRule="exact"/>
        <w:ind w:firstLine="640" w:firstLineChars="200"/>
        <w:rPr>
          <w:rFonts w:hint="eastAsia" w:eastAsia="仿宋_GB2312"/>
          <w:bCs/>
          <w:sz w:val="32"/>
          <w:szCs w:val="32"/>
          <w:lang w:bidi="en-US"/>
        </w:rPr>
      </w:pPr>
      <w:r>
        <w:rPr>
          <w:rFonts w:hint="eastAsia" w:eastAsia="仿宋_GB2312"/>
          <w:bCs/>
          <w:sz w:val="32"/>
          <w:szCs w:val="32"/>
          <w:lang w:bidi="en-US"/>
        </w:rPr>
        <w:t>该项目实施后有效地解决了部分学生家长按时接送孩子困难的问题，同时保障了学生安全；对减轻学生校外课业负担、促进学生特长发展、提升学生综合素质等方面发挥了一定作用，社会满意度高。本次评价共收回有效调查问卷3816份，该项目综合满意度9</w:t>
      </w:r>
      <w:r>
        <w:rPr>
          <w:rFonts w:eastAsia="仿宋_GB2312"/>
          <w:bCs/>
          <w:sz w:val="32"/>
          <w:szCs w:val="32"/>
          <w:lang w:bidi="en-US"/>
        </w:rPr>
        <w:t>9%</w:t>
      </w:r>
      <w:r>
        <w:rPr>
          <w:rFonts w:hint="eastAsia" w:eastAsia="仿宋_GB2312"/>
          <w:bCs/>
          <w:sz w:val="32"/>
          <w:szCs w:val="32"/>
          <w:lang w:bidi="en-US"/>
        </w:rPr>
        <w:t>。</w:t>
      </w:r>
    </w:p>
    <w:p>
      <w:pPr>
        <w:pStyle w:val="59"/>
        <w:spacing w:line="600" w:lineRule="exact"/>
        <w:ind w:left="640"/>
        <w:rPr>
          <w:rFonts w:eastAsia="黑体"/>
          <w:sz w:val="32"/>
          <w:szCs w:val="32"/>
        </w:rPr>
      </w:pPr>
      <w:r>
        <w:rPr>
          <w:rFonts w:hint="eastAsia" w:eastAsia="黑体"/>
          <w:sz w:val="32"/>
          <w:szCs w:val="32"/>
          <w:lang w:eastAsia="zh-CN"/>
        </w:rPr>
        <w:t>三</w:t>
      </w:r>
      <w:r>
        <w:rPr>
          <w:rFonts w:hint="eastAsia" w:eastAsia="黑体"/>
          <w:sz w:val="32"/>
          <w:szCs w:val="32"/>
        </w:rPr>
        <w:t>、</w:t>
      </w:r>
      <w:r>
        <w:rPr>
          <w:rFonts w:eastAsia="黑体"/>
          <w:sz w:val="32"/>
          <w:szCs w:val="32"/>
        </w:rPr>
        <w:t>存在问题及原因分析</w:t>
      </w:r>
    </w:p>
    <w:p>
      <w:pPr>
        <w:spacing w:line="600" w:lineRule="exact"/>
        <w:ind w:firstLine="482"/>
        <w:rPr>
          <w:rFonts w:ascii="仿宋_GB2312" w:eastAsia="仿宋_GB2312"/>
          <w:sz w:val="32"/>
          <w:szCs w:val="32"/>
          <w:lang w:bidi="en-US"/>
        </w:rPr>
      </w:pPr>
      <w:r>
        <w:rPr>
          <w:rFonts w:hint="eastAsia" w:eastAsia="楷体_GB2312" w:cs="仿宋_GB2312" w:asciiTheme="minorHAnsi" w:hAnsiTheme="minorHAnsi"/>
          <w:color w:val="auto"/>
          <w:kern w:val="0"/>
          <w:sz w:val="32"/>
          <w:szCs w:val="32"/>
          <w:lang w:val="en-US" w:eastAsia="zh-CN" w:bidi="ar-SA"/>
        </w:rPr>
        <w:t>（一）小学阶段学生课后托管率普遍偏低。</w:t>
      </w:r>
      <w:r>
        <w:rPr>
          <w:rFonts w:hint="eastAsia" w:ascii="仿宋_GB2312" w:eastAsia="仿宋_GB2312"/>
          <w:sz w:val="32"/>
          <w:szCs w:val="32"/>
          <w:lang w:bidi="en-US"/>
        </w:rPr>
        <w:t>本次评价，我们选取了</w:t>
      </w:r>
      <w:r>
        <w:rPr>
          <w:rFonts w:hint="eastAsia" w:eastAsia="仿宋_GB2312"/>
          <w:bCs/>
          <w:sz w:val="32"/>
          <w:szCs w:val="32"/>
          <w:lang w:bidi="en-US"/>
        </w:rPr>
        <w:t>2</w:t>
      </w:r>
      <w:r>
        <w:rPr>
          <w:rFonts w:eastAsia="仿宋_GB2312"/>
          <w:bCs/>
          <w:sz w:val="32"/>
          <w:szCs w:val="32"/>
          <w:lang w:bidi="en-US"/>
        </w:rPr>
        <w:t>023</w:t>
      </w:r>
      <w:r>
        <w:rPr>
          <w:rFonts w:hint="eastAsia" w:ascii="仿宋_GB2312" w:eastAsia="仿宋_GB2312"/>
          <w:sz w:val="32"/>
          <w:szCs w:val="32"/>
          <w:lang w:bidi="en-US"/>
        </w:rPr>
        <w:t>年度在校人数较多的</w:t>
      </w:r>
      <w:r>
        <w:rPr>
          <w:rFonts w:hint="eastAsia" w:eastAsia="仿宋_GB2312"/>
          <w:bCs/>
          <w:sz w:val="32"/>
          <w:szCs w:val="32"/>
          <w:lang w:bidi="en-US"/>
        </w:rPr>
        <w:t>10</w:t>
      </w:r>
      <w:r>
        <w:rPr>
          <w:rFonts w:hint="eastAsia" w:ascii="仿宋_GB2312" w:eastAsia="仿宋_GB2312"/>
          <w:sz w:val="32"/>
          <w:szCs w:val="32"/>
          <w:lang w:bidi="en-US"/>
        </w:rPr>
        <w:t>所小学进行课后托管情况分析，该</w:t>
      </w:r>
      <w:r>
        <w:rPr>
          <w:rFonts w:hint="eastAsia" w:eastAsia="仿宋_GB2312"/>
          <w:bCs/>
          <w:sz w:val="32"/>
          <w:szCs w:val="32"/>
          <w:lang w:bidi="en-US"/>
        </w:rPr>
        <w:t>10</w:t>
      </w:r>
      <w:r>
        <w:rPr>
          <w:rFonts w:hint="eastAsia" w:ascii="仿宋_GB2312" w:eastAsia="仿宋_GB2312"/>
          <w:sz w:val="32"/>
          <w:szCs w:val="32"/>
          <w:lang w:bidi="en-US"/>
        </w:rPr>
        <w:t>所小学普遍存在课后托管率低的问题，</w:t>
      </w:r>
      <w:r>
        <w:rPr>
          <w:rFonts w:hint="eastAsia" w:eastAsia="仿宋_GB2312"/>
          <w:bCs/>
          <w:sz w:val="32"/>
          <w:szCs w:val="32"/>
          <w:lang w:bidi="en-US"/>
        </w:rPr>
        <w:t>10</w:t>
      </w:r>
      <w:r>
        <w:rPr>
          <w:rFonts w:hint="eastAsia" w:ascii="仿宋_GB2312" w:eastAsia="仿宋_GB2312"/>
          <w:sz w:val="32"/>
          <w:szCs w:val="32"/>
          <w:lang w:bidi="en-US"/>
        </w:rPr>
        <w:t>所小学平均托管率仅</w:t>
      </w:r>
      <w:r>
        <w:rPr>
          <w:rFonts w:hint="eastAsia" w:eastAsia="仿宋_GB2312"/>
          <w:bCs/>
          <w:sz w:val="32"/>
          <w:szCs w:val="32"/>
          <w:lang w:bidi="en-US"/>
        </w:rPr>
        <w:t>14.93%</w:t>
      </w:r>
      <w:r>
        <w:rPr>
          <w:rFonts w:hint="eastAsia" w:ascii="仿宋_GB2312" w:eastAsia="仿宋_GB2312"/>
          <w:sz w:val="32"/>
          <w:szCs w:val="32"/>
          <w:lang w:bidi="en-US"/>
        </w:rPr>
        <w:t>，托管率最低的</w:t>
      </w:r>
      <w:r>
        <w:rPr>
          <w:rFonts w:hint="eastAsia" w:eastAsia="仿宋_GB2312"/>
          <w:bCs/>
          <w:sz w:val="32"/>
          <w:szCs w:val="32"/>
          <w:lang w:bidi="en-US"/>
        </w:rPr>
        <w:t>2</w:t>
      </w:r>
      <w:r>
        <w:rPr>
          <w:rFonts w:eastAsia="仿宋_GB2312"/>
          <w:bCs/>
          <w:sz w:val="32"/>
          <w:szCs w:val="32"/>
          <w:lang w:bidi="en-US"/>
        </w:rPr>
        <w:t>.7</w:t>
      </w:r>
      <w:r>
        <w:rPr>
          <w:rFonts w:hint="eastAsia" w:eastAsia="仿宋_GB2312"/>
          <w:bCs/>
          <w:sz w:val="32"/>
          <w:szCs w:val="32"/>
          <w:lang w:bidi="en-US"/>
        </w:rPr>
        <w:t>4</w:t>
      </w:r>
      <w:r>
        <w:rPr>
          <w:rFonts w:eastAsia="仿宋_GB2312"/>
          <w:bCs/>
          <w:sz w:val="32"/>
          <w:szCs w:val="32"/>
          <w:lang w:bidi="en-US"/>
        </w:rPr>
        <w:t>%</w:t>
      </w:r>
      <w:r>
        <w:rPr>
          <w:rFonts w:hint="eastAsia" w:ascii="仿宋_GB2312" w:eastAsia="仿宋_GB2312"/>
          <w:sz w:val="32"/>
          <w:szCs w:val="32"/>
          <w:lang w:bidi="en-US"/>
        </w:rPr>
        <w:t>，最高的托管率也仅有</w:t>
      </w:r>
      <w:r>
        <w:rPr>
          <w:rFonts w:hint="eastAsia" w:eastAsia="仿宋_GB2312"/>
          <w:bCs/>
          <w:sz w:val="32"/>
          <w:szCs w:val="32"/>
          <w:lang w:bidi="en-US"/>
        </w:rPr>
        <w:t>26.90</w:t>
      </w:r>
      <w:r>
        <w:rPr>
          <w:rFonts w:eastAsia="仿宋_GB2312"/>
          <w:bCs/>
          <w:sz w:val="32"/>
          <w:szCs w:val="32"/>
          <w:lang w:bidi="en-US"/>
        </w:rPr>
        <w:t>%</w:t>
      </w:r>
      <w:r>
        <w:rPr>
          <w:rFonts w:hint="eastAsia" w:ascii="仿宋_GB2312" w:eastAsia="仿宋_GB2312"/>
          <w:sz w:val="32"/>
          <w:szCs w:val="32"/>
          <w:lang w:bidi="en-US"/>
        </w:rPr>
        <w:t>，详见下表所示：</w:t>
      </w:r>
    </w:p>
    <w:p>
      <w:pPr>
        <w:jc w:val="center"/>
        <w:rPr>
          <w:rFonts w:ascii="仿宋_GB2312" w:eastAsia="仿宋_GB2312"/>
          <w:sz w:val="28"/>
          <w:szCs w:val="28"/>
          <w:lang w:bidi="en-US"/>
        </w:rPr>
      </w:pPr>
      <w:r>
        <w:rPr>
          <w:rFonts w:ascii="仿宋_GB2312" w:eastAsia="仿宋_GB2312"/>
          <w:sz w:val="28"/>
          <w:szCs w:val="28"/>
          <w:lang w:bidi="en-US"/>
        </w:rPr>
        <w:t xml:space="preserve">  2023</w:t>
      </w:r>
      <w:r>
        <w:rPr>
          <w:rFonts w:hint="eastAsia" w:ascii="仿宋_GB2312" w:eastAsia="仿宋_GB2312"/>
          <w:sz w:val="28"/>
          <w:szCs w:val="28"/>
          <w:lang w:bidi="en-US"/>
        </w:rPr>
        <w:t>年度部分小学托管率统计表</w:t>
      </w:r>
    </w:p>
    <w:tbl>
      <w:tblPr>
        <w:tblStyle w:val="19"/>
        <w:tblW w:w="8818" w:type="dxa"/>
        <w:tblInd w:w="113" w:type="dxa"/>
        <w:tblBorders>
          <w:top w:val="single" w:color="auto" w:sz="8" w:space="0"/>
          <w:left w:val="none" w:color="auto" w:sz="0" w:space="0"/>
          <w:bottom w:val="single" w:color="auto" w:sz="8" w:space="0"/>
          <w:right w:val="none" w:color="auto" w:sz="0" w:space="0"/>
          <w:insideH w:val="single" w:color="auto" w:sz="4" w:space="0"/>
          <w:insideV w:val="single" w:color="auto" w:sz="4" w:space="0"/>
        </w:tblBorders>
        <w:tblLayout w:type="autofit"/>
        <w:tblCellMar>
          <w:top w:w="0" w:type="dxa"/>
          <w:left w:w="108" w:type="dxa"/>
          <w:bottom w:w="0" w:type="dxa"/>
          <w:right w:w="108" w:type="dxa"/>
        </w:tblCellMar>
      </w:tblPr>
      <w:tblGrid>
        <w:gridCol w:w="2405"/>
        <w:gridCol w:w="2160"/>
        <w:gridCol w:w="2126"/>
        <w:gridCol w:w="2127"/>
      </w:tblGrid>
      <w:tr>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454" w:hRule="atLeast"/>
          <w:tblHeader/>
        </w:trPr>
        <w:tc>
          <w:tcPr>
            <w:tcW w:w="2405" w:type="dxa"/>
            <w:shd w:val="clear" w:color="auto" w:fill="auto"/>
            <w:noWrap/>
            <w:vAlign w:val="center"/>
          </w:tcPr>
          <w:p>
            <w:pPr>
              <w:widowControl/>
              <w:jc w:val="center"/>
              <w:rPr>
                <w:rFonts w:hint="eastAsia" w:ascii="仿宋_GB2312" w:hAnsi="等线" w:eastAsia="仿宋_GB2312" w:cs="宋体"/>
                <w:color w:val="000000"/>
                <w:kern w:val="0"/>
                <w:szCs w:val="21"/>
              </w:rPr>
            </w:pPr>
            <w:r>
              <w:rPr>
                <w:rFonts w:hint="eastAsia" w:ascii="仿宋_GB2312" w:hAnsi="等线" w:eastAsia="仿宋_GB2312" w:cs="宋体"/>
                <w:color w:val="000000"/>
                <w:kern w:val="0"/>
                <w:szCs w:val="21"/>
              </w:rPr>
              <w:t xml:space="preserve">学 </w:t>
            </w:r>
            <w:r>
              <w:rPr>
                <w:rFonts w:ascii="仿宋_GB2312" w:hAnsi="等线" w:eastAsia="仿宋_GB2312" w:cs="宋体"/>
                <w:color w:val="000000"/>
                <w:kern w:val="0"/>
                <w:szCs w:val="21"/>
              </w:rPr>
              <w:t xml:space="preserve"> </w:t>
            </w:r>
            <w:r>
              <w:rPr>
                <w:rFonts w:hint="eastAsia" w:ascii="仿宋_GB2312" w:hAnsi="等线" w:eastAsia="仿宋_GB2312" w:cs="宋体"/>
                <w:color w:val="000000"/>
                <w:kern w:val="0"/>
                <w:szCs w:val="21"/>
              </w:rPr>
              <w:t>校</w:t>
            </w:r>
          </w:p>
        </w:tc>
        <w:tc>
          <w:tcPr>
            <w:tcW w:w="2160" w:type="dxa"/>
            <w:shd w:val="clear" w:color="auto" w:fill="auto"/>
            <w:noWrap/>
            <w:vAlign w:val="center"/>
          </w:tcPr>
          <w:p>
            <w:pPr>
              <w:widowControl/>
              <w:jc w:val="center"/>
              <w:rPr>
                <w:rFonts w:hint="eastAsia" w:ascii="仿宋_GB2312" w:hAnsi="等线" w:eastAsia="仿宋_GB2312" w:cs="宋体"/>
                <w:color w:val="000000"/>
                <w:kern w:val="0"/>
                <w:szCs w:val="21"/>
              </w:rPr>
            </w:pPr>
            <w:r>
              <w:rPr>
                <w:rFonts w:hint="eastAsia" w:ascii="仿宋_GB2312" w:hAnsi="等线" w:eastAsia="仿宋_GB2312" w:cs="宋体"/>
                <w:color w:val="000000"/>
                <w:kern w:val="0"/>
                <w:szCs w:val="21"/>
              </w:rPr>
              <w:t>在校人数</w:t>
            </w:r>
          </w:p>
        </w:tc>
        <w:tc>
          <w:tcPr>
            <w:tcW w:w="2126" w:type="dxa"/>
            <w:shd w:val="clear" w:color="auto" w:fill="auto"/>
            <w:noWrap/>
            <w:vAlign w:val="center"/>
          </w:tcPr>
          <w:p>
            <w:pPr>
              <w:widowControl/>
              <w:jc w:val="center"/>
              <w:rPr>
                <w:rFonts w:hint="eastAsia" w:ascii="仿宋_GB2312" w:hAnsi="等线" w:eastAsia="仿宋_GB2312" w:cs="宋体"/>
                <w:color w:val="000000"/>
                <w:kern w:val="0"/>
                <w:szCs w:val="21"/>
              </w:rPr>
            </w:pPr>
            <w:r>
              <w:rPr>
                <w:rFonts w:hint="eastAsia" w:ascii="仿宋_GB2312" w:hAnsi="等线" w:eastAsia="仿宋_GB2312" w:cs="宋体"/>
                <w:color w:val="000000"/>
                <w:kern w:val="0"/>
                <w:szCs w:val="21"/>
              </w:rPr>
              <w:t>托管人数</w:t>
            </w:r>
          </w:p>
        </w:tc>
        <w:tc>
          <w:tcPr>
            <w:tcW w:w="2127" w:type="dxa"/>
            <w:shd w:val="clear" w:color="auto" w:fill="auto"/>
            <w:noWrap/>
            <w:vAlign w:val="center"/>
          </w:tcPr>
          <w:p>
            <w:pPr>
              <w:widowControl/>
              <w:jc w:val="center"/>
              <w:rPr>
                <w:rFonts w:hint="eastAsia" w:ascii="仿宋_GB2312" w:hAnsi="等线" w:eastAsia="仿宋_GB2312" w:cs="宋体"/>
                <w:color w:val="000000"/>
                <w:kern w:val="0"/>
                <w:szCs w:val="21"/>
              </w:rPr>
            </w:pPr>
            <w:r>
              <w:rPr>
                <w:rFonts w:hint="eastAsia" w:ascii="仿宋_GB2312" w:hAnsi="等线" w:eastAsia="仿宋_GB2312" w:cs="宋体"/>
                <w:color w:val="000000"/>
                <w:kern w:val="0"/>
                <w:szCs w:val="21"/>
              </w:rPr>
              <w:t>托管率</w:t>
            </w:r>
          </w:p>
        </w:tc>
      </w:tr>
      <w:tr>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2405" w:type="dxa"/>
            <w:shd w:val="clear" w:color="auto" w:fill="auto"/>
            <w:noWrap/>
            <w:vAlign w:val="center"/>
          </w:tcPr>
          <w:p>
            <w:pPr>
              <w:widowControl/>
              <w:jc w:val="center"/>
              <w:rPr>
                <w:rFonts w:hint="eastAsia" w:ascii="仿宋_GB2312" w:hAnsi="等线" w:eastAsia="仿宋_GB2312" w:cs="宋体"/>
                <w:color w:val="000000"/>
                <w:kern w:val="0"/>
                <w:szCs w:val="21"/>
              </w:rPr>
            </w:pPr>
            <w:r>
              <w:rPr>
                <w:rFonts w:hint="eastAsia" w:ascii="仿宋_GB2312" w:hAnsi="等线" w:eastAsia="仿宋_GB2312" w:cs="宋体"/>
                <w:color w:val="000000"/>
                <w:kern w:val="0"/>
                <w:szCs w:val="21"/>
              </w:rPr>
              <w:t>第二实验小学</w:t>
            </w:r>
          </w:p>
        </w:tc>
        <w:tc>
          <w:tcPr>
            <w:tcW w:w="2160" w:type="dxa"/>
            <w:shd w:val="clear" w:color="auto" w:fill="auto"/>
            <w:noWrap/>
            <w:vAlign w:val="center"/>
          </w:tcPr>
          <w:p>
            <w:pPr>
              <w:widowControl/>
              <w:jc w:val="center"/>
              <w:rPr>
                <w:rFonts w:hint="eastAsia" w:ascii="仿宋_GB2312" w:hAnsi="等线" w:eastAsia="仿宋_GB2312" w:cs="宋体"/>
                <w:color w:val="000000"/>
                <w:kern w:val="0"/>
                <w:szCs w:val="21"/>
              </w:rPr>
            </w:pPr>
            <w:r>
              <w:rPr>
                <w:rFonts w:ascii="仿宋_GB2312" w:hAnsi="等线" w:eastAsia="仿宋_GB2312" w:cs="宋体"/>
                <w:color w:val="000000"/>
                <w:kern w:val="0"/>
                <w:szCs w:val="21"/>
              </w:rPr>
              <w:t>1766</w:t>
            </w:r>
          </w:p>
        </w:tc>
        <w:tc>
          <w:tcPr>
            <w:tcW w:w="2126" w:type="dxa"/>
            <w:shd w:val="clear" w:color="auto" w:fill="auto"/>
            <w:noWrap/>
            <w:vAlign w:val="center"/>
          </w:tcPr>
          <w:p>
            <w:pPr>
              <w:widowControl/>
              <w:jc w:val="center"/>
              <w:rPr>
                <w:rFonts w:hint="eastAsia" w:ascii="仿宋_GB2312" w:hAnsi="等线" w:eastAsia="仿宋_GB2312" w:cs="宋体"/>
                <w:color w:val="000000"/>
                <w:kern w:val="0"/>
                <w:szCs w:val="21"/>
              </w:rPr>
            </w:pPr>
            <w:r>
              <w:rPr>
                <w:rFonts w:ascii="仿宋_GB2312" w:hAnsi="等线" w:eastAsia="仿宋_GB2312" w:cs="宋体"/>
                <w:color w:val="000000"/>
                <w:kern w:val="0"/>
                <w:szCs w:val="21"/>
              </w:rPr>
              <w:t>475</w:t>
            </w:r>
          </w:p>
        </w:tc>
        <w:tc>
          <w:tcPr>
            <w:tcW w:w="2127" w:type="dxa"/>
            <w:shd w:val="clear" w:color="auto" w:fill="auto"/>
            <w:noWrap/>
            <w:vAlign w:val="center"/>
          </w:tcPr>
          <w:p>
            <w:pPr>
              <w:widowControl/>
              <w:jc w:val="center"/>
              <w:rPr>
                <w:rFonts w:hint="eastAsia" w:ascii="仿宋_GB2312" w:hAnsi="等线" w:eastAsia="仿宋_GB2312" w:cs="宋体"/>
                <w:color w:val="000000"/>
                <w:kern w:val="0"/>
                <w:szCs w:val="21"/>
              </w:rPr>
            </w:pPr>
            <w:r>
              <w:rPr>
                <w:rFonts w:ascii="仿宋_GB2312" w:hAnsi="等线" w:eastAsia="仿宋_GB2312" w:cs="宋体"/>
                <w:color w:val="000000"/>
                <w:kern w:val="0"/>
                <w:szCs w:val="21"/>
              </w:rPr>
              <w:t>26.90%</w:t>
            </w:r>
          </w:p>
        </w:tc>
      </w:tr>
      <w:tr>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2405" w:type="dxa"/>
            <w:shd w:val="clear" w:color="auto" w:fill="auto"/>
            <w:noWrap/>
            <w:vAlign w:val="center"/>
          </w:tcPr>
          <w:p>
            <w:pPr>
              <w:widowControl/>
              <w:jc w:val="center"/>
              <w:rPr>
                <w:rFonts w:hint="eastAsia" w:ascii="仿宋_GB2312" w:hAnsi="等线" w:eastAsia="仿宋_GB2312" w:cs="宋体"/>
                <w:color w:val="000000"/>
                <w:kern w:val="0"/>
                <w:szCs w:val="21"/>
              </w:rPr>
            </w:pPr>
            <w:r>
              <w:rPr>
                <w:rFonts w:hint="eastAsia" w:ascii="仿宋_GB2312" w:hAnsi="等线" w:eastAsia="仿宋_GB2312" w:cs="宋体"/>
                <w:color w:val="000000"/>
                <w:kern w:val="0"/>
                <w:szCs w:val="21"/>
              </w:rPr>
              <w:t>实验小学</w:t>
            </w:r>
          </w:p>
        </w:tc>
        <w:tc>
          <w:tcPr>
            <w:tcW w:w="2160" w:type="dxa"/>
            <w:shd w:val="clear" w:color="auto" w:fill="auto"/>
            <w:noWrap/>
            <w:vAlign w:val="center"/>
          </w:tcPr>
          <w:p>
            <w:pPr>
              <w:widowControl/>
              <w:jc w:val="center"/>
              <w:rPr>
                <w:rFonts w:hint="eastAsia" w:ascii="仿宋_GB2312" w:hAnsi="等线" w:eastAsia="仿宋_GB2312" w:cs="宋体"/>
                <w:color w:val="000000"/>
                <w:kern w:val="0"/>
                <w:szCs w:val="21"/>
              </w:rPr>
            </w:pPr>
            <w:r>
              <w:rPr>
                <w:rFonts w:ascii="仿宋_GB2312" w:hAnsi="等线" w:eastAsia="仿宋_GB2312" w:cs="宋体"/>
                <w:color w:val="000000"/>
                <w:kern w:val="0"/>
                <w:szCs w:val="21"/>
              </w:rPr>
              <w:t>1816</w:t>
            </w:r>
          </w:p>
        </w:tc>
        <w:tc>
          <w:tcPr>
            <w:tcW w:w="2126" w:type="dxa"/>
            <w:shd w:val="clear" w:color="auto" w:fill="auto"/>
            <w:noWrap/>
            <w:vAlign w:val="center"/>
          </w:tcPr>
          <w:p>
            <w:pPr>
              <w:widowControl/>
              <w:jc w:val="center"/>
              <w:rPr>
                <w:rFonts w:hint="eastAsia" w:ascii="仿宋_GB2312" w:hAnsi="等线" w:eastAsia="仿宋_GB2312" w:cs="宋体"/>
                <w:color w:val="000000"/>
                <w:kern w:val="0"/>
                <w:szCs w:val="21"/>
              </w:rPr>
            </w:pPr>
            <w:r>
              <w:rPr>
                <w:rFonts w:ascii="仿宋_GB2312" w:hAnsi="等线" w:eastAsia="仿宋_GB2312" w:cs="宋体"/>
                <w:color w:val="000000"/>
                <w:kern w:val="0"/>
                <w:szCs w:val="21"/>
              </w:rPr>
              <w:t>412</w:t>
            </w:r>
          </w:p>
        </w:tc>
        <w:tc>
          <w:tcPr>
            <w:tcW w:w="2127" w:type="dxa"/>
            <w:shd w:val="clear" w:color="auto" w:fill="auto"/>
            <w:noWrap/>
            <w:vAlign w:val="center"/>
          </w:tcPr>
          <w:p>
            <w:pPr>
              <w:widowControl/>
              <w:jc w:val="center"/>
              <w:rPr>
                <w:rFonts w:hint="eastAsia" w:ascii="仿宋_GB2312" w:hAnsi="等线" w:eastAsia="仿宋_GB2312" w:cs="宋体"/>
                <w:color w:val="000000"/>
                <w:kern w:val="0"/>
                <w:szCs w:val="21"/>
              </w:rPr>
            </w:pPr>
            <w:r>
              <w:rPr>
                <w:rFonts w:ascii="仿宋_GB2312" w:hAnsi="等线" w:eastAsia="仿宋_GB2312" w:cs="宋体"/>
                <w:color w:val="000000"/>
                <w:kern w:val="0"/>
                <w:szCs w:val="21"/>
              </w:rPr>
              <w:t>22.69%</w:t>
            </w:r>
          </w:p>
        </w:tc>
      </w:tr>
      <w:tr>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2405" w:type="dxa"/>
            <w:shd w:val="clear" w:color="auto" w:fill="auto"/>
            <w:noWrap/>
            <w:vAlign w:val="center"/>
          </w:tcPr>
          <w:p>
            <w:pPr>
              <w:widowControl/>
              <w:jc w:val="center"/>
              <w:rPr>
                <w:rFonts w:hint="eastAsia" w:ascii="仿宋_GB2312" w:hAnsi="等线" w:eastAsia="仿宋_GB2312" w:cs="宋体"/>
                <w:color w:val="000000"/>
                <w:kern w:val="0"/>
                <w:szCs w:val="21"/>
              </w:rPr>
            </w:pPr>
            <w:r>
              <w:rPr>
                <w:rFonts w:hint="eastAsia" w:ascii="仿宋_GB2312" w:hAnsi="等线" w:eastAsia="仿宋_GB2312" w:cs="宋体"/>
                <w:color w:val="000000"/>
                <w:kern w:val="0"/>
                <w:szCs w:val="21"/>
              </w:rPr>
              <w:t>文峰小学</w:t>
            </w:r>
          </w:p>
        </w:tc>
        <w:tc>
          <w:tcPr>
            <w:tcW w:w="2160" w:type="dxa"/>
            <w:shd w:val="clear" w:color="auto" w:fill="auto"/>
            <w:noWrap/>
            <w:vAlign w:val="center"/>
          </w:tcPr>
          <w:p>
            <w:pPr>
              <w:widowControl/>
              <w:jc w:val="center"/>
              <w:rPr>
                <w:rFonts w:hint="eastAsia" w:ascii="仿宋_GB2312" w:hAnsi="等线" w:eastAsia="仿宋_GB2312" w:cs="宋体"/>
                <w:color w:val="000000"/>
                <w:kern w:val="0"/>
                <w:szCs w:val="21"/>
              </w:rPr>
            </w:pPr>
            <w:r>
              <w:rPr>
                <w:rFonts w:ascii="仿宋_GB2312" w:hAnsi="等线" w:eastAsia="仿宋_GB2312" w:cs="宋体"/>
                <w:color w:val="000000"/>
                <w:kern w:val="0"/>
                <w:szCs w:val="21"/>
              </w:rPr>
              <w:t>1422</w:t>
            </w:r>
          </w:p>
        </w:tc>
        <w:tc>
          <w:tcPr>
            <w:tcW w:w="2126" w:type="dxa"/>
            <w:shd w:val="clear" w:color="auto" w:fill="auto"/>
            <w:noWrap/>
            <w:vAlign w:val="center"/>
          </w:tcPr>
          <w:p>
            <w:pPr>
              <w:widowControl/>
              <w:jc w:val="center"/>
              <w:rPr>
                <w:rFonts w:hint="eastAsia" w:ascii="仿宋_GB2312" w:hAnsi="等线" w:eastAsia="仿宋_GB2312" w:cs="宋体"/>
                <w:color w:val="000000"/>
                <w:kern w:val="0"/>
                <w:szCs w:val="21"/>
              </w:rPr>
            </w:pPr>
            <w:r>
              <w:rPr>
                <w:rFonts w:ascii="仿宋_GB2312" w:hAnsi="等线" w:eastAsia="仿宋_GB2312" w:cs="宋体"/>
                <w:color w:val="000000"/>
                <w:kern w:val="0"/>
                <w:szCs w:val="21"/>
              </w:rPr>
              <w:t>260</w:t>
            </w:r>
          </w:p>
        </w:tc>
        <w:tc>
          <w:tcPr>
            <w:tcW w:w="2127" w:type="dxa"/>
            <w:shd w:val="clear" w:color="auto" w:fill="auto"/>
            <w:noWrap/>
            <w:vAlign w:val="center"/>
          </w:tcPr>
          <w:p>
            <w:pPr>
              <w:widowControl/>
              <w:jc w:val="center"/>
              <w:rPr>
                <w:rFonts w:hint="eastAsia" w:ascii="仿宋_GB2312" w:hAnsi="等线" w:eastAsia="仿宋_GB2312" w:cs="宋体"/>
                <w:color w:val="000000"/>
                <w:kern w:val="0"/>
                <w:szCs w:val="21"/>
              </w:rPr>
            </w:pPr>
            <w:r>
              <w:rPr>
                <w:rFonts w:ascii="仿宋_GB2312" w:hAnsi="等线" w:eastAsia="仿宋_GB2312" w:cs="宋体"/>
                <w:color w:val="000000"/>
                <w:kern w:val="0"/>
                <w:szCs w:val="21"/>
              </w:rPr>
              <w:t>18.28%</w:t>
            </w:r>
          </w:p>
        </w:tc>
      </w:tr>
      <w:tr>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2405" w:type="dxa"/>
            <w:shd w:val="clear" w:color="auto" w:fill="auto"/>
            <w:noWrap/>
            <w:vAlign w:val="center"/>
          </w:tcPr>
          <w:p>
            <w:pPr>
              <w:widowControl/>
              <w:jc w:val="center"/>
              <w:rPr>
                <w:rFonts w:hint="eastAsia" w:ascii="仿宋_GB2312" w:hAnsi="等线" w:eastAsia="仿宋_GB2312" w:cs="宋体"/>
                <w:color w:val="000000"/>
                <w:kern w:val="0"/>
                <w:szCs w:val="21"/>
              </w:rPr>
            </w:pPr>
            <w:r>
              <w:rPr>
                <w:rFonts w:hint="eastAsia" w:ascii="仿宋_GB2312" w:hAnsi="等线" w:eastAsia="仿宋_GB2312" w:cs="宋体"/>
                <w:color w:val="000000"/>
                <w:kern w:val="0"/>
                <w:szCs w:val="21"/>
              </w:rPr>
              <w:t>峰山小学</w:t>
            </w:r>
          </w:p>
        </w:tc>
        <w:tc>
          <w:tcPr>
            <w:tcW w:w="2160" w:type="dxa"/>
            <w:shd w:val="clear" w:color="auto" w:fill="auto"/>
            <w:noWrap/>
            <w:vAlign w:val="center"/>
          </w:tcPr>
          <w:p>
            <w:pPr>
              <w:widowControl/>
              <w:jc w:val="center"/>
              <w:rPr>
                <w:rFonts w:hint="eastAsia" w:ascii="仿宋_GB2312" w:hAnsi="等线" w:eastAsia="仿宋_GB2312" w:cs="宋体"/>
                <w:color w:val="000000"/>
                <w:kern w:val="0"/>
                <w:szCs w:val="21"/>
              </w:rPr>
            </w:pPr>
            <w:r>
              <w:rPr>
                <w:rFonts w:ascii="仿宋_GB2312" w:hAnsi="等线" w:eastAsia="仿宋_GB2312" w:cs="宋体"/>
                <w:color w:val="000000"/>
                <w:kern w:val="0"/>
                <w:szCs w:val="21"/>
              </w:rPr>
              <w:t>1339</w:t>
            </w:r>
          </w:p>
        </w:tc>
        <w:tc>
          <w:tcPr>
            <w:tcW w:w="2126" w:type="dxa"/>
            <w:shd w:val="clear" w:color="auto" w:fill="auto"/>
            <w:noWrap/>
            <w:vAlign w:val="center"/>
          </w:tcPr>
          <w:p>
            <w:pPr>
              <w:widowControl/>
              <w:jc w:val="center"/>
              <w:rPr>
                <w:rFonts w:hint="eastAsia" w:ascii="仿宋_GB2312" w:hAnsi="等线" w:eastAsia="仿宋_GB2312" w:cs="宋体"/>
                <w:color w:val="000000"/>
                <w:kern w:val="0"/>
                <w:szCs w:val="21"/>
              </w:rPr>
            </w:pPr>
            <w:r>
              <w:rPr>
                <w:rFonts w:ascii="仿宋_GB2312" w:hAnsi="等线" w:eastAsia="仿宋_GB2312" w:cs="宋体"/>
                <w:color w:val="000000"/>
                <w:kern w:val="0"/>
                <w:szCs w:val="21"/>
              </w:rPr>
              <w:t>213</w:t>
            </w:r>
          </w:p>
        </w:tc>
        <w:tc>
          <w:tcPr>
            <w:tcW w:w="2127" w:type="dxa"/>
            <w:shd w:val="clear" w:color="auto" w:fill="auto"/>
            <w:noWrap/>
            <w:vAlign w:val="center"/>
          </w:tcPr>
          <w:p>
            <w:pPr>
              <w:widowControl/>
              <w:jc w:val="center"/>
              <w:rPr>
                <w:rFonts w:hint="eastAsia" w:ascii="仿宋_GB2312" w:hAnsi="等线" w:eastAsia="仿宋_GB2312" w:cs="宋体"/>
                <w:color w:val="000000"/>
                <w:kern w:val="0"/>
                <w:szCs w:val="21"/>
              </w:rPr>
            </w:pPr>
            <w:r>
              <w:rPr>
                <w:rFonts w:ascii="仿宋_GB2312" w:hAnsi="等线" w:eastAsia="仿宋_GB2312" w:cs="宋体"/>
                <w:color w:val="000000"/>
                <w:kern w:val="0"/>
                <w:szCs w:val="21"/>
              </w:rPr>
              <w:t>15.91%</w:t>
            </w:r>
          </w:p>
        </w:tc>
      </w:tr>
      <w:tr>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2405" w:type="dxa"/>
            <w:shd w:val="clear" w:color="auto" w:fill="auto"/>
            <w:noWrap/>
            <w:vAlign w:val="center"/>
          </w:tcPr>
          <w:p>
            <w:pPr>
              <w:widowControl/>
              <w:jc w:val="center"/>
              <w:rPr>
                <w:rFonts w:hint="eastAsia" w:ascii="仿宋_GB2312" w:hAnsi="等线" w:eastAsia="仿宋_GB2312" w:cs="宋体"/>
                <w:color w:val="000000"/>
                <w:kern w:val="0"/>
                <w:szCs w:val="21"/>
              </w:rPr>
            </w:pPr>
            <w:r>
              <w:rPr>
                <w:rFonts w:hint="eastAsia" w:ascii="仿宋_GB2312" w:hAnsi="等线" w:eastAsia="仿宋_GB2312" w:cs="宋体"/>
                <w:color w:val="000000"/>
                <w:kern w:val="0"/>
                <w:szCs w:val="21"/>
              </w:rPr>
              <w:t>三里河小学</w:t>
            </w:r>
          </w:p>
        </w:tc>
        <w:tc>
          <w:tcPr>
            <w:tcW w:w="2160" w:type="dxa"/>
            <w:shd w:val="clear" w:color="auto" w:fill="auto"/>
            <w:noWrap/>
            <w:vAlign w:val="center"/>
          </w:tcPr>
          <w:p>
            <w:pPr>
              <w:widowControl/>
              <w:jc w:val="center"/>
              <w:rPr>
                <w:rFonts w:hint="eastAsia" w:ascii="仿宋_GB2312" w:hAnsi="等线" w:eastAsia="仿宋_GB2312" w:cs="宋体"/>
                <w:color w:val="000000"/>
                <w:kern w:val="0"/>
                <w:szCs w:val="21"/>
              </w:rPr>
            </w:pPr>
            <w:r>
              <w:rPr>
                <w:rFonts w:ascii="仿宋_GB2312" w:hAnsi="等线" w:eastAsia="仿宋_GB2312" w:cs="宋体"/>
                <w:color w:val="000000"/>
                <w:kern w:val="0"/>
                <w:szCs w:val="21"/>
              </w:rPr>
              <w:t>1417</w:t>
            </w:r>
          </w:p>
        </w:tc>
        <w:tc>
          <w:tcPr>
            <w:tcW w:w="2126" w:type="dxa"/>
            <w:shd w:val="clear" w:color="auto" w:fill="auto"/>
            <w:noWrap/>
            <w:vAlign w:val="center"/>
          </w:tcPr>
          <w:p>
            <w:pPr>
              <w:widowControl/>
              <w:jc w:val="center"/>
              <w:rPr>
                <w:rFonts w:hint="eastAsia" w:ascii="仿宋_GB2312" w:hAnsi="等线" w:eastAsia="仿宋_GB2312" w:cs="宋体"/>
                <w:color w:val="000000"/>
                <w:kern w:val="0"/>
                <w:szCs w:val="21"/>
              </w:rPr>
            </w:pPr>
            <w:r>
              <w:rPr>
                <w:rFonts w:ascii="仿宋_GB2312" w:hAnsi="等线" w:eastAsia="仿宋_GB2312" w:cs="宋体"/>
                <w:color w:val="000000"/>
                <w:kern w:val="0"/>
                <w:szCs w:val="21"/>
              </w:rPr>
              <w:t>217</w:t>
            </w:r>
          </w:p>
        </w:tc>
        <w:tc>
          <w:tcPr>
            <w:tcW w:w="2127" w:type="dxa"/>
            <w:shd w:val="clear" w:color="auto" w:fill="auto"/>
            <w:noWrap/>
            <w:vAlign w:val="center"/>
          </w:tcPr>
          <w:p>
            <w:pPr>
              <w:widowControl/>
              <w:jc w:val="center"/>
              <w:rPr>
                <w:rFonts w:hint="eastAsia" w:ascii="仿宋_GB2312" w:hAnsi="等线" w:eastAsia="仿宋_GB2312" w:cs="宋体"/>
                <w:color w:val="000000"/>
                <w:kern w:val="0"/>
                <w:szCs w:val="21"/>
              </w:rPr>
            </w:pPr>
            <w:r>
              <w:rPr>
                <w:rFonts w:ascii="仿宋_GB2312" w:hAnsi="等线" w:eastAsia="仿宋_GB2312" w:cs="宋体"/>
                <w:color w:val="000000"/>
                <w:kern w:val="0"/>
                <w:szCs w:val="21"/>
              </w:rPr>
              <w:t>15.31%</w:t>
            </w:r>
          </w:p>
        </w:tc>
      </w:tr>
      <w:tr>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2405" w:type="dxa"/>
            <w:shd w:val="clear" w:color="auto" w:fill="auto"/>
            <w:noWrap/>
            <w:vAlign w:val="center"/>
          </w:tcPr>
          <w:p>
            <w:pPr>
              <w:widowControl/>
              <w:jc w:val="center"/>
              <w:rPr>
                <w:rFonts w:hint="eastAsia" w:ascii="仿宋_GB2312" w:hAnsi="等线" w:eastAsia="仿宋_GB2312" w:cs="宋体"/>
                <w:color w:val="000000"/>
                <w:kern w:val="0"/>
                <w:szCs w:val="21"/>
              </w:rPr>
            </w:pPr>
            <w:r>
              <w:rPr>
                <w:rFonts w:hint="eastAsia" w:ascii="仿宋_GB2312" w:hAnsi="等线" w:eastAsia="仿宋_GB2312" w:cs="宋体"/>
                <w:color w:val="000000"/>
                <w:kern w:val="0"/>
                <w:szCs w:val="21"/>
              </w:rPr>
              <w:t>天福小学</w:t>
            </w:r>
          </w:p>
        </w:tc>
        <w:tc>
          <w:tcPr>
            <w:tcW w:w="2160" w:type="dxa"/>
            <w:shd w:val="clear" w:color="auto" w:fill="auto"/>
            <w:noWrap/>
            <w:vAlign w:val="center"/>
          </w:tcPr>
          <w:p>
            <w:pPr>
              <w:widowControl/>
              <w:jc w:val="center"/>
              <w:rPr>
                <w:rFonts w:hint="eastAsia" w:ascii="仿宋_GB2312" w:hAnsi="等线" w:eastAsia="仿宋_GB2312" w:cs="宋体"/>
                <w:color w:val="000000"/>
                <w:kern w:val="0"/>
                <w:szCs w:val="21"/>
              </w:rPr>
            </w:pPr>
            <w:r>
              <w:rPr>
                <w:rFonts w:ascii="仿宋_GB2312" w:hAnsi="等线" w:eastAsia="仿宋_GB2312" w:cs="宋体"/>
                <w:color w:val="000000"/>
                <w:kern w:val="0"/>
                <w:szCs w:val="21"/>
              </w:rPr>
              <w:t>1382</w:t>
            </w:r>
          </w:p>
        </w:tc>
        <w:tc>
          <w:tcPr>
            <w:tcW w:w="2126" w:type="dxa"/>
            <w:shd w:val="clear" w:color="auto" w:fill="auto"/>
            <w:noWrap/>
            <w:vAlign w:val="center"/>
          </w:tcPr>
          <w:p>
            <w:pPr>
              <w:widowControl/>
              <w:jc w:val="center"/>
              <w:rPr>
                <w:rFonts w:hint="eastAsia" w:ascii="仿宋_GB2312" w:hAnsi="等线" w:eastAsia="仿宋_GB2312" w:cs="宋体"/>
                <w:color w:val="000000"/>
                <w:kern w:val="0"/>
                <w:szCs w:val="21"/>
              </w:rPr>
            </w:pPr>
            <w:r>
              <w:rPr>
                <w:rFonts w:ascii="仿宋_GB2312" w:hAnsi="等线" w:eastAsia="仿宋_GB2312" w:cs="宋体"/>
                <w:color w:val="000000"/>
                <w:kern w:val="0"/>
                <w:szCs w:val="21"/>
              </w:rPr>
              <w:t>197</w:t>
            </w:r>
          </w:p>
        </w:tc>
        <w:tc>
          <w:tcPr>
            <w:tcW w:w="2127" w:type="dxa"/>
            <w:shd w:val="clear" w:color="auto" w:fill="auto"/>
            <w:noWrap/>
            <w:vAlign w:val="center"/>
          </w:tcPr>
          <w:p>
            <w:pPr>
              <w:widowControl/>
              <w:jc w:val="center"/>
              <w:rPr>
                <w:rFonts w:hint="eastAsia" w:ascii="仿宋_GB2312" w:hAnsi="等线" w:eastAsia="仿宋_GB2312" w:cs="宋体"/>
                <w:color w:val="000000"/>
                <w:kern w:val="0"/>
                <w:szCs w:val="21"/>
              </w:rPr>
            </w:pPr>
            <w:r>
              <w:rPr>
                <w:rFonts w:ascii="仿宋_GB2312" w:hAnsi="等线" w:eastAsia="仿宋_GB2312" w:cs="宋体"/>
                <w:color w:val="000000"/>
                <w:kern w:val="0"/>
                <w:szCs w:val="21"/>
              </w:rPr>
              <w:t>14.25%</w:t>
            </w:r>
          </w:p>
        </w:tc>
      </w:tr>
      <w:tr>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2405" w:type="dxa"/>
            <w:shd w:val="clear" w:color="auto" w:fill="auto"/>
            <w:noWrap/>
            <w:vAlign w:val="center"/>
          </w:tcPr>
          <w:p>
            <w:pPr>
              <w:widowControl/>
              <w:jc w:val="center"/>
              <w:rPr>
                <w:rFonts w:hint="eastAsia" w:ascii="仿宋_GB2312" w:hAnsi="等线" w:eastAsia="仿宋_GB2312" w:cs="宋体"/>
                <w:color w:val="000000"/>
                <w:kern w:val="0"/>
                <w:szCs w:val="21"/>
              </w:rPr>
            </w:pPr>
            <w:r>
              <w:rPr>
                <w:rFonts w:hint="eastAsia" w:ascii="仿宋_GB2312" w:hAnsi="等线" w:eastAsia="仿宋_GB2312" w:cs="宋体"/>
                <w:color w:val="000000"/>
                <w:kern w:val="0"/>
                <w:szCs w:val="21"/>
              </w:rPr>
              <w:t>大众小学</w:t>
            </w:r>
          </w:p>
        </w:tc>
        <w:tc>
          <w:tcPr>
            <w:tcW w:w="2160" w:type="dxa"/>
            <w:shd w:val="clear" w:color="auto" w:fill="auto"/>
            <w:noWrap/>
            <w:vAlign w:val="center"/>
          </w:tcPr>
          <w:p>
            <w:pPr>
              <w:widowControl/>
              <w:jc w:val="center"/>
              <w:rPr>
                <w:rFonts w:hint="eastAsia" w:ascii="仿宋_GB2312" w:hAnsi="等线" w:eastAsia="仿宋_GB2312" w:cs="宋体"/>
                <w:color w:val="000000"/>
                <w:kern w:val="0"/>
                <w:szCs w:val="21"/>
              </w:rPr>
            </w:pPr>
            <w:r>
              <w:rPr>
                <w:rFonts w:ascii="仿宋_GB2312" w:hAnsi="等线" w:eastAsia="仿宋_GB2312" w:cs="宋体"/>
                <w:color w:val="000000"/>
                <w:kern w:val="0"/>
                <w:szCs w:val="21"/>
              </w:rPr>
              <w:t>1561</w:t>
            </w:r>
          </w:p>
        </w:tc>
        <w:tc>
          <w:tcPr>
            <w:tcW w:w="2126" w:type="dxa"/>
            <w:shd w:val="clear" w:color="auto" w:fill="auto"/>
            <w:noWrap/>
            <w:vAlign w:val="center"/>
          </w:tcPr>
          <w:p>
            <w:pPr>
              <w:widowControl/>
              <w:jc w:val="center"/>
              <w:rPr>
                <w:rFonts w:hint="eastAsia" w:ascii="仿宋_GB2312" w:hAnsi="等线" w:eastAsia="仿宋_GB2312" w:cs="宋体"/>
                <w:color w:val="000000"/>
                <w:kern w:val="0"/>
                <w:szCs w:val="21"/>
              </w:rPr>
            </w:pPr>
            <w:r>
              <w:rPr>
                <w:rFonts w:ascii="仿宋_GB2312" w:hAnsi="等线" w:eastAsia="仿宋_GB2312" w:cs="宋体"/>
                <w:color w:val="000000"/>
                <w:kern w:val="0"/>
                <w:szCs w:val="21"/>
              </w:rPr>
              <w:t>214</w:t>
            </w:r>
          </w:p>
        </w:tc>
        <w:tc>
          <w:tcPr>
            <w:tcW w:w="2127" w:type="dxa"/>
            <w:shd w:val="clear" w:color="auto" w:fill="auto"/>
            <w:noWrap/>
            <w:vAlign w:val="center"/>
          </w:tcPr>
          <w:p>
            <w:pPr>
              <w:widowControl/>
              <w:jc w:val="center"/>
              <w:rPr>
                <w:rFonts w:hint="eastAsia" w:ascii="仿宋_GB2312" w:hAnsi="等线" w:eastAsia="仿宋_GB2312" w:cs="宋体"/>
                <w:color w:val="000000"/>
                <w:kern w:val="0"/>
                <w:szCs w:val="21"/>
              </w:rPr>
            </w:pPr>
            <w:r>
              <w:rPr>
                <w:rFonts w:ascii="仿宋_GB2312" w:hAnsi="等线" w:eastAsia="仿宋_GB2312" w:cs="宋体"/>
                <w:color w:val="000000"/>
                <w:kern w:val="0"/>
                <w:szCs w:val="21"/>
              </w:rPr>
              <w:t>13.71%</w:t>
            </w:r>
          </w:p>
        </w:tc>
      </w:tr>
      <w:tr>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2405" w:type="dxa"/>
            <w:shd w:val="clear" w:color="auto" w:fill="auto"/>
            <w:noWrap/>
            <w:vAlign w:val="center"/>
          </w:tcPr>
          <w:p>
            <w:pPr>
              <w:widowControl/>
              <w:jc w:val="center"/>
              <w:rPr>
                <w:rFonts w:hint="eastAsia" w:ascii="仿宋_GB2312" w:hAnsi="等线" w:eastAsia="仿宋_GB2312" w:cs="宋体"/>
                <w:color w:val="000000"/>
                <w:kern w:val="0"/>
                <w:szCs w:val="21"/>
              </w:rPr>
            </w:pPr>
            <w:r>
              <w:rPr>
                <w:rFonts w:hint="eastAsia" w:ascii="仿宋_GB2312" w:hAnsi="等线" w:eastAsia="仿宋_GB2312" w:cs="宋体"/>
                <w:color w:val="000000"/>
                <w:kern w:val="0"/>
                <w:szCs w:val="21"/>
              </w:rPr>
              <w:t>河南小学</w:t>
            </w:r>
          </w:p>
        </w:tc>
        <w:tc>
          <w:tcPr>
            <w:tcW w:w="2160" w:type="dxa"/>
            <w:shd w:val="clear" w:color="auto" w:fill="auto"/>
            <w:noWrap/>
            <w:vAlign w:val="center"/>
          </w:tcPr>
          <w:p>
            <w:pPr>
              <w:widowControl/>
              <w:jc w:val="center"/>
              <w:rPr>
                <w:rFonts w:hint="eastAsia" w:ascii="仿宋_GB2312" w:hAnsi="等线" w:eastAsia="仿宋_GB2312" w:cs="宋体"/>
                <w:color w:val="000000"/>
                <w:kern w:val="0"/>
                <w:szCs w:val="21"/>
              </w:rPr>
            </w:pPr>
            <w:r>
              <w:rPr>
                <w:rFonts w:ascii="仿宋_GB2312" w:hAnsi="等线" w:eastAsia="仿宋_GB2312" w:cs="宋体"/>
                <w:color w:val="000000"/>
                <w:kern w:val="0"/>
                <w:szCs w:val="21"/>
              </w:rPr>
              <w:t>1800</w:t>
            </w:r>
          </w:p>
        </w:tc>
        <w:tc>
          <w:tcPr>
            <w:tcW w:w="2126" w:type="dxa"/>
            <w:shd w:val="clear" w:color="auto" w:fill="auto"/>
            <w:noWrap/>
            <w:vAlign w:val="center"/>
          </w:tcPr>
          <w:p>
            <w:pPr>
              <w:widowControl/>
              <w:jc w:val="center"/>
              <w:rPr>
                <w:rFonts w:hint="eastAsia" w:ascii="仿宋_GB2312" w:hAnsi="等线" w:eastAsia="仿宋_GB2312" w:cs="宋体"/>
                <w:color w:val="000000"/>
                <w:kern w:val="0"/>
                <w:szCs w:val="21"/>
              </w:rPr>
            </w:pPr>
            <w:r>
              <w:rPr>
                <w:rFonts w:ascii="仿宋_GB2312" w:hAnsi="等线" w:eastAsia="仿宋_GB2312" w:cs="宋体"/>
                <w:color w:val="000000"/>
                <w:kern w:val="0"/>
                <w:szCs w:val="21"/>
              </w:rPr>
              <w:t>190</w:t>
            </w:r>
          </w:p>
        </w:tc>
        <w:tc>
          <w:tcPr>
            <w:tcW w:w="2127" w:type="dxa"/>
            <w:shd w:val="clear" w:color="auto" w:fill="auto"/>
            <w:noWrap/>
            <w:vAlign w:val="center"/>
          </w:tcPr>
          <w:p>
            <w:pPr>
              <w:widowControl/>
              <w:jc w:val="center"/>
              <w:rPr>
                <w:rFonts w:hint="eastAsia" w:ascii="仿宋_GB2312" w:hAnsi="等线" w:eastAsia="仿宋_GB2312" w:cs="宋体"/>
                <w:color w:val="000000"/>
                <w:kern w:val="0"/>
                <w:szCs w:val="21"/>
              </w:rPr>
            </w:pPr>
            <w:r>
              <w:rPr>
                <w:rFonts w:ascii="仿宋_GB2312" w:hAnsi="等线" w:eastAsia="仿宋_GB2312" w:cs="宋体"/>
                <w:color w:val="000000"/>
                <w:kern w:val="0"/>
                <w:szCs w:val="21"/>
              </w:rPr>
              <w:t>10.22%</w:t>
            </w:r>
          </w:p>
        </w:tc>
      </w:tr>
      <w:tr>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2405" w:type="dxa"/>
            <w:shd w:val="clear" w:color="auto" w:fill="auto"/>
            <w:noWrap/>
            <w:vAlign w:val="center"/>
          </w:tcPr>
          <w:p>
            <w:pPr>
              <w:widowControl/>
              <w:jc w:val="center"/>
              <w:rPr>
                <w:rFonts w:hint="eastAsia" w:ascii="仿宋_GB2312" w:hAnsi="等线" w:eastAsia="仿宋_GB2312" w:cs="宋体"/>
                <w:color w:val="000000"/>
                <w:kern w:val="0"/>
                <w:szCs w:val="21"/>
              </w:rPr>
            </w:pPr>
            <w:r>
              <w:rPr>
                <w:rFonts w:hint="eastAsia" w:ascii="仿宋_GB2312" w:hAnsi="等线" w:eastAsia="仿宋_GB2312" w:cs="宋体"/>
                <w:color w:val="000000"/>
                <w:kern w:val="0"/>
                <w:szCs w:val="21"/>
              </w:rPr>
              <w:t>环山小学</w:t>
            </w:r>
          </w:p>
        </w:tc>
        <w:tc>
          <w:tcPr>
            <w:tcW w:w="2160" w:type="dxa"/>
            <w:shd w:val="clear" w:color="auto" w:fill="auto"/>
            <w:noWrap/>
            <w:vAlign w:val="center"/>
          </w:tcPr>
          <w:p>
            <w:pPr>
              <w:widowControl/>
              <w:jc w:val="center"/>
              <w:rPr>
                <w:rFonts w:hint="eastAsia" w:ascii="仿宋_GB2312" w:hAnsi="等线" w:eastAsia="仿宋_GB2312" w:cs="宋体"/>
                <w:color w:val="000000"/>
                <w:kern w:val="0"/>
                <w:szCs w:val="21"/>
              </w:rPr>
            </w:pPr>
            <w:r>
              <w:rPr>
                <w:rFonts w:ascii="仿宋_GB2312" w:hAnsi="等线" w:eastAsia="仿宋_GB2312" w:cs="宋体"/>
                <w:color w:val="000000"/>
                <w:kern w:val="0"/>
                <w:szCs w:val="21"/>
              </w:rPr>
              <w:t>1051</w:t>
            </w:r>
          </w:p>
        </w:tc>
        <w:tc>
          <w:tcPr>
            <w:tcW w:w="2126" w:type="dxa"/>
            <w:shd w:val="clear" w:color="auto" w:fill="auto"/>
            <w:noWrap/>
            <w:vAlign w:val="center"/>
          </w:tcPr>
          <w:p>
            <w:pPr>
              <w:widowControl/>
              <w:jc w:val="center"/>
              <w:rPr>
                <w:rFonts w:hint="eastAsia" w:ascii="仿宋_GB2312" w:hAnsi="等线" w:eastAsia="仿宋_GB2312" w:cs="宋体"/>
                <w:color w:val="000000"/>
                <w:kern w:val="0"/>
                <w:szCs w:val="21"/>
              </w:rPr>
            </w:pPr>
            <w:r>
              <w:rPr>
                <w:rFonts w:ascii="仿宋_GB2312" w:hAnsi="等线" w:eastAsia="仿宋_GB2312" w:cs="宋体"/>
                <w:color w:val="000000"/>
                <w:kern w:val="0"/>
                <w:szCs w:val="21"/>
              </w:rPr>
              <w:t>68</w:t>
            </w:r>
          </w:p>
        </w:tc>
        <w:tc>
          <w:tcPr>
            <w:tcW w:w="2127" w:type="dxa"/>
            <w:shd w:val="clear" w:color="auto" w:fill="auto"/>
            <w:noWrap/>
            <w:vAlign w:val="center"/>
          </w:tcPr>
          <w:p>
            <w:pPr>
              <w:widowControl/>
              <w:jc w:val="center"/>
              <w:rPr>
                <w:rFonts w:hint="eastAsia" w:ascii="仿宋_GB2312" w:hAnsi="等线" w:eastAsia="仿宋_GB2312" w:cs="宋体"/>
                <w:color w:val="000000"/>
                <w:kern w:val="0"/>
                <w:szCs w:val="21"/>
              </w:rPr>
            </w:pPr>
            <w:r>
              <w:rPr>
                <w:rFonts w:ascii="仿宋_GB2312" w:hAnsi="等线" w:eastAsia="仿宋_GB2312" w:cs="宋体"/>
                <w:color w:val="000000"/>
                <w:kern w:val="0"/>
                <w:szCs w:val="21"/>
              </w:rPr>
              <w:t>6.47%</w:t>
            </w:r>
          </w:p>
        </w:tc>
      </w:tr>
      <w:tr>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2405" w:type="dxa"/>
            <w:shd w:val="clear" w:color="auto" w:fill="auto"/>
            <w:noWrap/>
            <w:vAlign w:val="center"/>
          </w:tcPr>
          <w:p>
            <w:pPr>
              <w:widowControl/>
              <w:jc w:val="center"/>
              <w:rPr>
                <w:rFonts w:hint="eastAsia" w:ascii="仿宋_GB2312" w:hAnsi="等线" w:eastAsia="仿宋_GB2312" w:cs="宋体"/>
                <w:color w:val="000000"/>
                <w:kern w:val="0"/>
                <w:szCs w:val="21"/>
              </w:rPr>
            </w:pPr>
            <w:r>
              <w:rPr>
                <w:rFonts w:hint="eastAsia" w:ascii="仿宋_GB2312" w:hAnsi="等线" w:eastAsia="仿宋_GB2312" w:cs="宋体"/>
                <w:color w:val="000000"/>
                <w:kern w:val="0"/>
                <w:szCs w:val="21"/>
              </w:rPr>
              <w:t>开发区小学</w:t>
            </w:r>
          </w:p>
        </w:tc>
        <w:tc>
          <w:tcPr>
            <w:tcW w:w="2160" w:type="dxa"/>
            <w:shd w:val="clear" w:color="auto" w:fill="auto"/>
            <w:noWrap/>
            <w:vAlign w:val="center"/>
          </w:tcPr>
          <w:p>
            <w:pPr>
              <w:widowControl/>
              <w:jc w:val="center"/>
              <w:rPr>
                <w:rFonts w:hint="eastAsia" w:ascii="仿宋_GB2312" w:hAnsi="等线" w:eastAsia="仿宋_GB2312" w:cs="宋体"/>
                <w:color w:val="000000"/>
                <w:kern w:val="0"/>
                <w:szCs w:val="21"/>
              </w:rPr>
            </w:pPr>
            <w:r>
              <w:rPr>
                <w:rFonts w:ascii="仿宋_GB2312" w:hAnsi="等线" w:eastAsia="仿宋_GB2312" w:cs="宋体"/>
                <w:color w:val="000000"/>
                <w:kern w:val="0"/>
                <w:szCs w:val="21"/>
              </w:rPr>
              <w:t>1828</w:t>
            </w:r>
          </w:p>
        </w:tc>
        <w:tc>
          <w:tcPr>
            <w:tcW w:w="2126" w:type="dxa"/>
            <w:shd w:val="clear" w:color="auto" w:fill="auto"/>
            <w:noWrap/>
            <w:vAlign w:val="center"/>
          </w:tcPr>
          <w:p>
            <w:pPr>
              <w:widowControl/>
              <w:jc w:val="center"/>
              <w:rPr>
                <w:rFonts w:hint="eastAsia" w:ascii="仿宋_GB2312" w:hAnsi="等线" w:eastAsia="仿宋_GB2312" w:cs="宋体"/>
                <w:color w:val="000000"/>
                <w:kern w:val="0"/>
                <w:szCs w:val="21"/>
              </w:rPr>
            </w:pPr>
            <w:r>
              <w:rPr>
                <w:rFonts w:ascii="仿宋_GB2312" w:hAnsi="等线" w:eastAsia="仿宋_GB2312" w:cs="宋体"/>
                <w:color w:val="000000"/>
                <w:kern w:val="0"/>
                <w:szCs w:val="21"/>
              </w:rPr>
              <w:t>50</w:t>
            </w:r>
          </w:p>
        </w:tc>
        <w:tc>
          <w:tcPr>
            <w:tcW w:w="2127" w:type="dxa"/>
            <w:shd w:val="clear" w:color="auto" w:fill="auto"/>
            <w:noWrap/>
            <w:vAlign w:val="center"/>
          </w:tcPr>
          <w:p>
            <w:pPr>
              <w:widowControl/>
              <w:jc w:val="center"/>
              <w:rPr>
                <w:rFonts w:hint="eastAsia" w:ascii="仿宋_GB2312" w:hAnsi="等线" w:eastAsia="仿宋_GB2312" w:cs="宋体"/>
                <w:color w:val="000000"/>
                <w:kern w:val="0"/>
                <w:szCs w:val="21"/>
              </w:rPr>
            </w:pPr>
            <w:r>
              <w:rPr>
                <w:rFonts w:ascii="仿宋_GB2312" w:hAnsi="等线" w:eastAsia="仿宋_GB2312" w:cs="宋体"/>
                <w:color w:val="000000"/>
                <w:kern w:val="0"/>
                <w:szCs w:val="21"/>
              </w:rPr>
              <w:t>2.74%</w:t>
            </w:r>
          </w:p>
        </w:tc>
      </w:tr>
    </w:tbl>
    <w:p>
      <w:pPr>
        <w:spacing w:line="600" w:lineRule="exact"/>
        <w:ind w:firstLine="567"/>
        <w:rPr>
          <w:rFonts w:ascii="仿宋_GB2312" w:eastAsia="仿宋_GB2312"/>
          <w:sz w:val="32"/>
          <w:szCs w:val="32"/>
          <w:lang w:bidi="en-US"/>
        </w:rPr>
      </w:pPr>
      <w:r>
        <w:rPr>
          <w:rFonts w:hint="eastAsia" w:ascii="仿宋_GB2312" w:eastAsia="仿宋_GB2312"/>
          <w:sz w:val="32"/>
          <w:szCs w:val="32"/>
          <w:lang w:bidi="en-US"/>
        </w:rPr>
        <w:t>经调查分析，造成小学阶段课后托管率普遍偏低的原因，一是小学阶段课后作业少、甚至无作业，学生学习压力小，无升学压力；二是课后托管课程内容单一，对学生及家长吸引力较小；三是部分学生在校外参加特长拓展培训班，无需参加课后托管。</w:t>
      </w:r>
    </w:p>
    <w:p>
      <w:pPr>
        <w:spacing w:line="600" w:lineRule="exact"/>
        <w:ind w:firstLine="640" w:firstLineChars="200"/>
        <w:rPr>
          <w:rFonts w:ascii="楷体_GB2312" w:eastAsia="楷体_GB2312"/>
          <w:sz w:val="32"/>
          <w:szCs w:val="32"/>
          <w:lang w:bidi="en-US"/>
        </w:rPr>
      </w:pPr>
      <w:r>
        <w:rPr>
          <w:rFonts w:hint="eastAsia" w:eastAsia="楷体_GB2312" w:cs="仿宋_GB2312" w:asciiTheme="minorHAnsi" w:hAnsiTheme="minorHAnsi"/>
          <w:color w:val="auto"/>
          <w:kern w:val="0"/>
          <w:sz w:val="32"/>
          <w:szCs w:val="32"/>
          <w:lang w:val="en-US" w:eastAsia="zh-CN" w:bidi="ar-SA"/>
        </w:rPr>
        <w:t>（二）</w:t>
      </w:r>
      <w:bookmarkStart w:id="20" w:name="_Hlk173827052"/>
      <w:r>
        <w:rPr>
          <w:rFonts w:hint="eastAsia" w:eastAsia="楷体_GB2312" w:cs="仿宋_GB2312" w:asciiTheme="minorHAnsi" w:hAnsiTheme="minorHAnsi"/>
          <w:color w:val="auto"/>
          <w:kern w:val="0"/>
          <w:sz w:val="32"/>
          <w:szCs w:val="32"/>
          <w:lang w:val="en-US" w:eastAsia="zh-CN" w:bidi="ar-SA"/>
        </w:rPr>
        <w:t>资金保障困难。</w:t>
      </w:r>
      <w:bookmarkEnd w:id="20"/>
      <w:r>
        <w:rPr>
          <w:rFonts w:hint="eastAsia" w:ascii="仿宋_GB2312" w:eastAsia="仿宋_GB2312"/>
          <w:sz w:val="32"/>
          <w:szCs w:val="32"/>
          <w:lang w:bidi="en-US"/>
        </w:rPr>
        <w:t>依据文登区教体局等</w:t>
      </w:r>
      <w:r>
        <w:rPr>
          <w:rFonts w:hint="eastAsia" w:eastAsia="仿宋_GB2312"/>
          <w:bCs/>
          <w:sz w:val="32"/>
          <w:szCs w:val="32"/>
          <w:lang w:bidi="en-US"/>
        </w:rPr>
        <w:t>4</w:t>
      </w:r>
      <w:r>
        <w:rPr>
          <w:rFonts w:hint="eastAsia" w:ascii="仿宋_GB2312" w:eastAsia="仿宋_GB2312"/>
          <w:sz w:val="32"/>
          <w:szCs w:val="32"/>
          <w:lang w:bidi="en-US"/>
        </w:rPr>
        <w:t>部门联合下发的“威文教体字〔</w:t>
      </w:r>
      <w:r>
        <w:rPr>
          <w:rFonts w:hint="eastAsia" w:eastAsia="仿宋_GB2312"/>
          <w:bCs/>
          <w:sz w:val="32"/>
          <w:szCs w:val="32"/>
          <w:lang w:bidi="en-US"/>
        </w:rPr>
        <w:t>2022</w:t>
      </w:r>
      <w:r>
        <w:rPr>
          <w:rFonts w:hint="eastAsia" w:ascii="仿宋_GB2312" w:eastAsia="仿宋_GB2312"/>
          <w:sz w:val="32"/>
          <w:szCs w:val="32"/>
          <w:lang w:bidi="en-US"/>
        </w:rPr>
        <w:t>〕</w:t>
      </w:r>
      <w:r>
        <w:rPr>
          <w:rFonts w:hint="eastAsia" w:eastAsia="仿宋_GB2312"/>
          <w:bCs/>
          <w:sz w:val="32"/>
          <w:szCs w:val="32"/>
          <w:lang w:bidi="en-US"/>
        </w:rPr>
        <w:t>10</w:t>
      </w:r>
      <w:r>
        <w:rPr>
          <w:rFonts w:hint="eastAsia" w:ascii="仿宋_GB2312" w:eastAsia="仿宋_GB2312"/>
          <w:sz w:val="32"/>
          <w:szCs w:val="32"/>
          <w:lang w:bidi="en-US"/>
        </w:rPr>
        <w:t>号”文件的规定，义务教育阶段课后托管财政按每生每小时</w:t>
      </w:r>
      <w:r>
        <w:rPr>
          <w:rFonts w:hint="eastAsia" w:eastAsia="仿宋_GB2312"/>
          <w:bCs/>
          <w:sz w:val="32"/>
          <w:szCs w:val="32"/>
          <w:lang w:bidi="en-US"/>
        </w:rPr>
        <w:t>2</w:t>
      </w:r>
      <w:r>
        <w:rPr>
          <w:rFonts w:hint="eastAsia" w:ascii="仿宋_GB2312" w:eastAsia="仿宋_GB2312"/>
          <w:sz w:val="32"/>
          <w:szCs w:val="32"/>
          <w:lang w:bidi="en-US"/>
        </w:rPr>
        <w:t>至</w:t>
      </w:r>
      <w:r>
        <w:rPr>
          <w:rFonts w:hint="eastAsia" w:eastAsia="仿宋_GB2312"/>
          <w:bCs/>
          <w:sz w:val="32"/>
          <w:szCs w:val="32"/>
          <w:lang w:bidi="en-US"/>
        </w:rPr>
        <w:t>4</w:t>
      </w:r>
      <w:r>
        <w:rPr>
          <w:rFonts w:hint="eastAsia" w:ascii="仿宋_GB2312" w:eastAsia="仿宋_GB2312"/>
          <w:sz w:val="32"/>
          <w:szCs w:val="32"/>
          <w:lang w:bidi="en-US"/>
        </w:rPr>
        <w:t>元标准进行经费保障。此次评价，我们按最低标准，</w:t>
      </w:r>
      <w:r>
        <w:rPr>
          <w:rFonts w:hint="eastAsia" w:eastAsia="仿宋_GB2312"/>
          <w:bCs/>
          <w:sz w:val="32"/>
          <w:szCs w:val="32"/>
          <w:lang w:bidi="en-US"/>
        </w:rPr>
        <w:t>2</w:t>
      </w:r>
      <w:r>
        <w:rPr>
          <w:rFonts w:hint="eastAsia" w:ascii="仿宋_GB2312" w:eastAsia="仿宋_GB2312"/>
          <w:sz w:val="32"/>
          <w:szCs w:val="32"/>
          <w:lang w:bidi="en-US"/>
        </w:rPr>
        <w:t>元/生/天计算</w:t>
      </w:r>
      <w:r>
        <w:rPr>
          <w:rFonts w:hint="eastAsia" w:eastAsia="仿宋_GB2312"/>
          <w:bCs/>
          <w:sz w:val="32"/>
          <w:szCs w:val="32"/>
          <w:lang w:bidi="en-US"/>
        </w:rPr>
        <w:t>2023</w:t>
      </w:r>
      <w:r>
        <w:rPr>
          <w:rFonts w:hint="eastAsia" w:ascii="仿宋_GB2312" w:eastAsia="仿宋_GB2312"/>
          <w:sz w:val="32"/>
          <w:szCs w:val="32"/>
          <w:lang w:bidi="en-US"/>
        </w:rPr>
        <w:t>年度资金总需求为</w:t>
      </w:r>
      <w:r>
        <w:rPr>
          <w:rFonts w:hint="eastAsia" w:eastAsia="仿宋_GB2312"/>
          <w:bCs/>
          <w:sz w:val="32"/>
          <w:szCs w:val="32"/>
          <w:lang w:bidi="en-US"/>
        </w:rPr>
        <w:t>2,345,382.00</w:t>
      </w:r>
      <w:r>
        <w:rPr>
          <w:rFonts w:hint="eastAsia" w:ascii="仿宋_GB2312" w:eastAsia="仿宋_GB2312"/>
          <w:sz w:val="32"/>
          <w:szCs w:val="32"/>
          <w:lang w:bidi="en-US"/>
        </w:rPr>
        <w:t>元，实际财政保障资金到位</w:t>
      </w:r>
      <w:r>
        <w:rPr>
          <w:rFonts w:hint="eastAsia" w:eastAsia="仿宋_GB2312"/>
          <w:bCs/>
          <w:sz w:val="32"/>
          <w:szCs w:val="32"/>
          <w:lang w:bidi="en-US"/>
        </w:rPr>
        <w:t>1</w:t>
      </w:r>
      <w:r>
        <w:rPr>
          <w:rFonts w:eastAsia="仿宋_GB2312"/>
          <w:bCs/>
          <w:sz w:val="32"/>
          <w:szCs w:val="32"/>
          <w:lang w:bidi="en-US"/>
        </w:rPr>
        <w:t>,</w:t>
      </w:r>
      <w:r>
        <w:rPr>
          <w:rFonts w:hint="eastAsia" w:eastAsia="仿宋_GB2312"/>
          <w:bCs/>
          <w:sz w:val="32"/>
          <w:szCs w:val="32"/>
          <w:lang w:bidi="en-US"/>
        </w:rPr>
        <w:t>0</w:t>
      </w:r>
      <w:r>
        <w:rPr>
          <w:rFonts w:eastAsia="仿宋_GB2312"/>
          <w:bCs/>
          <w:sz w:val="32"/>
          <w:szCs w:val="32"/>
          <w:lang w:bidi="en-US"/>
        </w:rPr>
        <w:t>00,000.00</w:t>
      </w:r>
      <w:r>
        <w:rPr>
          <w:rFonts w:hint="eastAsia" w:ascii="仿宋_GB2312" w:eastAsia="仿宋_GB2312"/>
          <w:sz w:val="32"/>
          <w:szCs w:val="32"/>
          <w:lang w:bidi="en-US"/>
        </w:rPr>
        <w:t>元,资金需求满足率为</w:t>
      </w:r>
      <w:r>
        <w:rPr>
          <w:rFonts w:hint="eastAsia" w:eastAsia="仿宋_GB2312"/>
          <w:bCs/>
          <w:sz w:val="32"/>
          <w:szCs w:val="32"/>
          <w:lang w:bidi="en-US"/>
        </w:rPr>
        <w:t>42.64%</w:t>
      </w:r>
      <w:r>
        <w:rPr>
          <w:rFonts w:hint="eastAsia" w:ascii="仿宋_GB2312" w:eastAsia="仿宋_GB2312"/>
          <w:sz w:val="32"/>
          <w:szCs w:val="32"/>
          <w:lang w:bidi="en-US"/>
        </w:rPr>
        <w:t>。</w:t>
      </w:r>
      <w:r>
        <w:rPr>
          <w:rFonts w:hint="eastAsia" w:ascii="楷体_GB2312" w:eastAsia="楷体_GB2312"/>
          <w:sz w:val="32"/>
          <w:szCs w:val="32"/>
          <w:lang w:bidi="en-US"/>
        </w:rPr>
        <w:t>（注：详见附件</w:t>
      </w:r>
      <w:r>
        <w:rPr>
          <w:rFonts w:hint="eastAsia" w:eastAsia="仿宋_GB2312"/>
          <w:bCs/>
          <w:sz w:val="32"/>
          <w:szCs w:val="32"/>
          <w:lang w:bidi="en-US"/>
        </w:rPr>
        <w:t>4</w:t>
      </w:r>
      <w:r>
        <w:rPr>
          <w:rFonts w:hint="eastAsia" w:ascii="楷体_GB2312" w:eastAsia="楷体_GB2312"/>
          <w:sz w:val="32"/>
          <w:szCs w:val="32"/>
          <w:lang w:bidi="en-US"/>
        </w:rPr>
        <w:t>：</w:t>
      </w:r>
      <w:r>
        <w:rPr>
          <w:rFonts w:hint="eastAsia" w:eastAsia="仿宋_GB2312"/>
          <w:bCs/>
          <w:sz w:val="32"/>
          <w:szCs w:val="32"/>
          <w:lang w:bidi="en-US"/>
        </w:rPr>
        <w:t>2023</w:t>
      </w:r>
      <w:r>
        <w:rPr>
          <w:rFonts w:hint="eastAsia" w:ascii="楷体_GB2312" w:eastAsia="楷体_GB2312"/>
          <w:sz w:val="32"/>
          <w:szCs w:val="32"/>
          <w:lang w:bidi="en-US"/>
        </w:rPr>
        <w:t>年度托管保障资金需求金额计算表）</w:t>
      </w:r>
    </w:p>
    <w:p>
      <w:pPr>
        <w:spacing w:line="600" w:lineRule="exact"/>
        <w:ind w:firstLine="640" w:firstLineChars="200"/>
        <w:rPr>
          <w:rFonts w:ascii="仿宋_GB2312" w:eastAsia="仿宋_GB2312"/>
          <w:sz w:val="32"/>
          <w:szCs w:val="32"/>
          <w:lang w:bidi="en-US"/>
        </w:rPr>
      </w:pPr>
      <w:r>
        <w:rPr>
          <w:rFonts w:hint="eastAsia" w:eastAsia="楷体_GB2312" w:cs="仿宋_GB2312" w:asciiTheme="minorHAnsi" w:hAnsiTheme="minorHAnsi"/>
          <w:color w:val="auto"/>
          <w:kern w:val="0"/>
          <w:sz w:val="32"/>
          <w:szCs w:val="32"/>
          <w:lang w:val="en-US" w:eastAsia="zh-CN" w:bidi="ar-SA"/>
        </w:rPr>
        <w:t>（三）免费托管依据不充分。</w:t>
      </w:r>
      <w:r>
        <w:rPr>
          <w:rFonts w:hint="eastAsia" w:ascii="仿宋_GB2312" w:eastAsia="仿宋_GB2312"/>
          <w:sz w:val="32"/>
          <w:szCs w:val="32"/>
          <w:lang w:bidi="en-US"/>
        </w:rPr>
        <w:t>文登区课后托管服务自开始实施以来一直未收取服务性收费，项目经费完全通过财政补贴保障，增加财政负担。根据“鲁教财字</w:t>
      </w:r>
      <w:r>
        <w:rPr>
          <w:rFonts w:hint="eastAsia" w:eastAsia="仿宋_GB2312"/>
          <w:bCs/>
          <w:sz w:val="32"/>
          <w:szCs w:val="32"/>
          <w:lang w:bidi="en-US"/>
        </w:rPr>
        <w:t>〔2021〕15</w:t>
      </w:r>
      <w:r>
        <w:rPr>
          <w:rFonts w:hint="eastAsia" w:ascii="仿宋_GB2312" w:eastAsia="仿宋_GB2312"/>
          <w:sz w:val="32"/>
          <w:szCs w:val="32"/>
          <w:lang w:bidi="en-US"/>
        </w:rPr>
        <w:t>号”和“威文教体字</w:t>
      </w:r>
      <w:r>
        <w:rPr>
          <w:rFonts w:hint="eastAsia" w:eastAsia="仿宋_GB2312"/>
          <w:bCs/>
          <w:sz w:val="32"/>
          <w:szCs w:val="32"/>
          <w:lang w:bidi="en-US"/>
        </w:rPr>
        <w:t>〔2022〕10</w:t>
      </w:r>
      <w:r>
        <w:rPr>
          <w:rFonts w:hint="eastAsia" w:ascii="仿宋_GB2312" w:eastAsia="仿宋_GB2312"/>
          <w:sz w:val="32"/>
          <w:szCs w:val="32"/>
          <w:lang w:bidi="en-US"/>
        </w:rPr>
        <w:t>号”文件的规定：“学校课后服务要坚持公益导向，所需经费通过财政补贴和收取服务性收费、代收费相结合的方式解决”，截止本次评价日，文登区课后托管服务经费一直由财政补贴保障，所有学校均未收取服务性收费，相关部门亦未下达免收服务性收费的文件。因此，免费托管缺乏文件支撑，依据不充分。</w:t>
      </w:r>
    </w:p>
    <w:p>
      <w:pPr>
        <w:spacing w:line="600" w:lineRule="exact"/>
        <w:ind w:firstLine="640" w:firstLineChars="200"/>
        <w:rPr>
          <w:rFonts w:ascii="仿宋_GB2312" w:eastAsia="仿宋_GB2312"/>
          <w:sz w:val="32"/>
          <w:szCs w:val="32"/>
          <w:lang w:bidi="en-US"/>
        </w:rPr>
      </w:pPr>
      <w:r>
        <w:rPr>
          <w:rFonts w:hint="eastAsia" w:eastAsia="楷体_GB2312" w:cs="仿宋_GB2312" w:asciiTheme="minorHAnsi" w:hAnsiTheme="minorHAnsi"/>
          <w:color w:val="auto"/>
          <w:kern w:val="0"/>
          <w:sz w:val="32"/>
          <w:szCs w:val="32"/>
          <w:lang w:val="en-US" w:eastAsia="zh-CN" w:bidi="ar-SA"/>
        </w:rPr>
        <w:t>（四）课后托管服务内容单一。</w:t>
      </w:r>
      <w:r>
        <w:rPr>
          <w:rFonts w:hint="eastAsia" w:ascii="仿宋_GB2312" w:eastAsia="仿宋_GB2312"/>
          <w:sz w:val="32"/>
          <w:szCs w:val="32"/>
          <w:lang w:bidi="en-US"/>
        </w:rPr>
        <w:t>由于学校存在师资配备、场地利用、资金投入、学生需求间的矛盾，文登区课后托管服务普遍存在课程结构单一，缺乏系统性和创新性的问题。当前中小学的课后托管服务主要是作业辅导，特长拓展服务少，对无升学压力的低年级学生无吸引力。</w:t>
      </w:r>
    </w:p>
    <w:p>
      <w:pPr>
        <w:ind w:firstLine="640" w:firstLineChars="200"/>
        <w:rPr>
          <w:rFonts w:eastAsia="黑体"/>
          <w:sz w:val="32"/>
          <w:szCs w:val="32"/>
        </w:rPr>
      </w:pPr>
      <w:r>
        <w:rPr>
          <w:rFonts w:hint="eastAsia" w:eastAsia="黑体"/>
          <w:sz w:val="32"/>
          <w:szCs w:val="32"/>
          <w:lang w:eastAsia="zh-CN"/>
        </w:rPr>
        <w:t>四</w:t>
      </w:r>
      <w:r>
        <w:rPr>
          <w:rFonts w:eastAsia="黑体"/>
          <w:sz w:val="32"/>
          <w:szCs w:val="32"/>
        </w:rPr>
        <w:t>、意见建议</w:t>
      </w:r>
    </w:p>
    <w:p>
      <w:pPr>
        <w:spacing w:line="600" w:lineRule="exact"/>
        <w:ind w:firstLine="640" w:firstLineChars="200"/>
        <w:rPr>
          <w:rFonts w:ascii="仿宋_GB2312" w:eastAsia="仿宋_GB2312"/>
          <w:sz w:val="32"/>
          <w:szCs w:val="32"/>
          <w:lang w:bidi="en-US"/>
        </w:rPr>
      </w:pPr>
      <w:r>
        <w:rPr>
          <w:rFonts w:hint="eastAsia" w:eastAsia="楷体_GB2312" w:cs="仿宋_GB2312" w:asciiTheme="minorHAnsi" w:hAnsiTheme="minorHAnsi"/>
          <w:color w:val="auto"/>
          <w:kern w:val="0"/>
          <w:sz w:val="32"/>
          <w:szCs w:val="32"/>
          <w:lang w:val="en-US" w:eastAsia="zh-CN" w:bidi="ar-SA"/>
        </w:rPr>
        <w:t>（一）多措并举，构建内容丰富、形式多样、富有实效的课后服务内容体系。</w:t>
      </w:r>
      <w:r>
        <w:rPr>
          <w:rFonts w:hint="eastAsia" w:ascii="仿宋_GB2312" w:eastAsia="仿宋_GB2312"/>
          <w:sz w:val="32"/>
          <w:szCs w:val="32"/>
          <w:lang w:bidi="en-US"/>
        </w:rPr>
        <w:t>课后服务工作要打破思维束缚，加强探索，敢于创新，在内容的丰富性、形式的多样性上下功夫，要以丰富学生兴趣爱好、培养学生自主学习和生活的能力为出发点，兼顾学生在体育、艺术、人文、科技等各方面的学习需求，配合一定比例的社会实践活动，增强学生社会责任感、创新精神和实践能力，为学生整体素质提高和长期健康发展奠定良好基础。</w:t>
      </w:r>
    </w:p>
    <w:p>
      <w:pPr>
        <w:spacing w:line="600" w:lineRule="exact"/>
        <w:ind w:firstLine="640" w:firstLineChars="200"/>
        <w:rPr>
          <w:rFonts w:ascii="仿宋_GB2312" w:eastAsia="仿宋_GB2312"/>
          <w:sz w:val="32"/>
          <w:szCs w:val="32"/>
          <w:lang w:bidi="en-US"/>
        </w:rPr>
      </w:pPr>
      <w:r>
        <w:rPr>
          <w:rFonts w:hint="eastAsia" w:ascii="仿宋_GB2312" w:eastAsia="仿宋_GB2312"/>
          <w:sz w:val="32"/>
          <w:szCs w:val="32"/>
          <w:lang w:bidi="en-US"/>
        </w:rPr>
        <w:t>建议主管部门整合多方面资源，联合多方面力量，扩充课后托管力量的来源渠道，在稳定校内师资力量的前提下，吸引校外优秀师资力量，建立一支校内、校外相结合的课后托管服务团队，以确保满足托管工作的需求，以此来缓解学校托管老师的压力。我们建议：第一，利用家长志愿者这一先天资源，学校积极向家长宣传学校课后托管的政策，必要时可以采用适当的激励方式以吸引高素质家长群体加入课后托管的队伍中来；第二，与本地高校合作，吸纳优秀大学生以志愿者的身份来校参加托管服务工作；第三，动员离退休教师参与到课后托管服务中来。</w:t>
      </w:r>
    </w:p>
    <w:p>
      <w:pPr>
        <w:spacing w:line="600" w:lineRule="exact"/>
        <w:ind w:firstLine="640" w:firstLineChars="200"/>
        <w:rPr>
          <w:rFonts w:ascii="仿宋_GB2312" w:eastAsia="仿宋_GB2312"/>
          <w:sz w:val="32"/>
          <w:szCs w:val="32"/>
          <w:lang w:bidi="en-US"/>
        </w:rPr>
      </w:pPr>
      <w:r>
        <w:rPr>
          <w:rFonts w:hint="eastAsia" w:eastAsia="楷体_GB2312" w:cs="仿宋_GB2312" w:asciiTheme="minorHAnsi" w:hAnsiTheme="minorHAnsi"/>
          <w:color w:val="auto"/>
          <w:kern w:val="0"/>
          <w:sz w:val="32"/>
          <w:szCs w:val="32"/>
          <w:lang w:val="en-US" w:eastAsia="zh-CN" w:bidi="ar-SA"/>
        </w:rPr>
        <w:t>（二）鼓励家长积极参与到课后托管服务中。</w:t>
      </w:r>
      <w:r>
        <w:rPr>
          <w:rFonts w:hint="eastAsia" w:ascii="仿宋_GB2312" w:eastAsia="仿宋_GB2312"/>
          <w:sz w:val="32"/>
          <w:szCs w:val="32"/>
          <w:lang w:bidi="en-US"/>
        </w:rPr>
        <w:t>家长在课后托管中的身影较少，参与度不够，很多学生家长对课后托管服务内容不了解，对课后托管服务寄予了过高的期望。建议学校加强与家长的沟通力度，首先要让家长理解和支持学校相关活动的开展，其次要让家长认识到自身的责任，配合好老师和学校的工作，如果自身具备一定的能力和精力可积极配合班主任做好家委会的管理和动员工作，特殊职业的家长如医生、警察、艺术工作者等也可进校作为执教者为学生上几节课后托管知识拓展课。再者，鼓励家长及时向老师们反映孩子或自己关于课后托管的想法和建议，积极建言献策。</w:t>
      </w:r>
    </w:p>
    <w:p>
      <w:pPr>
        <w:spacing w:line="600" w:lineRule="exact"/>
        <w:ind w:firstLine="640" w:firstLineChars="200"/>
        <w:rPr>
          <w:rFonts w:ascii="仿宋_GB2312" w:eastAsia="仿宋_GB2312"/>
          <w:sz w:val="32"/>
          <w:szCs w:val="32"/>
          <w:lang w:bidi="en-US"/>
        </w:rPr>
      </w:pPr>
      <w:r>
        <w:rPr>
          <w:rFonts w:hint="eastAsia" w:eastAsia="楷体_GB2312" w:cs="仿宋_GB2312" w:asciiTheme="minorHAnsi" w:hAnsiTheme="minorHAnsi"/>
          <w:color w:val="auto"/>
          <w:kern w:val="0"/>
          <w:sz w:val="32"/>
          <w:szCs w:val="32"/>
          <w:lang w:val="en-US" w:eastAsia="zh-CN" w:bidi="ar-SA"/>
        </w:rPr>
        <w:t>（三）完善课后托管服务经费保障办法，适时开展服务性收费。</w:t>
      </w:r>
      <w:r>
        <w:rPr>
          <w:rFonts w:hint="eastAsia" w:ascii="仿宋_GB2312" w:eastAsia="仿宋_GB2312"/>
          <w:sz w:val="32"/>
          <w:szCs w:val="32"/>
          <w:lang w:bidi="en-US"/>
        </w:rPr>
        <w:t>文登区教体局等4部门联合下发的“威文教体字〔</w:t>
      </w:r>
      <w:r>
        <w:rPr>
          <w:rFonts w:hint="eastAsia" w:eastAsia="仿宋_GB2312"/>
          <w:bCs/>
          <w:sz w:val="32"/>
          <w:szCs w:val="32"/>
          <w:lang w:bidi="en-US"/>
        </w:rPr>
        <w:t>2022</w:t>
      </w:r>
      <w:r>
        <w:rPr>
          <w:rFonts w:hint="eastAsia" w:ascii="仿宋_GB2312" w:eastAsia="仿宋_GB2312"/>
          <w:sz w:val="32"/>
          <w:szCs w:val="32"/>
          <w:lang w:bidi="en-US"/>
        </w:rPr>
        <w:t>〕</w:t>
      </w:r>
      <w:r>
        <w:rPr>
          <w:rFonts w:hint="eastAsia" w:eastAsia="仿宋_GB2312"/>
          <w:bCs/>
          <w:sz w:val="32"/>
          <w:szCs w:val="32"/>
          <w:lang w:bidi="en-US"/>
        </w:rPr>
        <w:t>10</w:t>
      </w:r>
      <w:r>
        <w:rPr>
          <w:rFonts w:hint="eastAsia" w:ascii="仿宋_GB2312" w:eastAsia="仿宋_GB2312"/>
          <w:sz w:val="32"/>
          <w:szCs w:val="32"/>
          <w:lang w:bidi="en-US"/>
        </w:rPr>
        <w:t>号”文件已经对文登区公办学校工作日期间课后服务收费制定了收费标准：每生每课时</w:t>
      </w:r>
      <w:r>
        <w:rPr>
          <w:rFonts w:hint="eastAsia" w:eastAsia="仿宋_GB2312"/>
          <w:bCs/>
          <w:sz w:val="32"/>
          <w:szCs w:val="32"/>
          <w:lang w:bidi="en-US"/>
        </w:rPr>
        <w:t>3</w:t>
      </w:r>
      <w:r>
        <w:rPr>
          <w:rFonts w:hint="eastAsia" w:ascii="仿宋_GB2312" w:eastAsia="仿宋_GB2312"/>
          <w:sz w:val="32"/>
          <w:szCs w:val="32"/>
          <w:lang w:bidi="en-US"/>
        </w:rPr>
        <w:t>元，只是暂未开始执行。我们建议从新的学期开始适时开展服务性收费。以</w:t>
      </w:r>
      <w:r>
        <w:rPr>
          <w:rFonts w:hint="eastAsia" w:eastAsia="仿宋_GB2312"/>
          <w:bCs/>
          <w:sz w:val="32"/>
          <w:szCs w:val="32"/>
          <w:lang w:bidi="en-US"/>
        </w:rPr>
        <w:t>2023</w:t>
      </w:r>
      <w:r>
        <w:rPr>
          <w:rFonts w:hint="eastAsia" w:ascii="仿宋_GB2312" w:eastAsia="仿宋_GB2312"/>
          <w:sz w:val="32"/>
          <w:szCs w:val="32"/>
          <w:lang w:bidi="en-US"/>
        </w:rPr>
        <w:t>年</w:t>
      </w:r>
      <w:r>
        <w:rPr>
          <w:rFonts w:hint="eastAsia" w:eastAsia="仿宋_GB2312"/>
          <w:bCs/>
          <w:sz w:val="32"/>
          <w:szCs w:val="32"/>
          <w:lang w:bidi="en-US"/>
        </w:rPr>
        <w:t>度托管数据为例</w:t>
      </w:r>
      <w:r>
        <w:rPr>
          <w:rFonts w:hint="eastAsia" w:ascii="仿宋_GB2312" w:eastAsia="仿宋_GB2312"/>
          <w:sz w:val="32"/>
          <w:szCs w:val="32"/>
          <w:lang w:bidi="en-US"/>
        </w:rPr>
        <w:t>，如执行每生每课时</w:t>
      </w:r>
      <w:r>
        <w:rPr>
          <w:rFonts w:hint="eastAsia" w:eastAsia="仿宋_GB2312"/>
          <w:bCs/>
          <w:sz w:val="32"/>
          <w:szCs w:val="32"/>
          <w:lang w:bidi="en-US"/>
        </w:rPr>
        <w:t>3</w:t>
      </w:r>
      <w:r>
        <w:rPr>
          <w:rFonts w:hint="eastAsia" w:ascii="仿宋_GB2312" w:eastAsia="仿宋_GB2312"/>
          <w:sz w:val="32"/>
          <w:szCs w:val="32"/>
          <w:lang w:bidi="en-US"/>
        </w:rPr>
        <w:t>元的收费标准，预计可收取服务费用约</w:t>
      </w:r>
      <w:r>
        <w:rPr>
          <w:rFonts w:hint="eastAsia" w:eastAsia="仿宋_GB2312"/>
          <w:bCs/>
          <w:sz w:val="32"/>
          <w:szCs w:val="32"/>
          <w:lang w:bidi="en-US"/>
        </w:rPr>
        <w:t>351.81</w:t>
      </w:r>
      <w:r>
        <w:rPr>
          <w:rFonts w:hint="eastAsia" w:ascii="仿宋_GB2312" w:eastAsia="仿宋_GB2312"/>
          <w:sz w:val="32"/>
          <w:szCs w:val="32"/>
          <w:lang w:bidi="en-US"/>
        </w:rPr>
        <w:t>万元。</w:t>
      </w:r>
      <w:r>
        <w:rPr>
          <w:rFonts w:hint="eastAsia" w:ascii="楷体_GB2312" w:eastAsia="楷体_GB2312"/>
          <w:sz w:val="32"/>
          <w:szCs w:val="32"/>
          <w:lang w:bidi="en-US"/>
        </w:rPr>
        <w:t>（注：该累计收费金额以每天托管</w:t>
      </w:r>
      <w:r>
        <w:rPr>
          <w:rFonts w:hint="eastAsia" w:eastAsia="仿宋_GB2312"/>
          <w:bCs/>
          <w:sz w:val="32"/>
          <w:szCs w:val="32"/>
          <w:lang w:bidi="en-US"/>
        </w:rPr>
        <w:t>1</w:t>
      </w:r>
      <w:r>
        <w:rPr>
          <w:rFonts w:hint="eastAsia" w:ascii="楷体_GB2312" w:eastAsia="楷体_GB2312"/>
          <w:sz w:val="32"/>
          <w:szCs w:val="32"/>
          <w:lang w:bidi="en-US"/>
        </w:rPr>
        <w:t>课时为标准计算，尽管文登区冬季课后托管</w:t>
      </w:r>
      <w:r>
        <w:rPr>
          <w:rFonts w:hint="eastAsia" w:eastAsia="仿宋_GB2312"/>
          <w:bCs/>
          <w:sz w:val="32"/>
          <w:szCs w:val="32"/>
          <w:lang w:bidi="en-US"/>
        </w:rPr>
        <w:t>2</w:t>
      </w:r>
      <w:r>
        <w:rPr>
          <w:rFonts w:hint="eastAsia" w:ascii="楷体_GB2312" w:eastAsia="楷体_GB2312"/>
          <w:sz w:val="32"/>
          <w:szCs w:val="32"/>
          <w:lang w:bidi="en-US"/>
        </w:rPr>
        <w:t>课时，但第</w:t>
      </w:r>
      <w:r>
        <w:rPr>
          <w:rFonts w:hint="eastAsia" w:eastAsia="仿宋_GB2312"/>
          <w:bCs/>
          <w:sz w:val="32"/>
          <w:szCs w:val="32"/>
          <w:lang w:bidi="en-US"/>
        </w:rPr>
        <w:t>2</w:t>
      </w:r>
      <w:r>
        <w:rPr>
          <w:rFonts w:hint="eastAsia" w:ascii="楷体_GB2312" w:eastAsia="楷体_GB2312"/>
          <w:sz w:val="32"/>
          <w:szCs w:val="32"/>
          <w:lang w:bidi="en-US"/>
        </w:rPr>
        <w:t>课时托管人数较少且不固定，预测收费金额时未予考虑，详细预测数据详见附件</w:t>
      </w:r>
      <w:r>
        <w:rPr>
          <w:rFonts w:hint="eastAsia" w:eastAsia="仿宋_GB2312"/>
          <w:bCs/>
          <w:sz w:val="32"/>
          <w:szCs w:val="32"/>
          <w:lang w:bidi="en-US"/>
        </w:rPr>
        <w:t>5</w:t>
      </w:r>
      <w:r>
        <w:rPr>
          <w:rFonts w:hint="eastAsia" w:ascii="楷体_GB2312" w:eastAsia="楷体_GB2312"/>
          <w:sz w:val="32"/>
          <w:szCs w:val="32"/>
          <w:lang w:bidi="en-US"/>
        </w:rPr>
        <w:t>：预测收费金额计算表）</w:t>
      </w:r>
    </w:p>
    <w:p>
      <w:pPr>
        <w:spacing w:line="600" w:lineRule="exact"/>
        <w:ind w:firstLine="640" w:firstLineChars="200"/>
        <w:rPr>
          <w:rFonts w:ascii="仿宋_GB2312" w:eastAsia="仿宋_GB2312"/>
          <w:sz w:val="32"/>
          <w:szCs w:val="32"/>
          <w:lang w:bidi="en-US"/>
        </w:rPr>
      </w:pPr>
      <w:r>
        <w:rPr>
          <w:rFonts w:hint="eastAsia" w:ascii="仿宋_GB2312" w:eastAsia="仿宋_GB2312"/>
          <w:sz w:val="32"/>
          <w:szCs w:val="32"/>
          <w:lang w:bidi="en-US"/>
        </w:rPr>
        <w:t xml:space="preserve"> 从预测收费规模来看，可以有效地缓解课后托管服务经费的压力，大部分学校的服务收费能覆盖托管期间的费用支出，但对于参与课后托管学生较少的几所学校，服务收费不足以补偿学校课后托管的支出。为保障课后托管服务的质量，建议建立动态财政补贴机制，综合考虑学校托管成本、累积收费金额以及当前财政状况等因素，优先补助学校托管人数较少、托管服务收费不足以补偿托管服务支出的学校。同时，强化学校预算管理和财务管理工作，要求各学校厉行勤俭办学，反对铺张浪费，控制不合理开支，并详细区分托管服务经费的使用范围，确保资金专款专用。</w:t>
      </w:r>
    </w:p>
    <w:p>
      <w:pPr>
        <w:spacing w:line="600" w:lineRule="exact"/>
        <w:ind w:firstLine="640" w:firstLineChars="200"/>
        <w:rPr>
          <w:rFonts w:ascii="仿宋_GB2312" w:eastAsia="仿宋_GB2312"/>
          <w:sz w:val="32"/>
          <w:szCs w:val="32"/>
          <w:lang w:bidi="en-US"/>
        </w:rPr>
      </w:pPr>
      <w:r>
        <w:rPr>
          <w:rFonts w:hint="eastAsia" w:eastAsia="楷体_GB2312" w:cs="仿宋_GB2312" w:asciiTheme="minorHAnsi" w:hAnsiTheme="minorHAnsi"/>
          <w:color w:val="auto"/>
          <w:kern w:val="0"/>
          <w:sz w:val="32"/>
          <w:szCs w:val="32"/>
          <w:lang w:val="en-US" w:eastAsia="zh-CN" w:bidi="ar-SA"/>
        </w:rPr>
        <w:t>（四） 加强日常监督考核。</w:t>
      </w:r>
      <w:r>
        <w:rPr>
          <w:rFonts w:hint="eastAsia" w:ascii="仿宋_GB2312" w:eastAsia="仿宋_GB2312"/>
          <w:sz w:val="32"/>
          <w:szCs w:val="32"/>
          <w:lang w:bidi="en-US"/>
        </w:rPr>
        <w:t>为保证课后托管服务不背离初衷，建议主管部门加大对课后托管服务期间的监督考核力度，以保证各学校不存在借托管期间进行集体教学、集体补课、违规进行商业活动或乱收费等现象；同时，建议主管部门将课后托管服务工作纳入学校考评体系，重点加强对安全管理、托管服务质量、家长满意度等监督考核力度，真正办好课后托管服务。</w:t>
      </w:r>
    </w:p>
    <w:p>
      <w:pPr>
        <w:pStyle w:val="56"/>
        <w:ind w:left="0" w:leftChars="0" w:firstLine="0" w:firstLineChars="0"/>
        <w:rPr>
          <w:rFonts w:ascii="仿宋" w:hAnsi="仿宋" w:eastAsia="仿宋" w:cs="仿宋"/>
          <w:b/>
          <w:bCs/>
          <w:sz w:val="40"/>
          <w:szCs w:val="40"/>
        </w:rPr>
      </w:pPr>
    </w:p>
    <w:p>
      <w:pPr>
        <w:pStyle w:val="56"/>
        <w:ind w:left="0" w:leftChars="0" w:firstLine="0" w:firstLineChars="0"/>
        <w:rPr>
          <w:rFonts w:ascii="仿宋" w:hAnsi="仿宋" w:eastAsia="仿宋" w:cs="仿宋"/>
          <w:b/>
          <w:bCs/>
          <w:sz w:val="40"/>
          <w:szCs w:val="40"/>
        </w:rPr>
      </w:pPr>
    </w:p>
    <w:p>
      <w:pPr>
        <w:pStyle w:val="56"/>
        <w:ind w:left="0" w:leftChars="0" w:firstLine="0" w:firstLineChars="0"/>
        <w:rPr>
          <w:rFonts w:ascii="仿宋" w:hAnsi="仿宋" w:eastAsia="仿宋" w:cs="仿宋"/>
          <w:b/>
          <w:bCs/>
          <w:sz w:val="40"/>
          <w:szCs w:val="40"/>
        </w:rPr>
      </w:pPr>
    </w:p>
    <w:p>
      <w:pPr>
        <w:pStyle w:val="56"/>
        <w:ind w:left="0" w:leftChars="0" w:firstLine="0" w:firstLineChars="0"/>
        <w:rPr>
          <w:rFonts w:ascii="仿宋" w:hAnsi="仿宋" w:eastAsia="仿宋" w:cs="仿宋"/>
          <w:b/>
          <w:bCs/>
          <w:sz w:val="40"/>
          <w:szCs w:val="40"/>
        </w:rPr>
      </w:pPr>
    </w:p>
    <w:p>
      <w:pPr>
        <w:pStyle w:val="56"/>
        <w:ind w:left="0" w:leftChars="0" w:firstLine="0" w:firstLineChars="0"/>
        <w:rPr>
          <w:rFonts w:ascii="仿宋" w:hAnsi="仿宋" w:eastAsia="仿宋" w:cs="仿宋"/>
          <w:b/>
          <w:bCs/>
          <w:sz w:val="40"/>
          <w:szCs w:val="40"/>
        </w:rPr>
      </w:pPr>
    </w:p>
    <w:p>
      <w:pPr>
        <w:pStyle w:val="56"/>
        <w:ind w:left="0" w:leftChars="0" w:firstLine="0" w:firstLineChars="0"/>
        <w:rPr>
          <w:rFonts w:ascii="仿宋" w:hAnsi="仿宋" w:eastAsia="仿宋" w:cs="仿宋"/>
          <w:b/>
          <w:bCs/>
          <w:sz w:val="40"/>
          <w:szCs w:val="40"/>
        </w:rPr>
      </w:pPr>
    </w:p>
    <w:p>
      <w:pPr>
        <w:pStyle w:val="56"/>
        <w:ind w:left="0" w:leftChars="0" w:firstLine="0" w:firstLineChars="0"/>
        <w:rPr>
          <w:rFonts w:ascii="仿宋" w:hAnsi="仿宋" w:eastAsia="仿宋" w:cs="仿宋"/>
          <w:b/>
          <w:bCs/>
          <w:sz w:val="40"/>
          <w:szCs w:val="40"/>
        </w:rPr>
      </w:pPr>
    </w:p>
    <w:p>
      <w:pPr>
        <w:pStyle w:val="56"/>
        <w:ind w:left="0" w:leftChars="0" w:firstLine="0" w:firstLineChars="0"/>
        <w:rPr>
          <w:rFonts w:ascii="仿宋" w:hAnsi="仿宋" w:eastAsia="仿宋" w:cs="仿宋"/>
          <w:b/>
          <w:bCs/>
          <w:sz w:val="40"/>
          <w:szCs w:val="40"/>
        </w:rPr>
      </w:pPr>
    </w:p>
    <w:p>
      <w:pPr>
        <w:pStyle w:val="56"/>
        <w:ind w:left="0" w:leftChars="0" w:firstLine="0" w:firstLineChars="0"/>
        <w:rPr>
          <w:rFonts w:ascii="仿宋" w:hAnsi="仿宋" w:eastAsia="仿宋" w:cs="仿宋"/>
          <w:b/>
          <w:bCs/>
          <w:sz w:val="40"/>
          <w:szCs w:val="40"/>
        </w:rPr>
      </w:pPr>
    </w:p>
    <w:p>
      <w:pPr>
        <w:pStyle w:val="56"/>
        <w:ind w:left="0" w:leftChars="0" w:firstLine="0" w:firstLineChars="0"/>
        <w:rPr>
          <w:rFonts w:ascii="仿宋" w:hAnsi="仿宋" w:eastAsia="仿宋" w:cs="仿宋"/>
          <w:b/>
          <w:bCs/>
          <w:sz w:val="40"/>
          <w:szCs w:val="40"/>
        </w:rPr>
      </w:pPr>
    </w:p>
    <w:p>
      <w:pPr>
        <w:pStyle w:val="56"/>
        <w:ind w:left="0" w:leftChars="0" w:firstLine="0" w:firstLineChars="0"/>
        <w:rPr>
          <w:rFonts w:ascii="仿宋" w:hAnsi="仿宋" w:eastAsia="仿宋" w:cs="仿宋"/>
          <w:b/>
          <w:bCs/>
          <w:sz w:val="40"/>
          <w:szCs w:val="40"/>
        </w:rPr>
      </w:pPr>
    </w:p>
    <w:p>
      <w:pPr>
        <w:pStyle w:val="56"/>
        <w:ind w:left="0" w:leftChars="0" w:firstLine="0" w:firstLineChars="0"/>
        <w:rPr>
          <w:rFonts w:ascii="仿宋" w:hAnsi="仿宋" w:eastAsia="仿宋" w:cs="仿宋"/>
          <w:b/>
          <w:bCs/>
          <w:sz w:val="40"/>
          <w:szCs w:val="40"/>
        </w:rPr>
      </w:pPr>
    </w:p>
    <w:p>
      <w:pPr>
        <w:pStyle w:val="56"/>
        <w:ind w:left="0" w:leftChars="0" w:firstLine="0" w:firstLineChars="0"/>
        <w:rPr>
          <w:rFonts w:ascii="仿宋" w:hAnsi="仿宋" w:eastAsia="仿宋" w:cs="仿宋"/>
          <w:b/>
          <w:bCs/>
          <w:sz w:val="40"/>
          <w:szCs w:val="40"/>
        </w:rPr>
      </w:pPr>
    </w:p>
    <w:p>
      <w:pPr>
        <w:pStyle w:val="56"/>
        <w:ind w:left="0" w:leftChars="0" w:firstLine="0" w:firstLineChars="0"/>
        <w:rPr>
          <w:rFonts w:ascii="仿宋" w:hAnsi="仿宋" w:eastAsia="仿宋" w:cs="仿宋"/>
          <w:b/>
          <w:bCs/>
          <w:sz w:val="40"/>
          <w:szCs w:val="40"/>
        </w:rPr>
      </w:pPr>
    </w:p>
    <w:p>
      <w:pPr>
        <w:pageBreakBefore w:val="0"/>
        <w:kinsoku/>
        <w:wordWrap/>
        <w:topLinePunct w:val="0"/>
        <w:bidi w:val="0"/>
        <w:spacing w:line="560" w:lineRule="exact"/>
        <w:jc w:val="center"/>
        <w:rPr>
          <w:rFonts w:hint="eastAsia" w:ascii="方正小标宋简体" w:hAnsi="方正小标宋简体" w:eastAsia="方正小标宋简体" w:cs="方正小标宋简体"/>
          <w:b w:val="0"/>
          <w:bCs/>
          <w:color w:val="000000"/>
          <w:kern w:val="0"/>
          <w:sz w:val="48"/>
          <w:szCs w:val="48"/>
          <w:lang w:val="en-US" w:eastAsia="zh-CN"/>
        </w:rPr>
      </w:pPr>
      <w:r>
        <w:rPr>
          <w:rFonts w:hint="eastAsia" w:ascii="方正小标宋简体" w:hAnsi="方正小标宋简体" w:eastAsia="方正小标宋简体" w:cs="方正小标宋简体"/>
          <w:b w:val="0"/>
          <w:bCs/>
          <w:color w:val="000000"/>
          <w:kern w:val="0"/>
          <w:sz w:val="48"/>
          <w:szCs w:val="48"/>
          <w:lang w:val="en-US" w:eastAsia="zh-CN"/>
        </w:rPr>
        <w:t>2023年度威海市文登区政府</w:t>
      </w:r>
    </w:p>
    <w:p>
      <w:pPr>
        <w:pageBreakBefore w:val="0"/>
        <w:kinsoku/>
        <w:wordWrap/>
        <w:topLinePunct w:val="0"/>
        <w:bidi w:val="0"/>
        <w:spacing w:line="560" w:lineRule="exact"/>
        <w:jc w:val="center"/>
        <w:rPr>
          <w:rFonts w:hint="eastAsia" w:ascii="方正小标宋简体" w:hAnsi="方正小标宋简体" w:eastAsia="方正小标宋简体" w:cs="方正小标宋简体"/>
          <w:b w:val="0"/>
          <w:bCs/>
          <w:color w:val="000000"/>
          <w:kern w:val="0"/>
          <w:sz w:val="48"/>
          <w:szCs w:val="48"/>
          <w:lang w:val="en-US" w:eastAsia="zh-CN"/>
        </w:rPr>
      </w:pPr>
      <w:r>
        <w:rPr>
          <w:rFonts w:hint="eastAsia" w:ascii="方正小标宋简体" w:hAnsi="方正小标宋简体" w:eastAsia="方正小标宋简体" w:cs="方正小标宋简体"/>
          <w:b w:val="0"/>
          <w:bCs/>
          <w:color w:val="000000"/>
          <w:kern w:val="0"/>
          <w:sz w:val="48"/>
          <w:szCs w:val="48"/>
          <w:lang w:val="en-US" w:eastAsia="zh-CN"/>
        </w:rPr>
        <w:t>购买社区居家养老服务项目</w:t>
      </w:r>
    </w:p>
    <w:p>
      <w:pPr>
        <w:pageBreakBefore w:val="0"/>
        <w:kinsoku/>
        <w:wordWrap/>
        <w:topLinePunct w:val="0"/>
        <w:bidi w:val="0"/>
        <w:spacing w:line="560" w:lineRule="exact"/>
        <w:jc w:val="center"/>
        <w:rPr>
          <w:rFonts w:hint="eastAsia" w:ascii="方正小标宋简体" w:hAnsi="方正小标宋简体" w:eastAsia="方正小标宋简体" w:cs="方正小标宋简体"/>
          <w:b w:val="0"/>
          <w:bCs/>
          <w:color w:val="000000"/>
          <w:kern w:val="0"/>
          <w:sz w:val="48"/>
          <w:szCs w:val="48"/>
          <w:lang w:val="en-US" w:eastAsia="zh-CN"/>
        </w:rPr>
      </w:pPr>
      <w:r>
        <w:rPr>
          <w:rFonts w:hint="eastAsia" w:ascii="方正小标宋简体" w:hAnsi="方正小标宋简体" w:eastAsia="方正小标宋简体" w:cs="方正小标宋简体"/>
          <w:b w:val="0"/>
          <w:bCs/>
          <w:color w:val="000000"/>
          <w:kern w:val="0"/>
          <w:sz w:val="48"/>
          <w:szCs w:val="48"/>
          <w:lang w:val="en-US" w:eastAsia="zh-CN"/>
        </w:rPr>
        <w:t>绩效评价报告</w:t>
      </w:r>
    </w:p>
    <w:p>
      <w:pPr>
        <w:autoSpaceDE w:val="0"/>
        <w:autoSpaceDN w:val="0"/>
        <w:adjustRightInd w:val="0"/>
        <w:spacing w:line="590" w:lineRule="exact"/>
        <w:ind w:firstLine="0" w:firstLineChars="0"/>
        <w:jc w:val="center"/>
        <w:rPr>
          <w:rFonts w:hint="eastAsia" w:ascii="方正小标宋简体" w:hAnsi="方正小标宋简体" w:eastAsia="方正小标宋简体" w:cs="方正小标宋简体"/>
          <w:b/>
          <w:bCs/>
          <w:color w:val="000000"/>
          <w:kern w:val="0"/>
          <w:sz w:val="48"/>
          <w:szCs w:val="48"/>
        </w:rPr>
      </w:pPr>
    </w:p>
    <w:p>
      <w:pPr>
        <w:spacing w:line="590" w:lineRule="exact"/>
        <w:ind w:left="680"/>
        <w:rPr>
          <w:rFonts w:ascii="仿宋" w:hAnsi="仿宋" w:eastAsia="仿宋" w:cs="仿宋"/>
          <w:sz w:val="32"/>
        </w:rPr>
      </w:pPr>
    </w:p>
    <w:p>
      <w:pPr>
        <w:spacing w:line="590" w:lineRule="exact"/>
        <w:rPr>
          <w:rFonts w:ascii="仿宋" w:hAnsi="仿宋" w:eastAsia="仿宋" w:cs="仿宋"/>
          <w:sz w:val="32"/>
        </w:rPr>
      </w:pPr>
    </w:p>
    <w:p>
      <w:pPr>
        <w:spacing w:line="590" w:lineRule="exact"/>
        <w:ind w:firstLine="0" w:firstLineChars="0"/>
        <w:rPr>
          <w:rFonts w:ascii="仿宋" w:hAnsi="仿宋" w:eastAsia="仿宋" w:cs="仿宋"/>
          <w:sz w:val="32"/>
        </w:rPr>
      </w:pPr>
    </w:p>
    <w:p>
      <w:pPr>
        <w:spacing w:line="590" w:lineRule="exact"/>
        <w:ind w:firstLine="602"/>
        <w:rPr>
          <w:rFonts w:ascii="仿宋" w:hAnsi="仿宋" w:eastAsia="仿宋" w:cs="仿宋"/>
          <w:b/>
          <w:bCs/>
        </w:rPr>
      </w:pPr>
    </w:p>
    <w:p>
      <w:pPr>
        <w:spacing w:line="590" w:lineRule="exact"/>
        <w:ind w:firstLine="602"/>
        <w:rPr>
          <w:rFonts w:ascii="仿宋" w:hAnsi="仿宋" w:eastAsia="仿宋" w:cs="仿宋"/>
          <w:b/>
          <w:bCs/>
        </w:rPr>
      </w:pPr>
    </w:p>
    <w:p>
      <w:pPr>
        <w:spacing w:line="590" w:lineRule="exact"/>
        <w:ind w:firstLine="602"/>
        <w:rPr>
          <w:rFonts w:ascii="仿宋" w:hAnsi="仿宋" w:eastAsia="仿宋" w:cs="仿宋"/>
          <w:b/>
          <w:bCs/>
        </w:rPr>
      </w:pPr>
    </w:p>
    <w:p>
      <w:pPr>
        <w:spacing w:line="590" w:lineRule="exact"/>
        <w:ind w:firstLine="602"/>
        <w:rPr>
          <w:rFonts w:ascii="仿宋" w:hAnsi="仿宋" w:eastAsia="仿宋" w:cs="仿宋"/>
          <w:b/>
          <w:bCs/>
        </w:rPr>
      </w:pPr>
    </w:p>
    <w:p>
      <w:pPr>
        <w:spacing w:line="590" w:lineRule="exact"/>
        <w:jc w:val="center"/>
        <w:rPr>
          <w:rFonts w:ascii="仿宋" w:hAnsi="仿宋" w:eastAsia="仿宋" w:cs="仿宋"/>
          <w:b/>
          <w:bCs/>
          <w:sz w:val="32"/>
          <w:szCs w:val="24"/>
        </w:rPr>
      </w:pPr>
      <w:r>
        <w:rPr>
          <w:rFonts w:hint="eastAsia" w:ascii="仿宋" w:hAnsi="仿宋" w:eastAsia="仿宋" w:cs="仿宋"/>
          <w:b/>
          <w:bCs/>
          <w:sz w:val="32"/>
          <w:szCs w:val="24"/>
        </w:rPr>
        <w:t>威海市文登区财政局</w:t>
      </w:r>
    </w:p>
    <w:p>
      <w:pPr>
        <w:spacing w:line="590" w:lineRule="exact"/>
        <w:jc w:val="center"/>
        <w:rPr>
          <w:rFonts w:ascii="仿宋" w:hAnsi="仿宋" w:eastAsia="仿宋" w:cs="仿宋"/>
          <w:b/>
          <w:bCs/>
          <w:sz w:val="32"/>
          <w:szCs w:val="24"/>
        </w:rPr>
        <w:sectPr>
          <w:headerReference r:id="rId19" w:type="first"/>
          <w:footerReference r:id="rId22" w:type="first"/>
          <w:headerReference r:id="rId17" w:type="default"/>
          <w:footerReference r:id="rId20" w:type="default"/>
          <w:headerReference r:id="rId18" w:type="even"/>
          <w:footerReference r:id="rId21" w:type="even"/>
          <w:pgSz w:w="11850" w:h="16783"/>
          <w:pgMar w:top="1440" w:right="1440" w:bottom="1440" w:left="1440" w:header="737" w:footer="1077" w:gutter="0"/>
          <w:cols w:equalWidth="0" w:num="1">
            <w:col w:w="9026"/>
          </w:cols>
          <w:docGrid w:linePitch="360" w:charSpace="0"/>
        </w:sectPr>
      </w:pPr>
      <w:r>
        <w:rPr>
          <w:rFonts w:hint="eastAsia" w:ascii="仿宋" w:hAnsi="仿宋" w:eastAsia="仿宋" w:cs="仿宋"/>
          <w:b/>
          <w:bCs/>
          <w:sz w:val="32"/>
          <w:szCs w:val="24"/>
        </w:rPr>
        <w:t>评价时间：202</w:t>
      </w:r>
      <w:r>
        <w:rPr>
          <w:rFonts w:hint="eastAsia" w:ascii="仿宋" w:hAnsi="仿宋" w:eastAsia="仿宋" w:cs="仿宋"/>
          <w:b/>
          <w:bCs/>
          <w:sz w:val="32"/>
          <w:szCs w:val="24"/>
          <w:lang w:val="en-US" w:eastAsia="zh-CN"/>
        </w:rPr>
        <w:t>4</w:t>
      </w:r>
      <w:r>
        <w:rPr>
          <w:rFonts w:hint="eastAsia" w:ascii="仿宋" w:hAnsi="仿宋" w:eastAsia="仿宋" w:cs="仿宋"/>
          <w:b/>
          <w:bCs/>
          <w:sz w:val="32"/>
          <w:szCs w:val="24"/>
        </w:rPr>
        <w:t xml:space="preserve"> 年 </w:t>
      </w:r>
      <w:r>
        <w:rPr>
          <w:rFonts w:hint="eastAsia" w:ascii="仿宋" w:hAnsi="仿宋" w:eastAsia="仿宋" w:cs="仿宋"/>
          <w:b/>
          <w:bCs/>
          <w:sz w:val="32"/>
          <w:szCs w:val="24"/>
          <w:lang w:val="en-US" w:eastAsia="zh-CN"/>
        </w:rPr>
        <w:t>9</w:t>
      </w:r>
      <w:r>
        <w:rPr>
          <w:rFonts w:hint="eastAsia" w:ascii="仿宋" w:hAnsi="仿宋" w:eastAsia="仿宋" w:cs="仿宋"/>
          <w:b/>
          <w:bCs/>
          <w:sz w:val="32"/>
          <w:szCs w:val="24"/>
        </w:rPr>
        <w:t xml:space="preserve"> 月</w:t>
      </w:r>
    </w:p>
    <w:p>
      <w:pPr>
        <w:pStyle w:val="3"/>
        <w:pageBreakBefore w:val="0"/>
        <w:kinsoku/>
        <w:wordWrap/>
        <w:overflowPunct/>
        <w:topLinePunct w:val="0"/>
        <w:autoSpaceDE/>
        <w:autoSpaceDN/>
        <w:bidi w:val="0"/>
        <w:adjustRightInd/>
        <w:snapToGrid/>
        <w:spacing w:line="560" w:lineRule="exact"/>
        <w:ind w:firstLine="640" w:firstLineChars="200"/>
        <w:textAlignment w:val="auto"/>
        <w:rPr>
          <w:rFonts w:ascii="Times New Roman" w:hAnsi="黑体" w:eastAsia="黑体" w:cs="Times New Roman"/>
          <w:bCs w:val="0"/>
          <w:color w:val="auto"/>
          <w:kern w:val="2"/>
          <w:sz w:val="32"/>
          <w:szCs w:val="32"/>
          <w:lang w:val="en-US" w:eastAsia="zh-CN" w:bidi="ar-SA"/>
        </w:rPr>
      </w:pPr>
      <w:r>
        <w:rPr>
          <w:rFonts w:ascii="Times New Roman" w:hAnsi="黑体" w:eastAsia="黑体" w:cs="Times New Roman"/>
          <w:bCs w:val="0"/>
          <w:color w:val="auto"/>
          <w:kern w:val="2"/>
          <w:sz w:val="32"/>
          <w:szCs w:val="32"/>
          <w:lang w:val="en-US" w:eastAsia="zh-CN" w:bidi="ar-SA"/>
        </w:rPr>
        <w:t>一、项目概况</w:t>
      </w:r>
    </w:p>
    <w:p>
      <w:pPr>
        <w:pageBreakBefore w:val="0"/>
        <w:kinsoku/>
        <w:wordWrap/>
        <w:overflowPunct/>
        <w:topLinePunct w:val="0"/>
        <w:autoSpaceDE/>
        <w:autoSpaceDN/>
        <w:bidi w:val="0"/>
        <w:adjustRightInd/>
        <w:snapToGrid/>
        <w:spacing w:line="560" w:lineRule="exact"/>
        <w:ind w:firstLine="640" w:firstLineChars="200"/>
        <w:textAlignment w:val="auto"/>
        <w:rPr>
          <w:rFonts w:hint="eastAsia" w:ascii="仿宋_GB2312" w:eastAsia="仿宋_GB2312"/>
          <w:sz w:val="32"/>
          <w:szCs w:val="32"/>
          <w:lang w:bidi="en-US"/>
        </w:rPr>
      </w:pPr>
      <w:r>
        <w:rPr>
          <w:rFonts w:hint="eastAsia" w:eastAsia="楷体_GB2312" w:cs="仿宋_GB2312" w:asciiTheme="minorHAnsi" w:hAnsiTheme="minorHAnsi"/>
          <w:color w:val="auto"/>
          <w:kern w:val="0"/>
          <w:sz w:val="32"/>
          <w:szCs w:val="32"/>
          <w:lang w:val="en-US" w:eastAsia="zh-CN" w:bidi="ar-SA"/>
        </w:rPr>
        <w:t>（一）项目立项背景及实施目的：</w:t>
      </w:r>
      <w:r>
        <w:rPr>
          <w:rFonts w:hint="eastAsia" w:ascii="仿宋_GB2312" w:eastAsia="仿宋_GB2312"/>
          <w:sz w:val="32"/>
          <w:szCs w:val="32"/>
          <w:lang w:bidi="en-US"/>
        </w:rPr>
        <w:t>随着人口老龄化的加速发展，威海市文登区的老年人口规模持续增长，老龄化进程加快。老年人口的增加对养老服务的需求也相应增加，尤其是居家养老服务，成为满足老年人养老需求的重要方式。威海市文登区政府购买社区居家养老服务项目的立项背景是基于应对人口老龄化挑战、满足老年人多样化需求、推动养老服务体系建设、促进养老事业和产业协同发展以及政策支持和资金保障等多方面的考虑。</w:t>
      </w:r>
    </w:p>
    <w:p>
      <w:pPr>
        <w:pageBreakBefore w:val="0"/>
        <w:kinsoku/>
        <w:wordWrap/>
        <w:overflowPunct/>
        <w:topLinePunct w:val="0"/>
        <w:autoSpaceDE/>
        <w:autoSpaceDN/>
        <w:bidi w:val="0"/>
        <w:adjustRightInd/>
        <w:snapToGrid/>
        <w:spacing w:line="560" w:lineRule="exact"/>
        <w:ind w:firstLine="562"/>
        <w:jc w:val="left"/>
        <w:textAlignment w:val="auto"/>
        <w:rPr>
          <w:rFonts w:ascii="仿宋_GB2312" w:hAnsi="仿宋_GB2312" w:cs="仿宋_GB2312"/>
          <w:color w:val="auto"/>
          <w:szCs w:val="28"/>
          <w:highlight w:val="none"/>
          <w:lang w:bidi="en-US"/>
        </w:rPr>
      </w:pPr>
      <w:r>
        <w:rPr>
          <w:rFonts w:hint="eastAsia" w:eastAsia="楷体_GB2312" w:cs="仿宋_GB2312" w:asciiTheme="minorHAnsi" w:hAnsiTheme="minorHAnsi"/>
          <w:color w:val="auto"/>
          <w:kern w:val="0"/>
          <w:sz w:val="32"/>
          <w:szCs w:val="32"/>
          <w:lang w:val="en-US" w:eastAsia="zh-CN" w:bidi="ar-SA"/>
        </w:rPr>
        <w:t>（二）项目预算安排和支出情况：</w:t>
      </w:r>
      <w:r>
        <w:rPr>
          <w:rFonts w:hint="eastAsia" w:ascii="仿宋_GB2312" w:eastAsia="仿宋_GB2312"/>
          <w:sz w:val="32"/>
          <w:szCs w:val="32"/>
          <w:lang w:bidi="en-US"/>
        </w:rPr>
        <w:t>资金来源为中央资金、地方财政拨款，2023年预算安排</w:t>
      </w:r>
      <w:r>
        <w:rPr>
          <w:rFonts w:hint="eastAsia" w:ascii="仿宋_GB2312" w:eastAsia="仿宋_GB2312"/>
          <w:sz w:val="32"/>
          <w:szCs w:val="32"/>
          <w:lang w:eastAsia="zh-CN" w:bidi="en-US"/>
        </w:rPr>
        <w:t>1028.1107</w:t>
      </w:r>
      <w:r>
        <w:rPr>
          <w:rFonts w:hint="eastAsia" w:ascii="仿宋_GB2312" w:eastAsia="仿宋_GB2312"/>
          <w:sz w:val="32"/>
          <w:szCs w:val="32"/>
          <w:lang w:bidi="en-US"/>
        </w:rPr>
        <w:t>万元，实际需支出</w:t>
      </w:r>
      <w:r>
        <w:rPr>
          <w:rFonts w:hint="eastAsia" w:ascii="仿宋_GB2312" w:eastAsia="仿宋_GB2312"/>
          <w:sz w:val="32"/>
          <w:szCs w:val="32"/>
          <w:lang w:eastAsia="zh-CN" w:bidi="en-US"/>
        </w:rPr>
        <w:t>1017.9828</w:t>
      </w:r>
      <w:r>
        <w:rPr>
          <w:rFonts w:hint="eastAsia" w:ascii="仿宋_GB2312" w:eastAsia="仿宋_GB2312"/>
          <w:sz w:val="32"/>
          <w:szCs w:val="32"/>
          <w:lang w:bidi="en-US"/>
        </w:rPr>
        <w:t>万元，其中：中央资金</w:t>
      </w:r>
      <w:r>
        <w:rPr>
          <w:rFonts w:hint="eastAsia" w:ascii="仿宋_GB2312" w:eastAsia="仿宋_GB2312"/>
          <w:sz w:val="32"/>
          <w:szCs w:val="32"/>
          <w:lang w:eastAsia="zh-CN" w:bidi="en-US"/>
        </w:rPr>
        <w:t>738.9444</w:t>
      </w:r>
      <w:r>
        <w:rPr>
          <w:rFonts w:hint="eastAsia" w:ascii="仿宋_GB2312" w:eastAsia="仿宋_GB2312"/>
          <w:sz w:val="32"/>
          <w:szCs w:val="32"/>
          <w:lang w:bidi="en-US"/>
        </w:rPr>
        <w:t>万元，非中央资金</w:t>
      </w:r>
      <w:r>
        <w:rPr>
          <w:rFonts w:hint="eastAsia" w:ascii="仿宋_GB2312" w:eastAsia="仿宋_GB2312"/>
          <w:sz w:val="32"/>
          <w:szCs w:val="32"/>
          <w:lang w:eastAsia="zh-CN" w:bidi="en-US"/>
        </w:rPr>
        <w:t>279.0384</w:t>
      </w:r>
      <w:r>
        <w:rPr>
          <w:rFonts w:hint="eastAsia" w:ascii="仿宋_GB2312" w:eastAsia="仿宋_GB2312"/>
          <w:sz w:val="32"/>
          <w:szCs w:val="32"/>
          <w:lang w:bidi="en-US"/>
        </w:rPr>
        <w:t>万元。2023年申请拨付1-9月份资金共</w:t>
      </w:r>
      <w:r>
        <w:rPr>
          <w:rFonts w:hint="eastAsia" w:ascii="仿宋_GB2312" w:eastAsia="仿宋_GB2312"/>
          <w:sz w:val="32"/>
          <w:szCs w:val="32"/>
          <w:lang w:eastAsia="zh-CN" w:bidi="en-US"/>
        </w:rPr>
        <w:t>722.6118</w:t>
      </w:r>
      <w:r>
        <w:rPr>
          <w:rFonts w:hint="eastAsia" w:ascii="仿宋_GB2312" w:eastAsia="仿宋_GB2312"/>
          <w:sz w:val="32"/>
          <w:szCs w:val="32"/>
          <w:lang w:bidi="en-US"/>
        </w:rPr>
        <w:t>万元，已审核完毕，资金暂未拨付。</w:t>
      </w:r>
    </w:p>
    <w:p>
      <w:pPr>
        <w:pageBreakBefore w:val="0"/>
        <w:kinsoku/>
        <w:wordWrap/>
        <w:overflowPunct/>
        <w:topLinePunct w:val="0"/>
        <w:autoSpaceDE/>
        <w:autoSpaceDN/>
        <w:bidi w:val="0"/>
        <w:adjustRightInd/>
        <w:snapToGrid/>
        <w:spacing w:line="560" w:lineRule="exact"/>
        <w:ind w:firstLine="562"/>
        <w:textAlignment w:val="auto"/>
        <w:rPr>
          <w:rFonts w:ascii="仿宋_GB2312" w:hAnsi="仿宋_GB2312" w:cs="仿宋_GB2312"/>
          <w:color w:val="auto"/>
          <w:szCs w:val="28"/>
          <w:highlight w:val="none"/>
          <w:lang w:bidi="en-US"/>
        </w:rPr>
      </w:pPr>
      <w:r>
        <w:rPr>
          <w:rFonts w:hint="eastAsia" w:eastAsia="楷体_GB2312" w:cs="仿宋_GB2312" w:asciiTheme="minorHAnsi" w:hAnsiTheme="minorHAnsi"/>
          <w:color w:val="auto"/>
          <w:kern w:val="0"/>
          <w:sz w:val="32"/>
          <w:szCs w:val="32"/>
          <w:lang w:val="en-US" w:eastAsia="zh-CN" w:bidi="ar-SA"/>
        </w:rPr>
        <w:t>（三）项目实施内容：</w:t>
      </w:r>
      <w:r>
        <w:rPr>
          <w:rFonts w:hint="eastAsia" w:ascii="仿宋_GB2312" w:eastAsia="仿宋_GB2312"/>
          <w:sz w:val="32"/>
          <w:szCs w:val="32"/>
          <w:lang w:bidi="en-US"/>
        </w:rPr>
        <w:t>由政府出资为居住在家的A类、B类、C类、D类特殊困难、非特殊困难老年人向社会组织或企业购买专业化养老服务，服务主体通过公开招标方式确定，最终依据服务记录、考核评论结果进行资金结算。</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eastAsia="仿宋_GB2312"/>
          <w:sz w:val="32"/>
          <w:szCs w:val="32"/>
          <w:lang w:bidi="en-US"/>
        </w:rPr>
      </w:pPr>
      <w:r>
        <w:rPr>
          <w:rFonts w:hint="eastAsia" w:eastAsia="楷体_GB2312" w:cs="仿宋_GB2312" w:asciiTheme="minorHAnsi" w:hAnsiTheme="minorHAnsi"/>
          <w:color w:val="auto"/>
          <w:kern w:val="0"/>
          <w:sz w:val="32"/>
          <w:szCs w:val="32"/>
          <w:lang w:val="en-US" w:eastAsia="zh-CN" w:bidi="ar-SA"/>
        </w:rPr>
        <w:t>（四）项目组织管理：</w:t>
      </w:r>
      <w:r>
        <w:rPr>
          <w:rFonts w:hint="eastAsia" w:ascii="仿宋_GB2312" w:eastAsia="仿宋_GB2312"/>
          <w:sz w:val="32"/>
          <w:szCs w:val="32"/>
          <w:lang w:bidi="en-US"/>
        </w:rPr>
        <w:t>项目由文登区</w:t>
      </w:r>
      <w:r>
        <w:rPr>
          <w:rFonts w:hint="eastAsia" w:ascii="仿宋_GB2312" w:eastAsia="仿宋_GB2312"/>
          <w:sz w:val="32"/>
          <w:szCs w:val="32"/>
          <w:lang w:val="en-US" w:eastAsia="zh-CN" w:bidi="en-US"/>
        </w:rPr>
        <w:t>民政局</w:t>
      </w:r>
      <w:r>
        <w:rPr>
          <w:rFonts w:hint="eastAsia" w:ascii="仿宋_GB2312" w:eastAsia="仿宋_GB2312"/>
          <w:sz w:val="32"/>
          <w:szCs w:val="32"/>
          <w:lang w:bidi="en-US"/>
        </w:rPr>
        <w:t>负责管理，负责制定绩效目标，并对项目的实施情况进行监督考核；项目由文登区</w:t>
      </w:r>
      <w:r>
        <w:rPr>
          <w:rFonts w:hint="eastAsia" w:ascii="仿宋_GB2312" w:eastAsia="仿宋_GB2312"/>
          <w:sz w:val="32"/>
          <w:szCs w:val="32"/>
          <w:lang w:val="en-US" w:eastAsia="zh-CN" w:bidi="en-US"/>
        </w:rPr>
        <w:t>中标的服务机构</w:t>
      </w:r>
      <w:r>
        <w:rPr>
          <w:rFonts w:hint="eastAsia" w:ascii="仿宋_GB2312" w:eastAsia="仿宋_GB2312"/>
          <w:sz w:val="32"/>
          <w:szCs w:val="32"/>
          <w:lang w:bidi="en-US"/>
        </w:rPr>
        <w:t>具体组织实施，根据各</w:t>
      </w:r>
      <w:r>
        <w:rPr>
          <w:rFonts w:hint="eastAsia" w:ascii="仿宋_GB2312" w:eastAsia="仿宋_GB2312"/>
          <w:sz w:val="32"/>
          <w:szCs w:val="32"/>
          <w:lang w:val="en-US" w:eastAsia="zh-CN" w:bidi="en-US"/>
        </w:rPr>
        <w:t>镇街</w:t>
      </w:r>
      <w:r>
        <w:rPr>
          <w:rFonts w:hint="eastAsia" w:ascii="仿宋_GB2312" w:eastAsia="仿宋_GB2312"/>
          <w:sz w:val="32"/>
          <w:szCs w:val="32"/>
          <w:lang w:bidi="en-US"/>
        </w:rPr>
        <w:t>的具体情况开展</w:t>
      </w:r>
      <w:r>
        <w:rPr>
          <w:rFonts w:hint="eastAsia" w:ascii="仿宋_GB2312" w:eastAsia="仿宋_GB2312"/>
          <w:sz w:val="32"/>
          <w:szCs w:val="32"/>
          <w:lang w:val="en-US" w:eastAsia="zh-CN" w:bidi="en-US"/>
        </w:rPr>
        <w:t>助餐、助洁、助浴</w:t>
      </w:r>
      <w:r>
        <w:rPr>
          <w:rFonts w:hint="eastAsia" w:ascii="仿宋_GB2312" w:eastAsia="仿宋_GB2312"/>
          <w:sz w:val="32"/>
          <w:szCs w:val="32"/>
          <w:lang w:bidi="en-US"/>
        </w:rPr>
        <w:t>服务。</w:t>
      </w:r>
    </w:p>
    <w:p>
      <w:pPr>
        <w:pageBreakBefore w:val="0"/>
        <w:kinsoku/>
        <w:wordWrap/>
        <w:overflowPunct/>
        <w:topLinePunct w:val="0"/>
        <w:autoSpaceDE/>
        <w:autoSpaceDN/>
        <w:bidi w:val="0"/>
        <w:adjustRightInd/>
        <w:snapToGrid/>
        <w:spacing w:line="560" w:lineRule="exact"/>
        <w:ind w:firstLine="602"/>
        <w:textAlignment w:val="auto"/>
        <w:rPr>
          <w:rFonts w:eastAsia="黑体"/>
          <w:b/>
          <w:bCs/>
          <w:color w:val="auto"/>
          <w:highlight w:val="none"/>
        </w:rPr>
      </w:pPr>
      <w:r>
        <w:rPr>
          <w:rFonts w:hint="eastAsia" w:ascii="黑体" w:hAnsi="黑体" w:eastAsia="黑体" w:cs="黑体"/>
          <w:b/>
          <w:bCs/>
          <w:color w:val="auto"/>
          <w:sz w:val="30"/>
          <w:szCs w:val="30"/>
          <w:highlight w:val="none"/>
        </w:rPr>
        <w:t>二、项目绩效目标</w:t>
      </w:r>
    </w:p>
    <w:p>
      <w:pPr>
        <w:pageBreakBefore w:val="0"/>
        <w:kinsoku/>
        <w:wordWrap/>
        <w:overflowPunct/>
        <w:topLinePunct w:val="0"/>
        <w:autoSpaceDE/>
        <w:autoSpaceDN/>
        <w:bidi w:val="0"/>
        <w:adjustRightInd/>
        <w:snapToGrid/>
        <w:spacing w:line="560" w:lineRule="exact"/>
        <w:ind w:firstLine="562"/>
        <w:textAlignment w:val="auto"/>
        <w:rPr>
          <w:rFonts w:ascii="仿宋_GB2312" w:hAnsi="仿宋_GB2312" w:cs="仿宋_GB2312"/>
          <w:color w:val="auto"/>
          <w:highlight w:val="none"/>
        </w:rPr>
      </w:pPr>
      <w:r>
        <w:rPr>
          <w:rFonts w:hint="eastAsia" w:ascii="仿宋_GB2312" w:hAnsi="仿宋_GB2312" w:cs="仿宋_GB2312"/>
          <w:b/>
          <w:bCs/>
          <w:color w:val="auto"/>
          <w:highlight w:val="none"/>
        </w:rPr>
        <w:t>（一）总体绩效目标：</w:t>
      </w:r>
      <w:r>
        <w:rPr>
          <w:rFonts w:hint="eastAsia" w:ascii="仿宋_GB2312" w:eastAsia="仿宋_GB2312"/>
          <w:sz w:val="32"/>
          <w:szCs w:val="32"/>
          <w:lang w:bidi="en-US"/>
        </w:rPr>
        <w:t>为贯彻落实对特困群众救助保障，加强对特困群众救服务质量，以解决城乡特困人员突出困难、满足城乡特困人员基本需求为目标，将符合条件的特困人员全部纳入救助供养范围，切实维护他们的基本生活权益。</w:t>
      </w:r>
    </w:p>
    <w:p>
      <w:pPr>
        <w:pageBreakBefore w:val="0"/>
        <w:kinsoku/>
        <w:wordWrap/>
        <w:overflowPunct/>
        <w:topLinePunct w:val="0"/>
        <w:autoSpaceDE/>
        <w:autoSpaceDN/>
        <w:bidi w:val="0"/>
        <w:adjustRightInd/>
        <w:snapToGrid/>
        <w:spacing w:line="560" w:lineRule="exact"/>
        <w:ind w:firstLine="562"/>
        <w:textAlignment w:val="auto"/>
        <w:rPr>
          <w:rFonts w:hint="eastAsia" w:ascii="仿宋_GB2312" w:eastAsia="仿宋_GB2312"/>
          <w:sz w:val="32"/>
          <w:szCs w:val="32"/>
          <w:lang w:bidi="en-US"/>
        </w:rPr>
      </w:pPr>
      <w:r>
        <w:rPr>
          <w:rFonts w:hint="eastAsia" w:ascii="仿宋_GB2312" w:hAnsi="仿宋_GB2312" w:cs="仿宋_GB2312"/>
          <w:b/>
          <w:bCs/>
          <w:color w:val="auto"/>
          <w:highlight w:val="none"/>
        </w:rPr>
        <w:t>（二）年度绩效目标：</w:t>
      </w:r>
      <w:r>
        <w:rPr>
          <w:rFonts w:hint="eastAsia" w:ascii="仿宋_GB2312" w:eastAsia="仿宋_GB2312"/>
          <w:sz w:val="32"/>
          <w:szCs w:val="32"/>
          <w:lang w:bidi="en-US"/>
        </w:rPr>
        <w:t>为全区65岁以上约2600位老年人购买居家养老服务，保证老年人日常生活需要，A类老年人标准每人每月1200元,B类老年人标准每人每月900元,C类老年人标准每人每月600元,提供服务人数不低于2600人。资金发放及时率95%，资金拨付准确率95%,提高老年人生活幸福水平效果显著，享受居家养老服务的老年人满意度不低于95%。</w:t>
      </w:r>
    </w:p>
    <w:p>
      <w:pPr>
        <w:pageBreakBefore w:val="0"/>
        <w:kinsoku/>
        <w:wordWrap/>
        <w:overflowPunct/>
        <w:topLinePunct w:val="0"/>
        <w:autoSpaceDE/>
        <w:autoSpaceDN/>
        <w:bidi w:val="0"/>
        <w:adjustRightInd/>
        <w:snapToGrid/>
        <w:spacing w:line="560" w:lineRule="exact"/>
        <w:ind w:firstLine="602"/>
        <w:textAlignment w:val="auto"/>
        <w:rPr>
          <w:rFonts w:hint="eastAsia" w:ascii="黑体" w:hAnsi="黑体" w:eastAsia="黑体" w:cs="黑体"/>
          <w:b/>
          <w:bCs/>
          <w:color w:val="auto"/>
          <w:sz w:val="30"/>
          <w:szCs w:val="30"/>
          <w:highlight w:val="none"/>
          <w:lang w:val="en-US" w:eastAsia="zh-CN"/>
        </w:rPr>
      </w:pPr>
      <w:bookmarkStart w:id="21" w:name="_Toc116480210"/>
      <w:bookmarkStart w:id="22" w:name="_Toc116483187"/>
      <w:bookmarkStart w:id="23" w:name="_Toc116549099"/>
      <w:r>
        <w:rPr>
          <w:rFonts w:hint="eastAsia" w:ascii="黑体" w:hAnsi="黑体" w:eastAsia="黑体" w:cs="黑体"/>
          <w:b/>
          <w:bCs/>
          <w:color w:val="auto"/>
          <w:sz w:val="30"/>
          <w:szCs w:val="30"/>
          <w:highlight w:val="none"/>
        </w:rPr>
        <w:t>三、绩效评价结论</w:t>
      </w:r>
      <w:bookmarkEnd w:id="21"/>
      <w:bookmarkEnd w:id="22"/>
      <w:bookmarkEnd w:id="23"/>
      <w:r>
        <w:rPr>
          <w:rFonts w:hint="eastAsia" w:ascii="黑体" w:hAnsi="黑体" w:eastAsia="黑体" w:cs="黑体"/>
          <w:b/>
          <w:bCs/>
          <w:color w:val="auto"/>
          <w:sz w:val="30"/>
          <w:szCs w:val="30"/>
          <w:highlight w:val="none"/>
          <w:lang w:val="en-US" w:eastAsia="zh-CN"/>
        </w:rPr>
        <w:t xml:space="preserve"> </w:t>
      </w:r>
    </w:p>
    <w:p>
      <w:pPr>
        <w:pageBreakBefore w:val="0"/>
        <w:kinsoku/>
        <w:wordWrap/>
        <w:overflowPunct/>
        <w:topLinePunct w:val="0"/>
        <w:autoSpaceDE/>
        <w:autoSpaceDN/>
        <w:bidi w:val="0"/>
        <w:adjustRightInd/>
        <w:snapToGrid/>
        <w:spacing w:line="560" w:lineRule="exact"/>
        <w:ind w:firstLine="562"/>
        <w:textAlignment w:val="auto"/>
        <w:rPr>
          <w:rFonts w:ascii="仿宋_GB2312" w:hAnsi="仿宋_GB2312" w:cs="仿宋_GB2312"/>
          <w:color w:val="auto"/>
          <w:szCs w:val="28"/>
          <w:highlight w:val="none"/>
          <w:lang w:bidi="en-US"/>
        </w:rPr>
      </w:pPr>
      <w:bookmarkStart w:id="24" w:name="_Toc109029197"/>
      <w:r>
        <w:rPr>
          <w:rFonts w:hint="eastAsia" w:ascii="仿宋_GB2312" w:hAnsi="仿宋_GB2312" w:cs="仿宋_GB2312"/>
          <w:b/>
          <w:bCs/>
          <w:color w:val="auto"/>
          <w:szCs w:val="28"/>
          <w:highlight w:val="none"/>
          <w:lang w:bidi="en-US"/>
        </w:rPr>
        <w:t>评价得分：</w:t>
      </w:r>
      <w:r>
        <w:rPr>
          <w:rFonts w:hint="eastAsia" w:ascii="仿宋_GB2312" w:eastAsia="仿宋_GB2312"/>
          <w:sz w:val="32"/>
          <w:szCs w:val="32"/>
          <w:lang w:bidi="en-US"/>
        </w:rPr>
        <w:t>经综合评价，“2023年威海市文登区社区居家养老服务”项目得分</w:t>
      </w:r>
      <w:r>
        <w:rPr>
          <w:rFonts w:hint="eastAsia" w:ascii="仿宋_GB2312" w:eastAsia="仿宋_GB2312"/>
          <w:sz w:val="32"/>
          <w:szCs w:val="32"/>
          <w:lang w:eastAsia="zh-CN" w:bidi="en-US"/>
        </w:rPr>
        <w:t>76.6</w:t>
      </w:r>
      <w:r>
        <w:rPr>
          <w:rFonts w:hint="eastAsia" w:ascii="仿宋_GB2312" w:eastAsia="仿宋_GB2312"/>
          <w:sz w:val="32"/>
          <w:szCs w:val="32"/>
          <w:lang w:bidi="en-US"/>
        </w:rPr>
        <w:t>分，评价等级为中。</w:t>
      </w:r>
    </w:p>
    <w:p>
      <w:pPr>
        <w:pageBreakBefore w:val="0"/>
        <w:kinsoku/>
        <w:wordWrap/>
        <w:overflowPunct/>
        <w:topLinePunct w:val="0"/>
        <w:autoSpaceDE/>
        <w:autoSpaceDN/>
        <w:bidi w:val="0"/>
        <w:adjustRightInd/>
        <w:snapToGrid/>
        <w:spacing w:line="560" w:lineRule="exact"/>
        <w:ind w:firstLine="562"/>
        <w:jc w:val="left"/>
        <w:textAlignment w:val="auto"/>
        <w:rPr>
          <w:color w:val="auto"/>
          <w:highlight w:val="none"/>
        </w:rPr>
      </w:pPr>
      <w:bookmarkStart w:id="25" w:name="_Toc116480211"/>
      <w:bookmarkStart w:id="26" w:name="_Toc116483188"/>
      <w:r>
        <w:rPr>
          <w:rFonts w:hint="eastAsia" w:ascii="仿宋_GB2312" w:hAnsi="仿宋_GB2312" w:cs="仿宋_GB2312"/>
          <w:b/>
          <w:bCs/>
          <w:color w:val="auto"/>
          <w:szCs w:val="28"/>
          <w:highlight w:val="none"/>
          <w:lang w:bidi="en-US"/>
        </w:rPr>
        <w:t>主要成效：</w:t>
      </w:r>
      <w:r>
        <w:rPr>
          <w:rFonts w:hint="eastAsia" w:ascii="仿宋_GB2312" w:eastAsia="仿宋_GB2312"/>
          <w:sz w:val="32"/>
          <w:szCs w:val="32"/>
          <w:lang w:bidi="en-US"/>
        </w:rPr>
        <w:t>该项目的实施在提高文登区居家养老服务质量，促进居家养老服务体系健康发展，保障居家服务对象的合法权益等方面发挥了一定作用，社会满意度较高。</w:t>
      </w:r>
      <w:bookmarkEnd w:id="24"/>
      <w:bookmarkEnd w:id="25"/>
      <w:bookmarkEnd w:id="26"/>
      <w:bookmarkStart w:id="27" w:name="_Toc109029198"/>
      <w:bookmarkStart w:id="28" w:name="_Toc116483191"/>
      <w:bookmarkStart w:id="29" w:name="_Toc116549100"/>
      <w:bookmarkStart w:id="30" w:name="_Toc116480214"/>
      <w:r>
        <w:rPr>
          <w:rFonts w:hint="eastAsia" w:ascii="仿宋_GB2312" w:eastAsia="仿宋_GB2312"/>
          <w:sz w:val="32"/>
          <w:szCs w:val="32"/>
          <w:lang w:bidi="en-US"/>
        </w:rPr>
        <w:t>本次评价共获取“6012349”便民服务中心有效电话回访502条，</w:t>
      </w:r>
      <w:r>
        <w:rPr>
          <w:rFonts w:hint="eastAsia" w:ascii="仿宋_GB2312" w:eastAsia="仿宋_GB2312"/>
          <w:sz w:val="32"/>
          <w:szCs w:val="32"/>
          <w:lang w:val="en-US" w:eastAsia="zh-CN" w:bidi="en-US"/>
        </w:rPr>
        <w:t>现场及评价人员电话调查收回有效问卷7</w:t>
      </w:r>
      <w:r>
        <w:rPr>
          <w:rFonts w:hint="eastAsia" w:ascii="仿宋_GB2312" w:eastAsia="仿宋_GB2312"/>
          <w:sz w:val="32"/>
          <w:szCs w:val="32"/>
          <w:lang w:bidi="en-US"/>
        </w:rPr>
        <w:t>00份，综合满意度85%。（注：问卷调查情况详见附件1：问卷调查报告）</w:t>
      </w:r>
      <w:bookmarkEnd w:id="27"/>
      <w:bookmarkEnd w:id="28"/>
      <w:bookmarkEnd w:id="29"/>
      <w:bookmarkEnd w:id="30"/>
    </w:p>
    <w:p>
      <w:pPr>
        <w:pageBreakBefore w:val="0"/>
        <w:kinsoku/>
        <w:wordWrap/>
        <w:overflowPunct/>
        <w:topLinePunct w:val="0"/>
        <w:autoSpaceDE/>
        <w:autoSpaceDN/>
        <w:bidi w:val="0"/>
        <w:adjustRightInd/>
        <w:snapToGrid/>
        <w:spacing w:line="560" w:lineRule="exact"/>
        <w:ind w:firstLine="602"/>
        <w:textAlignment w:val="auto"/>
        <w:rPr>
          <w:rFonts w:eastAsia="黑体"/>
          <w:color w:val="auto"/>
          <w:highlight w:val="none"/>
        </w:rPr>
      </w:pPr>
      <w:r>
        <w:rPr>
          <w:rFonts w:hint="eastAsia" w:ascii="黑体" w:hAnsi="黑体" w:eastAsia="黑体" w:cs="黑体"/>
          <w:b/>
          <w:bCs/>
          <w:color w:val="auto"/>
          <w:sz w:val="30"/>
          <w:szCs w:val="30"/>
          <w:highlight w:val="none"/>
        </w:rPr>
        <w:t>四、存在的问题</w:t>
      </w:r>
    </w:p>
    <w:p>
      <w:pPr>
        <w:pageBreakBefore w:val="0"/>
        <w:kinsoku/>
        <w:wordWrap/>
        <w:overflowPunct/>
        <w:topLinePunct w:val="0"/>
        <w:autoSpaceDE/>
        <w:autoSpaceDN/>
        <w:bidi w:val="0"/>
        <w:adjustRightInd/>
        <w:snapToGrid/>
        <w:spacing w:line="560" w:lineRule="exact"/>
        <w:ind w:firstLine="562"/>
        <w:textAlignment w:val="auto"/>
        <w:rPr>
          <w:rFonts w:ascii="仿宋_GB2312" w:hAnsi="仿宋_GB2312" w:cs="仿宋_GB2312"/>
          <w:b/>
          <w:bCs/>
          <w:color w:val="auto"/>
          <w:szCs w:val="28"/>
          <w:highlight w:val="none"/>
          <w:lang w:bidi="en-US"/>
        </w:rPr>
      </w:pPr>
      <w:bookmarkStart w:id="31" w:name="_Toc116483193"/>
      <w:bookmarkStart w:id="32" w:name="_Toc109029199"/>
      <w:bookmarkStart w:id="33" w:name="_Toc116549101"/>
      <w:bookmarkStart w:id="34" w:name="_Toc116480216"/>
      <w:r>
        <w:rPr>
          <w:rFonts w:hint="eastAsia" w:ascii="仿宋_GB2312" w:hAnsi="仿宋_GB2312" w:cs="仿宋_GB2312"/>
          <w:b/>
          <w:bCs/>
          <w:color w:val="auto"/>
          <w:szCs w:val="28"/>
          <w:highlight w:val="none"/>
          <w:lang w:eastAsia="zh-CN" w:bidi="en-US"/>
        </w:rPr>
        <w:t>（</w:t>
      </w:r>
      <w:r>
        <w:rPr>
          <w:rFonts w:hint="eastAsia" w:ascii="仿宋_GB2312" w:hAnsi="仿宋_GB2312" w:cs="仿宋_GB2312"/>
          <w:b/>
          <w:bCs/>
          <w:color w:val="auto"/>
          <w:szCs w:val="28"/>
          <w:highlight w:val="none"/>
          <w:lang w:val="en-US" w:eastAsia="zh-CN" w:bidi="en-US"/>
        </w:rPr>
        <w:t>一</w:t>
      </w:r>
      <w:r>
        <w:rPr>
          <w:rFonts w:hint="eastAsia" w:ascii="仿宋_GB2312" w:hAnsi="仿宋_GB2312" w:cs="仿宋_GB2312"/>
          <w:b/>
          <w:bCs/>
          <w:color w:val="auto"/>
          <w:szCs w:val="28"/>
          <w:highlight w:val="none"/>
          <w:lang w:eastAsia="zh-CN" w:bidi="en-US"/>
        </w:rPr>
        <w:t>）</w:t>
      </w:r>
      <w:r>
        <w:rPr>
          <w:rFonts w:hint="eastAsia" w:ascii="仿宋_GB2312" w:hAnsi="仿宋_GB2312" w:cs="仿宋_GB2312"/>
          <w:b/>
          <w:bCs/>
          <w:color w:val="auto"/>
          <w:highlight w:val="none"/>
        </w:rPr>
        <w:t>需求识别不足与服务利用率低下</w:t>
      </w:r>
      <w:r>
        <w:rPr>
          <w:rFonts w:hint="eastAsia" w:ascii="仿宋_GB2312" w:hAnsi="仿宋_GB2312" w:cs="仿宋_GB2312"/>
          <w:b/>
          <w:bCs/>
          <w:color w:val="auto"/>
          <w:szCs w:val="28"/>
          <w:highlight w:val="none"/>
          <w:lang w:bidi="en-US"/>
        </w:rPr>
        <w:t>。</w:t>
      </w:r>
    </w:p>
    <w:p>
      <w:pPr>
        <w:pageBreakBefore w:val="0"/>
        <w:kinsoku/>
        <w:wordWrap/>
        <w:overflowPunct/>
        <w:topLinePunct w:val="0"/>
        <w:autoSpaceDE/>
        <w:autoSpaceDN/>
        <w:bidi w:val="0"/>
        <w:adjustRightInd/>
        <w:snapToGrid/>
        <w:spacing w:line="560" w:lineRule="exact"/>
        <w:ind w:firstLine="640" w:firstLineChars="200"/>
        <w:jc w:val="left"/>
        <w:textAlignment w:val="auto"/>
        <w:rPr>
          <w:rFonts w:hint="eastAsia" w:ascii="仿宋_GB2312" w:eastAsia="仿宋_GB2312"/>
          <w:sz w:val="32"/>
          <w:szCs w:val="32"/>
          <w:lang w:bidi="en-US"/>
        </w:rPr>
      </w:pPr>
      <w:r>
        <w:rPr>
          <w:rFonts w:hint="eastAsia" w:ascii="仿宋_GB2312" w:eastAsia="仿宋_GB2312"/>
          <w:sz w:val="32"/>
          <w:szCs w:val="32"/>
          <w:lang w:bidi="en-US"/>
        </w:rPr>
        <w:t>文登区养老服务发展缓慢、投诉较多的一个重要原因在于，未能正确识别老年人的真实需求和有效需求。在开展居家养老服务时，对于老年人需求的识别和判断并不完全来自老年人自身，有时得到的服务需求有可能是一种“虚假需求”。老年人对居家养老服务性质、服务内容</w:t>
      </w:r>
      <w:r>
        <w:rPr>
          <w:rFonts w:hint="eastAsia" w:ascii="仿宋_GB2312" w:eastAsia="仿宋_GB2312"/>
          <w:sz w:val="32"/>
          <w:szCs w:val="32"/>
          <w:lang w:val="en-US" w:eastAsia="zh-CN" w:bidi="en-US"/>
        </w:rPr>
        <w:t>的</w:t>
      </w:r>
      <w:r>
        <w:rPr>
          <w:rFonts w:hint="eastAsia" w:ascii="仿宋_GB2312" w:eastAsia="仿宋_GB2312"/>
          <w:sz w:val="32"/>
          <w:szCs w:val="32"/>
          <w:lang w:bidi="en-US"/>
        </w:rPr>
        <w:t>不了解在</w:t>
      </w:r>
      <w:r>
        <w:rPr>
          <w:rFonts w:hint="eastAsia" w:ascii="仿宋_GB2312" w:eastAsia="仿宋_GB2312"/>
          <w:sz w:val="32"/>
          <w:szCs w:val="32"/>
          <w:lang w:val="en-US" w:eastAsia="zh-CN" w:bidi="en-US"/>
        </w:rPr>
        <w:t>农村</w:t>
      </w:r>
      <w:r>
        <w:rPr>
          <w:rFonts w:hint="eastAsia" w:ascii="仿宋_GB2312" w:eastAsia="仿宋_GB2312"/>
          <w:sz w:val="32"/>
          <w:szCs w:val="32"/>
          <w:lang w:bidi="en-US"/>
        </w:rPr>
        <w:t>更加突出。未能识别老年人及其家庭的真实需求，也就难以提供真正契合老年人及家庭最迫切需要的服务。</w:t>
      </w:r>
    </w:p>
    <w:p>
      <w:pPr>
        <w:pageBreakBefore w:val="0"/>
        <w:kinsoku/>
        <w:wordWrap/>
        <w:overflowPunct/>
        <w:topLinePunct w:val="0"/>
        <w:autoSpaceDE/>
        <w:autoSpaceDN/>
        <w:bidi w:val="0"/>
        <w:adjustRightInd/>
        <w:snapToGrid/>
        <w:spacing w:line="560" w:lineRule="exact"/>
        <w:ind w:firstLine="562"/>
        <w:jc w:val="left"/>
        <w:textAlignment w:val="auto"/>
        <w:rPr>
          <w:rFonts w:ascii="仿宋_GB2312" w:hAnsi="仿宋_GB2312" w:cs="仿宋_GB2312"/>
          <w:b/>
          <w:bCs/>
          <w:color w:val="auto"/>
          <w:highlight w:val="none"/>
        </w:rPr>
      </w:pPr>
      <w:r>
        <w:rPr>
          <w:rFonts w:hint="eastAsia" w:ascii="仿宋_GB2312" w:hAnsi="仿宋_GB2312" w:cs="仿宋_GB2312"/>
          <w:b/>
          <w:bCs/>
          <w:color w:val="auto"/>
          <w:highlight w:val="none"/>
          <w:lang w:eastAsia="zh-CN"/>
        </w:rPr>
        <w:t>（</w:t>
      </w:r>
      <w:r>
        <w:rPr>
          <w:rFonts w:hint="eastAsia" w:ascii="仿宋_GB2312" w:hAnsi="仿宋_GB2312" w:cs="仿宋_GB2312"/>
          <w:b/>
          <w:bCs/>
          <w:color w:val="auto"/>
          <w:highlight w:val="none"/>
          <w:lang w:val="en-US" w:eastAsia="zh-CN"/>
        </w:rPr>
        <w:t>二</w:t>
      </w:r>
      <w:r>
        <w:rPr>
          <w:rFonts w:hint="eastAsia" w:ascii="仿宋_GB2312" w:hAnsi="仿宋_GB2312" w:cs="仿宋_GB2312"/>
          <w:b/>
          <w:bCs/>
          <w:color w:val="auto"/>
          <w:highlight w:val="none"/>
          <w:lang w:eastAsia="zh-CN"/>
        </w:rPr>
        <w:t>）</w:t>
      </w:r>
      <w:r>
        <w:rPr>
          <w:rFonts w:hint="eastAsia" w:ascii="仿宋_GB2312" w:hAnsi="仿宋_GB2312" w:cs="仿宋_GB2312"/>
          <w:b/>
          <w:bCs/>
          <w:color w:val="auto"/>
          <w:highlight w:val="none"/>
        </w:rPr>
        <w:t>被服务主体分布零散，运营成本</w:t>
      </w:r>
      <w:r>
        <w:rPr>
          <w:rFonts w:hint="eastAsia" w:ascii="仿宋_GB2312" w:hAnsi="仿宋_GB2312" w:cs="仿宋_GB2312"/>
          <w:b/>
          <w:bCs/>
          <w:color w:val="auto"/>
          <w:highlight w:val="none"/>
          <w:lang w:val="en-US" w:eastAsia="zh-CN"/>
        </w:rPr>
        <w:t>较高</w:t>
      </w:r>
      <w:r>
        <w:rPr>
          <w:rFonts w:hint="eastAsia" w:ascii="仿宋_GB2312" w:hAnsi="仿宋_GB2312" w:cs="仿宋_GB2312"/>
          <w:b/>
          <w:bCs/>
          <w:color w:val="auto"/>
          <w:highlight w:val="none"/>
        </w:rPr>
        <w:t>，服务效率</w:t>
      </w:r>
      <w:r>
        <w:rPr>
          <w:rFonts w:hint="eastAsia" w:ascii="仿宋_GB2312" w:hAnsi="仿宋_GB2312" w:cs="仿宋_GB2312"/>
          <w:b/>
          <w:bCs/>
          <w:color w:val="auto"/>
          <w:highlight w:val="none"/>
          <w:lang w:val="en-US" w:eastAsia="zh-CN"/>
        </w:rPr>
        <w:t>较低</w:t>
      </w:r>
      <w:r>
        <w:rPr>
          <w:rFonts w:hint="eastAsia" w:ascii="仿宋_GB2312" w:hAnsi="仿宋_GB2312" w:cs="仿宋_GB2312"/>
          <w:b/>
          <w:bCs/>
          <w:color w:val="auto"/>
          <w:highlight w:val="none"/>
        </w:rPr>
        <w:t>。</w:t>
      </w:r>
    </w:p>
    <w:p>
      <w:pPr>
        <w:pageBreakBefore w:val="0"/>
        <w:kinsoku/>
        <w:wordWrap/>
        <w:overflowPunct/>
        <w:topLinePunct w:val="0"/>
        <w:autoSpaceDE/>
        <w:autoSpaceDN/>
        <w:bidi w:val="0"/>
        <w:adjustRightInd/>
        <w:snapToGrid/>
        <w:spacing w:line="560" w:lineRule="exact"/>
        <w:ind w:firstLine="640" w:firstLineChars="200"/>
        <w:jc w:val="left"/>
        <w:textAlignment w:val="auto"/>
        <w:rPr>
          <w:rFonts w:hint="eastAsia" w:ascii="仿宋_GB2312" w:eastAsia="仿宋_GB2312"/>
          <w:sz w:val="32"/>
          <w:szCs w:val="32"/>
          <w:lang w:bidi="en-US"/>
        </w:rPr>
      </w:pPr>
      <w:r>
        <w:rPr>
          <w:rFonts w:hint="eastAsia" w:ascii="仿宋_GB2312" w:eastAsia="仿宋_GB2312"/>
          <w:sz w:val="32"/>
          <w:szCs w:val="32"/>
          <w:lang w:bidi="en-US"/>
        </w:rPr>
        <w:t>文登区政府购买社区居家养老服务项目涉及到的被服务人员分布于15个镇街，516个村庄，被服务主体分布零散。</w:t>
      </w:r>
    </w:p>
    <w:p>
      <w:pPr>
        <w:pageBreakBefore w:val="0"/>
        <w:kinsoku/>
        <w:wordWrap/>
        <w:overflowPunct/>
        <w:topLinePunct w:val="0"/>
        <w:autoSpaceDE/>
        <w:autoSpaceDN/>
        <w:bidi w:val="0"/>
        <w:adjustRightInd/>
        <w:snapToGrid/>
        <w:spacing w:line="560" w:lineRule="exact"/>
        <w:ind w:firstLine="640" w:firstLineChars="200"/>
        <w:jc w:val="left"/>
        <w:textAlignment w:val="auto"/>
        <w:rPr>
          <w:rFonts w:hint="eastAsia" w:ascii="仿宋_GB2312" w:eastAsia="仿宋_GB2312"/>
          <w:sz w:val="32"/>
          <w:szCs w:val="32"/>
          <w:lang w:bidi="en-US"/>
        </w:rPr>
      </w:pPr>
      <w:r>
        <w:rPr>
          <w:rFonts w:hint="eastAsia" w:ascii="仿宋_GB2312" w:eastAsia="仿宋_GB2312"/>
          <w:sz w:val="32"/>
          <w:szCs w:val="32"/>
          <w:lang w:val="en-US" w:eastAsia="zh-CN" w:bidi="en-US"/>
        </w:rPr>
        <w:t>1.</w:t>
      </w:r>
      <w:r>
        <w:rPr>
          <w:rFonts w:hint="eastAsia" w:ascii="仿宋_GB2312" w:eastAsia="仿宋_GB2312"/>
          <w:sz w:val="32"/>
          <w:szCs w:val="32"/>
          <w:lang w:bidi="en-US"/>
        </w:rPr>
        <w:t>同一个村庄仅有D类被服务对象的情况较多。A类服务对象主要分布于129个村庄，B类服务对象分布于105个村庄，C类服务对象分布于37个村庄，D类服务对象分布于484个村庄，其中仅有D类服务对象的村庄数为338个。</w:t>
      </w:r>
    </w:p>
    <w:p>
      <w:pPr>
        <w:pageBreakBefore w:val="0"/>
        <w:kinsoku/>
        <w:wordWrap/>
        <w:overflowPunct/>
        <w:topLinePunct w:val="0"/>
        <w:autoSpaceDE/>
        <w:autoSpaceDN/>
        <w:bidi w:val="0"/>
        <w:adjustRightInd/>
        <w:snapToGrid/>
        <w:spacing w:line="560" w:lineRule="exact"/>
        <w:ind w:firstLine="0" w:firstLineChars="0"/>
        <w:jc w:val="left"/>
        <w:textAlignment w:val="auto"/>
        <w:rPr>
          <w:rFonts w:ascii="仿宋_GB2312" w:hAnsi="仿宋_GB2312" w:cs="仿宋_GB2312"/>
          <w:b/>
          <w:bCs/>
          <w:color w:val="auto"/>
          <w:highlight w:val="none"/>
        </w:rPr>
      </w:pPr>
      <w:r>
        <w:rPr>
          <w:rFonts w:hint="eastAsia" w:ascii="仿宋_GB2312" w:eastAsia="仿宋_GB2312"/>
          <w:sz w:val="32"/>
          <w:szCs w:val="32"/>
          <w:lang w:val="en-US" w:eastAsia="zh-CN" w:bidi="en-US"/>
        </w:rPr>
        <w:t>2.</w:t>
      </w:r>
      <w:r>
        <w:rPr>
          <w:rFonts w:hint="eastAsia" w:ascii="仿宋_GB2312" w:eastAsia="仿宋_GB2312"/>
          <w:sz w:val="32"/>
          <w:szCs w:val="32"/>
          <w:lang w:bidi="en-US"/>
        </w:rPr>
        <w:t>存在同一个村庄被服务对象仅有１人的情况，涉及的村庄数量占比29.8%。以2024年7月最新数据为例：就餐人数为1人的村庄数为154个，就餐人数为2人的村庄数为95个，就餐人数为3人的村庄为79个，就餐人数为4人的村庄数为59个，就餐人数为5人及以上的村庄数仅为129个。</w:t>
      </w:r>
    </w:p>
    <w:p>
      <w:pPr>
        <w:pageBreakBefore w:val="0"/>
        <w:kinsoku/>
        <w:wordWrap/>
        <w:overflowPunct/>
        <w:topLinePunct w:val="0"/>
        <w:autoSpaceDE/>
        <w:autoSpaceDN/>
        <w:bidi w:val="0"/>
        <w:adjustRightInd/>
        <w:snapToGrid/>
        <w:spacing w:line="560" w:lineRule="exact"/>
        <w:ind w:firstLine="0" w:firstLineChars="0"/>
        <w:jc w:val="left"/>
        <w:textAlignment w:val="auto"/>
        <w:rPr>
          <w:rFonts w:hint="eastAsia" w:ascii="仿宋_GB2312" w:eastAsia="仿宋_GB2312"/>
          <w:sz w:val="32"/>
          <w:szCs w:val="32"/>
          <w:lang w:bidi="en-US"/>
        </w:rPr>
      </w:pPr>
      <w:r>
        <w:rPr>
          <w:rFonts w:hint="eastAsia" w:ascii="仿宋_GB2312" w:hAnsi="仿宋_GB2312" w:cs="仿宋_GB2312"/>
          <w:color w:val="auto"/>
          <w:highlight w:val="none"/>
        </w:rPr>
        <w:t>　　</w:t>
      </w:r>
      <w:r>
        <w:rPr>
          <w:rFonts w:hint="eastAsia" w:ascii="仿宋_GB2312" w:eastAsia="仿宋_GB2312"/>
          <w:sz w:val="32"/>
          <w:szCs w:val="32"/>
          <w:lang w:bidi="en-US"/>
        </w:rPr>
        <w:t>被服务对象分布零散，服务机构送餐效率</w:t>
      </w:r>
      <w:r>
        <w:rPr>
          <w:rFonts w:hint="eastAsia" w:ascii="仿宋_GB2312" w:eastAsia="仿宋_GB2312"/>
          <w:sz w:val="32"/>
          <w:szCs w:val="32"/>
          <w:lang w:val="en-US" w:eastAsia="zh-CN" w:bidi="en-US"/>
        </w:rPr>
        <w:t>较低。</w:t>
      </w:r>
      <w:r>
        <w:rPr>
          <w:rFonts w:hint="eastAsia" w:ascii="仿宋_GB2312" w:eastAsia="仿宋_GB2312"/>
          <w:sz w:val="32"/>
          <w:szCs w:val="32"/>
          <w:lang w:bidi="en-US"/>
        </w:rPr>
        <w:t>在现场走访的过程中，发现服务机构送餐实际到达的时间段在每天10：30之前的占比为61.5%。经了解主要原因是被服务对象分布零散，每条线路的助餐车辆都要配送近30个村庄，行程过长导致。</w:t>
      </w:r>
    </w:p>
    <w:p>
      <w:pPr>
        <w:pageBreakBefore w:val="0"/>
        <w:kinsoku/>
        <w:wordWrap/>
        <w:overflowPunct/>
        <w:topLinePunct w:val="0"/>
        <w:autoSpaceDE/>
        <w:autoSpaceDN/>
        <w:bidi w:val="0"/>
        <w:adjustRightInd/>
        <w:snapToGrid/>
        <w:spacing w:line="560" w:lineRule="exact"/>
        <w:ind w:firstLine="562"/>
        <w:textAlignment w:val="auto"/>
        <w:rPr>
          <w:rFonts w:ascii="仿宋_GB2312" w:hAnsi="仿宋_GB2312" w:cs="仿宋_GB2312"/>
          <w:b/>
          <w:bCs/>
          <w:color w:val="auto"/>
          <w:highlight w:val="none"/>
        </w:rPr>
      </w:pPr>
      <w:r>
        <w:rPr>
          <w:rFonts w:hint="eastAsia" w:ascii="仿宋_GB2312" w:hAnsi="仿宋_GB2312" w:cs="仿宋_GB2312"/>
          <w:b/>
          <w:bCs/>
          <w:color w:val="auto"/>
          <w:highlight w:val="none"/>
          <w:lang w:eastAsia="zh-CN"/>
        </w:rPr>
        <w:t>（</w:t>
      </w:r>
      <w:r>
        <w:rPr>
          <w:rFonts w:hint="eastAsia" w:ascii="仿宋_GB2312" w:hAnsi="仿宋_GB2312" w:cs="仿宋_GB2312"/>
          <w:b/>
          <w:bCs/>
          <w:color w:val="auto"/>
          <w:highlight w:val="none"/>
          <w:lang w:val="en-US" w:eastAsia="zh-CN"/>
        </w:rPr>
        <w:t>三</w:t>
      </w:r>
      <w:r>
        <w:rPr>
          <w:rFonts w:hint="eastAsia" w:ascii="仿宋_GB2312" w:hAnsi="仿宋_GB2312" w:cs="仿宋_GB2312"/>
          <w:b/>
          <w:bCs/>
          <w:color w:val="auto"/>
          <w:highlight w:val="none"/>
          <w:lang w:eastAsia="zh-CN"/>
        </w:rPr>
        <w:t>）</w:t>
      </w:r>
      <w:r>
        <w:rPr>
          <w:rFonts w:hint="eastAsia" w:ascii="仿宋_GB2312" w:hAnsi="仿宋_GB2312" w:cs="仿宋_GB2312"/>
          <w:b/>
          <w:bCs/>
          <w:color w:val="auto"/>
          <w:highlight w:val="none"/>
        </w:rPr>
        <w:t>被服务对象认定范围过大，</w:t>
      </w:r>
      <w:r>
        <w:rPr>
          <w:rFonts w:hint="eastAsia" w:ascii="仿宋_GB2312" w:hAnsi="仿宋_GB2312" w:cs="仿宋_GB2312"/>
          <w:b/>
          <w:bCs/>
          <w:color w:val="auto"/>
          <w:highlight w:val="none"/>
          <w:lang w:val="en-US" w:eastAsia="zh-CN"/>
        </w:rPr>
        <w:t>服务</w:t>
      </w:r>
      <w:r>
        <w:rPr>
          <w:rFonts w:hint="eastAsia" w:ascii="仿宋_GB2312" w:hAnsi="仿宋_GB2312" w:cs="仿宋_GB2312"/>
          <w:b/>
          <w:bCs/>
          <w:color w:val="auto"/>
          <w:highlight w:val="none"/>
        </w:rPr>
        <w:t>精准</w:t>
      </w:r>
      <w:r>
        <w:rPr>
          <w:rFonts w:hint="eastAsia" w:ascii="仿宋_GB2312" w:hAnsi="仿宋_GB2312" w:cs="仿宋_GB2312"/>
          <w:b/>
          <w:bCs/>
          <w:color w:val="auto"/>
          <w:highlight w:val="none"/>
          <w:lang w:val="en-US" w:eastAsia="zh-CN"/>
        </w:rPr>
        <w:t>度低</w:t>
      </w:r>
      <w:r>
        <w:rPr>
          <w:rFonts w:hint="eastAsia" w:ascii="仿宋_GB2312" w:hAnsi="仿宋_GB2312" w:cs="仿宋_GB2312"/>
          <w:b/>
          <w:bCs/>
          <w:color w:val="auto"/>
          <w:highlight w:val="none"/>
        </w:rPr>
        <w:t>，降低了服务质量。</w:t>
      </w:r>
    </w:p>
    <w:p>
      <w:pPr>
        <w:pageBreakBefore w:val="0"/>
        <w:kinsoku/>
        <w:wordWrap/>
        <w:overflowPunct/>
        <w:topLinePunct w:val="0"/>
        <w:autoSpaceDE/>
        <w:autoSpaceDN/>
        <w:bidi w:val="0"/>
        <w:adjustRightInd/>
        <w:snapToGrid/>
        <w:spacing w:line="560" w:lineRule="exact"/>
        <w:ind w:firstLine="640" w:firstLineChars="200"/>
        <w:textAlignment w:val="auto"/>
        <w:rPr>
          <w:rFonts w:hint="eastAsia" w:ascii="仿宋_GB2312" w:eastAsia="仿宋_GB2312"/>
          <w:sz w:val="32"/>
          <w:szCs w:val="32"/>
          <w:lang w:bidi="en-US"/>
        </w:rPr>
      </w:pPr>
      <w:r>
        <w:rPr>
          <w:rFonts w:hint="eastAsia" w:ascii="仿宋_GB2312" w:eastAsia="仿宋_GB2312"/>
          <w:sz w:val="32"/>
          <w:szCs w:val="32"/>
          <w:lang w:val="en-US" w:eastAsia="zh-CN" w:bidi="en-US"/>
        </w:rPr>
        <w:t>1.</w:t>
      </w:r>
      <w:r>
        <w:rPr>
          <w:rFonts w:hint="eastAsia" w:ascii="仿宋_GB2312" w:eastAsia="仿宋_GB2312"/>
          <w:sz w:val="32"/>
          <w:szCs w:val="32"/>
          <w:lang w:bidi="en-US"/>
        </w:rPr>
        <w:t>根据《中华人民共和国老年人权益保障法》第三十一条规定：老年人无劳动能力、无生活来源、无赡养人和扶养人，或者其赡养人和扶养人确无赡养能力或者扶养能力的，由地方各级人民政府依照有关规定给予供养或者救助。</w:t>
      </w:r>
    </w:p>
    <w:p>
      <w:pPr>
        <w:pageBreakBefore w:val="0"/>
        <w:kinsoku/>
        <w:wordWrap/>
        <w:overflowPunct/>
        <w:topLinePunct w:val="0"/>
        <w:autoSpaceDE/>
        <w:autoSpaceDN/>
        <w:bidi w:val="0"/>
        <w:adjustRightInd/>
        <w:snapToGrid/>
        <w:spacing w:line="560" w:lineRule="exact"/>
        <w:ind w:firstLine="640" w:firstLineChars="200"/>
        <w:textAlignment w:val="auto"/>
        <w:rPr>
          <w:rFonts w:hint="eastAsia" w:ascii="仿宋_GB2312" w:eastAsia="仿宋_GB2312"/>
          <w:sz w:val="32"/>
          <w:szCs w:val="32"/>
          <w:lang w:bidi="en-US"/>
        </w:rPr>
      </w:pPr>
      <w:r>
        <w:rPr>
          <w:rFonts w:hint="eastAsia" w:ascii="仿宋_GB2312" w:eastAsia="仿宋_GB2312"/>
          <w:sz w:val="32"/>
          <w:szCs w:val="32"/>
          <w:lang w:val="en-US" w:eastAsia="zh-CN" w:bidi="en-US"/>
        </w:rPr>
        <w:t>2.</w:t>
      </w:r>
      <w:r>
        <w:rPr>
          <w:rFonts w:hint="eastAsia" w:ascii="仿宋_GB2312" w:eastAsia="仿宋_GB2312"/>
          <w:sz w:val="32"/>
          <w:szCs w:val="32"/>
          <w:lang w:bidi="en-US"/>
        </w:rPr>
        <w:t>根据《威海市实施政府为特殊困难老年人购买社区居家养老服务管理办法》第十条规定：享受政府购买服务的对象为户籍和居住地均在本市，分为A、B、C类。A类老年人：按《老年人能力评估》(mz/T001-2013)标准确定的生活不能自理(重度)的分散居住的特困对象、低保老人；B类老年人：按《老年人能力评估》(mz/T001-2013)标准确定的生活半自理(中度)的分散居住的特困对象、低保老人；C类老年人：按《老年人能力评估》(mz/T001-2013)标准确定的生活不能自理(重度)的市级以上劳动模范、抚恤定补优抚对象、计划生育特别扶助对象、建国前老党员。</w:t>
      </w:r>
    </w:p>
    <w:p>
      <w:pPr>
        <w:pageBreakBefore w:val="0"/>
        <w:kinsoku/>
        <w:wordWrap/>
        <w:overflowPunct/>
        <w:topLinePunct w:val="0"/>
        <w:autoSpaceDE/>
        <w:autoSpaceDN/>
        <w:bidi w:val="0"/>
        <w:adjustRightInd/>
        <w:snapToGrid/>
        <w:spacing w:line="560" w:lineRule="exact"/>
        <w:ind w:firstLine="640" w:firstLineChars="200"/>
        <w:textAlignment w:val="auto"/>
        <w:rPr>
          <w:rFonts w:hint="default" w:ascii="仿宋_GB2312" w:eastAsia="仿宋_GB2312"/>
          <w:sz w:val="32"/>
          <w:szCs w:val="32"/>
          <w:lang w:val="en-US" w:eastAsia="zh-CN" w:bidi="en-US"/>
        </w:rPr>
      </w:pPr>
      <w:r>
        <w:rPr>
          <w:rFonts w:hint="eastAsia" w:ascii="仿宋_GB2312" w:eastAsia="仿宋_GB2312"/>
          <w:sz w:val="32"/>
          <w:szCs w:val="32"/>
          <w:lang w:val="en-US" w:eastAsia="zh-CN" w:bidi="en-US"/>
        </w:rPr>
        <w:t>3.根据服务机构2023年度台账统计，2023年度共服务A类被服务对象188人，共需支出预算资金184.6800万元（共计服务1539人次）；B类被服务对象164人，共需支出预算资金126.9900万元（共计服务1411人次）；C类被服务对象61人，共需支出预算资金29.7000万元（共计服务495人次）；D类被服务对象1589人，共需支出预算资金501.6020万元（共计服务14753人次）。</w:t>
      </w:r>
    </w:p>
    <w:p>
      <w:pPr>
        <w:pageBreakBefore w:val="0"/>
        <w:kinsoku/>
        <w:wordWrap/>
        <w:overflowPunct/>
        <w:topLinePunct w:val="0"/>
        <w:autoSpaceDE/>
        <w:autoSpaceDN/>
        <w:bidi w:val="0"/>
        <w:adjustRightInd/>
        <w:snapToGrid/>
        <w:spacing w:line="560" w:lineRule="exact"/>
        <w:ind w:firstLine="640" w:firstLineChars="200"/>
        <w:textAlignment w:val="auto"/>
        <w:rPr>
          <w:rFonts w:hint="eastAsia" w:ascii="仿宋_GB2312" w:eastAsia="仿宋_GB2312"/>
          <w:sz w:val="32"/>
          <w:szCs w:val="32"/>
          <w:lang w:bidi="en-US"/>
        </w:rPr>
      </w:pPr>
      <w:r>
        <w:rPr>
          <w:rFonts w:hint="eastAsia" w:ascii="仿宋_GB2312" w:eastAsia="仿宋_GB2312"/>
          <w:sz w:val="32"/>
          <w:szCs w:val="32"/>
          <w:lang w:bidi="en-US"/>
        </w:rPr>
        <w:t>根据以上法律</w:t>
      </w:r>
      <w:r>
        <w:rPr>
          <w:rFonts w:hint="eastAsia" w:ascii="仿宋_GB2312" w:eastAsia="仿宋_GB2312"/>
          <w:sz w:val="32"/>
          <w:szCs w:val="32"/>
          <w:lang w:val="en-US" w:eastAsia="zh-CN" w:bidi="en-US"/>
        </w:rPr>
        <w:t>和政策</w:t>
      </w:r>
      <w:r>
        <w:rPr>
          <w:rFonts w:hint="eastAsia" w:ascii="仿宋_GB2312" w:eastAsia="仿宋_GB2312"/>
          <w:sz w:val="32"/>
          <w:szCs w:val="32"/>
          <w:lang w:bidi="en-US"/>
        </w:rPr>
        <w:t>规定，可以确定居家养老服务项目被服务对象主要应为A、B、C类老年人，在文登区政府购买社区居家养老服务项目中D类被服务对象人数占被服务人员总人数的比例超过81%，占用了绝大部分的政府和社会资源，致使确需被服务的对象不能享受精准、有效服务，降低了居家养老服务项目整体服务质量。</w:t>
      </w:r>
    </w:p>
    <w:p>
      <w:pPr>
        <w:pageBreakBefore w:val="0"/>
        <w:kinsoku/>
        <w:wordWrap/>
        <w:overflowPunct/>
        <w:topLinePunct w:val="0"/>
        <w:autoSpaceDE/>
        <w:autoSpaceDN/>
        <w:bidi w:val="0"/>
        <w:adjustRightInd/>
        <w:snapToGrid/>
        <w:spacing w:line="560" w:lineRule="exact"/>
        <w:ind w:firstLine="562"/>
        <w:textAlignment w:val="auto"/>
        <w:rPr>
          <w:rFonts w:ascii="仿宋_GB2312" w:hAnsi="仿宋_GB2312" w:cs="仿宋_GB2312"/>
          <w:b/>
          <w:bCs/>
          <w:color w:val="auto"/>
          <w:highlight w:val="none"/>
        </w:rPr>
      </w:pPr>
      <w:r>
        <w:rPr>
          <w:rFonts w:hint="eastAsia" w:ascii="仿宋_GB2312" w:hAnsi="仿宋_GB2312" w:cs="仿宋_GB2312"/>
          <w:b/>
          <w:bCs/>
          <w:color w:val="auto"/>
          <w:highlight w:val="none"/>
          <w:lang w:eastAsia="zh-CN"/>
        </w:rPr>
        <w:t>（</w:t>
      </w:r>
      <w:r>
        <w:rPr>
          <w:rFonts w:hint="eastAsia" w:ascii="仿宋_GB2312" w:hAnsi="仿宋_GB2312" w:cs="仿宋_GB2312"/>
          <w:b/>
          <w:bCs/>
          <w:color w:val="auto"/>
          <w:highlight w:val="none"/>
          <w:lang w:val="en-US" w:eastAsia="zh-CN"/>
        </w:rPr>
        <w:t>四</w:t>
      </w:r>
      <w:r>
        <w:rPr>
          <w:rFonts w:hint="eastAsia" w:ascii="仿宋_GB2312" w:hAnsi="仿宋_GB2312" w:cs="仿宋_GB2312"/>
          <w:b/>
          <w:bCs/>
          <w:color w:val="auto"/>
          <w:highlight w:val="none"/>
          <w:lang w:eastAsia="zh-CN"/>
        </w:rPr>
        <w:t>）</w:t>
      </w:r>
      <w:r>
        <w:rPr>
          <w:rFonts w:hint="eastAsia" w:ascii="仿宋_GB2312" w:hAnsi="仿宋_GB2312" w:cs="仿宋_GB2312"/>
          <w:b/>
          <w:bCs/>
          <w:color w:val="auto"/>
          <w:highlight w:val="none"/>
        </w:rPr>
        <w:t>被服务对象回访满意度未</w:t>
      </w:r>
      <w:r>
        <w:rPr>
          <w:rFonts w:hint="eastAsia" w:ascii="仿宋_GB2312" w:hAnsi="仿宋_GB2312" w:cs="仿宋_GB2312"/>
          <w:b/>
          <w:bCs/>
          <w:color w:val="auto"/>
          <w:highlight w:val="none"/>
          <w:lang w:val="en-US" w:eastAsia="zh-CN"/>
        </w:rPr>
        <w:t>达到</w:t>
      </w:r>
      <w:r>
        <w:rPr>
          <w:rFonts w:hint="eastAsia" w:ascii="仿宋_GB2312" w:hAnsi="仿宋_GB2312" w:cs="仿宋_GB2312"/>
          <w:b/>
          <w:bCs/>
          <w:color w:val="auto"/>
          <w:highlight w:val="none"/>
        </w:rPr>
        <w:t>预期目标。</w:t>
      </w:r>
    </w:p>
    <w:p>
      <w:pPr>
        <w:pageBreakBefore w:val="0"/>
        <w:kinsoku/>
        <w:wordWrap/>
        <w:overflowPunct/>
        <w:topLinePunct w:val="0"/>
        <w:autoSpaceDE/>
        <w:autoSpaceDN/>
        <w:bidi w:val="0"/>
        <w:adjustRightInd/>
        <w:snapToGrid/>
        <w:spacing w:line="560" w:lineRule="exact"/>
        <w:ind w:firstLine="562"/>
        <w:textAlignment w:val="auto"/>
        <w:rPr>
          <w:rFonts w:ascii="仿宋_GB2312" w:hAnsi="仿宋_GB2312" w:cs="仿宋_GB2312"/>
          <w:b/>
          <w:bCs/>
          <w:color w:val="auto"/>
          <w:highlight w:val="none"/>
        </w:rPr>
      </w:pPr>
      <w:r>
        <w:rPr>
          <w:rFonts w:hint="eastAsia" w:ascii="仿宋_GB2312" w:hAnsi="仿宋_GB2312" w:cs="仿宋_GB2312"/>
          <w:b/>
          <w:bCs/>
          <w:color w:val="auto"/>
          <w:highlight w:val="none"/>
          <w:lang w:val="en-US" w:eastAsia="zh-CN"/>
        </w:rPr>
        <w:t>1.</w:t>
      </w:r>
      <w:r>
        <w:rPr>
          <w:rFonts w:hint="eastAsia" w:ascii="仿宋_GB2312" w:hAnsi="仿宋_GB2312" w:cs="仿宋_GB2312"/>
          <w:b/>
          <w:bCs/>
          <w:color w:val="auto"/>
          <w:highlight w:val="none"/>
        </w:rPr>
        <w:t>“6012349”便民服务中心电话回访</w:t>
      </w:r>
    </w:p>
    <w:p>
      <w:pPr>
        <w:pageBreakBefore w:val="0"/>
        <w:kinsoku/>
        <w:wordWrap/>
        <w:overflowPunct/>
        <w:topLinePunct w:val="0"/>
        <w:autoSpaceDE/>
        <w:autoSpaceDN/>
        <w:bidi w:val="0"/>
        <w:adjustRightInd/>
        <w:snapToGrid/>
        <w:spacing w:line="560" w:lineRule="exact"/>
        <w:ind w:firstLine="640" w:firstLineChars="200"/>
        <w:textAlignment w:val="auto"/>
        <w:rPr>
          <w:rFonts w:hint="eastAsia" w:ascii="仿宋_GB2312" w:eastAsia="仿宋_GB2312"/>
          <w:sz w:val="32"/>
          <w:szCs w:val="32"/>
          <w:lang w:bidi="en-US"/>
        </w:rPr>
      </w:pPr>
      <w:r>
        <w:rPr>
          <w:rFonts w:hint="eastAsia" w:ascii="仿宋_GB2312" w:eastAsia="仿宋_GB2312"/>
          <w:sz w:val="32"/>
          <w:szCs w:val="32"/>
          <w:lang w:bidi="en-US"/>
        </w:rPr>
        <w:t>“6012349”回访整体满意度未达</w:t>
      </w:r>
      <w:r>
        <w:rPr>
          <w:rFonts w:hint="eastAsia" w:ascii="仿宋_GB2312" w:eastAsia="仿宋_GB2312"/>
          <w:sz w:val="32"/>
          <w:szCs w:val="32"/>
          <w:lang w:val="en-US" w:eastAsia="zh-CN" w:bidi="en-US"/>
        </w:rPr>
        <w:t>到</w:t>
      </w:r>
      <w:r>
        <w:rPr>
          <w:rFonts w:hint="eastAsia" w:ascii="仿宋_GB2312" w:eastAsia="仿宋_GB2312"/>
          <w:sz w:val="32"/>
          <w:szCs w:val="32"/>
          <w:lang w:bidi="en-US"/>
        </w:rPr>
        <w:t>预期。通过对A类、B类、C类、D类被服务对象电话回访满意度进行统计：2023年电话回访记录共1188条，有效回访502条，其中回访结果不满意128条，回访满意354条，下单未服务20条。电话回访满意度71%</w:t>
      </w:r>
      <w:r>
        <w:rPr>
          <w:rFonts w:hint="eastAsia" w:ascii="仿宋_GB2312" w:eastAsia="仿宋_GB2312"/>
          <w:sz w:val="32"/>
          <w:szCs w:val="32"/>
          <w:lang w:eastAsia="zh-CN" w:bidi="en-US"/>
        </w:rPr>
        <w:t>，</w:t>
      </w:r>
      <w:r>
        <w:rPr>
          <w:rFonts w:hint="eastAsia" w:ascii="仿宋_GB2312" w:eastAsia="仿宋_GB2312"/>
          <w:sz w:val="32"/>
          <w:szCs w:val="32"/>
          <w:lang w:bidi="en-US"/>
        </w:rPr>
        <w:t>其中D类被服务对象满意度最低。</w:t>
      </w:r>
      <w:r>
        <w:rPr>
          <w:rFonts w:hint="eastAsia" w:ascii="仿宋_GB2312" w:eastAsia="仿宋_GB2312"/>
          <w:sz w:val="32"/>
          <w:szCs w:val="32"/>
          <w:lang w:val="en-US" w:eastAsia="zh-CN" w:bidi="en-US"/>
        </w:rPr>
        <w:t>20</w:t>
      </w:r>
      <w:r>
        <w:rPr>
          <w:rFonts w:hint="eastAsia" w:ascii="仿宋_GB2312" w:eastAsia="仿宋_GB2312"/>
          <w:sz w:val="32"/>
          <w:szCs w:val="32"/>
          <w:lang w:bidi="en-US"/>
        </w:rPr>
        <w:t>23年居家服务有效回访中，A类服务对象满意度为70%，B类服务对象满意度为77%，C类服务对象满意度为88%，D类被服务对象满意度为69%，</w:t>
      </w:r>
      <w:r>
        <w:rPr>
          <w:rFonts w:hint="eastAsia" w:ascii="仿宋_GB2312" w:eastAsia="仿宋_GB2312"/>
          <w:sz w:val="32"/>
          <w:szCs w:val="32"/>
          <w:lang w:val="en-US" w:eastAsia="zh-CN" w:bidi="en-US"/>
        </w:rPr>
        <w:t>具体见下表：</w:t>
      </w:r>
    </w:p>
    <w:p>
      <w:pPr>
        <w:pageBreakBefore w:val="0"/>
        <w:kinsoku/>
        <w:wordWrap/>
        <w:overflowPunct/>
        <w:topLinePunct w:val="0"/>
        <w:autoSpaceDE/>
        <w:autoSpaceDN/>
        <w:bidi w:val="0"/>
        <w:adjustRightInd/>
        <w:snapToGrid/>
        <w:spacing w:line="560" w:lineRule="exact"/>
        <w:ind w:firstLine="0" w:firstLineChars="0"/>
        <w:jc w:val="center"/>
        <w:textAlignment w:val="auto"/>
        <w:rPr>
          <w:rFonts w:ascii="仿宋_GB2312" w:hAnsi="仿宋_GB2312" w:cs="仿宋_GB2312"/>
          <w:b/>
          <w:bCs/>
          <w:color w:val="auto"/>
          <w:highlight w:val="none"/>
        </w:rPr>
      </w:pPr>
      <w:r>
        <w:rPr>
          <w:rFonts w:hint="eastAsia" w:ascii="仿宋_GB2312" w:hAnsi="仿宋_GB2312" w:cs="仿宋_GB2312"/>
          <w:b/>
          <w:bCs/>
          <w:color w:val="auto"/>
          <w:highlight w:val="none"/>
        </w:rPr>
        <w:t>2023年“6012349”便民服务中心电话回访满意度汇总表</w:t>
      </w:r>
    </w:p>
    <w:tbl>
      <w:tblPr>
        <w:tblStyle w:val="20"/>
        <w:tblW w:w="8520" w:type="dxa"/>
        <w:jc w:val="center"/>
        <w:tblBorders>
          <w:top w:val="single" w:color="auto" w:sz="8" w:space="0"/>
          <w:left w:val="none" w:color="auto" w:sz="0" w:space="0"/>
          <w:bottom w:val="single" w:color="auto" w:sz="8" w:space="0"/>
          <w:right w:val="none" w:color="auto" w:sz="0" w:space="0"/>
          <w:insideH w:val="single" w:color="auto" w:sz="4" w:space="0"/>
          <w:insideV w:val="single" w:color="auto" w:sz="4" w:space="0"/>
        </w:tblBorders>
        <w:tblLayout w:type="autofit"/>
        <w:tblCellMar>
          <w:top w:w="0" w:type="dxa"/>
          <w:left w:w="108" w:type="dxa"/>
          <w:bottom w:w="0" w:type="dxa"/>
          <w:right w:w="108" w:type="dxa"/>
        </w:tblCellMar>
      </w:tblPr>
      <w:tblGrid>
        <w:gridCol w:w="1704"/>
        <w:gridCol w:w="1704"/>
        <w:gridCol w:w="1704"/>
        <w:gridCol w:w="1704"/>
        <w:gridCol w:w="1704"/>
      </w:tblGrid>
      <w:tr>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454" w:hRule="atLeast"/>
          <w:tblHeader/>
          <w:jc w:val="center"/>
        </w:trPr>
        <w:tc>
          <w:tcPr>
            <w:tcW w:w="1704" w:type="dxa"/>
            <w:vAlign w:val="center"/>
          </w:tcPr>
          <w:p>
            <w:pPr>
              <w:pageBreakBefore w:val="0"/>
              <w:widowControl/>
              <w:kinsoku/>
              <w:wordWrap/>
              <w:overflowPunct/>
              <w:topLinePunct w:val="0"/>
              <w:autoSpaceDE/>
              <w:autoSpaceDN/>
              <w:bidi w:val="0"/>
              <w:adjustRightInd/>
              <w:snapToGrid/>
              <w:spacing w:line="560" w:lineRule="exact"/>
              <w:ind w:firstLine="0" w:firstLineChars="0"/>
              <w:jc w:val="center"/>
              <w:textAlignment w:val="auto"/>
              <w:rPr>
                <w:rFonts w:ascii="仿宋_GB2312" w:hAnsi="仿宋_GB2312" w:cs="仿宋_GB2312"/>
                <w:color w:val="auto"/>
                <w:kern w:val="0"/>
                <w:sz w:val="21"/>
                <w:szCs w:val="21"/>
                <w:highlight w:val="none"/>
              </w:rPr>
            </w:pPr>
            <w:r>
              <w:rPr>
                <w:rFonts w:hint="eastAsia" w:ascii="仿宋_GB2312" w:hAnsi="仿宋_GB2312" w:cs="仿宋_GB2312"/>
                <w:color w:val="auto"/>
                <w:kern w:val="0"/>
                <w:sz w:val="21"/>
                <w:szCs w:val="21"/>
                <w:highlight w:val="none"/>
              </w:rPr>
              <w:t>被服务对象类型</w:t>
            </w:r>
          </w:p>
        </w:tc>
        <w:tc>
          <w:tcPr>
            <w:tcW w:w="1704" w:type="dxa"/>
            <w:vAlign w:val="center"/>
          </w:tcPr>
          <w:p>
            <w:pPr>
              <w:pageBreakBefore w:val="0"/>
              <w:widowControl/>
              <w:kinsoku/>
              <w:wordWrap/>
              <w:overflowPunct/>
              <w:topLinePunct w:val="0"/>
              <w:autoSpaceDE/>
              <w:autoSpaceDN/>
              <w:bidi w:val="0"/>
              <w:adjustRightInd/>
              <w:snapToGrid/>
              <w:spacing w:line="560" w:lineRule="exact"/>
              <w:ind w:firstLine="0" w:firstLineChars="0"/>
              <w:jc w:val="center"/>
              <w:textAlignment w:val="auto"/>
              <w:rPr>
                <w:rFonts w:ascii="仿宋_GB2312" w:hAnsi="仿宋_GB2312" w:cs="仿宋_GB2312"/>
                <w:color w:val="auto"/>
                <w:kern w:val="0"/>
                <w:sz w:val="21"/>
                <w:szCs w:val="21"/>
                <w:highlight w:val="none"/>
              </w:rPr>
            </w:pPr>
            <w:r>
              <w:rPr>
                <w:rFonts w:hint="eastAsia" w:ascii="仿宋_GB2312" w:hAnsi="仿宋_GB2312" w:cs="仿宋_GB2312"/>
                <w:color w:val="auto"/>
                <w:kern w:val="0"/>
                <w:sz w:val="21"/>
                <w:szCs w:val="21"/>
                <w:highlight w:val="none"/>
              </w:rPr>
              <w:t>回访满意</w:t>
            </w:r>
          </w:p>
        </w:tc>
        <w:tc>
          <w:tcPr>
            <w:tcW w:w="1704" w:type="dxa"/>
            <w:vAlign w:val="center"/>
          </w:tcPr>
          <w:p>
            <w:pPr>
              <w:pageBreakBefore w:val="0"/>
              <w:widowControl/>
              <w:kinsoku/>
              <w:wordWrap/>
              <w:overflowPunct/>
              <w:topLinePunct w:val="0"/>
              <w:autoSpaceDE/>
              <w:autoSpaceDN/>
              <w:bidi w:val="0"/>
              <w:adjustRightInd/>
              <w:snapToGrid/>
              <w:spacing w:line="560" w:lineRule="exact"/>
              <w:ind w:firstLine="0" w:firstLineChars="0"/>
              <w:jc w:val="center"/>
              <w:textAlignment w:val="auto"/>
              <w:rPr>
                <w:rFonts w:ascii="仿宋_GB2312" w:hAnsi="仿宋_GB2312" w:cs="仿宋_GB2312"/>
                <w:color w:val="auto"/>
                <w:kern w:val="0"/>
                <w:sz w:val="21"/>
                <w:szCs w:val="21"/>
                <w:highlight w:val="none"/>
              </w:rPr>
            </w:pPr>
            <w:r>
              <w:rPr>
                <w:rFonts w:hint="eastAsia" w:ascii="仿宋_GB2312" w:hAnsi="仿宋_GB2312" w:cs="仿宋_GB2312"/>
                <w:color w:val="auto"/>
                <w:kern w:val="0"/>
                <w:sz w:val="21"/>
                <w:szCs w:val="21"/>
                <w:highlight w:val="none"/>
              </w:rPr>
              <w:t>回访不满意</w:t>
            </w:r>
          </w:p>
        </w:tc>
        <w:tc>
          <w:tcPr>
            <w:tcW w:w="1704" w:type="dxa"/>
            <w:vAlign w:val="center"/>
          </w:tcPr>
          <w:p>
            <w:pPr>
              <w:pageBreakBefore w:val="0"/>
              <w:widowControl/>
              <w:kinsoku/>
              <w:wordWrap/>
              <w:overflowPunct/>
              <w:topLinePunct w:val="0"/>
              <w:autoSpaceDE/>
              <w:autoSpaceDN/>
              <w:bidi w:val="0"/>
              <w:adjustRightInd/>
              <w:snapToGrid/>
              <w:spacing w:line="560" w:lineRule="exact"/>
              <w:ind w:firstLine="0" w:firstLineChars="0"/>
              <w:jc w:val="center"/>
              <w:textAlignment w:val="auto"/>
              <w:rPr>
                <w:rFonts w:ascii="仿宋_GB2312" w:hAnsi="仿宋_GB2312" w:cs="仿宋_GB2312"/>
                <w:color w:val="auto"/>
                <w:kern w:val="0"/>
                <w:sz w:val="21"/>
                <w:szCs w:val="21"/>
                <w:highlight w:val="none"/>
              </w:rPr>
            </w:pPr>
            <w:r>
              <w:rPr>
                <w:rFonts w:hint="eastAsia" w:ascii="仿宋_GB2312" w:hAnsi="仿宋_GB2312" w:cs="仿宋_GB2312"/>
                <w:color w:val="auto"/>
                <w:kern w:val="0"/>
                <w:sz w:val="21"/>
                <w:szCs w:val="21"/>
                <w:highlight w:val="none"/>
              </w:rPr>
              <w:t>下单未服务</w:t>
            </w:r>
          </w:p>
        </w:tc>
        <w:tc>
          <w:tcPr>
            <w:tcW w:w="1704" w:type="dxa"/>
            <w:vAlign w:val="center"/>
          </w:tcPr>
          <w:p>
            <w:pPr>
              <w:pageBreakBefore w:val="0"/>
              <w:widowControl/>
              <w:kinsoku/>
              <w:wordWrap/>
              <w:overflowPunct/>
              <w:topLinePunct w:val="0"/>
              <w:autoSpaceDE/>
              <w:autoSpaceDN/>
              <w:bidi w:val="0"/>
              <w:adjustRightInd/>
              <w:snapToGrid/>
              <w:spacing w:line="560" w:lineRule="exact"/>
              <w:ind w:firstLine="0" w:firstLineChars="0"/>
              <w:jc w:val="center"/>
              <w:textAlignment w:val="auto"/>
              <w:rPr>
                <w:rFonts w:ascii="仿宋_GB2312" w:hAnsi="仿宋_GB2312" w:cs="仿宋_GB2312"/>
                <w:color w:val="auto"/>
                <w:kern w:val="0"/>
                <w:sz w:val="21"/>
                <w:szCs w:val="21"/>
                <w:highlight w:val="none"/>
              </w:rPr>
            </w:pPr>
            <w:r>
              <w:rPr>
                <w:rFonts w:hint="eastAsia" w:ascii="仿宋_GB2312" w:hAnsi="仿宋_GB2312" w:cs="仿宋_GB2312"/>
                <w:color w:val="auto"/>
                <w:kern w:val="0"/>
                <w:sz w:val="21"/>
                <w:szCs w:val="21"/>
                <w:highlight w:val="none"/>
              </w:rPr>
              <w:t>满意度</w:t>
            </w:r>
          </w:p>
        </w:tc>
      </w:tr>
      <w:tr>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454" w:hRule="atLeast"/>
          <w:tblHeader/>
          <w:jc w:val="center"/>
        </w:trPr>
        <w:tc>
          <w:tcPr>
            <w:tcW w:w="1704" w:type="dxa"/>
            <w:vAlign w:val="center"/>
          </w:tcPr>
          <w:p>
            <w:pPr>
              <w:pageBreakBefore w:val="0"/>
              <w:widowControl/>
              <w:kinsoku/>
              <w:wordWrap/>
              <w:overflowPunct/>
              <w:topLinePunct w:val="0"/>
              <w:autoSpaceDE/>
              <w:autoSpaceDN/>
              <w:bidi w:val="0"/>
              <w:adjustRightInd/>
              <w:snapToGrid/>
              <w:spacing w:line="560" w:lineRule="exact"/>
              <w:ind w:firstLine="0" w:firstLineChars="0"/>
              <w:jc w:val="center"/>
              <w:textAlignment w:val="auto"/>
              <w:rPr>
                <w:rFonts w:ascii="仿宋_GB2312" w:hAnsi="仿宋_GB2312" w:cs="仿宋_GB2312"/>
                <w:color w:val="auto"/>
                <w:kern w:val="0"/>
                <w:sz w:val="21"/>
                <w:szCs w:val="21"/>
                <w:highlight w:val="none"/>
              </w:rPr>
            </w:pPr>
            <w:r>
              <w:rPr>
                <w:rFonts w:hint="eastAsia" w:ascii="仿宋_GB2312" w:hAnsi="仿宋_GB2312" w:cs="仿宋_GB2312"/>
                <w:color w:val="auto"/>
                <w:kern w:val="0"/>
                <w:sz w:val="21"/>
                <w:szCs w:val="21"/>
                <w:highlight w:val="none"/>
              </w:rPr>
              <w:t>A类</w:t>
            </w:r>
          </w:p>
        </w:tc>
        <w:tc>
          <w:tcPr>
            <w:tcW w:w="1704" w:type="dxa"/>
            <w:vAlign w:val="center"/>
          </w:tcPr>
          <w:p>
            <w:pPr>
              <w:pageBreakBefore w:val="0"/>
              <w:widowControl/>
              <w:kinsoku/>
              <w:wordWrap/>
              <w:overflowPunct/>
              <w:topLinePunct w:val="0"/>
              <w:autoSpaceDE/>
              <w:autoSpaceDN/>
              <w:bidi w:val="0"/>
              <w:adjustRightInd/>
              <w:snapToGrid/>
              <w:spacing w:line="560" w:lineRule="exact"/>
              <w:ind w:firstLine="0" w:firstLineChars="0"/>
              <w:jc w:val="center"/>
              <w:textAlignment w:val="auto"/>
              <w:rPr>
                <w:rFonts w:ascii="仿宋_GB2312" w:hAnsi="仿宋_GB2312" w:cs="仿宋_GB2312"/>
                <w:color w:val="auto"/>
                <w:kern w:val="0"/>
                <w:sz w:val="21"/>
                <w:szCs w:val="21"/>
                <w:highlight w:val="none"/>
              </w:rPr>
            </w:pPr>
            <w:r>
              <w:rPr>
                <w:rFonts w:hint="eastAsia" w:ascii="仿宋_GB2312" w:hAnsi="仿宋_GB2312" w:cs="仿宋_GB2312"/>
                <w:color w:val="auto"/>
                <w:kern w:val="0"/>
                <w:sz w:val="21"/>
                <w:szCs w:val="21"/>
                <w:highlight w:val="none"/>
              </w:rPr>
              <w:t>19</w:t>
            </w:r>
          </w:p>
        </w:tc>
        <w:tc>
          <w:tcPr>
            <w:tcW w:w="1704" w:type="dxa"/>
            <w:vAlign w:val="center"/>
          </w:tcPr>
          <w:p>
            <w:pPr>
              <w:pageBreakBefore w:val="0"/>
              <w:widowControl/>
              <w:kinsoku/>
              <w:wordWrap/>
              <w:overflowPunct/>
              <w:topLinePunct w:val="0"/>
              <w:autoSpaceDE/>
              <w:autoSpaceDN/>
              <w:bidi w:val="0"/>
              <w:adjustRightInd/>
              <w:snapToGrid/>
              <w:spacing w:line="560" w:lineRule="exact"/>
              <w:ind w:firstLine="0" w:firstLineChars="0"/>
              <w:jc w:val="center"/>
              <w:textAlignment w:val="auto"/>
              <w:rPr>
                <w:rFonts w:ascii="仿宋_GB2312" w:hAnsi="仿宋_GB2312" w:cs="仿宋_GB2312"/>
                <w:color w:val="auto"/>
                <w:kern w:val="0"/>
                <w:sz w:val="21"/>
                <w:szCs w:val="21"/>
                <w:highlight w:val="none"/>
              </w:rPr>
            </w:pPr>
            <w:r>
              <w:rPr>
                <w:rFonts w:hint="eastAsia" w:ascii="仿宋_GB2312" w:hAnsi="仿宋_GB2312" w:cs="仿宋_GB2312"/>
                <w:color w:val="auto"/>
                <w:kern w:val="0"/>
                <w:sz w:val="21"/>
                <w:szCs w:val="21"/>
                <w:highlight w:val="none"/>
              </w:rPr>
              <w:t>6</w:t>
            </w:r>
          </w:p>
        </w:tc>
        <w:tc>
          <w:tcPr>
            <w:tcW w:w="1704" w:type="dxa"/>
            <w:vAlign w:val="center"/>
          </w:tcPr>
          <w:p>
            <w:pPr>
              <w:pageBreakBefore w:val="0"/>
              <w:widowControl/>
              <w:kinsoku/>
              <w:wordWrap/>
              <w:overflowPunct/>
              <w:topLinePunct w:val="0"/>
              <w:autoSpaceDE/>
              <w:autoSpaceDN/>
              <w:bidi w:val="0"/>
              <w:adjustRightInd/>
              <w:snapToGrid/>
              <w:spacing w:line="560" w:lineRule="exact"/>
              <w:ind w:firstLine="0" w:firstLineChars="0"/>
              <w:jc w:val="center"/>
              <w:textAlignment w:val="auto"/>
              <w:rPr>
                <w:rFonts w:ascii="仿宋_GB2312" w:hAnsi="仿宋_GB2312" w:cs="仿宋_GB2312"/>
                <w:color w:val="auto"/>
                <w:kern w:val="0"/>
                <w:sz w:val="21"/>
                <w:szCs w:val="21"/>
                <w:highlight w:val="none"/>
              </w:rPr>
            </w:pPr>
            <w:r>
              <w:rPr>
                <w:rFonts w:hint="eastAsia" w:ascii="仿宋_GB2312" w:hAnsi="仿宋_GB2312" w:cs="仿宋_GB2312"/>
                <w:color w:val="auto"/>
                <w:kern w:val="0"/>
                <w:sz w:val="21"/>
                <w:szCs w:val="21"/>
                <w:highlight w:val="none"/>
              </w:rPr>
              <w:t>2</w:t>
            </w:r>
          </w:p>
        </w:tc>
        <w:tc>
          <w:tcPr>
            <w:tcW w:w="1704" w:type="dxa"/>
            <w:vAlign w:val="center"/>
          </w:tcPr>
          <w:p>
            <w:pPr>
              <w:pageBreakBefore w:val="0"/>
              <w:widowControl/>
              <w:kinsoku/>
              <w:wordWrap/>
              <w:overflowPunct/>
              <w:topLinePunct w:val="0"/>
              <w:autoSpaceDE/>
              <w:autoSpaceDN/>
              <w:bidi w:val="0"/>
              <w:adjustRightInd/>
              <w:snapToGrid/>
              <w:spacing w:line="560" w:lineRule="exact"/>
              <w:ind w:firstLine="0" w:firstLineChars="0"/>
              <w:jc w:val="center"/>
              <w:textAlignment w:val="auto"/>
              <w:rPr>
                <w:rFonts w:ascii="仿宋_GB2312" w:hAnsi="仿宋_GB2312" w:cs="仿宋_GB2312"/>
                <w:color w:val="auto"/>
                <w:kern w:val="0"/>
                <w:sz w:val="21"/>
                <w:szCs w:val="21"/>
                <w:highlight w:val="none"/>
              </w:rPr>
            </w:pPr>
            <w:r>
              <w:rPr>
                <w:rFonts w:hint="eastAsia" w:ascii="仿宋_GB2312" w:hAnsi="仿宋_GB2312" w:cs="仿宋_GB2312"/>
                <w:color w:val="auto"/>
                <w:kern w:val="0"/>
                <w:sz w:val="21"/>
                <w:szCs w:val="21"/>
                <w:highlight w:val="none"/>
              </w:rPr>
              <w:t>70%</w:t>
            </w:r>
          </w:p>
        </w:tc>
      </w:tr>
      <w:tr>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454" w:hRule="atLeast"/>
          <w:tblHeader/>
          <w:jc w:val="center"/>
        </w:trPr>
        <w:tc>
          <w:tcPr>
            <w:tcW w:w="1704" w:type="dxa"/>
            <w:vAlign w:val="center"/>
          </w:tcPr>
          <w:p>
            <w:pPr>
              <w:pageBreakBefore w:val="0"/>
              <w:widowControl/>
              <w:kinsoku/>
              <w:wordWrap/>
              <w:overflowPunct/>
              <w:topLinePunct w:val="0"/>
              <w:autoSpaceDE/>
              <w:autoSpaceDN/>
              <w:bidi w:val="0"/>
              <w:adjustRightInd/>
              <w:snapToGrid/>
              <w:spacing w:line="560" w:lineRule="exact"/>
              <w:ind w:firstLine="0" w:firstLineChars="0"/>
              <w:jc w:val="center"/>
              <w:textAlignment w:val="auto"/>
              <w:rPr>
                <w:rFonts w:ascii="仿宋_GB2312" w:hAnsi="仿宋_GB2312" w:cs="仿宋_GB2312"/>
                <w:color w:val="auto"/>
                <w:kern w:val="0"/>
                <w:sz w:val="21"/>
                <w:szCs w:val="21"/>
                <w:highlight w:val="none"/>
              </w:rPr>
            </w:pPr>
            <w:r>
              <w:rPr>
                <w:rFonts w:hint="eastAsia" w:ascii="仿宋_GB2312" w:hAnsi="仿宋_GB2312" w:cs="仿宋_GB2312"/>
                <w:color w:val="auto"/>
                <w:kern w:val="0"/>
                <w:sz w:val="21"/>
                <w:szCs w:val="21"/>
                <w:highlight w:val="none"/>
              </w:rPr>
              <w:t>B类</w:t>
            </w:r>
          </w:p>
        </w:tc>
        <w:tc>
          <w:tcPr>
            <w:tcW w:w="1704" w:type="dxa"/>
            <w:vAlign w:val="center"/>
          </w:tcPr>
          <w:p>
            <w:pPr>
              <w:pageBreakBefore w:val="0"/>
              <w:widowControl/>
              <w:kinsoku/>
              <w:wordWrap/>
              <w:overflowPunct/>
              <w:topLinePunct w:val="0"/>
              <w:autoSpaceDE/>
              <w:autoSpaceDN/>
              <w:bidi w:val="0"/>
              <w:adjustRightInd/>
              <w:snapToGrid/>
              <w:spacing w:line="560" w:lineRule="exact"/>
              <w:ind w:firstLine="0" w:firstLineChars="0"/>
              <w:jc w:val="center"/>
              <w:textAlignment w:val="auto"/>
              <w:rPr>
                <w:rFonts w:ascii="仿宋_GB2312" w:hAnsi="仿宋_GB2312" w:cs="仿宋_GB2312"/>
                <w:color w:val="auto"/>
                <w:kern w:val="0"/>
                <w:sz w:val="21"/>
                <w:szCs w:val="21"/>
                <w:highlight w:val="none"/>
              </w:rPr>
            </w:pPr>
            <w:r>
              <w:rPr>
                <w:rFonts w:hint="eastAsia" w:ascii="仿宋_GB2312" w:hAnsi="仿宋_GB2312" w:cs="仿宋_GB2312"/>
                <w:color w:val="auto"/>
                <w:kern w:val="0"/>
                <w:sz w:val="21"/>
                <w:szCs w:val="21"/>
                <w:highlight w:val="none"/>
              </w:rPr>
              <w:t>24</w:t>
            </w:r>
          </w:p>
        </w:tc>
        <w:tc>
          <w:tcPr>
            <w:tcW w:w="1704" w:type="dxa"/>
            <w:vAlign w:val="center"/>
          </w:tcPr>
          <w:p>
            <w:pPr>
              <w:pageBreakBefore w:val="0"/>
              <w:widowControl/>
              <w:kinsoku/>
              <w:wordWrap/>
              <w:overflowPunct/>
              <w:topLinePunct w:val="0"/>
              <w:autoSpaceDE/>
              <w:autoSpaceDN/>
              <w:bidi w:val="0"/>
              <w:adjustRightInd/>
              <w:snapToGrid/>
              <w:spacing w:line="560" w:lineRule="exact"/>
              <w:ind w:firstLine="0" w:firstLineChars="0"/>
              <w:jc w:val="center"/>
              <w:textAlignment w:val="auto"/>
              <w:rPr>
                <w:rFonts w:ascii="仿宋_GB2312" w:hAnsi="仿宋_GB2312" w:cs="仿宋_GB2312"/>
                <w:color w:val="auto"/>
                <w:kern w:val="0"/>
                <w:sz w:val="21"/>
                <w:szCs w:val="21"/>
                <w:highlight w:val="none"/>
              </w:rPr>
            </w:pPr>
            <w:r>
              <w:rPr>
                <w:rFonts w:hint="eastAsia" w:ascii="仿宋_GB2312" w:hAnsi="仿宋_GB2312" w:cs="仿宋_GB2312"/>
                <w:color w:val="auto"/>
                <w:kern w:val="0"/>
                <w:sz w:val="21"/>
                <w:szCs w:val="21"/>
                <w:highlight w:val="none"/>
              </w:rPr>
              <w:t>5</w:t>
            </w:r>
          </w:p>
        </w:tc>
        <w:tc>
          <w:tcPr>
            <w:tcW w:w="1704" w:type="dxa"/>
            <w:vAlign w:val="center"/>
          </w:tcPr>
          <w:p>
            <w:pPr>
              <w:pageBreakBefore w:val="0"/>
              <w:widowControl/>
              <w:kinsoku/>
              <w:wordWrap/>
              <w:overflowPunct/>
              <w:topLinePunct w:val="0"/>
              <w:autoSpaceDE/>
              <w:autoSpaceDN/>
              <w:bidi w:val="0"/>
              <w:adjustRightInd/>
              <w:snapToGrid/>
              <w:spacing w:line="560" w:lineRule="exact"/>
              <w:ind w:firstLine="0" w:firstLineChars="0"/>
              <w:jc w:val="center"/>
              <w:textAlignment w:val="auto"/>
              <w:rPr>
                <w:rFonts w:ascii="仿宋_GB2312" w:hAnsi="仿宋_GB2312" w:cs="仿宋_GB2312"/>
                <w:color w:val="auto"/>
                <w:kern w:val="0"/>
                <w:sz w:val="21"/>
                <w:szCs w:val="21"/>
                <w:highlight w:val="none"/>
              </w:rPr>
            </w:pPr>
            <w:r>
              <w:rPr>
                <w:rFonts w:hint="eastAsia" w:ascii="仿宋_GB2312" w:hAnsi="仿宋_GB2312" w:cs="仿宋_GB2312"/>
                <w:color w:val="auto"/>
                <w:kern w:val="0"/>
                <w:sz w:val="21"/>
                <w:szCs w:val="21"/>
                <w:highlight w:val="none"/>
              </w:rPr>
              <w:t>2</w:t>
            </w:r>
          </w:p>
        </w:tc>
        <w:tc>
          <w:tcPr>
            <w:tcW w:w="1704" w:type="dxa"/>
            <w:vAlign w:val="center"/>
          </w:tcPr>
          <w:p>
            <w:pPr>
              <w:pageBreakBefore w:val="0"/>
              <w:widowControl/>
              <w:kinsoku/>
              <w:wordWrap/>
              <w:overflowPunct/>
              <w:topLinePunct w:val="0"/>
              <w:autoSpaceDE/>
              <w:autoSpaceDN/>
              <w:bidi w:val="0"/>
              <w:adjustRightInd/>
              <w:snapToGrid/>
              <w:spacing w:line="560" w:lineRule="exact"/>
              <w:ind w:firstLine="0" w:firstLineChars="0"/>
              <w:jc w:val="center"/>
              <w:textAlignment w:val="auto"/>
              <w:rPr>
                <w:rFonts w:ascii="仿宋_GB2312" w:hAnsi="仿宋_GB2312" w:cs="仿宋_GB2312"/>
                <w:color w:val="auto"/>
                <w:kern w:val="0"/>
                <w:sz w:val="21"/>
                <w:szCs w:val="21"/>
                <w:highlight w:val="none"/>
              </w:rPr>
            </w:pPr>
            <w:r>
              <w:rPr>
                <w:rFonts w:hint="eastAsia" w:ascii="仿宋_GB2312" w:hAnsi="仿宋_GB2312" w:cs="仿宋_GB2312"/>
                <w:color w:val="auto"/>
                <w:kern w:val="0"/>
                <w:sz w:val="21"/>
                <w:szCs w:val="21"/>
                <w:highlight w:val="none"/>
              </w:rPr>
              <w:t>77%</w:t>
            </w:r>
          </w:p>
        </w:tc>
      </w:tr>
      <w:tr>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454" w:hRule="atLeast"/>
          <w:tblHeader/>
          <w:jc w:val="center"/>
        </w:trPr>
        <w:tc>
          <w:tcPr>
            <w:tcW w:w="1704" w:type="dxa"/>
            <w:vAlign w:val="center"/>
          </w:tcPr>
          <w:p>
            <w:pPr>
              <w:pageBreakBefore w:val="0"/>
              <w:widowControl/>
              <w:kinsoku/>
              <w:wordWrap/>
              <w:overflowPunct/>
              <w:topLinePunct w:val="0"/>
              <w:autoSpaceDE/>
              <w:autoSpaceDN/>
              <w:bidi w:val="0"/>
              <w:adjustRightInd/>
              <w:snapToGrid/>
              <w:spacing w:line="560" w:lineRule="exact"/>
              <w:ind w:firstLine="0" w:firstLineChars="0"/>
              <w:jc w:val="center"/>
              <w:textAlignment w:val="auto"/>
              <w:rPr>
                <w:rFonts w:ascii="仿宋_GB2312" w:hAnsi="仿宋_GB2312" w:cs="仿宋_GB2312"/>
                <w:color w:val="auto"/>
                <w:kern w:val="0"/>
                <w:sz w:val="21"/>
                <w:szCs w:val="21"/>
                <w:highlight w:val="none"/>
              </w:rPr>
            </w:pPr>
            <w:r>
              <w:rPr>
                <w:rFonts w:hint="eastAsia" w:ascii="仿宋_GB2312" w:hAnsi="仿宋_GB2312" w:cs="仿宋_GB2312"/>
                <w:color w:val="auto"/>
                <w:kern w:val="0"/>
                <w:sz w:val="21"/>
                <w:szCs w:val="21"/>
                <w:highlight w:val="none"/>
              </w:rPr>
              <w:t>C类</w:t>
            </w:r>
          </w:p>
        </w:tc>
        <w:tc>
          <w:tcPr>
            <w:tcW w:w="1704" w:type="dxa"/>
            <w:vAlign w:val="center"/>
          </w:tcPr>
          <w:p>
            <w:pPr>
              <w:pageBreakBefore w:val="0"/>
              <w:widowControl/>
              <w:kinsoku/>
              <w:wordWrap/>
              <w:overflowPunct/>
              <w:topLinePunct w:val="0"/>
              <w:autoSpaceDE/>
              <w:autoSpaceDN/>
              <w:bidi w:val="0"/>
              <w:adjustRightInd/>
              <w:snapToGrid/>
              <w:spacing w:line="560" w:lineRule="exact"/>
              <w:ind w:firstLine="0" w:firstLineChars="0"/>
              <w:jc w:val="center"/>
              <w:textAlignment w:val="auto"/>
              <w:rPr>
                <w:rFonts w:ascii="仿宋_GB2312" w:hAnsi="仿宋_GB2312" w:cs="仿宋_GB2312"/>
                <w:color w:val="auto"/>
                <w:kern w:val="0"/>
                <w:sz w:val="21"/>
                <w:szCs w:val="21"/>
                <w:highlight w:val="none"/>
              </w:rPr>
            </w:pPr>
            <w:r>
              <w:rPr>
                <w:rFonts w:hint="eastAsia" w:ascii="仿宋_GB2312" w:hAnsi="仿宋_GB2312" w:cs="仿宋_GB2312"/>
                <w:color w:val="auto"/>
                <w:kern w:val="0"/>
                <w:sz w:val="21"/>
                <w:szCs w:val="21"/>
                <w:highlight w:val="none"/>
              </w:rPr>
              <w:t>14</w:t>
            </w:r>
          </w:p>
        </w:tc>
        <w:tc>
          <w:tcPr>
            <w:tcW w:w="1704" w:type="dxa"/>
            <w:vAlign w:val="center"/>
          </w:tcPr>
          <w:p>
            <w:pPr>
              <w:pageBreakBefore w:val="0"/>
              <w:widowControl/>
              <w:kinsoku/>
              <w:wordWrap/>
              <w:overflowPunct/>
              <w:topLinePunct w:val="0"/>
              <w:autoSpaceDE/>
              <w:autoSpaceDN/>
              <w:bidi w:val="0"/>
              <w:adjustRightInd/>
              <w:snapToGrid/>
              <w:spacing w:line="560" w:lineRule="exact"/>
              <w:ind w:firstLine="0" w:firstLineChars="0"/>
              <w:jc w:val="center"/>
              <w:textAlignment w:val="auto"/>
              <w:rPr>
                <w:rFonts w:ascii="仿宋_GB2312" w:hAnsi="仿宋_GB2312" w:cs="仿宋_GB2312"/>
                <w:color w:val="auto"/>
                <w:kern w:val="0"/>
                <w:sz w:val="21"/>
                <w:szCs w:val="21"/>
                <w:highlight w:val="none"/>
              </w:rPr>
            </w:pPr>
            <w:r>
              <w:rPr>
                <w:rFonts w:hint="eastAsia" w:ascii="仿宋_GB2312" w:hAnsi="仿宋_GB2312" w:cs="仿宋_GB2312"/>
                <w:color w:val="auto"/>
                <w:kern w:val="0"/>
                <w:sz w:val="21"/>
                <w:szCs w:val="21"/>
                <w:highlight w:val="none"/>
              </w:rPr>
              <w:t>2</w:t>
            </w:r>
          </w:p>
        </w:tc>
        <w:tc>
          <w:tcPr>
            <w:tcW w:w="1704" w:type="dxa"/>
            <w:vAlign w:val="center"/>
          </w:tcPr>
          <w:p>
            <w:pPr>
              <w:pageBreakBefore w:val="0"/>
              <w:widowControl/>
              <w:kinsoku/>
              <w:wordWrap/>
              <w:overflowPunct/>
              <w:topLinePunct w:val="0"/>
              <w:autoSpaceDE/>
              <w:autoSpaceDN/>
              <w:bidi w:val="0"/>
              <w:adjustRightInd/>
              <w:snapToGrid/>
              <w:spacing w:line="560" w:lineRule="exact"/>
              <w:ind w:firstLine="0" w:firstLineChars="0"/>
              <w:jc w:val="center"/>
              <w:textAlignment w:val="auto"/>
              <w:rPr>
                <w:rFonts w:ascii="仿宋_GB2312" w:hAnsi="仿宋_GB2312" w:cs="仿宋_GB2312"/>
                <w:color w:val="auto"/>
                <w:kern w:val="0"/>
                <w:sz w:val="21"/>
                <w:szCs w:val="21"/>
                <w:highlight w:val="none"/>
              </w:rPr>
            </w:pPr>
            <w:r>
              <w:rPr>
                <w:rFonts w:hint="eastAsia" w:ascii="仿宋_GB2312" w:hAnsi="仿宋_GB2312" w:cs="仿宋_GB2312"/>
                <w:color w:val="auto"/>
                <w:kern w:val="0"/>
                <w:sz w:val="21"/>
                <w:szCs w:val="21"/>
                <w:highlight w:val="none"/>
              </w:rPr>
              <w:t>0</w:t>
            </w:r>
          </w:p>
        </w:tc>
        <w:tc>
          <w:tcPr>
            <w:tcW w:w="1704" w:type="dxa"/>
            <w:vAlign w:val="center"/>
          </w:tcPr>
          <w:p>
            <w:pPr>
              <w:pageBreakBefore w:val="0"/>
              <w:widowControl/>
              <w:kinsoku/>
              <w:wordWrap/>
              <w:overflowPunct/>
              <w:topLinePunct w:val="0"/>
              <w:autoSpaceDE/>
              <w:autoSpaceDN/>
              <w:bidi w:val="0"/>
              <w:adjustRightInd/>
              <w:snapToGrid/>
              <w:spacing w:line="560" w:lineRule="exact"/>
              <w:ind w:firstLine="0" w:firstLineChars="0"/>
              <w:jc w:val="center"/>
              <w:textAlignment w:val="auto"/>
              <w:rPr>
                <w:rFonts w:ascii="仿宋_GB2312" w:hAnsi="仿宋_GB2312" w:cs="仿宋_GB2312"/>
                <w:color w:val="auto"/>
                <w:kern w:val="0"/>
                <w:sz w:val="21"/>
                <w:szCs w:val="21"/>
                <w:highlight w:val="none"/>
              </w:rPr>
            </w:pPr>
            <w:r>
              <w:rPr>
                <w:rFonts w:hint="eastAsia" w:ascii="仿宋_GB2312" w:hAnsi="仿宋_GB2312" w:cs="仿宋_GB2312"/>
                <w:color w:val="auto"/>
                <w:kern w:val="0"/>
                <w:sz w:val="21"/>
                <w:szCs w:val="21"/>
                <w:highlight w:val="none"/>
              </w:rPr>
              <w:t>88%</w:t>
            </w:r>
          </w:p>
        </w:tc>
      </w:tr>
      <w:tr>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454" w:hRule="atLeast"/>
          <w:tblHeader/>
          <w:jc w:val="center"/>
        </w:trPr>
        <w:tc>
          <w:tcPr>
            <w:tcW w:w="1704" w:type="dxa"/>
            <w:vAlign w:val="center"/>
          </w:tcPr>
          <w:p>
            <w:pPr>
              <w:pageBreakBefore w:val="0"/>
              <w:widowControl/>
              <w:kinsoku/>
              <w:wordWrap/>
              <w:overflowPunct/>
              <w:topLinePunct w:val="0"/>
              <w:autoSpaceDE/>
              <w:autoSpaceDN/>
              <w:bidi w:val="0"/>
              <w:adjustRightInd/>
              <w:snapToGrid/>
              <w:spacing w:line="560" w:lineRule="exact"/>
              <w:ind w:firstLine="0" w:firstLineChars="0"/>
              <w:jc w:val="center"/>
              <w:textAlignment w:val="auto"/>
              <w:rPr>
                <w:rFonts w:ascii="仿宋_GB2312" w:hAnsi="仿宋_GB2312" w:cs="仿宋_GB2312"/>
                <w:color w:val="auto"/>
                <w:kern w:val="0"/>
                <w:sz w:val="21"/>
                <w:szCs w:val="21"/>
                <w:highlight w:val="none"/>
              </w:rPr>
            </w:pPr>
            <w:r>
              <w:rPr>
                <w:rFonts w:hint="eastAsia" w:ascii="仿宋_GB2312" w:hAnsi="仿宋_GB2312" w:cs="仿宋_GB2312"/>
                <w:color w:val="auto"/>
                <w:kern w:val="0"/>
                <w:sz w:val="21"/>
                <w:szCs w:val="21"/>
                <w:highlight w:val="none"/>
              </w:rPr>
              <w:t>D类</w:t>
            </w:r>
          </w:p>
        </w:tc>
        <w:tc>
          <w:tcPr>
            <w:tcW w:w="1704" w:type="dxa"/>
            <w:vAlign w:val="center"/>
          </w:tcPr>
          <w:p>
            <w:pPr>
              <w:pageBreakBefore w:val="0"/>
              <w:widowControl/>
              <w:kinsoku/>
              <w:wordWrap/>
              <w:overflowPunct/>
              <w:topLinePunct w:val="0"/>
              <w:autoSpaceDE/>
              <w:autoSpaceDN/>
              <w:bidi w:val="0"/>
              <w:adjustRightInd/>
              <w:snapToGrid/>
              <w:spacing w:line="560" w:lineRule="exact"/>
              <w:ind w:firstLine="0" w:firstLineChars="0"/>
              <w:jc w:val="center"/>
              <w:textAlignment w:val="auto"/>
              <w:rPr>
                <w:rFonts w:ascii="仿宋_GB2312" w:hAnsi="仿宋_GB2312" w:cs="仿宋_GB2312"/>
                <w:color w:val="auto"/>
                <w:kern w:val="0"/>
                <w:sz w:val="21"/>
                <w:szCs w:val="21"/>
                <w:highlight w:val="none"/>
              </w:rPr>
            </w:pPr>
            <w:r>
              <w:rPr>
                <w:rFonts w:hint="eastAsia" w:ascii="仿宋_GB2312" w:hAnsi="仿宋_GB2312" w:cs="仿宋_GB2312"/>
                <w:color w:val="auto"/>
                <w:kern w:val="0"/>
                <w:sz w:val="21"/>
                <w:szCs w:val="21"/>
                <w:highlight w:val="none"/>
              </w:rPr>
              <w:t>297</w:t>
            </w:r>
          </w:p>
        </w:tc>
        <w:tc>
          <w:tcPr>
            <w:tcW w:w="1704" w:type="dxa"/>
            <w:vAlign w:val="center"/>
          </w:tcPr>
          <w:p>
            <w:pPr>
              <w:pageBreakBefore w:val="0"/>
              <w:widowControl/>
              <w:kinsoku/>
              <w:wordWrap/>
              <w:overflowPunct/>
              <w:topLinePunct w:val="0"/>
              <w:autoSpaceDE/>
              <w:autoSpaceDN/>
              <w:bidi w:val="0"/>
              <w:adjustRightInd/>
              <w:snapToGrid/>
              <w:spacing w:line="560" w:lineRule="exact"/>
              <w:ind w:firstLine="0" w:firstLineChars="0"/>
              <w:jc w:val="center"/>
              <w:textAlignment w:val="auto"/>
              <w:rPr>
                <w:rFonts w:ascii="仿宋_GB2312" w:hAnsi="仿宋_GB2312" w:cs="仿宋_GB2312"/>
                <w:color w:val="auto"/>
                <w:kern w:val="0"/>
                <w:sz w:val="21"/>
                <w:szCs w:val="21"/>
                <w:highlight w:val="none"/>
              </w:rPr>
            </w:pPr>
            <w:r>
              <w:rPr>
                <w:rFonts w:hint="eastAsia" w:ascii="仿宋_GB2312" w:hAnsi="仿宋_GB2312" w:cs="仿宋_GB2312"/>
                <w:color w:val="auto"/>
                <w:kern w:val="0"/>
                <w:sz w:val="21"/>
                <w:szCs w:val="21"/>
                <w:highlight w:val="none"/>
              </w:rPr>
              <w:t>115</w:t>
            </w:r>
          </w:p>
        </w:tc>
        <w:tc>
          <w:tcPr>
            <w:tcW w:w="1704" w:type="dxa"/>
            <w:vAlign w:val="center"/>
          </w:tcPr>
          <w:p>
            <w:pPr>
              <w:pageBreakBefore w:val="0"/>
              <w:widowControl/>
              <w:kinsoku/>
              <w:wordWrap/>
              <w:overflowPunct/>
              <w:topLinePunct w:val="0"/>
              <w:autoSpaceDE/>
              <w:autoSpaceDN/>
              <w:bidi w:val="0"/>
              <w:adjustRightInd/>
              <w:snapToGrid/>
              <w:spacing w:line="560" w:lineRule="exact"/>
              <w:ind w:firstLine="0" w:firstLineChars="0"/>
              <w:jc w:val="center"/>
              <w:textAlignment w:val="auto"/>
              <w:rPr>
                <w:rFonts w:ascii="仿宋_GB2312" w:hAnsi="仿宋_GB2312" w:cs="仿宋_GB2312"/>
                <w:color w:val="auto"/>
                <w:kern w:val="0"/>
                <w:sz w:val="21"/>
                <w:szCs w:val="21"/>
                <w:highlight w:val="none"/>
              </w:rPr>
            </w:pPr>
            <w:r>
              <w:rPr>
                <w:rFonts w:hint="eastAsia" w:ascii="仿宋_GB2312" w:hAnsi="仿宋_GB2312" w:cs="仿宋_GB2312"/>
                <w:color w:val="auto"/>
                <w:kern w:val="0"/>
                <w:sz w:val="21"/>
                <w:szCs w:val="21"/>
                <w:highlight w:val="none"/>
              </w:rPr>
              <w:t>16</w:t>
            </w:r>
          </w:p>
        </w:tc>
        <w:tc>
          <w:tcPr>
            <w:tcW w:w="1704" w:type="dxa"/>
            <w:vAlign w:val="center"/>
          </w:tcPr>
          <w:p>
            <w:pPr>
              <w:pageBreakBefore w:val="0"/>
              <w:widowControl/>
              <w:kinsoku/>
              <w:wordWrap/>
              <w:overflowPunct/>
              <w:topLinePunct w:val="0"/>
              <w:autoSpaceDE/>
              <w:autoSpaceDN/>
              <w:bidi w:val="0"/>
              <w:adjustRightInd/>
              <w:snapToGrid/>
              <w:spacing w:line="560" w:lineRule="exact"/>
              <w:ind w:firstLine="0" w:firstLineChars="0"/>
              <w:jc w:val="center"/>
              <w:textAlignment w:val="auto"/>
              <w:rPr>
                <w:rFonts w:ascii="仿宋_GB2312" w:hAnsi="仿宋_GB2312" w:cs="仿宋_GB2312"/>
                <w:color w:val="auto"/>
                <w:kern w:val="0"/>
                <w:sz w:val="21"/>
                <w:szCs w:val="21"/>
                <w:highlight w:val="none"/>
              </w:rPr>
            </w:pPr>
            <w:r>
              <w:rPr>
                <w:rFonts w:hint="eastAsia" w:ascii="仿宋_GB2312" w:hAnsi="仿宋_GB2312" w:cs="仿宋_GB2312"/>
                <w:color w:val="auto"/>
                <w:kern w:val="0"/>
                <w:sz w:val="21"/>
                <w:szCs w:val="21"/>
                <w:highlight w:val="none"/>
              </w:rPr>
              <w:t>69%</w:t>
            </w:r>
          </w:p>
        </w:tc>
      </w:tr>
      <w:tr>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454" w:hRule="atLeast"/>
          <w:tblHeader/>
          <w:jc w:val="center"/>
        </w:trPr>
        <w:tc>
          <w:tcPr>
            <w:tcW w:w="1704" w:type="dxa"/>
            <w:vAlign w:val="center"/>
          </w:tcPr>
          <w:p>
            <w:pPr>
              <w:pageBreakBefore w:val="0"/>
              <w:widowControl/>
              <w:kinsoku/>
              <w:wordWrap/>
              <w:overflowPunct/>
              <w:topLinePunct w:val="0"/>
              <w:autoSpaceDE/>
              <w:autoSpaceDN/>
              <w:bidi w:val="0"/>
              <w:adjustRightInd/>
              <w:snapToGrid/>
              <w:spacing w:line="560" w:lineRule="exact"/>
              <w:ind w:firstLine="0" w:firstLineChars="0"/>
              <w:jc w:val="center"/>
              <w:textAlignment w:val="auto"/>
              <w:rPr>
                <w:rFonts w:ascii="仿宋_GB2312" w:hAnsi="仿宋_GB2312" w:cs="仿宋_GB2312"/>
                <w:color w:val="auto"/>
                <w:kern w:val="0"/>
                <w:sz w:val="21"/>
                <w:szCs w:val="21"/>
                <w:highlight w:val="none"/>
              </w:rPr>
            </w:pPr>
            <w:r>
              <w:rPr>
                <w:rFonts w:hint="eastAsia" w:ascii="仿宋_GB2312" w:hAnsi="仿宋_GB2312" w:cs="仿宋_GB2312"/>
                <w:color w:val="auto"/>
                <w:kern w:val="0"/>
                <w:sz w:val="21"/>
                <w:szCs w:val="21"/>
                <w:highlight w:val="none"/>
              </w:rPr>
              <w:t>合计</w:t>
            </w:r>
          </w:p>
        </w:tc>
        <w:tc>
          <w:tcPr>
            <w:tcW w:w="1704" w:type="dxa"/>
            <w:vAlign w:val="center"/>
          </w:tcPr>
          <w:p>
            <w:pPr>
              <w:pageBreakBefore w:val="0"/>
              <w:widowControl/>
              <w:kinsoku/>
              <w:wordWrap/>
              <w:overflowPunct/>
              <w:topLinePunct w:val="0"/>
              <w:autoSpaceDE/>
              <w:autoSpaceDN/>
              <w:bidi w:val="0"/>
              <w:adjustRightInd/>
              <w:snapToGrid/>
              <w:spacing w:line="560" w:lineRule="exact"/>
              <w:ind w:firstLine="0" w:firstLineChars="0"/>
              <w:jc w:val="center"/>
              <w:textAlignment w:val="auto"/>
              <w:rPr>
                <w:rFonts w:ascii="仿宋_GB2312" w:hAnsi="仿宋_GB2312" w:cs="仿宋_GB2312"/>
                <w:color w:val="auto"/>
                <w:kern w:val="0"/>
                <w:sz w:val="21"/>
                <w:szCs w:val="21"/>
                <w:highlight w:val="none"/>
              </w:rPr>
            </w:pPr>
            <w:r>
              <w:rPr>
                <w:rFonts w:hint="eastAsia" w:ascii="仿宋_GB2312" w:hAnsi="仿宋_GB2312" w:cs="仿宋_GB2312"/>
                <w:color w:val="auto"/>
                <w:kern w:val="0"/>
                <w:sz w:val="21"/>
                <w:szCs w:val="21"/>
                <w:highlight w:val="none"/>
              </w:rPr>
              <w:t>354</w:t>
            </w:r>
          </w:p>
        </w:tc>
        <w:tc>
          <w:tcPr>
            <w:tcW w:w="1704" w:type="dxa"/>
            <w:vAlign w:val="center"/>
          </w:tcPr>
          <w:p>
            <w:pPr>
              <w:pageBreakBefore w:val="0"/>
              <w:widowControl/>
              <w:kinsoku/>
              <w:wordWrap/>
              <w:overflowPunct/>
              <w:topLinePunct w:val="0"/>
              <w:autoSpaceDE/>
              <w:autoSpaceDN/>
              <w:bidi w:val="0"/>
              <w:adjustRightInd/>
              <w:snapToGrid/>
              <w:spacing w:line="560" w:lineRule="exact"/>
              <w:ind w:firstLine="0" w:firstLineChars="0"/>
              <w:jc w:val="center"/>
              <w:textAlignment w:val="auto"/>
              <w:rPr>
                <w:rFonts w:ascii="仿宋_GB2312" w:hAnsi="仿宋_GB2312" w:cs="仿宋_GB2312"/>
                <w:color w:val="auto"/>
                <w:kern w:val="0"/>
                <w:sz w:val="21"/>
                <w:szCs w:val="21"/>
                <w:highlight w:val="none"/>
              </w:rPr>
            </w:pPr>
            <w:r>
              <w:rPr>
                <w:rFonts w:hint="eastAsia" w:ascii="仿宋_GB2312" w:hAnsi="仿宋_GB2312" w:cs="仿宋_GB2312"/>
                <w:color w:val="auto"/>
                <w:kern w:val="0"/>
                <w:sz w:val="21"/>
                <w:szCs w:val="21"/>
                <w:highlight w:val="none"/>
              </w:rPr>
              <w:t>128</w:t>
            </w:r>
          </w:p>
        </w:tc>
        <w:tc>
          <w:tcPr>
            <w:tcW w:w="1704" w:type="dxa"/>
            <w:vAlign w:val="center"/>
          </w:tcPr>
          <w:p>
            <w:pPr>
              <w:pageBreakBefore w:val="0"/>
              <w:widowControl/>
              <w:kinsoku/>
              <w:wordWrap/>
              <w:overflowPunct/>
              <w:topLinePunct w:val="0"/>
              <w:autoSpaceDE/>
              <w:autoSpaceDN/>
              <w:bidi w:val="0"/>
              <w:adjustRightInd/>
              <w:snapToGrid/>
              <w:spacing w:line="560" w:lineRule="exact"/>
              <w:ind w:firstLine="0" w:firstLineChars="0"/>
              <w:jc w:val="center"/>
              <w:textAlignment w:val="auto"/>
              <w:rPr>
                <w:rFonts w:ascii="仿宋_GB2312" w:hAnsi="仿宋_GB2312" w:cs="仿宋_GB2312"/>
                <w:color w:val="auto"/>
                <w:kern w:val="0"/>
                <w:sz w:val="21"/>
                <w:szCs w:val="21"/>
                <w:highlight w:val="none"/>
              </w:rPr>
            </w:pPr>
            <w:r>
              <w:rPr>
                <w:rFonts w:hint="eastAsia" w:ascii="仿宋_GB2312" w:hAnsi="仿宋_GB2312" w:cs="仿宋_GB2312"/>
                <w:color w:val="auto"/>
                <w:kern w:val="0"/>
                <w:sz w:val="21"/>
                <w:szCs w:val="21"/>
                <w:highlight w:val="none"/>
              </w:rPr>
              <w:t>20</w:t>
            </w:r>
          </w:p>
        </w:tc>
        <w:tc>
          <w:tcPr>
            <w:tcW w:w="1704" w:type="dxa"/>
            <w:vAlign w:val="center"/>
          </w:tcPr>
          <w:p>
            <w:pPr>
              <w:pageBreakBefore w:val="0"/>
              <w:widowControl/>
              <w:kinsoku/>
              <w:wordWrap/>
              <w:overflowPunct/>
              <w:topLinePunct w:val="0"/>
              <w:autoSpaceDE/>
              <w:autoSpaceDN/>
              <w:bidi w:val="0"/>
              <w:adjustRightInd/>
              <w:snapToGrid/>
              <w:spacing w:line="560" w:lineRule="exact"/>
              <w:ind w:firstLine="0" w:firstLineChars="0"/>
              <w:jc w:val="center"/>
              <w:textAlignment w:val="auto"/>
              <w:rPr>
                <w:rFonts w:ascii="仿宋_GB2312" w:hAnsi="仿宋_GB2312" w:cs="仿宋_GB2312"/>
                <w:color w:val="auto"/>
                <w:kern w:val="0"/>
                <w:sz w:val="21"/>
                <w:szCs w:val="21"/>
                <w:highlight w:val="none"/>
              </w:rPr>
            </w:pPr>
            <w:r>
              <w:rPr>
                <w:rFonts w:hint="eastAsia" w:ascii="仿宋_GB2312" w:hAnsi="仿宋_GB2312" w:cs="仿宋_GB2312"/>
                <w:color w:val="auto"/>
                <w:kern w:val="0"/>
                <w:sz w:val="21"/>
                <w:szCs w:val="21"/>
                <w:highlight w:val="none"/>
              </w:rPr>
              <w:t>71%</w:t>
            </w:r>
          </w:p>
        </w:tc>
      </w:tr>
    </w:tbl>
    <w:p>
      <w:pPr>
        <w:pageBreakBefore w:val="0"/>
        <w:kinsoku/>
        <w:wordWrap/>
        <w:overflowPunct/>
        <w:topLinePunct w:val="0"/>
        <w:autoSpaceDE/>
        <w:autoSpaceDN/>
        <w:bidi w:val="0"/>
        <w:adjustRightInd/>
        <w:snapToGrid/>
        <w:spacing w:line="560" w:lineRule="exact"/>
        <w:ind w:firstLine="562"/>
        <w:textAlignment w:val="auto"/>
        <w:rPr>
          <w:rFonts w:ascii="仿宋_GB2312" w:hAnsi="仿宋_GB2312" w:cs="仿宋_GB2312"/>
          <w:b/>
          <w:bCs/>
          <w:color w:val="auto"/>
          <w:highlight w:val="none"/>
        </w:rPr>
      </w:pPr>
      <w:r>
        <w:rPr>
          <w:rFonts w:hint="eastAsia" w:ascii="仿宋_GB2312" w:hAnsi="仿宋_GB2312" w:cs="仿宋_GB2312"/>
          <w:b/>
          <w:bCs/>
          <w:color w:val="auto"/>
          <w:highlight w:val="none"/>
          <w:lang w:val="en-US" w:eastAsia="zh-CN"/>
        </w:rPr>
        <w:t>2.</w:t>
      </w:r>
      <w:r>
        <w:rPr>
          <w:rFonts w:hint="eastAsia" w:ascii="仿宋_GB2312" w:hAnsi="仿宋_GB2312" w:cs="仿宋_GB2312"/>
          <w:b/>
          <w:bCs/>
          <w:color w:val="auto"/>
          <w:highlight w:val="none"/>
        </w:rPr>
        <w:t>问卷调查。</w:t>
      </w:r>
    </w:p>
    <w:p>
      <w:pPr>
        <w:pageBreakBefore w:val="0"/>
        <w:kinsoku/>
        <w:wordWrap/>
        <w:overflowPunct/>
        <w:topLinePunct w:val="0"/>
        <w:autoSpaceDE/>
        <w:autoSpaceDN/>
        <w:bidi w:val="0"/>
        <w:adjustRightInd/>
        <w:snapToGrid/>
        <w:spacing w:line="560" w:lineRule="exact"/>
        <w:ind w:firstLine="640" w:firstLineChars="200"/>
        <w:textAlignment w:val="auto"/>
        <w:rPr>
          <w:rFonts w:hint="eastAsia" w:ascii="仿宋_GB2312" w:eastAsia="仿宋_GB2312"/>
          <w:sz w:val="32"/>
          <w:szCs w:val="32"/>
          <w:lang w:bidi="en-US"/>
        </w:rPr>
      </w:pPr>
      <w:r>
        <w:rPr>
          <w:rFonts w:hint="eastAsia" w:ascii="仿宋_GB2312" w:eastAsia="仿宋_GB2312"/>
          <w:sz w:val="32"/>
          <w:szCs w:val="32"/>
          <w:lang w:bidi="en-US"/>
        </w:rPr>
        <w:t>本次</w:t>
      </w:r>
      <w:r>
        <w:rPr>
          <w:rFonts w:hint="eastAsia" w:ascii="仿宋_GB2312" w:eastAsia="仿宋_GB2312"/>
          <w:sz w:val="32"/>
          <w:szCs w:val="32"/>
          <w:lang w:val="en-US" w:eastAsia="zh-CN" w:bidi="en-US"/>
        </w:rPr>
        <w:t>现场及评价人员电话调查</w:t>
      </w:r>
      <w:r>
        <w:rPr>
          <w:rFonts w:hint="eastAsia" w:ascii="仿宋_GB2312" w:eastAsia="仿宋_GB2312"/>
          <w:sz w:val="32"/>
          <w:szCs w:val="32"/>
          <w:lang w:bidi="en-US"/>
        </w:rPr>
        <w:t>收回有效调查问卷700份。</w:t>
      </w:r>
    </w:p>
    <w:p>
      <w:pPr>
        <w:pageBreakBefore w:val="0"/>
        <w:kinsoku/>
        <w:wordWrap/>
        <w:overflowPunct/>
        <w:topLinePunct w:val="0"/>
        <w:autoSpaceDE/>
        <w:autoSpaceDN/>
        <w:bidi w:val="0"/>
        <w:adjustRightInd/>
        <w:snapToGrid/>
        <w:spacing w:line="560" w:lineRule="exact"/>
        <w:ind w:firstLine="640" w:firstLineChars="200"/>
        <w:textAlignment w:val="auto"/>
        <w:rPr>
          <w:rFonts w:hint="eastAsia" w:ascii="仿宋_GB2312" w:eastAsia="仿宋_GB2312"/>
          <w:sz w:val="32"/>
          <w:szCs w:val="32"/>
          <w:lang w:bidi="en-US"/>
        </w:rPr>
      </w:pPr>
      <w:r>
        <w:rPr>
          <w:rFonts w:hint="eastAsia" w:ascii="仿宋_GB2312" w:eastAsia="仿宋_GB2312"/>
          <w:sz w:val="32"/>
          <w:szCs w:val="32"/>
          <w:lang w:eastAsia="zh-CN" w:bidi="en-US"/>
        </w:rPr>
        <w:t>（</w:t>
      </w:r>
      <w:r>
        <w:rPr>
          <w:rFonts w:hint="eastAsia" w:ascii="仿宋_GB2312" w:eastAsia="仿宋_GB2312"/>
          <w:sz w:val="32"/>
          <w:szCs w:val="32"/>
          <w:lang w:val="en-US" w:eastAsia="zh-CN" w:bidi="en-US"/>
        </w:rPr>
        <w:t>1</w:t>
      </w:r>
      <w:r>
        <w:rPr>
          <w:rFonts w:hint="eastAsia" w:ascii="仿宋_GB2312" w:eastAsia="仿宋_GB2312"/>
          <w:sz w:val="32"/>
          <w:szCs w:val="32"/>
          <w:lang w:eastAsia="zh-CN" w:bidi="en-US"/>
        </w:rPr>
        <w:t>）</w:t>
      </w:r>
      <w:r>
        <w:rPr>
          <w:rFonts w:hint="eastAsia" w:ascii="仿宋_GB2312" w:eastAsia="仿宋_GB2312"/>
          <w:sz w:val="32"/>
          <w:szCs w:val="32"/>
          <w:lang w:bidi="en-US"/>
        </w:rPr>
        <w:t>助餐服务600份，94.67%的被服务对象表示对服务机构提供的服务表示满意。</w:t>
      </w:r>
    </w:p>
    <w:p>
      <w:pPr>
        <w:pageBreakBefore w:val="0"/>
        <w:kinsoku/>
        <w:wordWrap/>
        <w:overflowPunct/>
        <w:topLinePunct w:val="0"/>
        <w:autoSpaceDE/>
        <w:autoSpaceDN/>
        <w:bidi w:val="0"/>
        <w:adjustRightInd/>
        <w:snapToGrid/>
        <w:spacing w:line="560" w:lineRule="exact"/>
        <w:ind w:firstLine="640" w:firstLineChars="200"/>
        <w:textAlignment w:val="auto"/>
        <w:rPr>
          <w:rFonts w:hint="eastAsia" w:ascii="仿宋_GB2312" w:eastAsia="仿宋_GB2312"/>
          <w:sz w:val="32"/>
          <w:szCs w:val="32"/>
          <w:lang w:bidi="en-US"/>
        </w:rPr>
      </w:pPr>
      <w:r>
        <w:rPr>
          <w:rFonts w:hint="eastAsia" w:ascii="仿宋_GB2312" w:eastAsia="仿宋_GB2312"/>
          <w:sz w:val="32"/>
          <w:szCs w:val="32"/>
          <w:lang w:eastAsia="zh-CN" w:bidi="en-US"/>
        </w:rPr>
        <w:t>（</w:t>
      </w:r>
      <w:r>
        <w:rPr>
          <w:rFonts w:hint="eastAsia" w:ascii="仿宋_GB2312" w:eastAsia="仿宋_GB2312"/>
          <w:sz w:val="32"/>
          <w:szCs w:val="32"/>
          <w:lang w:val="en-US" w:eastAsia="zh-CN" w:bidi="en-US"/>
        </w:rPr>
        <w:t>2</w:t>
      </w:r>
      <w:r>
        <w:rPr>
          <w:rFonts w:hint="eastAsia" w:ascii="仿宋_GB2312" w:eastAsia="仿宋_GB2312"/>
          <w:sz w:val="32"/>
          <w:szCs w:val="32"/>
          <w:lang w:eastAsia="zh-CN" w:bidi="en-US"/>
        </w:rPr>
        <w:t>）</w:t>
      </w:r>
      <w:r>
        <w:rPr>
          <w:rFonts w:hint="eastAsia" w:ascii="仿宋_GB2312" w:eastAsia="仿宋_GB2312"/>
          <w:sz w:val="32"/>
          <w:szCs w:val="32"/>
          <w:lang w:bidi="en-US"/>
        </w:rPr>
        <w:t>助洁服务60份，被服务对象</w:t>
      </w:r>
      <w:r>
        <w:rPr>
          <w:rFonts w:hint="eastAsia" w:ascii="仿宋_GB2312" w:eastAsia="仿宋_GB2312"/>
          <w:sz w:val="32"/>
          <w:szCs w:val="32"/>
          <w:lang w:val="en-US" w:eastAsia="zh-CN" w:bidi="en-US"/>
        </w:rPr>
        <w:t>均</w:t>
      </w:r>
      <w:r>
        <w:rPr>
          <w:rFonts w:hint="eastAsia" w:ascii="仿宋_GB2312" w:eastAsia="仿宋_GB2312"/>
          <w:sz w:val="32"/>
          <w:szCs w:val="32"/>
          <w:lang w:bidi="en-US"/>
        </w:rPr>
        <w:t>表示对服务机构提供的服务表示满意。</w:t>
      </w:r>
    </w:p>
    <w:p>
      <w:pPr>
        <w:pageBreakBefore w:val="0"/>
        <w:kinsoku/>
        <w:wordWrap/>
        <w:overflowPunct/>
        <w:topLinePunct w:val="0"/>
        <w:autoSpaceDE/>
        <w:autoSpaceDN/>
        <w:bidi w:val="0"/>
        <w:adjustRightInd/>
        <w:snapToGrid/>
        <w:spacing w:line="560" w:lineRule="exact"/>
        <w:ind w:firstLine="640" w:firstLineChars="200"/>
        <w:textAlignment w:val="auto"/>
        <w:rPr>
          <w:rFonts w:hint="eastAsia" w:ascii="仿宋_GB2312" w:eastAsia="仿宋_GB2312"/>
          <w:sz w:val="32"/>
          <w:szCs w:val="32"/>
          <w:lang w:bidi="en-US"/>
        </w:rPr>
      </w:pPr>
      <w:r>
        <w:rPr>
          <w:rFonts w:hint="eastAsia" w:ascii="仿宋_GB2312" w:eastAsia="仿宋_GB2312"/>
          <w:sz w:val="32"/>
          <w:szCs w:val="32"/>
          <w:lang w:eastAsia="zh-CN" w:bidi="en-US"/>
        </w:rPr>
        <w:t>（</w:t>
      </w:r>
      <w:r>
        <w:rPr>
          <w:rFonts w:hint="eastAsia" w:ascii="仿宋_GB2312" w:eastAsia="仿宋_GB2312"/>
          <w:sz w:val="32"/>
          <w:szCs w:val="32"/>
          <w:lang w:val="en-US" w:eastAsia="zh-CN" w:bidi="en-US"/>
        </w:rPr>
        <w:t>3</w:t>
      </w:r>
      <w:r>
        <w:rPr>
          <w:rFonts w:hint="eastAsia" w:ascii="仿宋_GB2312" w:eastAsia="仿宋_GB2312"/>
          <w:sz w:val="32"/>
          <w:szCs w:val="32"/>
          <w:lang w:eastAsia="zh-CN" w:bidi="en-US"/>
        </w:rPr>
        <w:t>）</w:t>
      </w:r>
      <w:r>
        <w:rPr>
          <w:rFonts w:hint="eastAsia" w:ascii="仿宋_GB2312" w:eastAsia="仿宋_GB2312"/>
          <w:sz w:val="32"/>
          <w:szCs w:val="32"/>
          <w:lang w:bidi="en-US"/>
        </w:rPr>
        <w:t>助浴服务40份，97.5%的被服务对象表示对服务机构提供的服务表示满意。</w:t>
      </w:r>
    </w:p>
    <w:p>
      <w:pPr>
        <w:pageBreakBefore w:val="0"/>
        <w:kinsoku/>
        <w:wordWrap/>
        <w:overflowPunct/>
        <w:topLinePunct w:val="0"/>
        <w:autoSpaceDE/>
        <w:autoSpaceDN/>
        <w:bidi w:val="0"/>
        <w:adjustRightInd/>
        <w:snapToGrid/>
        <w:spacing w:line="560" w:lineRule="exact"/>
        <w:ind w:firstLine="640" w:firstLineChars="200"/>
        <w:textAlignment w:val="auto"/>
        <w:rPr>
          <w:rFonts w:hint="eastAsia" w:ascii="仿宋_GB2312" w:eastAsia="仿宋_GB2312"/>
          <w:sz w:val="32"/>
          <w:szCs w:val="32"/>
          <w:lang w:eastAsia="zh-CN" w:bidi="en-US"/>
        </w:rPr>
      </w:pPr>
      <w:r>
        <w:rPr>
          <w:rFonts w:hint="eastAsia" w:ascii="仿宋_GB2312" w:eastAsia="仿宋_GB2312"/>
          <w:sz w:val="32"/>
          <w:szCs w:val="32"/>
          <w:lang w:bidi="en-US"/>
        </w:rPr>
        <w:t>通过对线上、线下两种方式收集的调查问卷进行分析，获知大部分被服务对象对服务机构的服务质量表示满意。调查问卷满意度95%</w:t>
      </w:r>
      <w:r>
        <w:rPr>
          <w:rFonts w:hint="eastAsia" w:ascii="仿宋_GB2312" w:eastAsia="仿宋_GB2312"/>
          <w:sz w:val="32"/>
          <w:szCs w:val="32"/>
          <w:lang w:eastAsia="zh-CN" w:bidi="en-US"/>
        </w:rPr>
        <w:t>。</w:t>
      </w:r>
    </w:p>
    <w:p>
      <w:pPr>
        <w:pageBreakBefore w:val="0"/>
        <w:kinsoku/>
        <w:wordWrap/>
        <w:overflowPunct/>
        <w:topLinePunct w:val="0"/>
        <w:autoSpaceDE/>
        <w:autoSpaceDN/>
        <w:bidi w:val="0"/>
        <w:adjustRightInd/>
        <w:snapToGrid/>
        <w:spacing w:line="560" w:lineRule="exact"/>
        <w:ind w:firstLine="640" w:firstLineChars="200"/>
        <w:textAlignment w:val="auto"/>
        <w:rPr>
          <w:rFonts w:hint="eastAsia" w:ascii="仿宋_GB2312" w:eastAsia="仿宋_GB2312"/>
          <w:sz w:val="32"/>
          <w:szCs w:val="32"/>
          <w:lang w:bidi="en-US"/>
        </w:rPr>
      </w:pPr>
      <w:r>
        <w:rPr>
          <w:rFonts w:hint="eastAsia" w:ascii="仿宋_GB2312" w:eastAsia="仿宋_GB2312"/>
          <w:sz w:val="32"/>
          <w:szCs w:val="32"/>
          <w:lang w:bidi="en-US"/>
        </w:rPr>
        <w:t>综上所述，2023年威海市文登区社区居家养老服务项目综合满意度为85%，计算公式如下：</w:t>
      </w:r>
    </w:p>
    <w:p>
      <w:pPr>
        <w:pageBreakBefore w:val="0"/>
        <w:kinsoku/>
        <w:wordWrap/>
        <w:overflowPunct/>
        <w:topLinePunct w:val="0"/>
        <w:autoSpaceDE/>
        <w:autoSpaceDN/>
        <w:bidi w:val="0"/>
        <w:adjustRightInd/>
        <w:snapToGrid/>
        <w:spacing w:line="560" w:lineRule="exact"/>
        <w:ind w:firstLine="640" w:firstLineChars="200"/>
        <w:textAlignment w:val="auto"/>
        <w:rPr>
          <w:rFonts w:hint="eastAsia" w:ascii="仿宋_GB2312" w:eastAsia="仿宋_GB2312"/>
          <w:sz w:val="32"/>
          <w:szCs w:val="32"/>
          <w:lang w:bidi="en-US"/>
        </w:rPr>
      </w:pPr>
      <w:r>
        <w:rPr>
          <w:rFonts w:hint="eastAsia" w:ascii="仿宋_GB2312" w:eastAsia="仿宋_GB2312"/>
          <w:sz w:val="32"/>
          <w:szCs w:val="32"/>
          <w:lang w:bidi="en-US"/>
        </w:rPr>
        <w:t>综合满意度＝（“6012349”有效回访满意条数+有效调查问卷满意份数）/（“6012349”有效回访总条数+有效调查问卷总份数）。</w:t>
      </w:r>
    </w:p>
    <w:p>
      <w:pPr>
        <w:pageBreakBefore w:val="0"/>
        <w:kinsoku/>
        <w:wordWrap/>
        <w:overflowPunct/>
        <w:topLinePunct w:val="0"/>
        <w:autoSpaceDE/>
        <w:autoSpaceDN/>
        <w:bidi w:val="0"/>
        <w:adjustRightInd/>
        <w:snapToGrid/>
        <w:spacing w:line="560" w:lineRule="exact"/>
        <w:ind w:firstLine="562"/>
        <w:textAlignment w:val="auto"/>
        <w:rPr>
          <w:rFonts w:ascii="仿宋_GB2312" w:hAnsi="仿宋_GB2312" w:cs="仿宋_GB2312"/>
          <w:color w:val="auto"/>
          <w:highlight w:val="none"/>
        </w:rPr>
      </w:pPr>
      <w:r>
        <w:rPr>
          <w:rFonts w:hint="eastAsia" w:ascii="仿宋_GB2312" w:hAnsi="仿宋_GB2312" w:cs="仿宋_GB2312"/>
          <w:b/>
          <w:bCs/>
          <w:color w:val="auto"/>
          <w:highlight w:val="none"/>
          <w:lang w:eastAsia="zh-CN"/>
        </w:rPr>
        <w:t>（</w:t>
      </w:r>
      <w:r>
        <w:rPr>
          <w:rFonts w:hint="eastAsia" w:ascii="仿宋_GB2312" w:hAnsi="仿宋_GB2312" w:cs="仿宋_GB2312"/>
          <w:b/>
          <w:bCs/>
          <w:color w:val="auto"/>
          <w:highlight w:val="none"/>
          <w:lang w:val="en-US" w:eastAsia="zh-CN"/>
        </w:rPr>
        <w:t>五</w:t>
      </w:r>
      <w:r>
        <w:rPr>
          <w:rFonts w:hint="eastAsia" w:ascii="仿宋_GB2312" w:hAnsi="仿宋_GB2312" w:cs="仿宋_GB2312"/>
          <w:b/>
          <w:bCs/>
          <w:color w:val="auto"/>
          <w:highlight w:val="none"/>
          <w:lang w:eastAsia="zh-CN"/>
        </w:rPr>
        <w:t>）</w:t>
      </w:r>
      <w:r>
        <w:rPr>
          <w:rFonts w:hint="eastAsia" w:ascii="仿宋_GB2312" w:hAnsi="仿宋_GB2312" w:cs="仿宋_GB2312"/>
          <w:b/>
          <w:bCs/>
          <w:color w:val="auto"/>
          <w:highlight w:val="none"/>
        </w:rPr>
        <w:t>服务机构助餐服务餐食质量</w:t>
      </w:r>
      <w:r>
        <w:rPr>
          <w:rFonts w:hint="eastAsia" w:ascii="仿宋_GB2312" w:hAnsi="仿宋_GB2312" w:cs="仿宋_GB2312"/>
          <w:b/>
          <w:bCs/>
          <w:color w:val="auto"/>
          <w:highlight w:val="none"/>
          <w:lang w:val="en-US" w:eastAsia="zh-CN"/>
        </w:rPr>
        <w:t>未达到</w:t>
      </w:r>
      <w:r>
        <w:rPr>
          <w:rFonts w:hint="eastAsia" w:ascii="仿宋_GB2312" w:hAnsi="仿宋_GB2312" w:cs="仿宋_GB2312"/>
          <w:b/>
          <w:bCs/>
          <w:color w:val="auto"/>
          <w:highlight w:val="none"/>
        </w:rPr>
        <w:t>标准</w:t>
      </w:r>
      <w:r>
        <w:rPr>
          <w:rFonts w:hint="eastAsia" w:ascii="仿宋_GB2312" w:hAnsi="仿宋_GB2312" w:cs="仿宋_GB2312"/>
          <w:b/>
          <w:bCs/>
          <w:color w:val="auto"/>
          <w:highlight w:val="none"/>
          <w:lang w:val="en-US" w:eastAsia="zh-CN"/>
        </w:rPr>
        <w:t>要求</w:t>
      </w:r>
      <w:r>
        <w:rPr>
          <w:rFonts w:hint="eastAsia" w:ascii="仿宋_GB2312" w:hAnsi="仿宋_GB2312" w:cs="仿宋_GB2312"/>
          <w:b/>
          <w:bCs/>
          <w:color w:val="auto"/>
          <w:highlight w:val="none"/>
        </w:rPr>
        <w:t>。</w:t>
      </w:r>
    </w:p>
    <w:p>
      <w:pPr>
        <w:pageBreakBefore w:val="0"/>
        <w:kinsoku/>
        <w:wordWrap/>
        <w:overflowPunct/>
        <w:topLinePunct w:val="0"/>
        <w:autoSpaceDE/>
        <w:autoSpaceDN/>
        <w:bidi w:val="0"/>
        <w:adjustRightInd/>
        <w:snapToGrid/>
        <w:spacing w:line="560" w:lineRule="exact"/>
        <w:ind w:firstLine="560"/>
        <w:textAlignment w:val="auto"/>
        <w:rPr>
          <w:rFonts w:ascii="仿宋_GB2312" w:hAnsi="仿宋_GB2312" w:cs="仿宋_GB2312"/>
          <w:color w:val="auto"/>
          <w:highlight w:val="none"/>
        </w:rPr>
      </w:pPr>
      <w:r>
        <w:rPr>
          <w:rFonts w:hint="eastAsia" w:ascii="仿宋_GB2312" w:eastAsia="仿宋_GB2312"/>
          <w:sz w:val="32"/>
          <w:szCs w:val="32"/>
          <w:lang w:bidi="en-US"/>
        </w:rPr>
        <w:t>助餐服务中被服务人员反馈最多的问题就是餐食的质量问题。根据服务机构的反馈，助餐服务整体成本中原料成本为：海泰物业8.3元/人/天、瑞云祥7.6元/人/天、</w:t>
      </w:r>
      <w:r>
        <w:rPr>
          <w:rFonts w:hint="eastAsia" w:ascii="仿宋_GB2312" w:eastAsia="仿宋_GB2312"/>
          <w:sz w:val="32"/>
          <w:szCs w:val="32"/>
          <w:lang w:eastAsia="zh-CN" w:bidi="en-US"/>
        </w:rPr>
        <w:t>昆嵛老年公寓</w:t>
      </w:r>
      <w:r>
        <w:rPr>
          <w:rFonts w:hint="eastAsia" w:ascii="仿宋_GB2312" w:eastAsia="仿宋_GB2312"/>
          <w:sz w:val="32"/>
          <w:szCs w:val="32"/>
          <w:lang w:bidi="en-US"/>
        </w:rPr>
        <w:t>6.15元/人/天。但在现场走访的过程中，发现实际配送的餐食质量并没有达到服务机构所列的标准，经了解发现这一情况的主要原因是服务机构资金压力过大，为控制成本而削减了实际原料成本投入导致。</w:t>
      </w:r>
      <w:r>
        <w:rPr>
          <w:rFonts w:hint="eastAsia" w:ascii="仿宋_GB2312" w:eastAsia="仿宋_GB2312"/>
          <w:sz w:val="32"/>
          <w:szCs w:val="32"/>
          <w:lang w:val="en-US" w:eastAsia="zh-CN" w:bidi="en-US"/>
        </w:rPr>
        <w:t>具体见下表：</w:t>
      </w:r>
    </w:p>
    <w:p>
      <w:pPr>
        <w:pageBreakBefore w:val="0"/>
        <w:kinsoku/>
        <w:wordWrap/>
        <w:overflowPunct/>
        <w:topLinePunct w:val="0"/>
        <w:autoSpaceDE/>
        <w:autoSpaceDN/>
        <w:bidi w:val="0"/>
        <w:adjustRightInd/>
        <w:snapToGrid/>
        <w:spacing w:line="560" w:lineRule="exact"/>
        <w:ind w:firstLine="562"/>
        <w:jc w:val="center"/>
        <w:textAlignment w:val="auto"/>
        <w:rPr>
          <w:rFonts w:ascii="仿宋_GB2312" w:hAnsi="仿宋_GB2312" w:cs="仿宋_GB2312"/>
          <w:b/>
          <w:bCs/>
          <w:color w:val="auto"/>
          <w:highlight w:val="none"/>
        </w:rPr>
      </w:pPr>
      <w:r>
        <w:rPr>
          <w:rFonts w:hint="eastAsia" w:ascii="仿宋_GB2312" w:hAnsi="仿宋_GB2312" w:cs="仿宋_GB2312"/>
          <w:b/>
          <w:bCs/>
          <w:color w:val="auto"/>
          <w:highlight w:val="none"/>
        </w:rPr>
        <w:t>服务机构助餐服务成本明细表</w:t>
      </w:r>
    </w:p>
    <w:tbl>
      <w:tblPr>
        <w:tblStyle w:val="19"/>
        <w:tblW w:w="8489" w:type="dxa"/>
        <w:jc w:val="center"/>
        <w:tblBorders>
          <w:top w:val="single" w:color="auto" w:sz="8" w:space="0"/>
          <w:left w:val="none" w:color="auto" w:sz="0" w:space="0"/>
          <w:bottom w:val="single" w:color="auto" w:sz="8" w:space="0"/>
          <w:right w:val="none" w:color="auto" w:sz="0" w:space="0"/>
          <w:insideH w:val="single" w:color="auto" w:sz="4" w:space="0"/>
          <w:insideV w:val="single" w:color="auto" w:sz="4" w:space="0"/>
        </w:tblBorders>
        <w:tblLayout w:type="autofit"/>
        <w:tblCellMar>
          <w:top w:w="0" w:type="dxa"/>
          <w:left w:w="108" w:type="dxa"/>
          <w:bottom w:w="0" w:type="dxa"/>
          <w:right w:w="108" w:type="dxa"/>
        </w:tblCellMar>
      </w:tblPr>
      <w:tblGrid>
        <w:gridCol w:w="1697"/>
        <w:gridCol w:w="1698"/>
        <w:gridCol w:w="1698"/>
        <w:gridCol w:w="1698"/>
        <w:gridCol w:w="1698"/>
      </w:tblGrid>
      <w:tr>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454" w:hRule="atLeast"/>
          <w:tblHeader/>
          <w:jc w:val="center"/>
        </w:trPr>
        <w:tc>
          <w:tcPr>
            <w:tcW w:w="1701" w:type="dxa"/>
            <w:shd w:val="clear" w:color="auto" w:fill="auto"/>
            <w:vAlign w:val="center"/>
          </w:tcPr>
          <w:p>
            <w:pPr>
              <w:pageBreakBefore w:val="0"/>
              <w:widowControl/>
              <w:kinsoku/>
              <w:wordWrap/>
              <w:overflowPunct/>
              <w:topLinePunct w:val="0"/>
              <w:autoSpaceDE/>
              <w:autoSpaceDN/>
              <w:bidi w:val="0"/>
              <w:adjustRightInd/>
              <w:snapToGrid/>
              <w:spacing w:line="560" w:lineRule="exact"/>
              <w:ind w:firstLine="0" w:firstLineChars="0"/>
              <w:jc w:val="center"/>
              <w:textAlignment w:val="auto"/>
              <w:rPr>
                <w:rFonts w:ascii="仿宋_GB2312" w:hAnsi="仿宋_GB2312" w:cs="仿宋_GB2312"/>
                <w:color w:val="auto"/>
                <w:kern w:val="0"/>
                <w:sz w:val="21"/>
                <w:szCs w:val="21"/>
                <w:highlight w:val="none"/>
              </w:rPr>
            </w:pPr>
            <w:r>
              <w:rPr>
                <w:rFonts w:hint="eastAsia" w:ascii="仿宋_GB2312" w:hAnsi="仿宋_GB2312" w:cs="仿宋_GB2312"/>
                <w:color w:val="auto"/>
                <w:kern w:val="0"/>
                <w:sz w:val="21"/>
                <w:szCs w:val="21"/>
                <w:highlight w:val="none"/>
              </w:rPr>
              <w:t>机构</w:t>
            </w:r>
          </w:p>
        </w:tc>
        <w:tc>
          <w:tcPr>
            <w:tcW w:w="1701" w:type="dxa"/>
            <w:shd w:val="clear" w:color="auto" w:fill="auto"/>
            <w:vAlign w:val="center"/>
          </w:tcPr>
          <w:p>
            <w:pPr>
              <w:pageBreakBefore w:val="0"/>
              <w:widowControl/>
              <w:kinsoku/>
              <w:wordWrap/>
              <w:overflowPunct/>
              <w:topLinePunct w:val="0"/>
              <w:autoSpaceDE/>
              <w:autoSpaceDN/>
              <w:bidi w:val="0"/>
              <w:adjustRightInd/>
              <w:snapToGrid/>
              <w:spacing w:line="560" w:lineRule="exact"/>
              <w:ind w:firstLine="0" w:firstLineChars="0"/>
              <w:jc w:val="center"/>
              <w:textAlignment w:val="auto"/>
              <w:rPr>
                <w:rFonts w:ascii="仿宋_GB2312" w:hAnsi="仿宋_GB2312" w:cs="仿宋_GB2312"/>
                <w:color w:val="auto"/>
                <w:kern w:val="0"/>
                <w:sz w:val="21"/>
                <w:szCs w:val="21"/>
                <w:highlight w:val="none"/>
              </w:rPr>
            </w:pPr>
            <w:r>
              <w:rPr>
                <w:rFonts w:hint="eastAsia" w:ascii="仿宋_GB2312" w:hAnsi="仿宋_GB2312" w:cs="仿宋_GB2312"/>
                <w:color w:val="auto"/>
                <w:kern w:val="0"/>
                <w:sz w:val="21"/>
                <w:szCs w:val="21"/>
                <w:highlight w:val="none"/>
              </w:rPr>
              <w:t>原料成本（元）</w:t>
            </w:r>
          </w:p>
        </w:tc>
        <w:tc>
          <w:tcPr>
            <w:tcW w:w="1701" w:type="dxa"/>
            <w:shd w:val="clear" w:color="auto" w:fill="auto"/>
            <w:vAlign w:val="center"/>
          </w:tcPr>
          <w:p>
            <w:pPr>
              <w:pageBreakBefore w:val="0"/>
              <w:widowControl/>
              <w:kinsoku/>
              <w:wordWrap/>
              <w:overflowPunct/>
              <w:topLinePunct w:val="0"/>
              <w:autoSpaceDE/>
              <w:autoSpaceDN/>
              <w:bidi w:val="0"/>
              <w:adjustRightInd/>
              <w:snapToGrid/>
              <w:spacing w:line="560" w:lineRule="exact"/>
              <w:ind w:firstLine="0" w:firstLineChars="0"/>
              <w:jc w:val="center"/>
              <w:textAlignment w:val="auto"/>
              <w:rPr>
                <w:rFonts w:ascii="仿宋_GB2312" w:hAnsi="仿宋_GB2312" w:cs="仿宋_GB2312"/>
                <w:color w:val="auto"/>
                <w:kern w:val="0"/>
                <w:sz w:val="21"/>
                <w:szCs w:val="21"/>
                <w:highlight w:val="none"/>
              </w:rPr>
            </w:pPr>
            <w:r>
              <w:rPr>
                <w:rFonts w:hint="eastAsia" w:ascii="仿宋_GB2312" w:hAnsi="仿宋_GB2312" w:cs="仿宋_GB2312"/>
                <w:color w:val="auto"/>
                <w:kern w:val="0"/>
                <w:sz w:val="21"/>
                <w:szCs w:val="21"/>
                <w:highlight w:val="none"/>
              </w:rPr>
              <w:t>人工成本（元）</w:t>
            </w:r>
          </w:p>
        </w:tc>
        <w:tc>
          <w:tcPr>
            <w:tcW w:w="1701" w:type="dxa"/>
            <w:shd w:val="clear" w:color="auto" w:fill="auto"/>
            <w:vAlign w:val="center"/>
          </w:tcPr>
          <w:p>
            <w:pPr>
              <w:pageBreakBefore w:val="0"/>
              <w:widowControl/>
              <w:kinsoku/>
              <w:wordWrap/>
              <w:overflowPunct/>
              <w:topLinePunct w:val="0"/>
              <w:autoSpaceDE/>
              <w:autoSpaceDN/>
              <w:bidi w:val="0"/>
              <w:adjustRightInd/>
              <w:snapToGrid/>
              <w:spacing w:line="560" w:lineRule="exact"/>
              <w:ind w:firstLine="0" w:firstLineChars="0"/>
              <w:jc w:val="center"/>
              <w:textAlignment w:val="auto"/>
              <w:rPr>
                <w:rFonts w:ascii="仿宋_GB2312" w:hAnsi="仿宋_GB2312" w:cs="仿宋_GB2312"/>
                <w:color w:val="auto"/>
                <w:kern w:val="0"/>
                <w:sz w:val="21"/>
                <w:szCs w:val="21"/>
                <w:highlight w:val="none"/>
              </w:rPr>
            </w:pPr>
            <w:r>
              <w:rPr>
                <w:rFonts w:hint="eastAsia" w:ascii="仿宋_GB2312" w:hAnsi="仿宋_GB2312" w:cs="仿宋_GB2312"/>
                <w:color w:val="auto"/>
                <w:kern w:val="0"/>
                <w:sz w:val="21"/>
                <w:szCs w:val="21"/>
                <w:highlight w:val="none"/>
              </w:rPr>
              <w:t>车辆成本（元）</w:t>
            </w:r>
          </w:p>
        </w:tc>
        <w:tc>
          <w:tcPr>
            <w:tcW w:w="1701" w:type="dxa"/>
            <w:shd w:val="clear" w:color="auto" w:fill="auto"/>
            <w:vAlign w:val="center"/>
          </w:tcPr>
          <w:p>
            <w:pPr>
              <w:pageBreakBefore w:val="0"/>
              <w:widowControl/>
              <w:kinsoku/>
              <w:wordWrap/>
              <w:overflowPunct/>
              <w:topLinePunct w:val="0"/>
              <w:autoSpaceDE/>
              <w:autoSpaceDN/>
              <w:bidi w:val="0"/>
              <w:adjustRightInd/>
              <w:snapToGrid/>
              <w:spacing w:line="560" w:lineRule="exact"/>
              <w:ind w:firstLine="0" w:firstLineChars="0"/>
              <w:jc w:val="center"/>
              <w:textAlignment w:val="auto"/>
              <w:rPr>
                <w:rFonts w:ascii="仿宋_GB2312" w:hAnsi="仿宋_GB2312" w:cs="仿宋_GB2312"/>
                <w:color w:val="auto"/>
                <w:kern w:val="0"/>
                <w:sz w:val="21"/>
                <w:szCs w:val="21"/>
                <w:highlight w:val="none"/>
              </w:rPr>
            </w:pPr>
            <w:r>
              <w:rPr>
                <w:rFonts w:hint="eastAsia" w:ascii="仿宋_GB2312" w:hAnsi="仿宋_GB2312" w:cs="仿宋_GB2312"/>
                <w:color w:val="auto"/>
                <w:kern w:val="0"/>
                <w:sz w:val="21"/>
                <w:szCs w:val="21"/>
                <w:highlight w:val="none"/>
              </w:rPr>
              <w:t>合计</w:t>
            </w:r>
          </w:p>
        </w:tc>
      </w:tr>
      <w:tr>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1701" w:type="dxa"/>
            <w:shd w:val="clear" w:color="auto" w:fill="auto"/>
            <w:vAlign w:val="center"/>
          </w:tcPr>
          <w:p>
            <w:pPr>
              <w:pageBreakBefore w:val="0"/>
              <w:widowControl/>
              <w:kinsoku/>
              <w:wordWrap/>
              <w:overflowPunct/>
              <w:topLinePunct w:val="0"/>
              <w:autoSpaceDE/>
              <w:autoSpaceDN/>
              <w:bidi w:val="0"/>
              <w:adjustRightInd/>
              <w:snapToGrid/>
              <w:spacing w:line="560" w:lineRule="exact"/>
              <w:ind w:firstLine="0" w:firstLineChars="0"/>
              <w:jc w:val="center"/>
              <w:textAlignment w:val="auto"/>
              <w:rPr>
                <w:rFonts w:ascii="仿宋_GB2312" w:hAnsi="仿宋_GB2312" w:cs="仿宋_GB2312"/>
                <w:color w:val="auto"/>
                <w:kern w:val="0"/>
                <w:sz w:val="21"/>
                <w:szCs w:val="21"/>
                <w:highlight w:val="none"/>
              </w:rPr>
            </w:pPr>
            <w:r>
              <w:rPr>
                <w:rFonts w:hint="eastAsia" w:ascii="仿宋_GB2312" w:hAnsi="仿宋_GB2312" w:cs="仿宋_GB2312"/>
                <w:color w:val="auto"/>
                <w:kern w:val="0"/>
                <w:sz w:val="21"/>
                <w:szCs w:val="21"/>
                <w:highlight w:val="none"/>
              </w:rPr>
              <w:t>海泰物业</w:t>
            </w:r>
          </w:p>
        </w:tc>
        <w:tc>
          <w:tcPr>
            <w:tcW w:w="1701" w:type="dxa"/>
            <w:shd w:val="clear" w:color="auto" w:fill="auto"/>
            <w:vAlign w:val="center"/>
          </w:tcPr>
          <w:p>
            <w:pPr>
              <w:pageBreakBefore w:val="0"/>
              <w:widowControl/>
              <w:kinsoku/>
              <w:wordWrap/>
              <w:overflowPunct/>
              <w:topLinePunct w:val="0"/>
              <w:autoSpaceDE/>
              <w:autoSpaceDN/>
              <w:bidi w:val="0"/>
              <w:adjustRightInd/>
              <w:snapToGrid/>
              <w:spacing w:line="560" w:lineRule="exact"/>
              <w:ind w:firstLine="0" w:firstLineChars="0"/>
              <w:jc w:val="center"/>
              <w:textAlignment w:val="auto"/>
              <w:rPr>
                <w:rFonts w:ascii="仿宋_GB2312" w:hAnsi="仿宋_GB2312" w:cs="仿宋_GB2312"/>
                <w:color w:val="auto"/>
                <w:kern w:val="0"/>
                <w:sz w:val="21"/>
                <w:szCs w:val="21"/>
                <w:highlight w:val="none"/>
              </w:rPr>
            </w:pPr>
            <w:r>
              <w:rPr>
                <w:rFonts w:hint="eastAsia" w:ascii="仿宋_GB2312" w:hAnsi="仿宋_GB2312" w:cs="仿宋_GB2312"/>
                <w:color w:val="auto"/>
                <w:kern w:val="0"/>
                <w:sz w:val="21"/>
                <w:szCs w:val="21"/>
                <w:highlight w:val="none"/>
              </w:rPr>
              <w:t>8.3</w:t>
            </w:r>
          </w:p>
        </w:tc>
        <w:tc>
          <w:tcPr>
            <w:tcW w:w="1701" w:type="dxa"/>
            <w:shd w:val="clear" w:color="auto" w:fill="auto"/>
            <w:vAlign w:val="center"/>
          </w:tcPr>
          <w:p>
            <w:pPr>
              <w:pageBreakBefore w:val="0"/>
              <w:widowControl/>
              <w:kinsoku/>
              <w:wordWrap/>
              <w:overflowPunct/>
              <w:topLinePunct w:val="0"/>
              <w:autoSpaceDE/>
              <w:autoSpaceDN/>
              <w:bidi w:val="0"/>
              <w:adjustRightInd/>
              <w:snapToGrid/>
              <w:spacing w:line="560" w:lineRule="exact"/>
              <w:ind w:firstLine="0" w:firstLineChars="0"/>
              <w:jc w:val="center"/>
              <w:textAlignment w:val="auto"/>
              <w:rPr>
                <w:rFonts w:ascii="仿宋_GB2312" w:hAnsi="仿宋_GB2312" w:cs="仿宋_GB2312"/>
                <w:color w:val="auto"/>
                <w:kern w:val="0"/>
                <w:sz w:val="21"/>
                <w:szCs w:val="21"/>
                <w:highlight w:val="none"/>
              </w:rPr>
            </w:pPr>
            <w:r>
              <w:rPr>
                <w:rFonts w:hint="eastAsia" w:ascii="仿宋_GB2312" w:hAnsi="仿宋_GB2312" w:cs="仿宋_GB2312"/>
                <w:color w:val="auto"/>
                <w:kern w:val="0"/>
                <w:sz w:val="21"/>
                <w:szCs w:val="21"/>
                <w:highlight w:val="none"/>
              </w:rPr>
              <w:t>1.1</w:t>
            </w:r>
          </w:p>
        </w:tc>
        <w:tc>
          <w:tcPr>
            <w:tcW w:w="1701" w:type="dxa"/>
            <w:shd w:val="clear" w:color="auto" w:fill="auto"/>
            <w:vAlign w:val="center"/>
          </w:tcPr>
          <w:p>
            <w:pPr>
              <w:pageBreakBefore w:val="0"/>
              <w:widowControl/>
              <w:kinsoku/>
              <w:wordWrap/>
              <w:overflowPunct/>
              <w:topLinePunct w:val="0"/>
              <w:autoSpaceDE/>
              <w:autoSpaceDN/>
              <w:bidi w:val="0"/>
              <w:adjustRightInd/>
              <w:snapToGrid/>
              <w:spacing w:line="560" w:lineRule="exact"/>
              <w:ind w:firstLine="0" w:firstLineChars="0"/>
              <w:jc w:val="center"/>
              <w:textAlignment w:val="auto"/>
              <w:rPr>
                <w:rFonts w:ascii="仿宋_GB2312" w:hAnsi="仿宋_GB2312" w:cs="仿宋_GB2312"/>
                <w:color w:val="auto"/>
                <w:kern w:val="0"/>
                <w:sz w:val="21"/>
                <w:szCs w:val="21"/>
                <w:highlight w:val="none"/>
              </w:rPr>
            </w:pPr>
            <w:r>
              <w:rPr>
                <w:rFonts w:hint="eastAsia" w:ascii="仿宋_GB2312" w:hAnsi="仿宋_GB2312" w:cs="仿宋_GB2312"/>
                <w:color w:val="auto"/>
                <w:kern w:val="0"/>
                <w:sz w:val="21"/>
                <w:szCs w:val="21"/>
                <w:highlight w:val="none"/>
              </w:rPr>
              <w:t>1.9</w:t>
            </w:r>
          </w:p>
        </w:tc>
        <w:tc>
          <w:tcPr>
            <w:tcW w:w="1701" w:type="dxa"/>
            <w:shd w:val="clear" w:color="auto" w:fill="auto"/>
            <w:vAlign w:val="center"/>
          </w:tcPr>
          <w:p>
            <w:pPr>
              <w:pageBreakBefore w:val="0"/>
              <w:widowControl/>
              <w:kinsoku/>
              <w:wordWrap/>
              <w:overflowPunct/>
              <w:topLinePunct w:val="0"/>
              <w:autoSpaceDE/>
              <w:autoSpaceDN/>
              <w:bidi w:val="0"/>
              <w:adjustRightInd/>
              <w:snapToGrid/>
              <w:spacing w:line="560" w:lineRule="exact"/>
              <w:ind w:firstLine="0" w:firstLineChars="0"/>
              <w:jc w:val="center"/>
              <w:textAlignment w:val="auto"/>
              <w:rPr>
                <w:rFonts w:ascii="仿宋_GB2312" w:hAnsi="仿宋_GB2312" w:cs="仿宋_GB2312"/>
                <w:color w:val="auto"/>
                <w:kern w:val="0"/>
                <w:sz w:val="21"/>
                <w:szCs w:val="21"/>
                <w:highlight w:val="none"/>
              </w:rPr>
            </w:pPr>
            <w:r>
              <w:rPr>
                <w:rFonts w:hint="eastAsia" w:ascii="仿宋_GB2312" w:hAnsi="仿宋_GB2312" w:cs="仿宋_GB2312"/>
                <w:color w:val="auto"/>
                <w:kern w:val="0"/>
                <w:sz w:val="21"/>
                <w:szCs w:val="21"/>
                <w:highlight w:val="none"/>
              </w:rPr>
              <w:t>11.3</w:t>
            </w:r>
          </w:p>
        </w:tc>
      </w:tr>
      <w:tr>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1701" w:type="dxa"/>
            <w:shd w:val="clear" w:color="auto" w:fill="auto"/>
            <w:vAlign w:val="center"/>
          </w:tcPr>
          <w:p>
            <w:pPr>
              <w:pageBreakBefore w:val="0"/>
              <w:widowControl/>
              <w:kinsoku/>
              <w:wordWrap/>
              <w:overflowPunct/>
              <w:topLinePunct w:val="0"/>
              <w:autoSpaceDE/>
              <w:autoSpaceDN/>
              <w:bidi w:val="0"/>
              <w:adjustRightInd/>
              <w:snapToGrid/>
              <w:spacing w:line="560" w:lineRule="exact"/>
              <w:ind w:firstLine="0" w:firstLineChars="0"/>
              <w:jc w:val="center"/>
              <w:textAlignment w:val="auto"/>
              <w:rPr>
                <w:rFonts w:ascii="仿宋_GB2312" w:hAnsi="仿宋_GB2312" w:cs="仿宋_GB2312"/>
                <w:color w:val="auto"/>
                <w:kern w:val="0"/>
                <w:sz w:val="21"/>
                <w:szCs w:val="21"/>
                <w:highlight w:val="none"/>
              </w:rPr>
            </w:pPr>
            <w:r>
              <w:rPr>
                <w:rFonts w:hint="eastAsia" w:ascii="仿宋_GB2312" w:hAnsi="仿宋_GB2312" w:cs="仿宋_GB2312"/>
                <w:color w:val="auto"/>
                <w:kern w:val="0"/>
                <w:sz w:val="21"/>
                <w:szCs w:val="21"/>
                <w:highlight w:val="none"/>
              </w:rPr>
              <w:t>瑞云祥</w:t>
            </w:r>
          </w:p>
        </w:tc>
        <w:tc>
          <w:tcPr>
            <w:tcW w:w="1701" w:type="dxa"/>
            <w:shd w:val="clear" w:color="auto" w:fill="auto"/>
            <w:vAlign w:val="center"/>
          </w:tcPr>
          <w:p>
            <w:pPr>
              <w:pageBreakBefore w:val="0"/>
              <w:widowControl/>
              <w:kinsoku/>
              <w:wordWrap/>
              <w:overflowPunct/>
              <w:topLinePunct w:val="0"/>
              <w:autoSpaceDE/>
              <w:autoSpaceDN/>
              <w:bidi w:val="0"/>
              <w:adjustRightInd/>
              <w:snapToGrid/>
              <w:spacing w:line="560" w:lineRule="exact"/>
              <w:ind w:firstLine="0" w:firstLineChars="0"/>
              <w:jc w:val="center"/>
              <w:textAlignment w:val="auto"/>
              <w:rPr>
                <w:rFonts w:ascii="仿宋_GB2312" w:hAnsi="仿宋_GB2312" w:cs="仿宋_GB2312"/>
                <w:color w:val="auto"/>
                <w:kern w:val="0"/>
                <w:sz w:val="21"/>
                <w:szCs w:val="21"/>
                <w:highlight w:val="none"/>
              </w:rPr>
            </w:pPr>
            <w:r>
              <w:rPr>
                <w:rFonts w:hint="eastAsia" w:ascii="仿宋_GB2312" w:hAnsi="仿宋_GB2312" w:cs="仿宋_GB2312"/>
                <w:color w:val="auto"/>
                <w:kern w:val="0"/>
                <w:sz w:val="21"/>
                <w:szCs w:val="21"/>
                <w:highlight w:val="none"/>
              </w:rPr>
              <w:t>7.6</w:t>
            </w:r>
          </w:p>
        </w:tc>
        <w:tc>
          <w:tcPr>
            <w:tcW w:w="1701" w:type="dxa"/>
            <w:shd w:val="clear" w:color="auto" w:fill="auto"/>
            <w:vAlign w:val="center"/>
          </w:tcPr>
          <w:p>
            <w:pPr>
              <w:pageBreakBefore w:val="0"/>
              <w:widowControl/>
              <w:kinsoku/>
              <w:wordWrap/>
              <w:overflowPunct/>
              <w:topLinePunct w:val="0"/>
              <w:autoSpaceDE/>
              <w:autoSpaceDN/>
              <w:bidi w:val="0"/>
              <w:adjustRightInd/>
              <w:snapToGrid/>
              <w:spacing w:line="560" w:lineRule="exact"/>
              <w:ind w:firstLine="0" w:firstLineChars="0"/>
              <w:jc w:val="center"/>
              <w:textAlignment w:val="auto"/>
              <w:rPr>
                <w:rFonts w:ascii="仿宋_GB2312" w:hAnsi="仿宋_GB2312" w:cs="仿宋_GB2312"/>
                <w:color w:val="auto"/>
                <w:kern w:val="0"/>
                <w:sz w:val="21"/>
                <w:szCs w:val="21"/>
                <w:highlight w:val="none"/>
              </w:rPr>
            </w:pPr>
            <w:r>
              <w:rPr>
                <w:rFonts w:hint="eastAsia" w:ascii="仿宋_GB2312" w:hAnsi="仿宋_GB2312" w:cs="仿宋_GB2312"/>
                <w:color w:val="auto"/>
                <w:kern w:val="0"/>
                <w:sz w:val="21"/>
                <w:szCs w:val="21"/>
                <w:highlight w:val="none"/>
              </w:rPr>
              <w:t>3.2</w:t>
            </w:r>
          </w:p>
        </w:tc>
        <w:tc>
          <w:tcPr>
            <w:tcW w:w="1701" w:type="dxa"/>
            <w:shd w:val="clear" w:color="auto" w:fill="auto"/>
            <w:vAlign w:val="center"/>
          </w:tcPr>
          <w:p>
            <w:pPr>
              <w:pageBreakBefore w:val="0"/>
              <w:widowControl/>
              <w:kinsoku/>
              <w:wordWrap/>
              <w:overflowPunct/>
              <w:topLinePunct w:val="0"/>
              <w:autoSpaceDE/>
              <w:autoSpaceDN/>
              <w:bidi w:val="0"/>
              <w:adjustRightInd/>
              <w:snapToGrid/>
              <w:spacing w:line="560" w:lineRule="exact"/>
              <w:ind w:firstLine="0" w:firstLineChars="0"/>
              <w:jc w:val="center"/>
              <w:textAlignment w:val="auto"/>
              <w:rPr>
                <w:rFonts w:ascii="仿宋_GB2312" w:hAnsi="仿宋_GB2312" w:cs="仿宋_GB2312"/>
                <w:color w:val="auto"/>
                <w:kern w:val="0"/>
                <w:sz w:val="21"/>
                <w:szCs w:val="21"/>
                <w:highlight w:val="none"/>
              </w:rPr>
            </w:pPr>
            <w:r>
              <w:rPr>
                <w:rFonts w:hint="eastAsia" w:ascii="仿宋_GB2312" w:hAnsi="仿宋_GB2312" w:cs="仿宋_GB2312"/>
                <w:color w:val="auto"/>
                <w:kern w:val="0"/>
                <w:sz w:val="21"/>
                <w:szCs w:val="21"/>
                <w:highlight w:val="none"/>
              </w:rPr>
              <w:t>1.48</w:t>
            </w:r>
          </w:p>
        </w:tc>
        <w:tc>
          <w:tcPr>
            <w:tcW w:w="1701" w:type="dxa"/>
            <w:shd w:val="clear" w:color="auto" w:fill="auto"/>
            <w:vAlign w:val="center"/>
          </w:tcPr>
          <w:p>
            <w:pPr>
              <w:pageBreakBefore w:val="0"/>
              <w:widowControl/>
              <w:kinsoku/>
              <w:wordWrap/>
              <w:overflowPunct/>
              <w:topLinePunct w:val="0"/>
              <w:autoSpaceDE/>
              <w:autoSpaceDN/>
              <w:bidi w:val="0"/>
              <w:adjustRightInd/>
              <w:snapToGrid/>
              <w:spacing w:line="560" w:lineRule="exact"/>
              <w:ind w:firstLine="0" w:firstLineChars="0"/>
              <w:jc w:val="center"/>
              <w:textAlignment w:val="auto"/>
              <w:rPr>
                <w:rFonts w:ascii="仿宋_GB2312" w:hAnsi="仿宋_GB2312" w:cs="仿宋_GB2312"/>
                <w:color w:val="auto"/>
                <w:kern w:val="0"/>
                <w:sz w:val="21"/>
                <w:szCs w:val="21"/>
                <w:highlight w:val="none"/>
              </w:rPr>
            </w:pPr>
            <w:r>
              <w:rPr>
                <w:rFonts w:hint="eastAsia" w:ascii="仿宋_GB2312" w:hAnsi="仿宋_GB2312" w:cs="仿宋_GB2312"/>
                <w:color w:val="auto"/>
                <w:kern w:val="0"/>
                <w:sz w:val="21"/>
                <w:szCs w:val="21"/>
                <w:highlight w:val="none"/>
              </w:rPr>
              <w:t>12.28</w:t>
            </w:r>
          </w:p>
        </w:tc>
      </w:tr>
      <w:tr>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1701" w:type="dxa"/>
            <w:shd w:val="clear" w:color="auto" w:fill="auto"/>
            <w:vAlign w:val="center"/>
          </w:tcPr>
          <w:p>
            <w:pPr>
              <w:pageBreakBefore w:val="0"/>
              <w:widowControl/>
              <w:kinsoku/>
              <w:wordWrap/>
              <w:overflowPunct/>
              <w:topLinePunct w:val="0"/>
              <w:autoSpaceDE/>
              <w:autoSpaceDN/>
              <w:bidi w:val="0"/>
              <w:adjustRightInd/>
              <w:snapToGrid/>
              <w:spacing w:line="560" w:lineRule="exact"/>
              <w:ind w:firstLine="0" w:firstLineChars="0"/>
              <w:jc w:val="center"/>
              <w:textAlignment w:val="auto"/>
              <w:rPr>
                <w:rFonts w:hint="eastAsia" w:ascii="仿宋_GB2312" w:hAnsi="仿宋_GB2312" w:eastAsia="仿宋_GB2312" w:cs="仿宋_GB2312"/>
                <w:color w:val="auto"/>
                <w:kern w:val="0"/>
                <w:sz w:val="21"/>
                <w:szCs w:val="21"/>
                <w:highlight w:val="none"/>
                <w:lang w:eastAsia="zh-CN"/>
              </w:rPr>
            </w:pPr>
            <w:r>
              <w:rPr>
                <w:rFonts w:hint="eastAsia" w:ascii="仿宋_GB2312" w:hAnsi="仿宋_GB2312" w:cs="仿宋_GB2312"/>
                <w:color w:val="auto"/>
                <w:kern w:val="0"/>
                <w:sz w:val="21"/>
                <w:szCs w:val="21"/>
                <w:highlight w:val="none"/>
                <w:lang w:eastAsia="zh-CN"/>
              </w:rPr>
              <w:t>昆嵛老年公寓</w:t>
            </w:r>
          </w:p>
        </w:tc>
        <w:tc>
          <w:tcPr>
            <w:tcW w:w="1701" w:type="dxa"/>
            <w:shd w:val="clear" w:color="auto" w:fill="auto"/>
            <w:vAlign w:val="center"/>
          </w:tcPr>
          <w:p>
            <w:pPr>
              <w:pageBreakBefore w:val="0"/>
              <w:widowControl/>
              <w:kinsoku/>
              <w:wordWrap/>
              <w:overflowPunct/>
              <w:topLinePunct w:val="0"/>
              <w:autoSpaceDE/>
              <w:autoSpaceDN/>
              <w:bidi w:val="0"/>
              <w:adjustRightInd/>
              <w:snapToGrid/>
              <w:spacing w:line="560" w:lineRule="exact"/>
              <w:ind w:firstLine="0" w:firstLineChars="0"/>
              <w:jc w:val="center"/>
              <w:textAlignment w:val="auto"/>
              <w:rPr>
                <w:rFonts w:ascii="仿宋_GB2312" w:hAnsi="仿宋_GB2312" w:cs="仿宋_GB2312"/>
                <w:color w:val="auto"/>
                <w:kern w:val="0"/>
                <w:sz w:val="21"/>
                <w:szCs w:val="21"/>
                <w:highlight w:val="none"/>
              </w:rPr>
            </w:pPr>
            <w:r>
              <w:rPr>
                <w:rFonts w:hint="eastAsia" w:ascii="仿宋_GB2312" w:hAnsi="仿宋_GB2312" w:cs="仿宋_GB2312"/>
                <w:color w:val="auto"/>
                <w:kern w:val="0"/>
                <w:sz w:val="21"/>
                <w:szCs w:val="21"/>
                <w:highlight w:val="none"/>
              </w:rPr>
              <w:t>6.15</w:t>
            </w:r>
          </w:p>
        </w:tc>
        <w:tc>
          <w:tcPr>
            <w:tcW w:w="1701" w:type="dxa"/>
            <w:shd w:val="clear" w:color="auto" w:fill="auto"/>
            <w:vAlign w:val="center"/>
          </w:tcPr>
          <w:p>
            <w:pPr>
              <w:pageBreakBefore w:val="0"/>
              <w:widowControl/>
              <w:kinsoku/>
              <w:wordWrap/>
              <w:overflowPunct/>
              <w:topLinePunct w:val="0"/>
              <w:autoSpaceDE/>
              <w:autoSpaceDN/>
              <w:bidi w:val="0"/>
              <w:adjustRightInd/>
              <w:snapToGrid/>
              <w:spacing w:line="560" w:lineRule="exact"/>
              <w:ind w:firstLine="0" w:firstLineChars="0"/>
              <w:jc w:val="center"/>
              <w:textAlignment w:val="auto"/>
              <w:rPr>
                <w:rFonts w:ascii="仿宋_GB2312" w:hAnsi="仿宋_GB2312" w:cs="仿宋_GB2312"/>
                <w:color w:val="auto"/>
                <w:kern w:val="0"/>
                <w:sz w:val="21"/>
                <w:szCs w:val="21"/>
                <w:highlight w:val="none"/>
              </w:rPr>
            </w:pPr>
            <w:r>
              <w:rPr>
                <w:rFonts w:hint="eastAsia" w:ascii="仿宋_GB2312" w:hAnsi="仿宋_GB2312" w:cs="仿宋_GB2312"/>
                <w:color w:val="auto"/>
                <w:kern w:val="0"/>
                <w:sz w:val="21"/>
                <w:szCs w:val="21"/>
                <w:highlight w:val="none"/>
              </w:rPr>
              <w:t>4.9</w:t>
            </w:r>
          </w:p>
        </w:tc>
        <w:tc>
          <w:tcPr>
            <w:tcW w:w="1701" w:type="dxa"/>
            <w:shd w:val="clear" w:color="auto" w:fill="auto"/>
            <w:vAlign w:val="center"/>
          </w:tcPr>
          <w:p>
            <w:pPr>
              <w:pageBreakBefore w:val="0"/>
              <w:widowControl/>
              <w:kinsoku/>
              <w:wordWrap/>
              <w:overflowPunct/>
              <w:topLinePunct w:val="0"/>
              <w:autoSpaceDE/>
              <w:autoSpaceDN/>
              <w:bidi w:val="0"/>
              <w:adjustRightInd/>
              <w:snapToGrid/>
              <w:spacing w:line="560" w:lineRule="exact"/>
              <w:ind w:firstLine="0" w:firstLineChars="0"/>
              <w:jc w:val="center"/>
              <w:textAlignment w:val="auto"/>
              <w:rPr>
                <w:rFonts w:ascii="仿宋_GB2312" w:hAnsi="仿宋_GB2312" w:cs="仿宋_GB2312"/>
                <w:color w:val="auto"/>
                <w:kern w:val="0"/>
                <w:sz w:val="21"/>
                <w:szCs w:val="21"/>
                <w:highlight w:val="none"/>
              </w:rPr>
            </w:pPr>
            <w:r>
              <w:rPr>
                <w:rFonts w:hint="eastAsia" w:ascii="仿宋_GB2312" w:hAnsi="仿宋_GB2312" w:cs="仿宋_GB2312"/>
                <w:color w:val="auto"/>
                <w:kern w:val="0"/>
                <w:sz w:val="21"/>
                <w:szCs w:val="21"/>
                <w:highlight w:val="none"/>
              </w:rPr>
              <w:t>1.25</w:t>
            </w:r>
          </w:p>
        </w:tc>
        <w:tc>
          <w:tcPr>
            <w:tcW w:w="1701" w:type="dxa"/>
            <w:shd w:val="clear" w:color="auto" w:fill="auto"/>
            <w:vAlign w:val="center"/>
          </w:tcPr>
          <w:p>
            <w:pPr>
              <w:pageBreakBefore w:val="0"/>
              <w:widowControl/>
              <w:kinsoku/>
              <w:wordWrap/>
              <w:overflowPunct/>
              <w:topLinePunct w:val="0"/>
              <w:autoSpaceDE/>
              <w:autoSpaceDN/>
              <w:bidi w:val="0"/>
              <w:adjustRightInd/>
              <w:snapToGrid/>
              <w:spacing w:line="560" w:lineRule="exact"/>
              <w:ind w:firstLine="0" w:firstLineChars="0"/>
              <w:jc w:val="center"/>
              <w:textAlignment w:val="auto"/>
              <w:rPr>
                <w:rFonts w:ascii="仿宋_GB2312" w:hAnsi="仿宋_GB2312" w:cs="仿宋_GB2312"/>
                <w:color w:val="auto"/>
                <w:kern w:val="0"/>
                <w:sz w:val="21"/>
                <w:szCs w:val="21"/>
                <w:highlight w:val="none"/>
              </w:rPr>
            </w:pPr>
            <w:r>
              <w:rPr>
                <w:rFonts w:hint="eastAsia" w:ascii="仿宋_GB2312" w:hAnsi="仿宋_GB2312" w:cs="仿宋_GB2312"/>
                <w:color w:val="auto"/>
                <w:kern w:val="0"/>
                <w:sz w:val="21"/>
                <w:szCs w:val="21"/>
                <w:highlight w:val="none"/>
              </w:rPr>
              <w:t>12.3</w:t>
            </w:r>
          </w:p>
        </w:tc>
      </w:tr>
    </w:tbl>
    <w:p>
      <w:pPr>
        <w:pageBreakBefore w:val="0"/>
        <w:kinsoku/>
        <w:wordWrap/>
        <w:overflowPunct/>
        <w:topLinePunct w:val="0"/>
        <w:autoSpaceDE/>
        <w:autoSpaceDN/>
        <w:bidi w:val="0"/>
        <w:adjustRightInd/>
        <w:snapToGrid/>
        <w:spacing w:line="560" w:lineRule="exact"/>
        <w:ind w:firstLine="480"/>
        <w:jc w:val="left"/>
        <w:textAlignment w:val="auto"/>
        <w:rPr>
          <w:rFonts w:ascii="仿宋_GB2312" w:hAnsi="仿宋_GB2312" w:cs="仿宋_GB2312"/>
          <w:b/>
          <w:bCs/>
          <w:color w:val="auto"/>
          <w:highlight w:val="none"/>
        </w:rPr>
      </w:pPr>
      <w:r>
        <w:rPr>
          <w:rFonts w:hint="eastAsia" w:ascii="仿宋_GB2312" w:hAnsi="仿宋_GB2312" w:cs="仿宋_GB2312"/>
          <w:color w:val="auto"/>
          <w:kern w:val="0"/>
          <w:sz w:val="24"/>
          <w:szCs w:val="24"/>
          <w:highlight w:val="none"/>
        </w:rPr>
        <w:t>（注：原料成本主要包含原材料、调料、水电费成本）</w:t>
      </w:r>
    </w:p>
    <w:p>
      <w:pPr>
        <w:pageBreakBefore w:val="0"/>
        <w:kinsoku/>
        <w:wordWrap/>
        <w:overflowPunct/>
        <w:topLinePunct w:val="0"/>
        <w:autoSpaceDE/>
        <w:autoSpaceDN/>
        <w:bidi w:val="0"/>
        <w:adjustRightInd/>
        <w:snapToGrid/>
        <w:spacing w:line="560" w:lineRule="exact"/>
        <w:ind w:firstLine="562"/>
        <w:textAlignment w:val="auto"/>
        <w:rPr>
          <w:rFonts w:ascii="仿宋_GB2312" w:hAnsi="仿宋_GB2312" w:cs="仿宋_GB2312"/>
          <w:b/>
          <w:bCs/>
          <w:color w:val="auto"/>
          <w:highlight w:val="none"/>
        </w:rPr>
      </w:pPr>
      <w:r>
        <w:rPr>
          <w:rFonts w:hint="eastAsia" w:ascii="仿宋_GB2312" w:hAnsi="仿宋_GB2312" w:cs="仿宋_GB2312"/>
          <w:b/>
          <w:bCs/>
          <w:color w:val="auto"/>
          <w:highlight w:val="none"/>
          <w:lang w:eastAsia="zh-CN"/>
        </w:rPr>
        <w:t>（</w:t>
      </w:r>
      <w:r>
        <w:rPr>
          <w:rFonts w:hint="eastAsia" w:ascii="仿宋_GB2312" w:hAnsi="仿宋_GB2312" w:cs="仿宋_GB2312"/>
          <w:b/>
          <w:bCs/>
          <w:color w:val="auto"/>
          <w:highlight w:val="none"/>
          <w:lang w:val="en-US" w:eastAsia="zh-CN"/>
        </w:rPr>
        <w:t>六</w:t>
      </w:r>
      <w:r>
        <w:rPr>
          <w:rFonts w:hint="eastAsia" w:ascii="仿宋_GB2312" w:hAnsi="仿宋_GB2312" w:cs="仿宋_GB2312"/>
          <w:b/>
          <w:bCs/>
          <w:color w:val="auto"/>
          <w:highlight w:val="none"/>
          <w:lang w:eastAsia="zh-CN"/>
        </w:rPr>
        <w:t>）</w:t>
      </w:r>
      <w:r>
        <w:rPr>
          <w:rFonts w:hint="eastAsia" w:ascii="仿宋_GB2312" w:hAnsi="仿宋_GB2312" w:cs="仿宋_GB2312"/>
          <w:b/>
          <w:bCs/>
          <w:color w:val="auto"/>
          <w:highlight w:val="none"/>
        </w:rPr>
        <w:t>服务机构的日常管理</w:t>
      </w:r>
      <w:r>
        <w:rPr>
          <w:rFonts w:hint="eastAsia" w:ascii="仿宋_GB2312" w:hAnsi="仿宋_GB2312" w:cs="仿宋_GB2312"/>
          <w:b/>
          <w:bCs/>
          <w:color w:val="auto"/>
          <w:highlight w:val="none"/>
          <w:lang w:val="en-US" w:eastAsia="zh-CN"/>
        </w:rPr>
        <w:t>松散，</w:t>
      </w:r>
      <w:r>
        <w:rPr>
          <w:rFonts w:hint="eastAsia" w:ascii="仿宋_GB2312" w:hAnsi="仿宋_GB2312" w:cs="仿宋_GB2312"/>
          <w:b/>
          <w:bCs/>
          <w:color w:val="auto"/>
          <w:highlight w:val="none"/>
        </w:rPr>
        <w:t>监督、检查力度不够，服务质量良莠不齐。</w:t>
      </w:r>
    </w:p>
    <w:p>
      <w:pPr>
        <w:pageBreakBefore w:val="0"/>
        <w:kinsoku/>
        <w:wordWrap/>
        <w:overflowPunct/>
        <w:topLinePunct w:val="0"/>
        <w:autoSpaceDE/>
        <w:autoSpaceDN/>
        <w:bidi w:val="0"/>
        <w:adjustRightInd/>
        <w:snapToGrid/>
        <w:spacing w:line="560" w:lineRule="exact"/>
        <w:ind w:firstLine="640" w:firstLineChars="200"/>
        <w:textAlignment w:val="auto"/>
        <w:rPr>
          <w:rFonts w:hint="eastAsia" w:ascii="仿宋_GB2312" w:eastAsia="仿宋_GB2312"/>
          <w:sz w:val="32"/>
          <w:szCs w:val="32"/>
          <w:lang w:bidi="en-US"/>
        </w:rPr>
      </w:pPr>
      <w:r>
        <w:rPr>
          <w:rFonts w:hint="eastAsia" w:ascii="仿宋_GB2312" w:eastAsia="仿宋_GB2312"/>
          <w:sz w:val="32"/>
          <w:szCs w:val="32"/>
          <w:lang w:val="en-US" w:eastAsia="zh-CN" w:bidi="en-US"/>
        </w:rPr>
        <w:t>1.</w:t>
      </w:r>
      <w:r>
        <w:rPr>
          <w:rFonts w:hint="eastAsia" w:ascii="仿宋_GB2312" w:eastAsia="仿宋_GB2312"/>
          <w:sz w:val="32"/>
          <w:szCs w:val="32"/>
          <w:lang w:bidi="en-US"/>
        </w:rPr>
        <w:t>对助餐服务中被服务人员非常满意占比进行分析：对瑞云祥的服务范围共收集调查问卷270份，非常满意占比74.3%；对海泰物业的服务范围共收集调查问卷183份，非常满意占比85.4%；对</w:t>
      </w:r>
      <w:r>
        <w:rPr>
          <w:rFonts w:hint="eastAsia" w:ascii="仿宋_GB2312" w:eastAsia="仿宋_GB2312"/>
          <w:sz w:val="32"/>
          <w:szCs w:val="32"/>
          <w:lang w:eastAsia="zh-CN" w:bidi="en-US"/>
        </w:rPr>
        <w:t>昆嵛老年公寓</w:t>
      </w:r>
      <w:r>
        <w:rPr>
          <w:rFonts w:hint="eastAsia" w:ascii="仿宋_GB2312" w:eastAsia="仿宋_GB2312"/>
          <w:sz w:val="32"/>
          <w:szCs w:val="32"/>
          <w:lang w:bidi="en-US"/>
        </w:rPr>
        <w:t>的服务范围共收集调查问卷147份，非常满意占比57.2%。</w:t>
      </w:r>
      <w:r>
        <w:rPr>
          <w:rFonts w:hint="eastAsia" w:ascii="仿宋_GB2312" w:eastAsia="仿宋_GB2312"/>
          <w:sz w:val="32"/>
          <w:szCs w:val="32"/>
          <w:lang w:val="en-US" w:eastAsia="zh-CN" w:bidi="en-US"/>
        </w:rPr>
        <w:t>综上所述，</w:t>
      </w:r>
      <w:r>
        <w:rPr>
          <w:rFonts w:hint="eastAsia" w:ascii="仿宋_GB2312" w:eastAsia="仿宋_GB2312"/>
          <w:sz w:val="32"/>
          <w:szCs w:val="32"/>
          <w:lang w:bidi="en-US"/>
        </w:rPr>
        <w:t>被服务人员对机构提供的服务满意程度差异</w:t>
      </w:r>
      <w:r>
        <w:rPr>
          <w:rFonts w:hint="eastAsia" w:ascii="仿宋_GB2312" w:eastAsia="仿宋_GB2312"/>
          <w:sz w:val="32"/>
          <w:szCs w:val="32"/>
          <w:lang w:val="en-US" w:eastAsia="zh-CN" w:bidi="en-US"/>
        </w:rPr>
        <w:t>较大</w:t>
      </w:r>
      <w:r>
        <w:rPr>
          <w:rFonts w:hint="eastAsia" w:ascii="仿宋_GB2312" w:eastAsia="仿宋_GB2312"/>
          <w:sz w:val="32"/>
          <w:szCs w:val="32"/>
          <w:lang w:bidi="en-US"/>
        </w:rPr>
        <w:t>。</w:t>
      </w:r>
    </w:p>
    <w:p>
      <w:pPr>
        <w:pageBreakBefore w:val="0"/>
        <w:kinsoku/>
        <w:wordWrap/>
        <w:overflowPunct/>
        <w:topLinePunct w:val="0"/>
        <w:autoSpaceDE/>
        <w:autoSpaceDN/>
        <w:bidi w:val="0"/>
        <w:adjustRightInd/>
        <w:snapToGrid/>
        <w:spacing w:line="560" w:lineRule="exact"/>
        <w:ind w:firstLine="640" w:firstLineChars="200"/>
        <w:textAlignment w:val="auto"/>
        <w:rPr>
          <w:rFonts w:hint="eastAsia" w:ascii="仿宋_GB2312" w:eastAsia="仿宋_GB2312"/>
          <w:sz w:val="32"/>
          <w:szCs w:val="32"/>
          <w:lang w:val="en-US" w:eastAsia="zh-CN" w:bidi="en-US"/>
        </w:rPr>
      </w:pPr>
      <w:r>
        <w:rPr>
          <w:rFonts w:hint="eastAsia" w:ascii="仿宋_GB2312" w:eastAsia="仿宋_GB2312"/>
          <w:sz w:val="32"/>
          <w:szCs w:val="32"/>
          <w:lang w:val="en-US" w:eastAsia="zh-CN" w:bidi="en-US"/>
        </w:rPr>
        <w:t>2.</w:t>
      </w:r>
      <w:r>
        <w:rPr>
          <w:rFonts w:hint="eastAsia" w:ascii="仿宋_GB2312" w:eastAsia="仿宋_GB2312"/>
          <w:sz w:val="32"/>
          <w:szCs w:val="32"/>
          <w:lang w:bidi="en-US"/>
        </w:rPr>
        <w:t>在现场走访的过程中，发现瑞云祥的服务人员在助洁过程中并未严格按照要求将工具分类放置、分开使用，存在各类抹布混放的现象；</w:t>
      </w:r>
      <w:r>
        <w:rPr>
          <w:rFonts w:hint="eastAsia" w:ascii="仿宋_GB2312" w:eastAsia="仿宋_GB2312"/>
          <w:sz w:val="32"/>
          <w:szCs w:val="32"/>
          <w:lang w:eastAsia="zh-CN" w:bidi="en-US"/>
        </w:rPr>
        <w:t>昆嵛老年公寓</w:t>
      </w:r>
      <w:r>
        <w:rPr>
          <w:rFonts w:hint="eastAsia" w:ascii="仿宋_GB2312" w:eastAsia="仿宋_GB2312"/>
          <w:sz w:val="32"/>
          <w:szCs w:val="32"/>
          <w:lang w:bidi="en-US"/>
        </w:rPr>
        <w:t>的服务人员对助餐食材处理不恰当，没有严格按照要求将土豆削皮后再进行使用，大米未进行妥善存储，导致出现了蛀虫现象；海泰物业的服务人员配餐过程中态度</w:t>
      </w:r>
      <w:r>
        <w:rPr>
          <w:rFonts w:hint="eastAsia" w:ascii="仿宋_GB2312" w:eastAsia="仿宋_GB2312"/>
          <w:sz w:val="32"/>
          <w:szCs w:val="32"/>
          <w:lang w:val="en-US" w:eastAsia="zh-CN" w:bidi="en-US"/>
        </w:rPr>
        <w:t>较差</w:t>
      </w:r>
      <w:r>
        <w:rPr>
          <w:rFonts w:hint="eastAsia" w:ascii="仿宋_GB2312" w:eastAsia="仿宋_GB2312"/>
          <w:sz w:val="32"/>
          <w:szCs w:val="32"/>
          <w:lang w:bidi="en-US"/>
        </w:rPr>
        <w:t>，缺乏专业素养。</w:t>
      </w:r>
    </w:p>
    <w:p>
      <w:pPr>
        <w:pageBreakBefore w:val="0"/>
        <w:kinsoku/>
        <w:wordWrap/>
        <w:overflowPunct/>
        <w:topLinePunct w:val="0"/>
        <w:autoSpaceDE/>
        <w:autoSpaceDN/>
        <w:bidi w:val="0"/>
        <w:adjustRightInd/>
        <w:snapToGrid/>
        <w:spacing w:line="560" w:lineRule="exact"/>
        <w:ind w:firstLine="562"/>
        <w:textAlignment w:val="auto"/>
        <w:rPr>
          <w:rFonts w:ascii="仿宋_GB2312" w:hAnsi="仿宋_GB2312" w:cs="仿宋_GB2312"/>
          <w:b/>
          <w:bCs/>
          <w:color w:val="auto"/>
          <w:highlight w:val="none"/>
        </w:rPr>
      </w:pPr>
      <w:r>
        <w:rPr>
          <w:rFonts w:hint="eastAsia" w:ascii="仿宋_GB2312" w:hAnsi="仿宋_GB2312" w:cs="仿宋_GB2312"/>
          <w:b/>
          <w:bCs/>
          <w:color w:val="auto"/>
          <w:highlight w:val="none"/>
          <w:lang w:eastAsia="zh-CN"/>
        </w:rPr>
        <w:t>（</w:t>
      </w:r>
      <w:r>
        <w:rPr>
          <w:rFonts w:hint="eastAsia" w:ascii="仿宋_GB2312" w:hAnsi="仿宋_GB2312" w:cs="仿宋_GB2312"/>
          <w:b/>
          <w:bCs/>
          <w:color w:val="auto"/>
          <w:highlight w:val="none"/>
          <w:lang w:val="en-US" w:eastAsia="zh-CN"/>
        </w:rPr>
        <w:t>七</w:t>
      </w:r>
      <w:r>
        <w:rPr>
          <w:rFonts w:hint="eastAsia" w:ascii="仿宋_GB2312" w:hAnsi="仿宋_GB2312" w:cs="仿宋_GB2312"/>
          <w:b/>
          <w:bCs/>
          <w:color w:val="auto"/>
          <w:highlight w:val="none"/>
          <w:lang w:eastAsia="zh-CN"/>
        </w:rPr>
        <w:t>）</w:t>
      </w:r>
      <w:r>
        <w:rPr>
          <w:rFonts w:hint="eastAsia" w:ascii="仿宋_GB2312" w:hAnsi="仿宋_GB2312" w:cs="仿宋_GB2312"/>
          <w:b/>
          <w:bCs/>
          <w:color w:val="auto"/>
          <w:highlight w:val="none"/>
        </w:rPr>
        <w:t>资金发放及时率及准确率未达到预期目标。</w:t>
      </w:r>
    </w:p>
    <w:p>
      <w:pPr>
        <w:pageBreakBefore w:val="0"/>
        <w:kinsoku/>
        <w:wordWrap/>
        <w:overflowPunct/>
        <w:topLinePunct w:val="0"/>
        <w:autoSpaceDE/>
        <w:autoSpaceDN/>
        <w:bidi w:val="0"/>
        <w:adjustRightInd/>
        <w:snapToGrid/>
        <w:spacing w:line="560" w:lineRule="exact"/>
        <w:ind w:firstLine="640" w:firstLineChars="200"/>
        <w:textAlignment w:val="auto"/>
        <w:rPr>
          <w:rFonts w:hint="eastAsia" w:ascii="仿宋_GB2312" w:eastAsia="仿宋_GB2312"/>
          <w:sz w:val="32"/>
          <w:szCs w:val="32"/>
          <w:lang w:bidi="en-US"/>
        </w:rPr>
      </w:pPr>
      <w:r>
        <w:rPr>
          <w:rFonts w:hint="eastAsia" w:ascii="仿宋_GB2312" w:eastAsia="仿宋_GB2312"/>
          <w:sz w:val="32"/>
          <w:szCs w:val="32"/>
          <w:lang w:bidi="en-US"/>
        </w:rPr>
        <w:t>根据采购合同约定，合同生效之日起具备实施条件后5个工作日内，甲方向乙方支付合同金额的10%，以后按每季度结算（逐季度抵扣预付部分），项目期满验收合格后，根据服务记录、考核评论结果进行结算。截至评价结束日，2023年居家养老服务项目资金尚未发放结束。</w:t>
      </w:r>
    </w:p>
    <w:p>
      <w:pPr>
        <w:pageBreakBefore w:val="0"/>
        <w:kinsoku/>
        <w:wordWrap/>
        <w:overflowPunct/>
        <w:topLinePunct w:val="0"/>
        <w:autoSpaceDE/>
        <w:autoSpaceDN/>
        <w:bidi w:val="0"/>
        <w:adjustRightInd/>
        <w:snapToGrid/>
        <w:spacing w:line="560" w:lineRule="exact"/>
        <w:ind w:firstLine="602"/>
        <w:textAlignment w:val="auto"/>
        <w:rPr>
          <w:color w:val="auto"/>
          <w:highlight w:val="none"/>
        </w:rPr>
      </w:pPr>
      <w:r>
        <w:rPr>
          <w:rFonts w:hint="eastAsia" w:ascii="黑体" w:hAnsi="黑体" w:eastAsia="黑体" w:cs="黑体"/>
          <w:b/>
          <w:bCs/>
          <w:color w:val="auto"/>
          <w:sz w:val="30"/>
          <w:szCs w:val="30"/>
          <w:highlight w:val="none"/>
        </w:rPr>
        <w:t>五、意见建议</w:t>
      </w:r>
      <w:bookmarkEnd w:id="31"/>
      <w:bookmarkEnd w:id="32"/>
      <w:bookmarkEnd w:id="33"/>
      <w:bookmarkEnd w:id="34"/>
    </w:p>
    <w:p>
      <w:pPr>
        <w:pageBreakBefore w:val="0"/>
        <w:kinsoku/>
        <w:wordWrap/>
        <w:overflowPunct/>
        <w:topLinePunct w:val="0"/>
        <w:autoSpaceDE/>
        <w:autoSpaceDN/>
        <w:bidi w:val="0"/>
        <w:adjustRightInd/>
        <w:snapToGrid/>
        <w:spacing w:line="560" w:lineRule="exact"/>
        <w:ind w:firstLine="562"/>
        <w:textAlignment w:val="auto"/>
        <w:rPr>
          <w:rFonts w:ascii="仿宋_GB2312" w:hAnsi="仿宋_GB2312" w:cs="仿宋_GB2312"/>
          <w:b/>
          <w:bCs/>
          <w:color w:val="auto"/>
          <w:highlight w:val="none"/>
        </w:rPr>
      </w:pPr>
      <w:r>
        <w:rPr>
          <w:rFonts w:hint="eastAsia" w:ascii="仿宋_GB2312" w:hAnsi="仿宋_GB2312" w:cs="仿宋_GB2312"/>
          <w:b/>
          <w:bCs/>
          <w:color w:val="auto"/>
          <w:highlight w:val="none"/>
          <w:lang w:eastAsia="zh-CN"/>
        </w:rPr>
        <w:t>（</w:t>
      </w:r>
      <w:r>
        <w:rPr>
          <w:rFonts w:hint="eastAsia" w:ascii="仿宋_GB2312" w:hAnsi="仿宋_GB2312" w:cs="仿宋_GB2312"/>
          <w:b/>
          <w:bCs/>
          <w:color w:val="auto"/>
          <w:highlight w:val="none"/>
          <w:lang w:val="en-US" w:eastAsia="zh-CN"/>
        </w:rPr>
        <w:t>一</w:t>
      </w:r>
      <w:r>
        <w:rPr>
          <w:rFonts w:hint="eastAsia" w:ascii="仿宋_GB2312" w:hAnsi="仿宋_GB2312" w:cs="仿宋_GB2312"/>
          <w:b/>
          <w:bCs/>
          <w:color w:val="auto"/>
          <w:highlight w:val="none"/>
          <w:lang w:eastAsia="zh-CN"/>
        </w:rPr>
        <w:t>）</w:t>
      </w:r>
      <w:r>
        <w:rPr>
          <w:rFonts w:hint="eastAsia" w:ascii="仿宋_GB2312" w:hAnsi="仿宋_GB2312" w:cs="仿宋_GB2312"/>
          <w:b/>
          <w:bCs/>
          <w:color w:val="auto"/>
          <w:highlight w:val="none"/>
        </w:rPr>
        <w:t>了解被服务对象的实际需求，增加有效供给。</w:t>
      </w:r>
    </w:p>
    <w:p>
      <w:pPr>
        <w:pageBreakBefore w:val="0"/>
        <w:kinsoku/>
        <w:wordWrap/>
        <w:overflowPunct/>
        <w:topLinePunct w:val="0"/>
        <w:autoSpaceDE/>
        <w:autoSpaceDN/>
        <w:bidi w:val="0"/>
        <w:adjustRightInd/>
        <w:snapToGrid/>
        <w:spacing w:line="560" w:lineRule="exact"/>
        <w:ind w:firstLine="640" w:firstLineChars="200"/>
        <w:textAlignment w:val="auto"/>
        <w:rPr>
          <w:rFonts w:hint="eastAsia" w:ascii="仿宋_GB2312" w:eastAsia="仿宋_GB2312"/>
          <w:sz w:val="32"/>
          <w:szCs w:val="32"/>
          <w:lang w:bidi="en-US"/>
        </w:rPr>
      </w:pPr>
      <w:r>
        <w:rPr>
          <w:rFonts w:hint="eastAsia" w:ascii="仿宋_GB2312" w:eastAsia="仿宋_GB2312"/>
          <w:sz w:val="32"/>
          <w:szCs w:val="32"/>
          <w:lang w:val="en-US" w:eastAsia="zh-CN" w:bidi="en-US"/>
        </w:rPr>
        <w:t>根据</w:t>
      </w:r>
      <w:r>
        <w:rPr>
          <w:rFonts w:hint="eastAsia" w:ascii="仿宋_GB2312" w:eastAsia="仿宋_GB2312"/>
          <w:sz w:val="32"/>
          <w:szCs w:val="32"/>
          <w:lang w:bidi="en-US"/>
        </w:rPr>
        <w:t>《威海市实施政府为特殊困难老年人购买社区居家养老服务管理办法》</w:t>
      </w:r>
      <w:r>
        <w:rPr>
          <w:rFonts w:hint="eastAsia" w:ascii="仿宋_GB2312" w:eastAsia="仿宋_GB2312"/>
          <w:sz w:val="32"/>
          <w:szCs w:val="32"/>
          <w:lang w:val="en-US" w:eastAsia="zh-CN" w:bidi="en-US"/>
        </w:rPr>
        <w:t>第十二条规定：服务主体每月提供的服务，必须包含“六助”服务内容中的一类，在此基础上，根据服务对象的需求，可根据实际情况开展。在居家养老服务具体实施过程中，</w:t>
      </w:r>
      <w:r>
        <w:rPr>
          <w:rFonts w:hint="eastAsia" w:ascii="仿宋_GB2312" w:eastAsia="仿宋_GB2312"/>
          <w:sz w:val="32"/>
          <w:szCs w:val="32"/>
          <w:lang w:bidi="en-US"/>
        </w:rPr>
        <w:t>对于部分符合居家养老服务条件的老人，根据老年人的年龄、健康状况、生活自理能力、居住环境等因素，制定个性化的服务方案。提高服务的针对性和有效性，并定期评估老年人的需求变化，及时调整服务方案，确保提供的服务始终满足老年人的实际需求。</w:t>
      </w:r>
    </w:p>
    <w:p>
      <w:pPr>
        <w:pageBreakBefore w:val="0"/>
        <w:kinsoku/>
        <w:wordWrap/>
        <w:overflowPunct/>
        <w:topLinePunct w:val="0"/>
        <w:autoSpaceDE/>
        <w:autoSpaceDN/>
        <w:bidi w:val="0"/>
        <w:adjustRightInd/>
        <w:snapToGrid/>
        <w:spacing w:line="560" w:lineRule="exact"/>
        <w:ind w:firstLine="562"/>
        <w:textAlignment w:val="auto"/>
        <w:rPr>
          <w:rFonts w:ascii="仿宋_GB2312" w:hAnsi="仿宋_GB2312" w:cs="仿宋_GB2312"/>
          <w:b/>
          <w:bCs/>
          <w:color w:val="auto"/>
          <w:highlight w:val="none"/>
        </w:rPr>
      </w:pPr>
      <w:r>
        <w:rPr>
          <w:rFonts w:hint="eastAsia" w:ascii="仿宋_GB2312" w:hAnsi="仿宋_GB2312" w:cs="仿宋_GB2312"/>
          <w:b/>
          <w:bCs/>
          <w:color w:val="auto"/>
          <w:szCs w:val="28"/>
          <w:highlight w:val="none"/>
          <w:lang w:eastAsia="zh-CN" w:bidi="en-US"/>
        </w:rPr>
        <w:t>（</w:t>
      </w:r>
      <w:r>
        <w:rPr>
          <w:rFonts w:hint="eastAsia" w:ascii="仿宋_GB2312" w:hAnsi="仿宋_GB2312" w:cs="仿宋_GB2312"/>
          <w:b/>
          <w:bCs/>
          <w:color w:val="auto"/>
          <w:szCs w:val="28"/>
          <w:highlight w:val="none"/>
          <w:lang w:val="en-US" w:eastAsia="zh-CN" w:bidi="en-US"/>
        </w:rPr>
        <w:t>二</w:t>
      </w:r>
      <w:r>
        <w:rPr>
          <w:rFonts w:hint="eastAsia" w:ascii="仿宋_GB2312" w:hAnsi="仿宋_GB2312" w:cs="仿宋_GB2312"/>
          <w:b/>
          <w:bCs/>
          <w:color w:val="auto"/>
          <w:szCs w:val="28"/>
          <w:highlight w:val="none"/>
          <w:lang w:eastAsia="zh-CN" w:bidi="en-US"/>
        </w:rPr>
        <w:t>）</w:t>
      </w:r>
      <w:r>
        <w:rPr>
          <w:rFonts w:hint="eastAsia" w:ascii="仿宋_GB2312" w:hAnsi="仿宋_GB2312" w:cs="仿宋_GB2312"/>
          <w:b/>
          <w:bCs/>
          <w:color w:val="auto"/>
          <w:szCs w:val="28"/>
          <w:highlight w:val="none"/>
          <w:lang w:bidi="en-US"/>
        </w:rPr>
        <w:t>将</w:t>
      </w:r>
      <w:r>
        <w:rPr>
          <w:rFonts w:hint="eastAsia" w:ascii="仿宋_GB2312" w:hAnsi="仿宋_GB2312" w:cs="仿宋_GB2312"/>
          <w:b/>
          <w:bCs/>
          <w:color w:val="auto"/>
          <w:szCs w:val="28"/>
          <w:highlight w:val="none"/>
          <w:lang w:val="en-US" w:eastAsia="zh-CN" w:bidi="en-US"/>
        </w:rPr>
        <w:t>有自理能力的</w:t>
      </w:r>
      <w:r>
        <w:rPr>
          <w:rFonts w:hint="eastAsia" w:ascii="仿宋_GB2312" w:hAnsi="仿宋_GB2312" w:cs="仿宋_GB2312"/>
          <w:b/>
          <w:bCs/>
          <w:color w:val="auto"/>
          <w:szCs w:val="28"/>
          <w:highlight w:val="none"/>
          <w:lang w:bidi="en-US"/>
        </w:rPr>
        <w:t>D类被服务对象从居家养老服务名单中</w:t>
      </w:r>
      <w:r>
        <w:rPr>
          <w:rFonts w:hint="eastAsia" w:ascii="仿宋_GB2312" w:hAnsi="仿宋_GB2312" w:cs="仿宋_GB2312"/>
          <w:b/>
          <w:bCs/>
          <w:color w:val="auto"/>
          <w:szCs w:val="28"/>
          <w:highlight w:val="none"/>
          <w:lang w:val="en-US" w:eastAsia="zh-CN" w:bidi="en-US"/>
        </w:rPr>
        <w:t>剔除，集中力量服务好应服务对象</w:t>
      </w:r>
      <w:r>
        <w:rPr>
          <w:rFonts w:hint="eastAsia" w:ascii="仿宋_GB2312" w:hAnsi="仿宋_GB2312" w:cs="仿宋_GB2312"/>
          <w:b/>
          <w:bCs/>
          <w:color w:val="auto"/>
          <w:highlight w:val="none"/>
        </w:rPr>
        <w:t>。</w:t>
      </w:r>
    </w:p>
    <w:p>
      <w:pPr>
        <w:pageBreakBefore w:val="0"/>
        <w:kinsoku/>
        <w:wordWrap/>
        <w:overflowPunct/>
        <w:topLinePunct w:val="0"/>
        <w:autoSpaceDE/>
        <w:autoSpaceDN/>
        <w:bidi w:val="0"/>
        <w:adjustRightInd/>
        <w:snapToGrid/>
        <w:spacing w:line="560" w:lineRule="exact"/>
        <w:ind w:firstLine="640" w:firstLineChars="200"/>
        <w:textAlignment w:val="auto"/>
        <w:rPr>
          <w:rFonts w:hint="eastAsia" w:ascii="仿宋_GB2312" w:eastAsia="仿宋_GB2312"/>
          <w:sz w:val="32"/>
          <w:szCs w:val="32"/>
          <w:lang w:bidi="en-US"/>
        </w:rPr>
      </w:pPr>
      <w:r>
        <w:rPr>
          <w:rFonts w:hint="eastAsia" w:ascii="仿宋_GB2312" w:eastAsia="仿宋_GB2312"/>
          <w:sz w:val="32"/>
          <w:szCs w:val="32"/>
          <w:lang w:bidi="en-US"/>
        </w:rPr>
        <w:t>依据相关法律法规，充分考虑被服务对象的实际情况，结合财政部门和服务机构的访谈意见，对D类被服务对象进行重新甄别，科学合理的确定居家养老被服务对象认定标准和数量，将生活可以自理或没有居家养老服务需求的D类被服务对象从居家养老服务名单中剔除</w:t>
      </w:r>
      <w:r>
        <w:rPr>
          <w:rFonts w:hint="eastAsia" w:ascii="仿宋_GB2312" w:eastAsia="仿宋_GB2312"/>
          <w:sz w:val="32"/>
          <w:szCs w:val="32"/>
          <w:lang w:eastAsia="zh-CN" w:bidi="en-US"/>
        </w:rPr>
        <w:t>，</w:t>
      </w:r>
      <w:r>
        <w:rPr>
          <w:rFonts w:hint="eastAsia" w:ascii="仿宋_GB2312" w:eastAsia="仿宋_GB2312"/>
          <w:sz w:val="32"/>
          <w:szCs w:val="32"/>
          <w:lang w:val="en-US" w:eastAsia="zh-CN" w:bidi="en-US"/>
        </w:rPr>
        <w:t>预计可节约预算资金501.6020万元</w:t>
      </w:r>
      <w:r>
        <w:rPr>
          <w:rFonts w:hint="eastAsia" w:ascii="仿宋_GB2312" w:eastAsia="仿宋_GB2312"/>
          <w:sz w:val="32"/>
          <w:szCs w:val="32"/>
          <w:lang w:bidi="en-US"/>
        </w:rPr>
        <w:t>。集中资源和精力，尽全力做好A类、B类、C类等确需居家养老服务的老年人生活保障，提升居家养老服务质量，提高老年人生活的幸福水平。</w:t>
      </w:r>
    </w:p>
    <w:p>
      <w:pPr>
        <w:pageBreakBefore w:val="0"/>
        <w:kinsoku/>
        <w:wordWrap/>
        <w:overflowPunct/>
        <w:topLinePunct w:val="0"/>
        <w:autoSpaceDE/>
        <w:autoSpaceDN/>
        <w:bidi w:val="0"/>
        <w:adjustRightInd/>
        <w:snapToGrid/>
        <w:spacing w:line="560" w:lineRule="exact"/>
        <w:ind w:firstLine="562"/>
        <w:textAlignment w:val="auto"/>
        <w:rPr>
          <w:rFonts w:ascii="仿宋_GB2312" w:hAnsi="仿宋_GB2312" w:cs="仿宋_GB2312"/>
          <w:b/>
          <w:bCs/>
          <w:color w:val="auto"/>
          <w:highlight w:val="none"/>
        </w:rPr>
      </w:pPr>
      <w:r>
        <w:rPr>
          <w:rFonts w:hint="eastAsia" w:ascii="仿宋_GB2312" w:hAnsi="仿宋_GB2312" w:cs="仿宋_GB2312"/>
          <w:b/>
          <w:bCs/>
          <w:color w:val="auto"/>
          <w:highlight w:val="none"/>
          <w:lang w:eastAsia="zh-CN"/>
        </w:rPr>
        <w:t>（</w:t>
      </w:r>
      <w:r>
        <w:rPr>
          <w:rFonts w:hint="eastAsia" w:ascii="仿宋_GB2312" w:hAnsi="仿宋_GB2312" w:cs="仿宋_GB2312"/>
          <w:b/>
          <w:bCs/>
          <w:color w:val="auto"/>
          <w:highlight w:val="none"/>
          <w:lang w:val="en-US" w:eastAsia="zh-CN"/>
        </w:rPr>
        <w:t>三</w:t>
      </w:r>
      <w:r>
        <w:rPr>
          <w:rFonts w:hint="eastAsia" w:ascii="仿宋_GB2312" w:hAnsi="仿宋_GB2312" w:cs="仿宋_GB2312"/>
          <w:b/>
          <w:bCs/>
          <w:color w:val="auto"/>
          <w:highlight w:val="none"/>
          <w:lang w:eastAsia="zh-CN"/>
        </w:rPr>
        <w:t>）</w:t>
      </w:r>
      <w:r>
        <w:rPr>
          <w:rFonts w:hint="eastAsia" w:ascii="仿宋_GB2312" w:hAnsi="仿宋_GB2312" w:cs="仿宋_GB2312"/>
          <w:b/>
          <w:bCs/>
          <w:color w:val="auto"/>
          <w:highlight w:val="none"/>
        </w:rPr>
        <w:t>建立更加完善的服务标准和监管体系，提高服务质量。</w:t>
      </w:r>
    </w:p>
    <w:p>
      <w:pPr>
        <w:pageBreakBefore w:val="0"/>
        <w:kinsoku/>
        <w:wordWrap/>
        <w:overflowPunct/>
        <w:topLinePunct w:val="0"/>
        <w:autoSpaceDE/>
        <w:autoSpaceDN/>
        <w:bidi w:val="0"/>
        <w:adjustRightInd/>
        <w:snapToGrid/>
        <w:spacing w:line="560" w:lineRule="exact"/>
        <w:ind w:firstLine="640" w:firstLineChars="200"/>
        <w:textAlignment w:val="auto"/>
        <w:rPr>
          <w:rFonts w:hint="eastAsia" w:ascii="仿宋_GB2312" w:eastAsia="仿宋_GB2312"/>
          <w:sz w:val="32"/>
          <w:szCs w:val="32"/>
          <w:lang w:bidi="en-US"/>
        </w:rPr>
      </w:pPr>
      <w:r>
        <w:rPr>
          <w:rFonts w:hint="eastAsia" w:ascii="仿宋_GB2312" w:eastAsia="仿宋_GB2312"/>
          <w:sz w:val="32"/>
          <w:szCs w:val="32"/>
          <w:lang w:bidi="en-US"/>
        </w:rPr>
        <w:t>参照国家相关标准，如《居家养老上门服务基本规范》等，结合农村实际情况，制定详细的服务规范，这些规范应涵盖服务内容、服务流程、服务标准、服务人员资质等多个方面。明确服务项目的具体要求和操作流程，确保服务过程的规范化和标准化。</w:t>
      </w:r>
    </w:p>
    <w:p>
      <w:pPr>
        <w:pageBreakBefore w:val="0"/>
        <w:kinsoku/>
        <w:wordWrap/>
        <w:overflowPunct/>
        <w:topLinePunct w:val="0"/>
        <w:autoSpaceDE/>
        <w:autoSpaceDN/>
        <w:bidi w:val="0"/>
        <w:adjustRightInd/>
        <w:snapToGrid/>
        <w:spacing w:line="560" w:lineRule="exact"/>
        <w:ind w:firstLine="640" w:firstLineChars="200"/>
        <w:textAlignment w:val="auto"/>
        <w:rPr>
          <w:rFonts w:hint="eastAsia" w:ascii="仿宋_GB2312" w:eastAsia="仿宋_GB2312"/>
          <w:sz w:val="32"/>
          <w:szCs w:val="32"/>
          <w:lang w:bidi="en-US"/>
        </w:rPr>
      </w:pPr>
      <w:r>
        <w:rPr>
          <w:rFonts w:hint="eastAsia" w:ascii="仿宋_GB2312" w:eastAsia="仿宋_GB2312"/>
          <w:sz w:val="32"/>
          <w:szCs w:val="32"/>
          <w:lang w:bidi="en-US"/>
        </w:rPr>
        <w:t>文登区民政局继续定期组织对服务机构服务人员的集中统一培训，鼓励服务人员参加职业资格证书考试，提升他们的职业素养和服务水平；各服务机构也要制订对本公司员工的服务质量和服务态度等方面的内部考核办法，加强对服务人员的管理，加大对养老服务人才的培养力度，增强其责任心，提高其专业化水平，更好满足被服务对象的日常需求。</w:t>
      </w:r>
    </w:p>
    <w:p>
      <w:pPr>
        <w:pageBreakBefore w:val="0"/>
        <w:kinsoku/>
        <w:wordWrap/>
        <w:overflowPunct/>
        <w:topLinePunct w:val="0"/>
        <w:autoSpaceDE/>
        <w:autoSpaceDN/>
        <w:bidi w:val="0"/>
        <w:adjustRightInd/>
        <w:snapToGrid/>
        <w:spacing w:line="560" w:lineRule="exact"/>
        <w:ind w:firstLine="640" w:firstLineChars="200"/>
        <w:textAlignment w:val="auto"/>
        <w:rPr>
          <w:rFonts w:hint="eastAsia" w:ascii="仿宋_GB2312" w:eastAsia="仿宋_GB2312"/>
          <w:sz w:val="32"/>
          <w:szCs w:val="32"/>
          <w:lang w:bidi="en-US"/>
        </w:rPr>
      </w:pPr>
      <w:r>
        <w:rPr>
          <w:rFonts w:hint="eastAsia" w:ascii="仿宋_GB2312" w:eastAsia="仿宋_GB2312"/>
          <w:sz w:val="32"/>
          <w:szCs w:val="32"/>
          <w:lang w:bidi="en-US"/>
        </w:rPr>
        <w:t>同时，可以鼓励社会组织、媒体和公众等社会力量参与居家养老服务的监督，通过公开透明的方式，让更多人了解服务情况，提出改进建议。建立举报奖励机制，鼓励群众积极举报违法违规行为，形成全社会共同监督的良好氛围。</w:t>
      </w:r>
    </w:p>
    <w:p>
      <w:pPr>
        <w:pageBreakBefore w:val="0"/>
        <w:kinsoku/>
        <w:wordWrap/>
        <w:overflowPunct/>
        <w:topLinePunct w:val="0"/>
        <w:autoSpaceDE/>
        <w:autoSpaceDN/>
        <w:bidi w:val="0"/>
        <w:adjustRightInd/>
        <w:snapToGrid/>
        <w:spacing w:line="560" w:lineRule="exact"/>
        <w:ind w:firstLine="562"/>
        <w:textAlignment w:val="auto"/>
        <w:rPr>
          <w:rFonts w:ascii="仿宋_GB2312" w:hAnsi="仿宋_GB2312" w:cs="仿宋_GB2312"/>
          <w:b/>
          <w:bCs/>
          <w:color w:val="auto"/>
          <w:highlight w:val="none"/>
        </w:rPr>
      </w:pPr>
      <w:r>
        <w:rPr>
          <w:rFonts w:hint="eastAsia" w:ascii="仿宋_GB2312" w:hAnsi="仿宋_GB2312" w:cs="仿宋_GB2312"/>
          <w:b/>
          <w:bCs/>
          <w:color w:val="auto"/>
          <w:highlight w:val="none"/>
          <w:lang w:eastAsia="zh-CN"/>
        </w:rPr>
        <w:t>（</w:t>
      </w:r>
      <w:r>
        <w:rPr>
          <w:rFonts w:hint="eastAsia" w:ascii="仿宋_GB2312" w:hAnsi="仿宋_GB2312" w:cs="仿宋_GB2312"/>
          <w:b/>
          <w:bCs/>
          <w:color w:val="auto"/>
          <w:highlight w:val="none"/>
          <w:lang w:val="en-US" w:eastAsia="zh-CN"/>
        </w:rPr>
        <w:t>四</w:t>
      </w:r>
      <w:r>
        <w:rPr>
          <w:rFonts w:hint="eastAsia" w:ascii="仿宋_GB2312" w:hAnsi="仿宋_GB2312" w:cs="仿宋_GB2312"/>
          <w:b/>
          <w:bCs/>
          <w:color w:val="auto"/>
          <w:highlight w:val="none"/>
          <w:lang w:eastAsia="zh-CN"/>
        </w:rPr>
        <w:t>）</w:t>
      </w:r>
      <w:r>
        <w:rPr>
          <w:rFonts w:hint="eastAsia" w:ascii="仿宋_GB2312" w:hAnsi="仿宋_GB2312" w:cs="仿宋_GB2312"/>
          <w:b/>
          <w:bCs/>
          <w:color w:val="auto"/>
          <w:highlight w:val="none"/>
        </w:rPr>
        <w:t>政府及时、准确发放资金，形成多元化资金投入机制。</w:t>
      </w:r>
    </w:p>
    <w:p>
      <w:pPr>
        <w:pageBreakBefore w:val="0"/>
        <w:kinsoku/>
        <w:wordWrap/>
        <w:overflowPunct/>
        <w:topLinePunct w:val="0"/>
        <w:autoSpaceDE/>
        <w:autoSpaceDN/>
        <w:bidi w:val="0"/>
        <w:adjustRightInd/>
        <w:snapToGrid/>
        <w:spacing w:line="560" w:lineRule="exact"/>
        <w:ind w:firstLine="640" w:firstLineChars="200"/>
        <w:textAlignment w:val="auto"/>
        <w:rPr>
          <w:rFonts w:hint="default" w:ascii="仿宋_GB2312" w:eastAsia="仿宋_GB2312"/>
          <w:sz w:val="32"/>
          <w:szCs w:val="32"/>
          <w:lang w:val="en-US" w:eastAsia="zh-CN" w:bidi="en-US"/>
        </w:rPr>
      </w:pPr>
      <w:r>
        <w:rPr>
          <w:rFonts w:hint="eastAsia" w:ascii="仿宋_GB2312" w:eastAsia="仿宋_GB2312"/>
          <w:sz w:val="32"/>
          <w:szCs w:val="32"/>
          <w:lang w:bidi="en-US"/>
        </w:rPr>
        <w:t>增加对居家养老服务的财政投入，除了政府财政拨款外，鼓励社会资本参与，形成多元化的资金投入机制，积极引入社会资本，通过慈善捐赠、社会募捐等多种方式筹集资金</w:t>
      </w:r>
      <w:r>
        <w:rPr>
          <w:rFonts w:hint="eastAsia" w:ascii="仿宋_GB2312" w:eastAsia="仿宋_GB2312"/>
          <w:sz w:val="32"/>
          <w:szCs w:val="32"/>
          <w:lang w:eastAsia="zh-CN" w:bidi="en-US"/>
        </w:rPr>
        <w:t>，</w:t>
      </w:r>
      <w:r>
        <w:rPr>
          <w:rFonts w:hint="eastAsia" w:ascii="仿宋_GB2312" w:eastAsia="仿宋_GB2312"/>
          <w:sz w:val="32"/>
          <w:szCs w:val="32"/>
          <w:lang w:val="en-US" w:eastAsia="zh-CN" w:bidi="en-US"/>
        </w:rPr>
        <w:t>保障项目正常高效运行。</w:t>
      </w:r>
    </w:p>
    <w:p/>
    <w:p>
      <w:pPr>
        <w:pStyle w:val="2"/>
      </w:pPr>
    </w:p>
    <w:p/>
    <w:p>
      <w:pPr>
        <w:pageBreakBefore w:val="0"/>
        <w:kinsoku/>
        <w:wordWrap/>
        <w:overflowPunct/>
        <w:topLinePunct w:val="0"/>
        <w:bidi w:val="0"/>
        <w:snapToGrid/>
        <w:spacing w:line="560" w:lineRule="exact"/>
        <w:jc w:val="both"/>
        <w:textAlignment w:val="auto"/>
        <w:rPr>
          <w:rFonts w:hint="eastAsia" w:ascii="仿宋_GB2312" w:hAnsi="仿宋_GB2312" w:eastAsia="仿宋_GB2312" w:cs="仿宋_GB2312"/>
          <w:b/>
          <w:bCs/>
          <w:sz w:val="24"/>
          <w:szCs w:val="24"/>
          <w:highlight w:val="none"/>
          <w:lang w:val="en-US" w:eastAsia="zh-CN"/>
        </w:rPr>
      </w:pPr>
      <w:r>
        <w:rPr>
          <w:rFonts w:hint="eastAsia" w:ascii="仿宋_GB2312" w:hAnsi="仿宋_GB2312" w:eastAsia="仿宋_GB2312" w:cs="仿宋_GB2312"/>
          <w:b/>
          <w:bCs/>
          <w:sz w:val="24"/>
          <w:szCs w:val="24"/>
          <w:highlight w:val="none"/>
          <w:lang w:eastAsia="zh-CN"/>
        </w:rPr>
        <w:t>附件</w:t>
      </w:r>
      <w:r>
        <w:rPr>
          <w:rFonts w:hint="eastAsia" w:ascii="仿宋_GB2312" w:hAnsi="仿宋_GB2312" w:eastAsia="仿宋_GB2312" w:cs="仿宋_GB2312"/>
          <w:b/>
          <w:bCs/>
          <w:sz w:val="24"/>
          <w:szCs w:val="24"/>
          <w:highlight w:val="none"/>
          <w:lang w:val="en-US" w:eastAsia="zh-CN"/>
        </w:rPr>
        <w:t>2</w:t>
      </w:r>
    </w:p>
    <w:p>
      <w:pPr>
        <w:pStyle w:val="2"/>
        <w:rPr>
          <w:rFonts w:hint="eastAsia"/>
          <w:lang w:val="en-US" w:eastAsia="zh-CN"/>
        </w:rPr>
      </w:pPr>
    </w:p>
    <w:p>
      <w:pPr>
        <w:pageBreakBefore w:val="0"/>
        <w:kinsoku/>
        <w:wordWrap/>
        <w:overflowPunct/>
        <w:topLinePunct w:val="0"/>
        <w:bidi w:val="0"/>
        <w:snapToGrid/>
        <w:spacing w:line="560" w:lineRule="exact"/>
        <w:jc w:val="center"/>
        <w:textAlignment w:val="auto"/>
        <w:rPr>
          <w:rFonts w:hint="eastAsia" w:ascii="方正小标宋简体" w:hAnsi="方正小标宋简体" w:eastAsia="方正小标宋简体" w:cs="方正小标宋简体"/>
          <w:sz w:val="44"/>
          <w:szCs w:val="44"/>
          <w:highlight w:val="none"/>
        </w:rPr>
      </w:pPr>
      <w:r>
        <w:rPr>
          <w:rFonts w:hint="eastAsia" w:ascii="方正小标宋简体" w:hAnsi="方正小标宋简体" w:eastAsia="方正小标宋简体" w:cs="方正小标宋简体"/>
          <w:sz w:val="44"/>
          <w:szCs w:val="44"/>
          <w:highlight w:val="none"/>
        </w:rPr>
        <w:t>20</w:t>
      </w:r>
      <w:r>
        <w:rPr>
          <w:rFonts w:hint="eastAsia" w:ascii="方正小标宋简体" w:hAnsi="方正小标宋简体" w:eastAsia="方正小标宋简体" w:cs="方正小标宋简体"/>
          <w:sz w:val="44"/>
          <w:szCs w:val="44"/>
          <w:highlight w:val="none"/>
          <w:lang w:val="en-US" w:eastAsia="zh-CN"/>
        </w:rPr>
        <w:t>23</w:t>
      </w:r>
      <w:r>
        <w:rPr>
          <w:rFonts w:hint="eastAsia" w:ascii="方正小标宋简体" w:hAnsi="方正小标宋简体" w:eastAsia="方正小标宋简体" w:cs="方正小标宋简体"/>
          <w:sz w:val="44"/>
          <w:szCs w:val="44"/>
          <w:highlight w:val="none"/>
        </w:rPr>
        <w:t>年一般公共预算转移支付情况</w:t>
      </w:r>
    </w:p>
    <w:p>
      <w:pPr>
        <w:pageBreakBefore w:val="0"/>
        <w:kinsoku/>
        <w:wordWrap/>
        <w:overflowPunct/>
        <w:topLinePunct w:val="0"/>
        <w:bidi w:val="0"/>
        <w:snapToGrid/>
        <w:spacing w:line="560" w:lineRule="exact"/>
        <w:jc w:val="center"/>
        <w:textAlignment w:val="auto"/>
        <w:rPr>
          <w:rFonts w:hint="eastAsia" w:ascii="方正小标宋简体" w:hAnsi="方正小标宋简体" w:eastAsia="方正小标宋简体" w:cs="方正小标宋简体"/>
          <w:sz w:val="44"/>
          <w:szCs w:val="44"/>
          <w:highlight w:val="none"/>
        </w:rPr>
      </w:pPr>
      <w:r>
        <w:rPr>
          <w:rFonts w:hint="eastAsia" w:ascii="方正小标宋简体" w:hAnsi="方正小标宋简体" w:eastAsia="方正小标宋简体" w:cs="方正小标宋简体"/>
          <w:sz w:val="44"/>
          <w:szCs w:val="44"/>
          <w:highlight w:val="none"/>
        </w:rPr>
        <w:t>安排的说明</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20</w:t>
      </w:r>
      <w:r>
        <w:rPr>
          <w:rFonts w:hint="eastAsia" w:ascii="仿宋_GB2312" w:hAnsi="仿宋_GB2312" w:eastAsia="仿宋_GB2312" w:cs="仿宋_GB2312"/>
          <w:sz w:val="32"/>
          <w:szCs w:val="32"/>
          <w:highlight w:val="none"/>
          <w:lang w:val="en-US" w:eastAsia="zh-CN"/>
        </w:rPr>
        <w:t>23</w:t>
      </w:r>
      <w:r>
        <w:rPr>
          <w:rFonts w:hint="eastAsia" w:ascii="仿宋_GB2312" w:hAnsi="仿宋_GB2312" w:eastAsia="仿宋_GB2312" w:cs="仿宋_GB2312"/>
          <w:sz w:val="32"/>
          <w:szCs w:val="32"/>
          <w:highlight w:val="none"/>
        </w:rPr>
        <w:t>年，我</w:t>
      </w:r>
      <w:r>
        <w:rPr>
          <w:rFonts w:hint="eastAsia" w:ascii="仿宋_GB2312" w:hAnsi="仿宋_GB2312" w:eastAsia="仿宋_GB2312" w:cs="仿宋_GB2312"/>
          <w:sz w:val="32"/>
          <w:szCs w:val="32"/>
          <w:highlight w:val="none"/>
          <w:lang w:eastAsia="zh-CN"/>
        </w:rPr>
        <w:t>区</w:t>
      </w:r>
      <w:r>
        <w:rPr>
          <w:rFonts w:hint="eastAsia" w:ascii="仿宋_GB2312" w:hAnsi="仿宋_GB2312" w:eastAsia="仿宋_GB2312" w:cs="仿宋_GB2312"/>
          <w:sz w:val="32"/>
          <w:szCs w:val="32"/>
          <w:highlight w:val="none"/>
        </w:rPr>
        <w:t>共收到中央、省、市三级转移支付补助资</w:t>
      </w: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金</w:t>
      </w:r>
      <w:r>
        <w:rPr>
          <w:rFonts w:hint="eastAsia" w:ascii="仿宋_GB2312" w:hAnsi="仿宋_GB2312" w:eastAsia="仿宋_GB2312" w:cs="仿宋_GB2312"/>
          <w:sz w:val="32"/>
          <w:szCs w:val="32"/>
          <w:highlight w:val="none"/>
          <w:lang w:val="en-US" w:eastAsia="zh-CN"/>
        </w:rPr>
        <w:t>204254</w:t>
      </w:r>
      <w:r>
        <w:rPr>
          <w:rFonts w:hint="eastAsia" w:ascii="仿宋_GB2312" w:hAnsi="仿宋_GB2312" w:eastAsia="仿宋_GB2312" w:cs="仿宋_GB2312"/>
          <w:sz w:val="32"/>
          <w:szCs w:val="32"/>
          <w:highlight w:val="none"/>
        </w:rPr>
        <w:t>万元，具体情况如下：</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黑体" w:hAnsi="黑体" w:eastAsia="黑体" w:cs="黑体"/>
          <w:sz w:val="32"/>
          <w:szCs w:val="32"/>
          <w:highlight w:val="none"/>
        </w:rPr>
      </w:pPr>
      <w:r>
        <w:rPr>
          <w:rFonts w:hint="eastAsia" w:ascii="黑体" w:hAnsi="黑体" w:eastAsia="黑体" w:cs="黑体"/>
          <w:sz w:val="32"/>
          <w:szCs w:val="32"/>
          <w:highlight w:val="none"/>
          <w:lang w:eastAsia="zh-CN"/>
        </w:rPr>
        <w:t>一、</w:t>
      </w:r>
      <w:r>
        <w:rPr>
          <w:rFonts w:hint="eastAsia" w:ascii="黑体" w:hAnsi="黑体" w:eastAsia="黑体" w:cs="黑体"/>
          <w:sz w:val="32"/>
          <w:szCs w:val="32"/>
          <w:highlight w:val="none"/>
        </w:rPr>
        <w:t>20</w:t>
      </w:r>
      <w:r>
        <w:rPr>
          <w:rFonts w:hint="eastAsia" w:ascii="黑体" w:hAnsi="黑体" w:eastAsia="黑体" w:cs="黑体"/>
          <w:sz w:val="32"/>
          <w:szCs w:val="32"/>
          <w:highlight w:val="none"/>
          <w:lang w:val="en-US" w:eastAsia="zh-CN"/>
        </w:rPr>
        <w:t>23</w:t>
      </w:r>
      <w:r>
        <w:rPr>
          <w:rFonts w:hint="eastAsia" w:ascii="黑体" w:hAnsi="黑体" w:eastAsia="黑体" w:cs="黑体"/>
          <w:sz w:val="32"/>
          <w:szCs w:val="32"/>
          <w:highlight w:val="none"/>
        </w:rPr>
        <w:t>年一般性转移支付执行数为</w:t>
      </w:r>
      <w:r>
        <w:rPr>
          <w:rFonts w:hint="eastAsia" w:ascii="黑体" w:hAnsi="黑体" w:eastAsia="黑体" w:cs="黑体"/>
          <w:sz w:val="32"/>
          <w:szCs w:val="32"/>
          <w:highlight w:val="none"/>
          <w:lang w:val="en-US" w:eastAsia="zh-CN"/>
        </w:rPr>
        <w:t>180561</w:t>
      </w:r>
      <w:r>
        <w:rPr>
          <w:rFonts w:hint="eastAsia" w:ascii="黑体" w:hAnsi="黑体" w:eastAsia="黑体" w:cs="黑体"/>
          <w:sz w:val="32"/>
          <w:szCs w:val="32"/>
          <w:highlight w:val="none"/>
        </w:rPr>
        <w:t>万元</w:t>
      </w:r>
      <w:r>
        <w:rPr>
          <w:rFonts w:hint="eastAsia" w:ascii="黑体" w:hAnsi="黑体" w:eastAsia="黑体" w:cs="黑体"/>
          <w:sz w:val="32"/>
          <w:szCs w:val="32"/>
          <w:lang w:val="en-US" w:eastAsia="zh-CN"/>
        </w:rPr>
        <w:t>(</w:t>
      </w:r>
      <w:r>
        <w:rPr>
          <w:rFonts w:hint="eastAsia" w:ascii="黑体" w:hAnsi="黑体" w:eastAsia="黑体" w:cs="黑体"/>
          <w:sz w:val="32"/>
          <w:szCs w:val="32"/>
        </w:rPr>
        <w:t>因体制原因，我区对乡镇按照部门进行管理，因此没有</w:t>
      </w:r>
      <w:r>
        <w:rPr>
          <w:rFonts w:hint="eastAsia" w:ascii="黑体" w:hAnsi="黑体" w:eastAsia="黑体" w:cs="黑体"/>
          <w:sz w:val="32"/>
          <w:szCs w:val="32"/>
          <w:lang w:eastAsia="zh-CN"/>
        </w:rPr>
        <w:t>对乡镇</w:t>
      </w:r>
      <w:r>
        <w:rPr>
          <w:rFonts w:hint="eastAsia" w:ascii="黑体" w:hAnsi="黑体" w:eastAsia="黑体" w:cs="黑体"/>
          <w:sz w:val="32"/>
          <w:szCs w:val="32"/>
        </w:rPr>
        <w:t>一般性转移支付</w:t>
      </w:r>
      <w:r>
        <w:rPr>
          <w:rFonts w:hint="eastAsia" w:ascii="黑体" w:hAnsi="黑体" w:eastAsia="黑体" w:cs="黑体"/>
          <w:sz w:val="32"/>
          <w:szCs w:val="32"/>
          <w:lang w:eastAsia="zh-CN"/>
        </w:rPr>
        <w:t>情况</w:t>
      </w:r>
      <w:r>
        <w:rPr>
          <w:rFonts w:hint="eastAsia" w:ascii="黑体" w:hAnsi="黑体" w:eastAsia="黑体" w:cs="黑体"/>
          <w:sz w:val="32"/>
          <w:szCs w:val="32"/>
          <w:lang w:val="en-US" w:eastAsia="zh-CN"/>
        </w:rPr>
        <w:t>)</w:t>
      </w:r>
      <w:r>
        <w:rPr>
          <w:rFonts w:hint="eastAsia" w:ascii="黑体" w:hAnsi="黑体" w:eastAsia="黑体" w:cs="黑体"/>
          <w:sz w:val="32"/>
          <w:szCs w:val="32"/>
          <w:highlight w:val="none"/>
        </w:rPr>
        <w:t>，其中：</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lang w:val="en-US" w:eastAsia="zh-CN"/>
        </w:rPr>
        <w:t>（一）</w:t>
      </w:r>
      <w:r>
        <w:rPr>
          <w:rFonts w:hint="eastAsia" w:ascii="仿宋_GB2312" w:hAnsi="仿宋_GB2312" w:eastAsia="仿宋_GB2312" w:cs="仿宋_GB2312"/>
          <w:color w:val="auto"/>
          <w:sz w:val="32"/>
          <w:szCs w:val="32"/>
          <w:highlight w:val="none"/>
        </w:rPr>
        <w:t>均衡性转移支付</w:t>
      </w:r>
      <w:r>
        <w:rPr>
          <w:rFonts w:hint="eastAsia" w:ascii="仿宋_GB2312" w:hAnsi="仿宋_GB2312" w:eastAsia="仿宋_GB2312" w:cs="仿宋_GB2312"/>
          <w:color w:val="auto"/>
          <w:sz w:val="32"/>
          <w:szCs w:val="32"/>
          <w:highlight w:val="none"/>
          <w:lang w:val="en-US" w:eastAsia="zh-CN"/>
        </w:rPr>
        <w:t>1720</w:t>
      </w:r>
      <w:r>
        <w:rPr>
          <w:rFonts w:hint="eastAsia" w:ascii="仿宋_GB2312" w:hAnsi="仿宋_GB2312" w:eastAsia="仿宋_GB2312" w:cs="仿宋_GB2312"/>
          <w:color w:val="auto"/>
          <w:sz w:val="32"/>
          <w:szCs w:val="32"/>
          <w:highlight w:val="none"/>
        </w:rPr>
        <w:t>万元，主要用于均衡各地方政府财力差异，推进区域间基本公共服务均等化。</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lang w:val="en-US" w:eastAsia="zh-CN"/>
        </w:rPr>
        <w:t>（二）</w:t>
      </w:r>
      <w:r>
        <w:rPr>
          <w:rFonts w:hint="eastAsia" w:ascii="仿宋_GB2312" w:hAnsi="仿宋_GB2312" w:eastAsia="仿宋_GB2312" w:cs="仿宋_GB2312"/>
          <w:color w:val="auto"/>
          <w:sz w:val="32"/>
          <w:szCs w:val="32"/>
          <w:highlight w:val="none"/>
        </w:rPr>
        <w:t>县级基本财力保障机制奖补资金</w:t>
      </w:r>
      <w:r>
        <w:rPr>
          <w:rFonts w:hint="eastAsia" w:ascii="仿宋_GB2312" w:hAnsi="仿宋_GB2312" w:eastAsia="仿宋_GB2312" w:cs="仿宋_GB2312"/>
          <w:color w:val="auto"/>
          <w:sz w:val="32"/>
          <w:szCs w:val="32"/>
          <w:highlight w:val="none"/>
          <w:lang w:val="en-US" w:eastAsia="zh-CN"/>
        </w:rPr>
        <w:t>3838</w:t>
      </w:r>
      <w:r>
        <w:rPr>
          <w:rFonts w:hint="eastAsia" w:ascii="仿宋_GB2312" w:hAnsi="仿宋_GB2312" w:eastAsia="仿宋_GB2312" w:cs="仿宋_GB2312"/>
          <w:color w:val="auto"/>
          <w:sz w:val="32"/>
          <w:szCs w:val="32"/>
          <w:highlight w:val="none"/>
        </w:rPr>
        <w:t>万元，主要用于增强基层政府“保工资、保运转、保基本民生”能力，保障基层政府实施公共管理、提供基本公共服务以及落实各项民生政策基本财力需要。</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lang w:val="en-US" w:eastAsia="zh-CN"/>
        </w:rPr>
        <w:t>（三）产粮（油）大县奖励资金1523万元，主要用于缓解产粮（油）大县财政困难，调动政府抓好粮食生产的积极性，巩固粮食安全基础。</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lang w:val="en-US" w:eastAsia="zh-CN"/>
        </w:rPr>
        <w:t>（四）重点生态功能区转移支付606万元。主要用于对国家级重点生态县、国家自然保护区以及重要水源保护地财力补助，帮助其生态保护和民生改善。</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lang w:val="en-US" w:eastAsia="zh-CN"/>
        </w:rPr>
        <w:t>（五）</w:t>
      </w:r>
      <w:r>
        <w:rPr>
          <w:rFonts w:hint="eastAsia" w:ascii="仿宋_GB2312" w:hAnsi="仿宋_GB2312" w:eastAsia="仿宋_GB2312" w:cs="仿宋_GB2312"/>
          <w:color w:val="auto"/>
          <w:sz w:val="32"/>
          <w:szCs w:val="32"/>
          <w:highlight w:val="none"/>
        </w:rPr>
        <w:t>农林水共同财政事权转移支付收入</w:t>
      </w:r>
      <w:r>
        <w:rPr>
          <w:rFonts w:hint="eastAsia" w:ascii="仿宋_GB2312" w:hAnsi="仿宋_GB2312" w:eastAsia="仿宋_GB2312" w:cs="仿宋_GB2312"/>
          <w:color w:val="auto"/>
          <w:sz w:val="32"/>
          <w:szCs w:val="32"/>
          <w:highlight w:val="none"/>
          <w:lang w:val="en-US" w:eastAsia="zh-CN"/>
        </w:rPr>
        <w:t>35583</w:t>
      </w:r>
      <w:r>
        <w:rPr>
          <w:rFonts w:hint="eastAsia" w:ascii="仿宋_GB2312" w:hAnsi="仿宋_GB2312" w:eastAsia="仿宋_GB2312" w:cs="仿宋_GB2312"/>
          <w:color w:val="auto"/>
          <w:sz w:val="32"/>
          <w:szCs w:val="32"/>
          <w:highlight w:val="none"/>
        </w:rPr>
        <w:t>万元，主要用于支持乡村振兴专项支出。</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lang w:val="en-US" w:eastAsia="zh-CN"/>
        </w:rPr>
        <w:t>（六）</w:t>
      </w:r>
      <w:r>
        <w:rPr>
          <w:rFonts w:hint="eastAsia" w:ascii="仿宋_GB2312" w:hAnsi="仿宋_GB2312" w:eastAsia="仿宋_GB2312" w:cs="仿宋_GB2312"/>
          <w:color w:val="auto"/>
          <w:sz w:val="32"/>
          <w:szCs w:val="32"/>
          <w:highlight w:val="none"/>
        </w:rPr>
        <w:t>社会保障和就业共同财政事权转移支付收入</w:t>
      </w:r>
      <w:r>
        <w:rPr>
          <w:rFonts w:hint="eastAsia" w:ascii="仿宋_GB2312" w:hAnsi="仿宋_GB2312" w:eastAsia="仿宋_GB2312" w:cs="仿宋_GB2312"/>
          <w:color w:val="auto"/>
          <w:sz w:val="32"/>
          <w:szCs w:val="32"/>
          <w:highlight w:val="none"/>
          <w:lang w:val="en-US" w:eastAsia="zh-CN"/>
        </w:rPr>
        <w:t>32220</w:t>
      </w:r>
      <w:r>
        <w:rPr>
          <w:rFonts w:hint="eastAsia" w:ascii="仿宋_GB2312" w:hAnsi="仿宋_GB2312" w:eastAsia="仿宋_GB2312" w:cs="仿宋_GB2312"/>
          <w:color w:val="auto"/>
          <w:sz w:val="32"/>
          <w:szCs w:val="32"/>
          <w:highlight w:val="none"/>
        </w:rPr>
        <w:t>万元，主要用于保障居民基本养老保险基础养老金发放、对城乡低保对象等低收入群体进行补助。</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lang w:val="en-US" w:eastAsia="zh-CN"/>
        </w:rPr>
        <w:t>（七）医疗卫生</w:t>
      </w:r>
      <w:r>
        <w:rPr>
          <w:rFonts w:hint="eastAsia" w:ascii="仿宋_GB2312" w:hAnsi="仿宋_GB2312" w:eastAsia="仿宋_GB2312" w:cs="仿宋_GB2312"/>
          <w:color w:val="auto"/>
          <w:sz w:val="32"/>
          <w:szCs w:val="32"/>
          <w:highlight w:val="none"/>
        </w:rPr>
        <w:t>共同财政事权转移支付收入</w:t>
      </w:r>
      <w:r>
        <w:rPr>
          <w:rFonts w:hint="eastAsia" w:ascii="仿宋_GB2312" w:hAnsi="仿宋_GB2312" w:eastAsia="仿宋_GB2312" w:cs="仿宋_GB2312"/>
          <w:color w:val="auto"/>
          <w:sz w:val="32"/>
          <w:szCs w:val="32"/>
          <w:highlight w:val="none"/>
          <w:lang w:val="en-US" w:eastAsia="zh-CN"/>
        </w:rPr>
        <w:t>15991</w:t>
      </w:r>
      <w:r>
        <w:rPr>
          <w:rFonts w:hint="eastAsia" w:ascii="仿宋_GB2312" w:hAnsi="仿宋_GB2312" w:eastAsia="仿宋_GB2312" w:cs="仿宋_GB2312"/>
          <w:color w:val="auto"/>
          <w:sz w:val="32"/>
          <w:szCs w:val="32"/>
          <w:highlight w:val="none"/>
        </w:rPr>
        <w:t>万元，主要用于计划生育服务、城乡医疗救助、医保能力提升等方面支出。</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lang w:val="en-US" w:eastAsia="zh-CN"/>
        </w:rPr>
        <w:t>（八）</w:t>
      </w:r>
      <w:r>
        <w:rPr>
          <w:rFonts w:hint="eastAsia" w:ascii="仿宋_GB2312" w:hAnsi="仿宋_GB2312" w:eastAsia="仿宋_GB2312" w:cs="仿宋_GB2312"/>
          <w:color w:val="auto"/>
          <w:sz w:val="32"/>
          <w:szCs w:val="32"/>
          <w:highlight w:val="none"/>
        </w:rPr>
        <w:t>教育共同财政事权转移支付收入</w:t>
      </w:r>
      <w:r>
        <w:rPr>
          <w:rFonts w:hint="eastAsia" w:ascii="仿宋_GB2312" w:hAnsi="仿宋_GB2312" w:eastAsia="仿宋_GB2312" w:cs="仿宋_GB2312"/>
          <w:color w:val="auto"/>
          <w:sz w:val="32"/>
          <w:szCs w:val="32"/>
          <w:highlight w:val="none"/>
          <w:lang w:val="en-US" w:eastAsia="zh-CN"/>
        </w:rPr>
        <w:t>6470</w:t>
      </w:r>
      <w:r>
        <w:rPr>
          <w:rFonts w:hint="eastAsia" w:ascii="仿宋_GB2312" w:hAnsi="仿宋_GB2312" w:eastAsia="仿宋_GB2312" w:cs="仿宋_GB2312"/>
          <w:color w:val="auto"/>
          <w:sz w:val="32"/>
          <w:szCs w:val="32"/>
          <w:highlight w:val="none"/>
        </w:rPr>
        <w:t>万元，主要用于完善城乡义务教育经费保障机制、改善薄弱地区基础教育办学条件，推动教育资源均衡配置。</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lang w:val="en-US" w:eastAsia="zh-CN"/>
        </w:rPr>
        <w:t>（九）</w:t>
      </w:r>
      <w:r>
        <w:rPr>
          <w:rFonts w:hint="eastAsia" w:ascii="仿宋_GB2312" w:hAnsi="仿宋_GB2312" w:eastAsia="仿宋_GB2312" w:cs="仿宋_GB2312"/>
          <w:color w:val="auto"/>
          <w:sz w:val="32"/>
          <w:szCs w:val="32"/>
          <w:highlight w:val="none"/>
        </w:rPr>
        <w:t>其他一般性转移支付</w:t>
      </w:r>
      <w:r>
        <w:rPr>
          <w:rFonts w:hint="eastAsia" w:ascii="仿宋_GB2312" w:hAnsi="仿宋_GB2312" w:eastAsia="仿宋_GB2312" w:cs="仿宋_GB2312"/>
          <w:color w:val="auto"/>
          <w:sz w:val="32"/>
          <w:szCs w:val="32"/>
          <w:highlight w:val="none"/>
          <w:lang w:val="en-US" w:eastAsia="zh-CN"/>
        </w:rPr>
        <w:t>82610</w:t>
      </w:r>
      <w:r>
        <w:rPr>
          <w:rFonts w:hint="eastAsia" w:ascii="仿宋_GB2312" w:hAnsi="仿宋_GB2312" w:eastAsia="仿宋_GB2312" w:cs="仿宋_GB2312"/>
          <w:color w:val="auto"/>
          <w:sz w:val="32"/>
          <w:szCs w:val="32"/>
          <w:highlight w:val="none"/>
        </w:rPr>
        <w:t>万元，主要包括公共安全、节能环保、交通运输等共同财政事权转移支付以及企事业单位划转补助等，重点用于公共安全、节能环保、交通运输等公共服务和社会管理领域，增强基本公共服务保障能力。</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highlight w:val="none"/>
        </w:rPr>
      </w:pPr>
      <w:r>
        <w:rPr>
          <w:rFonts w:hint="eastAsia" w:ascii="黑体" w:hAnsi="黑体" w:eastAsia="黑体" w:cs="黑体"/>
          <w:sz w:val="32"/>
          <w:szCs w:val="32"/>
          <w:highlight w:val="none"/>
          <w:lang w:eastAsia="zh-CN"/>
        </w:rPr>
        <w:t>二、</w:t>
      </w:r>
      <w:r>
        <w:rPr>
          <w:rFonts w:hint="eastAsia" w:ascii="黑体" w:hAnsi="黑体" w:eastAsia="黑体" w:cs="黑体"/>
          <w:sz w:val="32"/>
          <w:szCs w:val="32"/>
          <w:highlight w:val="none"/>
        </w:rPr>
        <w:t>20</w:t>
      </w:r>
      <w:r>
        <w:rPr>
          <w:rFonts w:hint="eastAsia" w:ascii="黑体" w:hAnsi="黑体" w:eastAsia="黑体" w:cs="黑体"/>
          <w:sz w:val="32"/>
          <w:szCs w:val="32"/>
          <w:highlight w:val="none"/>
          <w:lang w:val="en-US" w:eastAsia="zh-CN"/>
        </w:rPr>
        <w:t>23</w:t>
      </w:r>
      <w:r>
        <w:rPr>
          <w:rFonts w:hint="eastAsia" w:ascii="黑体" w:hAnsi="黑体" w:eastAsia="黑体" w:cs="黑体"/>
          <w:sz w:val="32"/>
          <w:szCs w:val="32"/>
          <w:highlight w:val="none"/>
        </w:rPr>
        <w:t>年专项转移支付执行数为</w:t>
      </w:r>
      <w:r>
        <w:rPr>
          <w:rFonts w:hint="eastAsia" w:ascii="黑体" w:hAnsi="黑体" w:eastAsia="黑体" w:cs="黑体"/>
          <w:sz w:val="32"/>
          <w:szCs w:val="32"/>
          <w:highlight w:val="none"/>
          <w:lang w:val="en-US" w:eastAsia="zh-CN"/>
        </w:rPr>
        <w:t>23693</w:t>
      </w:r>
      <w:r>
        <w:rPr>
          <w:rFonts w:hint="eastAsia" w:ascii="黑体" w:hAnsi="黑体" w:eastAsia="黑体" w:cs="黑体"/>
          <w:sz w:val="32"/>
          <w:szCs w:val="32"/>
          <w:highlight w:val="none"/>
        </w:rPr>
        <w:t>万元</w:t>
      </w:r>
      <w:r>
        <w:rPr>
          <w:rFonts w:hint="eastAsia" w:ascii="黑体" w:hAnsi="黑体" w:eastAsia="黑体" w:cs="黑体"/>
          <w:sz w:val="32"/>
          <w:szCs w:val="32"/>
          <w:lang w:val="en-US" w:eastAsia="zh-CN"/>
        </w:rPr>
        <w:t>(</w:t>
      </w:r>
      <w:r>
        <w:rPr>
          <w:rFonts w:hint="eastAsia" w:ascii="黑体" w:hAnsi="黑体" w:eastAsia="黑体" w:cs="黑体"/>
          <w:sz w:val="32"/>
          <w:szCs w:val="32"/>
        </w:rPr>
        <w:t>因体制原因，我区对乡镇按照部门进行管理，因此没有</w:t>
      </w:r>
      <w:r>
        <w:rPr>
          <w:rFonts w:hint="eastAsia" w:ascii="黑体" w:hAnsi="黑体" w:eastAsia="黑体" w:cs="黑体"/>
          <w:sz w:val="32"/>
          <w:szCs w:val="32"/>
          <w:lang w:eastAsia="zh-CN"/>
        </w:rPr>
        <w:t>对乡镇</w:t>
      </w:r>
      <w:r>
        <w:rPr>
          <w:rFonts w:hint="eastAsia" w:ascii="黑体" w:hAnsi="黑体" w:eastAsia="黑体" w:cs="黑体"/>
          <w:sz w:val="32"/>
          <w:szCs w:val="32"/>
        </w:rPr>
        <w:t>转移支付</w:t>
      </w:r>
      <w:r>
        <w:rPr>
          <w:rFonts w:hint="eastAsia" w:ascii="黑体" w:hAnsi="黑体" w:eastAsia="黑体" w:cs="黑体"/>
          <w:sz w:val="32"/>
          <w:szCs w:val="32"/>
          <w:lang w:eastAsia="zh-CN"/>
        </w:rPr>
        <w:t>情况</w:t>
      </w:r>
      <w:r>
        <w:rPr>
          <w:rFonts w:hint="eastAsia" w:ascii="黑体" w:hAnsi="黑体" w:eastAsia="黑体" w:cs="黑体"/>
          <w:sz w:val="32"/>
          <w:szCs w:val="32"/>
          <w:lang w:val="en-US" w:eastAsia="zh-CN"/>
        </w:rPr>
        <w:t>)</w:t>
      </w:r>
      <w:r>
        <w:rPr>
          <w:rFonts w:hint="eastAsia" w:ascii="黑体" w:hAnsi="黑体" w:eastAsia="黑体" w:cs="黑体"/>
          <w:sz w:val="32"/>
          <w:szCs w:val="32"/>
          <w:highlight w:val="none"/>
        </w:rPr>
        <w:t>，其中：</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default"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（一）节能环保方面5225万元。主要用于支持环境污染防治、节能减排和清洁取暖等相关方面支出。</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lang w:val="en-US" w:eastAsia="zh-CN"/>
        </w:rPr>
        <w:t>（二）</w:t>
      </w:r>
      <w:r>
        <w:rPr>
          <w:rFonts w:hint="eastAsia" w:ascii="仿宋_GB2312" w:hAnsi="仿宋_GB2312" w:eastAsia="仿宋_GB2312" w:cs="仿宋_GB2312"/>
          <w:sz w:val="32"/>
          <w:szCs w:val="32"/>
          <w:highlight w:val="none"/>
        </w:rPr>
        <w:t>农林水方面</w:t>
      </w:r>
      <w:r>
        <w:rPr>
          <w:rFonts w:hint="eastAsia" w:ascii="仿宋_GB2312" w:hAnsi="仿宋_GB2312" w:eastAsia="仿宋_GB2312" w:cs="仿宋_GB2312"/>
          <w:sz w:val="32"/>
          <w:szCs w:val="32"/>
          <w:highlight w:val="none"/>
          <w:lang w:val="en-US" w:eastAsia="zh-CN"/>
        </w:rPr>
        <w:t>4768</w:t>
      </w:r>
      <w:r>
        <w:rPr>
          <w:rFonts w:hint="eastAsia" w:ascii="仿宋_GB2312" w:hAnsi="仿宋_GB2312" w:eastAsia="仿宋_GB2312" w:cs="仿宋_GB2312"/>
          <w:sz w:val="32"/>
          <w:szCs w:val="32"/>
          <w:highlight w:val="none"/>
        </w:rPr>
        <w:t>万元，主要用于支持农业科技和现代农业生产发展、重大动植物病虫害防治、耕地质量提升、植树造林和森林资源保护管理、水利发展等方面支出。</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color w:val="auto"/>
          <w:sz w:val="32"/>
          <w:szCs w:val="32"/>
          <w:highlight w:val="none"/>
          <w:lang w:val="en-US" w:eastAsia="zh-CN"/>
        </w:rPr>
        <w:t>（三）</w:t>
      </w:r>
      <w:r>
        <w:rPr>
          <w:rFonts w:hint="eastAsia" w:ascii="仿宋_GB2312" w:hAnsi="仿宋_GB2312" w:eastAsia="仿宋_GB2312" w:cs="仿宋_GB2312"/>
          <w:sz w:val="32"/>
          <w:szCs w:val="32"/>
          <w:highlight w:val="none"/>
        </w:rPr>
        <w:t>资源勘探</w:t>
      </w:r>
      <w:r>
        <w:rPr>
          <w:rFonts w:hint="eastAsia" w:ascii="仿宋_GB2312" w:hAnsi="仿宋_GB2312" w:eastAsia="仿宋_GB2312" w:cs="仿宋_GB2312"/>
          <w:sz w:val="32"/>
          <w:szCs w:val="32"/>
          <w:highlight w:val="none"/>
          <w:lang w:eastAsia="zh-CN"/>
        </w:rPr>
        <w:t>工业</w:t>
      </w:r>
      <w:r>
        <w:rPr>
          <w:rFonts w:hint="eastAsia" w:ascii="仿宋_GB2312" w:hAnsi="仿宋_GB2312" w:eastAsia="仿宋_GB2312" w:cs="仿宋_GB2312"/>
          <w:sz w:val="32"/>
          <w:szCs w:val="32"/>
          <w:highlight w:val="none"/>
        </w:rPr>
        <w:t>信息等方面</w:t>
      </w:r>
      <w:r>
        <w:rPr>
          <w:rFonts w:hint="eastAsia" w:ascii="仿宋_GB2312" w:hAnsi="仿宋_GB2312" w:eastAsia="仿宋_GB2312" w:cs="仿宋_GB2312"/>
          <w:sz w:val="32"/>
          <w:szCs w:val="32"/>
          <w:highlight w:val="none"/>
          <w:lang w:val="en-US" w:eastAsia="zh-CN"/>
        </w:rPr>
        <w:t>2259</w:t>
      </w:r>
      <w:r>
        <w:rPr>
          <w:rFonts w:hint="eastAsia" w:ascii="仿宋_GB2312" w:hAnsi="仿宋_GB2312" w:eastAsia="仿宋_GB2312" w:cs="仿宋_GB2312"/>
          <w:sz w:val="32"/>
          <w:szCs w:val="32"/>
          <w:highlight w:val="none"/>
        </w:rPr>
        <w:t>万元，主要用于支持工业提质增效和军民融合发展、安全生产、中小企业创业补助及创新奖励等方面支出。</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color w:val="auto"/>
          <w:sz w:val="32"/>
          <w:szCs w:val="32"/>
          <w:highlight w:val="none"/>
          <w:lang w:val="en-US" w:eastAsia="zh-CN"/>
        </w:rPr>
        <w:t>（四）</w:t>
      </w:r>
      <w:r>
        <w:rPr>
          <w:rFonts w:hint="eastAsia" w:ascii="仿宋_GB2312" w:hAnsi="仿宋_GB2312" w:eastAsia="仿宋_GB2312" w:cs="仿宋_GB2312"/>
          <w:sz w:val="32"/>
          <w:szCs w:val="32"/>
          <w:highlight w:val="none"/>
        </w:rPr>
        <w:t>住房保障方面</w:t>
      </w:r>
      <w:r>
        <w:rPr>
          <w:rFonts w:hint="eastAsia" w:ascii="仿宋_GB2312" w:hAnsi="仿宋_GB2312" w:eastAsia="仿宋_GB2312" w:cs="仿宋_GB2312"/>
          <w:sz w:val="32"/>
          <w:szCs w:val="32"/>
          <w:highlight w:val="none"/>
          <w:lang w:val="en-US" w:eastAsia="zh-CN"/>
        </w:rPr>
        <w:t>3857万</w:t>
      </w:r>
      <w:r>
        <w:rPr>
          <w:rFonts w:hint="eastAsia" w:ascii="仿宋_GB2312" w:hAnsi="仿宋_GB2312" w:eastAsia="仿宋_GB2312" w:cs="仿宋_GB2312"/>
          <w:sz w:val="32"/>
          <w:szCs w:val="32"/>
          <w:highlight w:val="none"/>
        </w:rPr>
        <w:t>元</w:t>
      </w:r>
      <w:r>
        <w:rPr>
          <w:rFonts w:hint="eastAsia" w:ascii="仿宋_GB2312" w:hAnsi="仿宋_GB2312" w:eastAsia="仿宋_GB2312" w:cs="仿宋_GB2312"/>
          <w:sz w:val="32"/>
          <w:szCs w:val="32"/>
          <w:highlight w:val="none"/>
          <w:lang w:eastAsia="zh-CN"/>
        </w:rPr>
        <w:t>，</w:t>
      </w:r>
      <w:r>
        <w:rPr>
          <w:rFonts w:hint="eastAsia" w:ascii="仿宋_GB2312" w:hAnsi="仿宋_GB2312" w:eastAsia="仿宋_GB2312" w:cs="仿宋_GB2312"/>
          <w:sz w:val="32"/>
          <w:szCs w:val="32"/>
          <w:highlight w:val="none"/>
        </w:rPr>
        <w:t>主要用于支持城镇保障性安居工程、农村危房改造等方面支出。</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（五）</w:t>
      </w:r>
      <w:r>
        <w:rPr>
          <w:rFonts w:hint="eastAsia" w:ascii="仿宋_GB2312" w:hAnsi="仿宋_GB2312" w:eastAsia="仿宋_GB2312" w:cs="仿宋_GB2312"/>
          <w:sz w:val="32"/>
          <w:szCs w:val="32"/>
          <w:highlight w:val="none"/>
        </w:rPr>
        <w:t>其他方面</w:t>
      </w:r>
      <w:r>
        <w:rPr>
          <w:rFonts w:hint="eastAsia" w:ascii="仿宋_GB2312" w:hAnsi="仿宋_GB2312" w:eastAsia="仿宋_GB2312" w:cs="仿宋_GB2312"/>
          <w:sz w:val="32"/>
          <w:szCs w:val="32"/>
          <w:highlight w:val="none"/>
          <w:lang w:val="en-US" w:eastAsia="zh-CN"/>
        </w:rPr>
        <w:t>7584万元，主要用于支持文化旅游体育与传媒、社会保障等项目建设等方面支出。</w:t>
      </w:r>
    </w:p>
    <w:p>
      <w:pPr>
        <w:jc w:val="center"/>
        <w:rPr>
          <w:rFonts w:hint="eastAsia" w:ascii="方正小标宋简体" w:hAnsi="方正小标宋简体" w:eastAsia="方正小标宋简体" w:cs="方正小标宋简体"/>
          <w:sz w:val="44"/>
          <w:szCs w:val="44"/>
          <w:highlight w:val="none"/>
        </w:rPr>
      </w:pPr>
    </w:p>
    <w:p>
      <w:pPr>
        <w:pStyle w:val="2"/>
      </w:pPr>
    </w:p>
    <w:p>
      <w:pPr>
        <w:rPr>
          <w:rFonts w:hint="eastAsia"/>
          <w:lang w:val="en-US" w:eastAsia="zh-CN"/>
        </w:rPr>
      </w:pPr>
      <w:r>
        <w:rPr>
          <w:rFonts w:hint="eastAsia"/>
          <w:lang w:val="en-US" w:eastAsia="zh-CN"/>
        </w:rPr>
        <w:br w:type="page"/>
      </w:r>
    </w:p>
    <w:p>
      <w:pPr>
        <w:jc w:val="center"/>
        <w:rPr>
          <w:rFonts w:hint="eastAsia" w:ascii="方正小标宋简体" w:hAnsi="方正小标宋简体" w:eastAsia="方正小标宋简体" w:cs="方正小标宋简体"/>
          <w:sz w:val="44"/>
          <w:szCs w:val="44"/>
          <w:highlight w:val="none"/>
        </w:rPr>
      </w:pPr>
      <w:r>
        <w:rPr>
          <w:rFonts w:hint="eastAsia" w:ascii="方正小标宋简体" w:hAnsi="方正小标宋简体" w:eastAsia="方正小标宋简体" w:cs="方正小标宋简体"/>
          <w:sz w:val="44"/>
          <w:szCs w:val="44"/>
          <w:highlight w:val="none"/>
        </w:rPr>
        <w:t>20</w:t>
      </w:r>
      <w:r>
        <w:rPr>
          <w:rFonts w:hint="eastAsia" w:ascii="方正小标宋简体" w:hAnsi="方正小标宋简体" w:eastAsia="方正小标宋简体" w:cs="方正小标宋简体"/>
          <w:sz w:val="44"/>
          <w:szCs w:val="44"/>
          <w:highlight w:val="none"/>
          <w:lang w:val="en-US" w:eastAsia="zh-CN"/>
        </w:rPr>
        <w:t>23</w:t>
      </w:r>
      <w:r>
        <w:rPr>
          <w:rFonts w:hint="eastAsia" w:ascii="方正小标宋简体" w:hAnsi="方正小标宋简体" w:eastAsia="方正小标宋简体" w:cs="方正小标宋简体"/>
          <w:sz w:val="44"/>
          <w:szCs w:val="44"/>
          <w:highlight w:val="none"/>
        </w:rPr>
        <w:t>年政府性基金转移支付情况</w:t>
      </w:r>
    </w:p>
    <w:p>
      <w:pPr>
        <w:jc w:val="center"/>
        <w:rPr>
          <w:rFonts w:hint="eastAsia" w:ascii="方正小标宋简体" w:hAnsi="方正小标宋简体" w:eastAsia="方正小标宋简体" w:cs="方正小标宋简体"/>
          <w:sz w:val="44"/>
          <w:szCs w:val="44"/>
          <w:highlight w:val="none"/>
        </w:rPr>
      </w:pPr>
      <w:r>
        <w:rPr>
          <w:rFonts w:hint="eastAsia" w:ascii="方正小标宋简体" w:hAnsi="方正小标宋简体" w:eastAsia="方正小标宋简体" w:cs="方正小标宋简体"/>
          <w:sz w:val="44"/>
          <w:szCs w:val="44"/>
          <w:highlight w:val="none"/>
        </w:rPr>
        <w:t>安排的说明</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20</w:t>
      </w:r>
      <w:r>
        <w:rPr>
          <w:rFonts w:hint="eastAsia" w:ascii="仿宋_GB2312" w:hAnsi="仿宋_GB2312" w:eastAsia="仿宋_GB2312" w:cs="仿宋_GB2312"/>
          <w:sz w:val="32"/>
          <w:szCs w:val="32"/>
          <w:highlight w:val="none"/>
          <w:lang w:val="en-US" w:eastAsia="zh-CN"/>
        </w:rPr>
        <w:t>23</w:t>
      </w:r>
      <w:r>
        <w:rPr>
          <w:rFonts w:hint="eastAsia" w:ascii="仿宋_GB2312" w:hAnsi="仿宋_GB2312" w:eastAsia="仿宋_GB2312" w:cs="仿宋_GB2312"/>
          <w:sz w:val="32"/>
          <w:szCs w:val="32"/>
          <w:highlight w:val="none"/>
        </w:rPr>
        <w:t>年，我</w:t>
      </w:r>
      <w:r>
        <w:rPr>
          <w:rFonts w:hint="eastAsia" w:ascii="仿宋_GB2312" w:hAnsi="仿宋_GB2312" w:eastAsia="仿宋_GB2312" w:cs="仿宋_GB2312"/>
          <w:sz w:val="32"/>
          <w:szCs w:val="32"/>
          <w:highlight w:val="none"/>
          <w:lang w:eastAsia="zh-CN"/>
        </w:rPr>
        <w:t>区</w:t>
      </w:r>
      <w:r>
        <w:rPr>
          <w:rFonts w:hint="eastAsia" w:ascii="仿宋_GB2312" w:hAnsi="仿宋_GB2312" w:eastAsia="仿宋_GB2312" w:cs="仿宋_GB2312"/>
          <w:sz w:val="32"/>
          <w:szCs w:val="32"/>
          <w:highlight w:val="none"/>
        </w:rPr>
        <w:t>共收到省、市</w:t>
      </w:r>
      <w:r>
        <w:rPr>
          <w:rFonts w:hint="eastAsia" w:ascii="仿宋_GB2312" w:hAnsi="仿宋_GB2312" w:eastAsia="仿宋_GB2312" w:cs="仿宋_GB2312"/>
          <w:sz w:val="32"/>
          <w:szCs w:val="32"/>
          <w:highlight w:val="none"/>
          <w:lang w:eastAsia="zh-CN"/>
        </w:rPr>
        <w:t>两</w:t>
      </w:r>
      <w:r>
        <w:rPr>
          <w:rFonts w:hint="eastAsia" w:ascii="仿宋_GB2312" w:hAnsi="仿宋_GB2312" w:eastAsia="仿宋_GB2312" w:cs="仿宋_GB2312"/>
          <w:sz w:val="32"/>
          <w:szCs w:val="32"/>
          <w:highlight w:val="none"/>
        </w:rPr>
        <w:t>级转移支付补助资金</w:t>
      </w:r>
      <w:r>
        <w:rPr>
          <w:rFonts w:hint="eastAsia" w:ascii="仿宋_GB2312" w:hAnsi="仿宋_GB2312" w:eastAsia="仿宋_GB2312" w:cs="仿宋_GB2312"/>
          <w:sz w:val="32"/>
          <w:szCs w:val="32"/>
          <w:highlight w:val="none"/>
          <w:lang w:val="en-US" w:eastAsia="zh-CN"/>
        </w:rPr>
        <w:t>13169</w:t>
      </w:r>
      <w:r>
        <w:rPr>
          <w:rFonts w:hint="eastAsia" w:ascii="仿宋_GB2312" w:hAnsi="仿宋_GB2312" w:eastAsia="仿宋_GB2312" w:cs="仿宋_GB2312"/>
          <w:sz w:val="32"/>
          <w:szCs w:val="32"/>
          <w:highlight w:val="none"/>
        </w:rPr>
        <w:t>万元</w:t>
      </w:r>
      <w:r>
        <w:rPr>
          <w:rFonts w:hint="eastAsia" w:ascii="仿宋_GB2312" w:hAnsi="仿宋_GB2312" w:eastAsia="仿宋_GB2312" w:cs="仿宋_GB2312"/>
          <w:sz w:val="32"/>
          <w:szCs w:val="32"/>
          <w:highlight w:val="none"/>
          <w:lang w:val="en-US" w:eastAsia="zh-CN"/>
        </w:rPr>
        <w:t>(</w:t>
      </w:r>
      <w:r>
        <w:rPr>
          <w:rFonts w:hint="eastAsia" w:ascii="仿宋_GB2312" w:hAnsi="仿宋_GB2312" w:eastAsia="仿宋_GB2312" w:cs="仿宋_GB2312"/>
          <w:sz w:val="32"/>
          <w:szCs w:val="32"/>
          <w:highlight w:val="none"/>
        </w:rPr>
        <w:t>因体制原因，我区对乡镇按照部门进行管理，因此没有</w:t>
      </w:r>
      <w:r>
        <w:rPr>
          <w:rFonts w:hint="eastAsia" w:ascii="仿宋_GB2312" w:hAnsi="仿宋_GB2312" w:eastAsia="仿宋_GB2312" w:cs="仿宋_GB2312"/>
          <w:sz w:val="32"/>
          <w:szCs w:val="32"/>
          <w:highlight w:val="none"/>
          <w:lang w:eastAsia="zh-CN"/>
        </w:rPr>
        <w:t>对乡镇</w:t>
      </w:r>
      <w:r>
        <w:rPr>
          <w:rFonts w:hint="eastAsia" w:ascii="仿宋_GB2312" w:hAnsi="仿宋_GB2312" w:eastAsia="仿宋_GB2312" w:cs="仿宋_GB2312"/>
          <w:sz w:val="32"/>
          <w:szCs w:val="32"/>
          <w:highlight w:val="none"/>
        </w:rPr>
        <w:t>转移支付</w:t>
      </w:r>
      <w:r>
        <w:rPr>
          <w:rFonts w:hint="eastAsia" w:ascii="仿宋_GB2312" w:hAnsi="仿宋_GB2312" w:eastAsia="仿宋_GB2312" w:cs="仿宋_GB2312"/>
          <w:sz w:val="32"/>
          <w:szCs w:val="32"/>
          <w:highlight w:val="none"/>
          <w:lang w:eastAsia="zh-CN"/>
        </w:rPr>
        <w:t>情况</w:t>
      </w:r>
      <w:r>
        <w:rPr>
          <w:rFonts w:hint="eastAsia" w:ascii="仿宋_GB2312" w:hAnsi="仿宋_GB2312" w:eastAsia="仿宋_GB2312" w:cs="仿宋_GB2312"/>
          <w:sz w:val="32"/>
          <w:szCs w:val="32"/>
          <w:highlight w:val="none"/>
          <w:lang w:val="en-US" w:eastAsia="zh-CN"/>
        </w:rPr>
        <w:t>)</w:t>
      </w:r>
      <w:r>
        <w:rPr>
          <w:rFonts w:hint="eastAsia" w:ascii="仿宋_GB2312" w:hAnsi="仿宋_GB2312" w:eastAsia="仿宋_GB2312" w:cs="仿宋_GB2312"/>
          <w:sz w:val="32"/>
          <w:szCs w:val="32"/>
          <w:highlight w:val="none"/>
        </w:rPr>
        <w:t>，具体情况如下：</w:t>
      </w:r>
    </w:p>
    <w:p>
      <w:pPr>
        <w:keepNext w:val="0"/>
        <w:keepLines w:val="0"/>
        <w:pageBreakBefore w:val="0"/>
        <w:widowControl w:val="0"/>
        <w:numPr>
          <w:ilvl w:val="0"/>
          <w:numId w:val="5"/>
        </w:numPr>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color w:val="auto"/>
          <w:sz w:val="32"/>
          <w:szCs w:val="32"/>
          <w:highlight w:val="none"/>
          <w:lang w:eastAsia="zh-CN"/>
        </w:rPr>
      </w:pPr>
      <w:r>
        <w:rPr>
          <w:rFonts w:hint="eastAsia" w:ascii="仿宋_GB2312" w:hAnsi="仿宋_GB2312" w:eastAsia="仿宋_GB2312" w:cs="仿宋_GB2312"/>
          <w:color w:val="auto"/>
          <w:sz w:val="32"/>
          <w:szCs w:val="32"/>
          <w:highlight w:val="none"/>
        </w:rPr>
        <w:t>国有土地使用权出让</w:t>
      </w:r>
      <w:r>
        <w:rPr>
          <w:rFonts w:hint="eastAsia" w:ascii="仿宋_GB2312" w:hAnsi="仿宋_GB2312" w:eastAsia="仿宋_GB2312" w:cs="仿宋_GB2312"/>
          <w:color w:val="auto"/>
          <w:sz w:val="32"/>
          <w:szCs w:val="32"/>
          <w:highlight w:val="none"/>
          <w:lang w:val="en-US" w:eastAsia="zh-CN"/>
        </w:rPr>
        <w:t>200</w:t>
      </w:r>
      <w:r>
        <w:rPr>
          <w:rFonts w:hint="eastAsia" w:ascii="仿宋_GB2312" w:hAnsi="仿宋_GB2312" w:eastAsia="仿宋_GB2312" w:cs="仿宋_GB2312"/>
          <w:color w:val="auto"/>
          <w:sz w:val="32"/>
          <w:szCs w:val="32"/>
          <w:highlight w:val="none"/>
        </w:rPr>
        <w:t>万元，主要用于征地和拆迁补偿、土地开发、城市建设及加快保障性安居工程建设等方面支出</w:t>
      </w:r>
      <w:r>
        <w:rPr>
          <w:rFonts w:hint="eastAsia" w:ascii="仿宋_GB2312" w:hAnsi="仿宋_GB2312" w:eastAsia="仿宋_GB2312" w:cs="仿宋_GB2312"/>
          <w:color w:val="auto"/>
          <w:sz w:val="32"/>
          <w:szCs w:val="32"/>
          <w:highlight w:val="none"/>
          <w:lang w:eastAsia="zh-CN"/>
        </w:rPr>
        <w:t>。</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color w:val="auto"/>
          <w:sz w:val="32"/>
          <w:szCs w:val="32"/>
          <w:highlight w:val="none"/>
          <w:lang w:eastAsia="zh-CN"/>
        </w:rPr>
      </w:pPr>
      <w:r>
        <w:rPr>
          <w:rFonts w:hint="eastAsia" w:ascii="仿宋_GB2312" w:hAnsi="仿宋_GB2312" w:eastAsia="仿宋_GB2312" w:cs="仿宋_GB2312"/>
          <w:color w:val="auto"/>
          <w:sz w:val="32"/>
          <w:szCs w:val="32"/>
          <w:highlight w:val="none"/>
          <w:lang w:val="en-US" w:eastAsia="zh-CN"/>
        </w:rPr>
        <w:t>二、</w:t>
      </w:r>
      <w:r>
        <w:rPr>
          <w:rFonts w:hint="eastAsia" w:ascii="仿宋_GB2312" w:hAnsi="仿宋_GB2312" w:eastAsia="仿宋_GB2312" w:cs="仿宋_GB2312"/>
          <w:color w:val="auto"/>
          <w:sz w:val="32"/>
          <w:szCs w:val="32"/>
          <w:highlight w:val="none"/>
        </w:rPr>
        <w:t>国家电影事业发展专项资金相关收入</w:t>
      </w:r>
      <w:r>
        <w:rPr>
          <w:rFonts w:hint="eastAsia" w:ascii="仿宋_GB2312" w:hAnsi="仿宋_GB2312" w:eastAsia="仿宋_GB2312" w:cs="仿宋_GB2312"/>
          <w:color w:val="auto"/>
          <w:sz w:val="32"/>
          <w:szCs w:val="32"/>
          <w:highlight w:val="none"/>
          <w:lang w:val="en-US" w:eastAsia="zh-CN"/>
        </w:rPr>
        <w:t>23</w:t>
      </w:r>
      <w:r>
        <w:rPr>
          <w:rFonts w:hint="eastAsia" w:ascii="仿宋_GB2312" w:hAnsi="仿宋_GB2312" w:eastAsia="仿宋_GB2312" w:cs="仿宋_GB2312"/>
          <w:color w:val="auto"/>
          <w:sz w:val="32"/>
          <w:szCs w:val="32"/>
          <w:highlight w:val="none"/>
        </w:rPr>
        <w:t>万元，主要用于支持影院建设和设备更新改造、重点制片基地建设发展等方面支出</w:t>
      </w:r>
      <w:r>
        <w:rPr>
          <w:rFonts w:hint="eastAsia" w:ascii="仿宋_GB2312" w:hAnsi="仿宋_GB2312" w:eastAsia="仿宋_GB2312" w:cs="仿宋_GB2312"/>
          <w:color w:val="auto"/>
          <w:sz w:val="32"/>
          <w:szCs w:val="32"/>
          <w:highlight w:val="none"/>
          <w:lang w:eastAsia="zh-CN"/>
        </w:rPr>
        <w:t>。</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lang w:val="en-US" w:eastAsia="zh-CN"/>
        </w:rPr>
        <w:t>三、大中型水库移民后期扶持基金收入2900万元，主要用于解决水库移民安置后生产生活问题，促进库区和移民安置区经济社会发展等方面支出。</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lang w:val="en-US" w:eastAsia="zh-CN"/>
        </w:rPr>
        <w:t>四、</w:t>
      </w:r>
      <w:r>
        <w:rPr>
          <w:rFonts w:hint="eastAsia" w:ascii="仿宋_GB2312" w:hAnsi="仿宋_GB2312" w:eastAsia="仿宋_GB2312" w:cs="仿宋_GB2312"/>
          <w:color w:val="auto"/>
          <w:sz w:val="32"/>
          <w:szCs w:val="32"/>
          <w:highlight w:val="none"/>
        </w:rPr>
        <w:t>彩票公益金收入</w:t>
      </w:r>
      <w:r>
        <w:rPr>
          <w:rFonts w:hint="eastAsia" w:ascii="仿宋_GB2312" w:hAnsi="仿宋_GB2312" w:eastAsia="仿宋_GB2312" w:cs="仿宋_GB2312"/>
          <w:color w:val="auto"/>
          <w:sz w:val="32"/>
          <w:szCs w:val="32"/>
          <w:highlight w:val="none"/>
          <w:lang w:val="en-US" w:eastAsia="zh-CN"/>
        </w:rPr>
        <w:t>1649</w:t>
      </w:r>
      <w:r>
        <w:rPr>
          <w:rFonts w:hint="eastAsia" w:ascii="仿宋_GB2312" w:hAnsi="仿宋_GB2312" w:eastAsia="仿宋_GB2312" w:cs="仿宋_GB2312"/>
          <w:color w:val="auto"/>
          <w:sz w:val="32"/>
          <w:szCs w:val="32"/>
          <w:highlight w:val="none"/>
        </w:rPr>
        <w:t>万元，主要用于支持市县养老、扶贫、体育、教育、残疾人、城乡医疗救助等社会公益事业发展，对彩票发行销售机构业务开展给予补助。</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color w:val="auto"/>
          <w:sz w:val="32"/>
          <w:szCs w:val="32"/>
          <w:highlight w:val="none"/>
          <w:lang w:eastAsia="zh-CN"/>
        </w:rPr>
      </w:pPr>
      <w:r>
        <w:rPr>
          <w:rFonts w:hint="eastAsia" w:ascii="仿宋_GB2312" w:hAnsi="仿宋_GB2312" w:eastAsia="仿宋_GB2312" w:cs="仿宋_GB2312"/>
          <w:color w:val="auto"/>
          <w:sz w:val="32"/>
          <w:szCs w:val="32"/>
          <w:highlight w:val="none"/>
          <w:lang w:val="en-US" w:eastAsia="zh-CN"/>
        </w:rPr>
        <w:t>五、</w:t>
      </w:r>
      <w:r>
        <w:rPr>
          <w:rFonts w:hint="eastAsia" w:ascii="仿宋_GB2312" w:hAnsi="仿宋_GB2312" w:eastAsia="仿宋_GB2312" w:cs="仿宋_GB2312"/>
          <w:color w:val="auto"/>
          <w:sz w:val="32"/>
          <w:szCs w:val="32"/>
          <w:highlight w:val="none"/>
          <w:lang w:eastAsia="zh-CN"/>
        </w:rPr>
        <w:t>重大水利工程建设基金收入</w:t>
      </w:r>
      <w:r>
        <w:rPr>
          <w:rFonts w:hint="eastAsia" w:ascii="仿宋_GB2312" w:hAnsi="仿宋_GB2312" w:eastAsia="仿宋_GB2312" w:cs="仿宋_GB2312"/>
          <w:color w:val="auto"/>
          <w:sz w:val="32"/>
          <w:szCs w:val="32"/>
          <w:highlight w:val="none"/>
          <w:lang w:val="en-US" w:eastAsia="zh-CN"/>
        </w:rPr>
        <w:t>103</w:t>
      </w:r>
      <w:r>
        <w:rPr>
          <w:rFonts w:hint="eastAsia" w:ascii="仿宋_GB2312" w:hAnsi="仿宋_GB2312" w:eastAsia="仿宋_GB2312" w:cs="仿宋_GB2312"/>
          <w:color w:val="auto"/>
          <w:sz w:val="32"/>
          <w:szCs w:val="32"/>
          <w:highlight w:val="none"/>
        </w:rPr>
        <w:t>万元，主要用于</w:t>
      </w:r>
      <w:r>
        <w:rPr>
          <w:rFonts w:hint="eastAsia" w:ascii="仿宋_GB2312" w:hAnsi="仿宋_GB2312" w:eastAsia="仿宋_GB2312" w:cs="仿宋_GB2312"/>
          <w:color w:val="auto"/>
          <w:sz w:val="32"/>
          <w:szCs w:val="32"/>
          <w:highlight w:val="none"/>
          <w:lang w:eastAsia="zh-CN"/>
        </w:rPr>
        <w:t>重点水利工程</w:t>
      </w:r>
      <w:r>
        <w:rPr>
          <w:rFonts w:hint="eastAsia" w:ascii="仿宋_GB2312" w:hAnsi="仿宋_GB2312" w:eastAsia="仿宋_GB2312" w:cs="仿宋_GB2312"/>
          <w:color w:val="auto"/>
          <w:sz w:val="32"/>
          <w:szCs w:val="32"/>
          <w:highlight w:val="none"/>
        </w:rPr>
        <w:t>等</w:t>
      </w:r>
      <w:r>
        <w:rPr>
          <w:rFonts w:hint="eastAsia" w:ascii="仿宋_GB2312" w:hAnsi="仿宋_GB2312" w:eastAsia="仿宋_GB2312" w:cs="仿宋_GB2312"/>
          <w:color w:val="auto"/>
          <w:sz w:val="32"/>
          <w:szCs w:val="32"/>
          <w:highlight w:val="none"/>
          <w:lang w:eastAsia="zh-CN"/>
        </w:rPr>
        <w:t>领域。</w:t>
      </w:r>
    </w:p>
    <w:p>
      <w:pPr>
        <w:pStyle w:val="2"/>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lang w:val="en-US" w:eastAsia="zh-CN"/>
        </w:rPr>
      </w:pPr>
      <w:r>
        <w:rPr>
          <w:rFonts w:hint="eastAsia" w:ascii="仿宋_GB2312" w:hAnsi="仿宋_GB2312" w:eastAsia="仿宋_GB2312" w:cs="仿宋_GB2312"/>
          <w:color w:val="auto"/>
          <w:sz w:val="32"/>
          <w:szCs w:val="32"/>
          <w:highlight w:val="none"/>
          <w:lang w:eastAsia="zh-CN"/>
        </w:rPr>
        <w:t>六、城市基础设施配套费收入</w:t>
      </w:r>
      <w:r>
        <w:rPr>
          <w:rFonts w:hint="eastAsia" w:ascii="仿宋_GB2312" w:hAnsi="仿宋_GB2312" w:eastAsia="仿宋_GB2312" w:cs="仿宋_GB2312"/>
          <w:color w:val="auto"/>
          <w:sz w:val="32"/>
          <w:szCs w:val="32"/>
          <w:highlight w:val="none"/>
          <w:lang w:val="en-US" w:eastAsia="zh-CN"/>
        </w:rPr>
        <w:t>8294万元，主要用于城市公共设施等领域。</w:t>
      </w:r>
    </w:p>
    <w:p/>
    <w:p>
      <w:pPr>
        <w:pStyle w:val="2"/>
        <w:rPr>
          <w:rFonts w:hint="eastAsia"/>
          <w:lang w:val="en-US" w:eastAsia="zh-CN"/>
        </w:rPr>
      </w:pPr>
    </w:p>
    <w:p>
      <w:pPr>
        <w:jc w:val="both"/>
        <w:rPr>
          <w:rFonts w:hint="eastAsia" w:ascii="仿宋_GB2312" w:hAnsi="仿宋_GB2312" w:eastAsia="仿宋_GB2312" w:cs="仿宋_GB2312"/>
          <w:b/>
          <w:bCs/>
          <w:sz w:val="24"/>
          <w:szCs w:val="24"/>
          <w:highlight w:val="none"/>
          <w:lang w:val="en-US" w:eastAsia="zh-CN"/>
        </w:rPr>
      </w:pPr>
      <w:r>
        <w:rPr>
          <w:rFonts w:hint="eastAsia" w:ascii="仿宋_GB2312" w:hAnsi="仿宋_GB2312" w:eastAsia="仿宋_GB2312" w:cs="仿宋_GB2312"/>
          <w:b/>
          <w:bCs/>
          <w:sz w:val="24"/>
          <w:szCs w:val="24"/>
          <w:highlight w:val="none"/>
          <w:lang w:val="en-US" w:eastAsia="zh-CN"/>
        </w:rPr>
        <w:t>附件3</w:t>
      </w:r>
    </w:p>
    <w:p>
      <w:pPr>
        <w:jc w:val="both"/>
        <w:rPr>
          <w:rFonts w:hint="eastAsia" w:ascii="仿宋_GB2312" w:hAnsi="仿宋_GB2312" w:eastAsia="仿宋_GB2312" w:cs="仿宋_GB2312"/>
          <w:b/>
          <w:bCs/>
          <w:sz w:val="24"/>
          <w:szCs w:val="24"/>
          <w:highlight w:val="none"/>
          <w:lang w:val="en-US" w:eastAsia="zh-CN"/>
        </w:rPr>
      </w:pPr>
    </w:p>
    <w:p>
      <w:pPr>
        <w:jc w:val="center"/>
        <w:rPr>
          <w:rFonts w:hint="eastAsia"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202</w:t>
      </w:r>
      <w:r>
        <w:rPr>
          <w:rFonts w:hint="eastAsia" w:ascii="方正小标宋简体" w:hAnsi="方正小标宋简体" w:eastAsia="方正小标宋简体" w:cs="方正小标宋简体"/>
          <w:sz w:val="44"/>
          <w:szCs w:val="44"/>
          <w:lang w:val="en-US" w:eastAsia="zh-CN"/>
        </w:rPr>
        <w:t>3</w:t>
      </w:r>
      <w:r>
        <w:rPr>
          <w:rFonts w:hint="eastAsia" w:ascii="方正小标宋简体" w:hAnsi="方正小标宋简体" w:eastAsia="方正小标宋简体" w:cs="方正小标宋简体"/>
          <w:sz w:val="44"/>
          <w:szCs w:val="44"/>
        </w:rPr>
        <w:t>年文登区政府债务决算的说明</w:t>
      </w:r>
    </w:p>
    <w:p>
      <w:pPr>
        <w:pStyle w:val="27"/>
        <w:adjustRightInd/>
        <w:spacing w:line="560" w:lineRule="exact"/>
        <w:ind w:firstLine="640" w:firstLineChars="200"/>
        <w:jc w:val="left"/>
        <w:rPr>
          <w:rFonts w:hint="eastAsia" w:ascii="黑体" w:hAnsi="黑体" w:eastAsia="黑体" w:cs="黑体"/>
          <w:szCs w:val="32"/>
        </w:rPr>
      </w:pPr>
      <w:r>
        <w:rPr>
          <w:rFonts w:hint="eastAsia" w:ascii="黑体" w:hAnsi="黑体" w:eastAsia="黑体" w:cs="黑体"/>
          <w:szCs w:val="32"/>
        </w:rPr>
        <w:t>一、202</w:t>
      </w:r>
      <w:r>
        <w:rPr>
          <w:rFonts w:hint="eastAsia" w:ascii="黑体" w:hAnsi="黑体" w:eastAsia="黑体" w:cs="黑体"/>
          <w:szCs w:val="32"/>
          <w:lang w:val="en-US" w:eastAsia="zh-CN"/>
        </w:rPr>
        <w:t>3</w:t>
      </w:r>
      <w:r>
        <w:rPr>
          <w:rFonts w:hint="eastAsia" w:ascii="黑体" w:hAnsi="黑体" w:eastAsia="黑体" w:cs="黑体"/>
          <w:szCs w:val="32"/>
        </w:rPr>
        <w:t xml:space="preserve">年文登区地方政府债务限额情况 </w:t>
      </w:r>
    </w:p>
    <w:p>
      <w:pPr>
        <w:pStyle w:val="27"/>
        <w:adjustRightInd/>
        <w:spacing w:line="560" w:lineRule="exact"/>
        <w:ind w:firstLine="640" w:firstLineChars="200"/>
        <w:jc w:val="left"/>
        <w:rPr>
          <w:rFonts w:hint="eastAsia" w:ascii="仿宋_GB2312" w:hAnsi="仿宋_GB2312" w:cs="仿宋_GB2312"/>
          <w:szCs w:val="32"/>
        </w:rPr>
      </w:pPr>
      <w:r>
        <w:rPr>
          <w:rFonts w:hint="eastAsia" w:ascii="仿宋_GB2312" w:hAnsi="仿宋_GB2312" w:cs="仿宋_GB2312"/>
          <w:szCs w:val="32"/>
        </w:rPr>
        <w:t>经国务院批准，财政厅核定我区202</w:t>
      </w:r>
      <w:r>
        <w:rPr>
          <w:rFonts w:hint="eastAsia" w:ascii="仿宋_GB2312" w:hAnsi="仿宋_GB2312" w:cs="仿宋_GB2312"/>
          <w:szCs w:val="32"/>
          <w:lang w:val="en-US" w:eastAsia="zh-CN"/>
        </w:rPr>
        <w:t>3</w:t>
      </w:r>
      <w:r>
        <w:rPr>
          <w:rFonts w:hint="eastAsia" w:ascii="仿宋_GB2312" w:hAnsi="仿宋_GB2312" w:cs="仿宋_GB2312"/>
          <w:szCs w:val="32"/>
        </w:rPr>
        <w:t>年地方政府债务限额</w:t>
      </w:r>
      <w:r>
        <w:rPr>
          <w:rFonts w:hint="eastAsia" w:ascii="仿宋_GB2312" w:hAnsi="仿宋_GB2312" w:cs="仿宋_GB2312"/>
          <w:szCs w:val="32"/>
          <w:lang w:val="en-US" w:eastAsia="zh-CN"/>
        </w:rPr>
        <w:t>235.83</w:t>
      </w:r>
      <w:r>
        <w:rPr>
          <w:rFonts w:hint="eastAsia" w:ascii="仿宋_GB2312" w:hAnsi="仿宋_GB2312" w:cs="仿宋_GB2312"/>
          <w:szCs w:val="32"/>
        </w:rPr>
        <w:t>亿元。其中新增债务限额</w:t>
      </w:r>
      <w:r>
        <w:rPr>
          <w:rFonts w:hint="eastAsia" w:ascii="仿宋_GB2312" w:hAnsi="仿宋_GB2312" w:cs="仿宋_GB2312"/>
          <w:szCs w:val="32"/>
          <w:lang w:val="en-US" w:eastAsia="zh-CN"/>
        </w:rPr>
        <w:t>32.40</w:t>
      </w:r>
      <w:r>
        <w:rPr>
          <w:rFonts w:hint="eastAsia" w:ascii="仿宋_GB2312" w:hAnsi="仿宋_GB2312" w:cs="仿宋_GB2312"/>
          <w:szCs w:val="32"/>
        </w:rPr>
        <w:t>亿元。</w:t>
      </w:r>
    </w:p>
    <w:p>
      <w:pPr>
        <w:pStyle w:val="27"/>
        <w:adjustRightInd/>
        <w:spacing w:line="560" w:lineRule="exact"/>
        <w:ind w:firstLine="640" w:firstLineChars="200"/>
        <w:jc w:val="left"/>
        <w:rPr>
          <w:rFonts w:hint="eastAsia" w:ascii="仿宋_GB2312" w:hAnsi="仿宋_GB2312" w:cs="仿宋_GB2312"/>
          <w:szCs w:val="32"/>
        </w:rPr>
      </w:pPr>
      <w:r>
        <w:rPr>
          <w:rFonts w:hint="eastAsia" w:ascii="黑体" w:hAnsi="黑体" w:eastAsia="黑体" w:cs="黑体"/>
          <w:szCs w:val="32"/>
        </w:rPr>
        <w:t xml:space="preserve"> 二、202</w:t>
      </w:r>
      <w:r>
        <w:rPr>
          <w:rFonts w:hint="eastAsia" w:ascii="黑体" w:hAnsi="黑体" w:eastAsia="黑体" w:cs="黑体"/>
          <w:szCs w:val="32"/>
          <w:lang w:val="en-US" w:eastAsia="zh-CN"/>
        </w:rPr>
        <w:t>3</w:t>
      </w:r>
      <w:r>
        <w:rPr>
          <w:rFonts w:hint="eastAsia" w:ascii="黑体" w:hAnsi="黑体" w:eastAsia="黑体" w:cs="黑体"/>
          <w:szCs w:val="32"/>
        </w:rPr>
        <w:t>年文登区地方政府债务举借情况</w:t>
      </w:r>
      <w:r>
        <w:rPr>
          <w:rFonts w:hint="eastAsia" w:ascii="仿宋_GB2312" w:hAnsi="仿宋_GB2312" w:cs="仿宋_GB2312"/>
          <w:szCs w:val="32"/>
        </w:rPr>
        <w:t xml:space="preserve"> </w:t>
      </w:r>
    </w:p>
    <w:p>
      <w:pPr>
        <w:pStyle w:val="27"/>
        <w:adjustRightInd/>
        <w:spacing w:line="560" w:lineRule="exact"/>
        <w:ind w:firstLine="640" w:firstLineChars="200"/>
        <w:jc w:val="left"/>
        <w:rPr>
          <w:rFonts w:hint="eastAsia" w:ascii="仿宋_GB2312" w:hAnsi="仿宋_GB2312" w:cs="仿宋_GB2312"/>
          <w:szCs w:val="32"/>
        </w:rPr>
      </w:pPr>
      <w:r>
        <w:rPr>
          <w:rFonts w:hint="eastAsia" w:ascii="仿宋_GB2312" w:hAnsi="仿宋_GB2312" w:cs="仿宋_GB2312"/>
          <w:szCs w:val="32"/>
        </w:rPr>
        <w:t>202</w:t>
      </w:r>
      <w:r>
        <w:rPr>
          <w:rFonts w:hint="eastAsia" w:ascii="仿宋_GB2312" w:hAnsi="仿宋_GB2312" w:cs="仿宋_GB2312"/>
          <w:szCs w:val="32"/>
          <w:lang w:val="en-US" w:eastAsia="zh-CN"/>
        </w:rPr>
        <w:t>3</w:t>
      </w:r>
      <w:r>
        <w:rPr>
          <w:rFonts w:hint="eastAsia" w:ascii="仿宋_GB2312" w:hAnsi="仿宋_GB2312" w:cs="仿宋_GB2312"/>
          <w:szCs w:val="32"/>
        </w:rPr>
        <w:t>年文登区共发行政府债券</w:t>
      </w:r>
      <w:r>
        <w:rPr>
          <w:rFonts w:hint="eastAsia" w:ascii="仿宋_GB2312" w:hAnsi="仿宋_GB2312" w:cs="仿宋_GB2312"/>
          <w:szCs w:val="32"/>
          <w:lang w:val="en-US" w:eastAsia="zh-CN"/>
        </w:rPr>
        <w:t>50.51</w:t>
      </w:r>
      <w:r>
        <w:rPr>
          <w:rFonts w:hint="eastAsia" w:ascii="仿宋_GB2312" w:hAnsi="仿宋_GB2312" w:cs="仿宋_GB2312"/>
          <w:szCs w:val="32"/>
        </w:rPr>
        <w:t>亿元，其中：新增债券</w:t>
      </w:r>
      <w:r>
        <w:rPr>
          <w:rFonts w:hint="eastAsia" w:ascii="仿宋_GB2312" w:hAnsi="仿宋_GB2312" w:cs="仿宋_GB2312"/>
          <w:szCs w:val="32"/>
          <w:lang w:val="en-US" w:eastAsia="zh-CN"/>
        </w:rPr>
        <w:t>32.40</w:t>
      </w:r>
      <w:r>
        <w:rPr>
          <w:rFonts w:hint="eastAsia" w:ascii="仿宋_GB2312" w:hAnsi="仿宋_GB2312" w:cs="仿宋_GB2312"/>
          <w:szCs w:val="32"/>
        </w:rPr>
        <w:t>亿元，再融资债券</w:t>
      </w:r>
      <w:r>
        <w:rPr>
          <w:rFonts w:hint="eastAsia" w:ascii="仿宋_GB2312" w:hAnsi="仿宋_GB2312" w:cs="仿宋_GB2312"/>
          <w:szCs w:val="32"/>
          <w:lang w:val="en-US" w:eastAsia="zh-CN"/>
        </w:rPr>
        <w:t>18.11</w:t>
      </w:r>
      <w:r>
        <w:rPr>
          <w:rFonts w:hint="eastAsia" w:ascii="仿宋_GB2312" w:hAnsi="仿宋_GB2312" w:cs="仿宋_GB2312"/>
          <w:szCs w:val="32"/>
        </w:rPr>
        <w:t>亿元（用于偿还到期政府债券，不增加政府债务余额）。截至202</w:t>
      </w:r>
      <w:r>
        <w:rPr>
          <w:rFonts w:hint="eastAsia" w:ascii="仿宋_GB2312" w:hAnsi="仿宋_GB2312" w:cs="仿宋_GB2312"/>
          <w:szCs w:val="32"/>
          <w:lang w:val="en-US" w:eastAsia="zh-CN"/>
        </w:rPr>
        <w:t>3</w:t>
      </w:r>
      <w:r>
        <w:rPr>
          <w:rFonts w:hint="eastAsia" w:ascii="仿宋_GB2312" w:hAnsi="仿宋_GB2312" w:cs="仿宋_GB2312"/>
          <w:szCs w:val="32"/>
        </w:rPr>
        <w:t>年底，全区政府债务余额</w:t>
      </w:r>
      <w:r>
        <w:rPr>
          <w:rFonts w:hint="eastAsia" w:ascii="仿宋_GB2312" w:hAnsi="仿宋_GB2312" w:cs="仿宋_GB2312"/>
          <w:szCs w:val="32"/>
          <w:lang w:val="en-US" w:eastAsia="zh-CN"/>
        </w:rPr>
        <w:t>234.92</w:t>
      </w:r>
      <w:r>
        <w:rPr>
          <w:rFonts w:hint="eastAsia" w:ascii="仿宋_GB2312" w:hAnsi="仿宋_GB2312" w:cs="仿宋_GB2312"/>
          <w:szCs w:val="32"/>
        </w:rPr>
        <w:t>亿元，严格控制在财政部核定限额之内。</w:t>
      </w:r>
    </w:p>
    <w:p>
      <w:pPr>
        <w:pStyle w:val="27"/>
        <w:adjustRightInd/>
        <w:spacing w:line="560" w:lineRule="exact"/>
        <w:ind w:firstLine="640" w:firstLineChars="200"/>
        <w:jc w:val="left"/>
        <w:rPr>
          <w:rFonts w:hint="eastAsia" w:ascii="仿宋_GB2312" w:hAnsi="仿宋_GB2312" w:cs="仿宋_GB2312"/>
          <w:szCs w:val="32"/>
        </w:rPr>
      </w:pPr>
      <w:r>
        <w:rPr>
          <w:rFonts w:hint="eastAsia" w:ascii="仿宋_GB2312" w:hAnsi="仿宋_GB2312" w:cs="仿宋_GB2312"/>
          <w:szCs w:val="32"/>
        </w:rPr>
        <w:t>按照《国务院关于加强地方政府性债务管理的意见》（国发〔2014〕43号）、《财政部关于对地方政府债务实行限额管理的实施意见》（财预〔2015〕225号）和《财政部关于印发&lt;地方政府债务信息公开办法（试行）&gt;的通知》（财预〔2018〕209号）等规定，2018年历次发行政府债券举借政府债务的相关信息，均已按规定向社会公开。</w:t>
      </w:r>
    </w:p>
    <w:p>
      <w:pPr>
        <w:spacing w:line="560" w:lineRule="exact"/>
        <w:ind w:firstLine="640" w:firstLineChars="200"/>
        <w:jc w:val="left"/>
        <w:rPr>
          <w:rFonts w:hint="eastAsia" w:ascii="Times New Roman" w:hAnsi="Times New Roman" w:eastAsia="黑体" w:cs="Times New Roman"/>
        </w:rPr>
      </w:pPr>
      <w:r>
        <w:rPr>
          <w:rFonts w:hint="eastAsia" w:ascii="Times New Roman" w:hAnsi="Times New Roman" w:eastAsia="黑体" w:cs="Times New Roman"/>
        </w:rPr>
        <w:t>三、债券资金使用安排情况的说明</w:t>
      </w:r>
    </w:p>
    <w:p>
      <w:pPr>
        <w:spacing w:line="560" w:lineRule="exact"/>
        <w:ind w:firstLine="640" w:firstLineChars="200"/>
        <w:rPr>
          <w:rFonts w:ascii="仿宋_GB2312" w:hAnsi="仿宋_GB2312" w:eastAsia="仿宋_GB2312"/>
        </w:rPr>
      </w:pPr>
      <w:r>
        <w:rPr>
          <w:rFonts w:hint="eastAsia" w:ascii="仿宋_GB2312" w:hAnsi="仿宋_GB2312" w:eastAsia="仿宋_GB2312"/>
        </w:rPr>
        <w:t>将政府债务收支全面纳入预算管理，强化资金监管，提高债券资金效益。在新增债券资金使用方面，全部用于重点民生项目和在建公益性项目后续融资，其中农林水利建设支出</w:t>
      </w:r>
      <w:r>
        <w:rPr>
          <w:rFonts w:hint="eastAsia" w:ascii="仿宋_GB2312" w:hAnsi="仿宋_GB2312" w:eastAsia="仿宋_GB2312"/>
          <w:lang w:val="en-US" w:eastAsia="zh-CN"/>
        </w:rPr>
        <w:t>4.49</w:t>
      </w:r>
      <w:r>
        <w:rPr>
          <w:rFonts w:hint="eastAsia" w:ascii="仿宋_GB2312" w:hAnsi="仿宋_GB2312" w:eastAsia="仿宋_GB2312"/>
        </w:rPr>
        <w:t>亿元、市政建设</w:t>
      </w:r>
      <w:r>
        <w:rPr>
          <w:rFonts w:hint="eastAsia" w:ascii="仿宋_GB2312" w:hAnsi="仿宋_GB2312" w:eastAsia="仿宋_GB2312"/>
          <w:lang w:val="en-US" w:eastAsia="zh-CN"/>
        </w:rPr>
        <w:t>15.25</w:t>
      </w:r>
      <w:r>
        <w:rPr>
          <w:rFonts w:hint="eastAsia" w:ascii="仿宋_GB2312" w:hAnsi="仿宋_GB2312" w:eastAsia="仿宋_GB2312"/>
        </w:rPr>
        <w:t>亿元、保障性住房</w:t>
      </w:r>
      <w:r>
        <w:rPr>
          <w:rFonts w:hint="eastAsia" w:ascii="仿宋_GB2312" w:hAnsi="仿宋_GB2312" w:eastAsia="仿宋_GB2312"/>
          <w:lang w:val="en-US" w:eastAsia="zh-CN"/>
        </w:rPr>
        <w:t>0.2</w:t>
      </w:r>
      <w:r>
        <w:rPr>
          <w:rFonts w:hint="eastAsia" w:ascii="仿宋_GB2312" w:hAnsi="仿宋_GB2312" w:eastAsia="仿宋_GB2312"/>
        </w:rPr>
        <w:t>亿元、教科文卫</w:t>
      </w:r>
      <w:r>
        <w:rPr>
          <w:rFonts w:hint="eastAsia" w:ascii="仿宋_GB2312" w:hAnsi="仿宋_GB2312" w:eastAsia="仿宋_GB2312"/>
          <w:lang w:val="en-US" w:eastAsia="zh-CN"/>
        </w:rPr>
        <w:t>0.8</w:t>
      </w:r>
      <w:r>
        <w:rPr>
          <w:rFonts w:hint="eastAsia" w:ascii="仿宋_GB2312" w:hAnsi="仿宋_GB2312" w:eastAsia="仿宋_GB2312"/>
        </w:rPr>
        <w:t>亿元</w:t>
      </w:r>
      <w:r>
        <w:rPr>
          <w:rFonts w:hint="eastAsia" w:ascii="仿宋_GB2312" w:hAnsi="仿宋_GB2312" w:eastAsia="仿宋_GB2312"/>
          <w:lang w:eastAsia="zh-CN"/>
        </w:rPr>
        <w:t>、环境保护</w:t>
      </w:r>
      <w:r>
        <w:rPr>
          <w:rFonts w:hint="eastAsia" w:ascii="仿宋_GB2312" w:hAnsi="仿宋_GB2312" w:eastAsia="仿宋_GB2312"/>
          <w:lang w:val="en-US" w:eastAsia="zh-CN"/>
        </w:rPr>
        <w:t>3.1亿元、其他8.56亿元</w:t>
      </w:r>
      <w:r>
        <w:rPr>
          <w:rFonts w:hint="eastAsia" w:ascii="仿宋_GB2312" w:hAnsi="仿宋_GB2312" w:eastAsia="仿宋_GB2312"/>
        </w:rPr>
        <w:t>。</w:t>
      </w:r>
    </w:p>
    <w:p/>
    <w:p>
      <w:pPr>
        <w:jc w:val="both"/>
        <w:rPr>
          <w:rFonts w:hint="eastAsia" w:ascii="仿宋_GB2312" w:hAnsi="仿宋_GB2312" w:eastAsia="仿宋_GB2312" w:cs="仿宋_GB2312"/>
          <w:b/>
          <w:bCs/>
          <w:sz w:val="24"/>
          <w:szCs w:val="24"/>
          <w:highlight w:val="none"/>
          <w:lang w:val="en-US" w:eastAsia="zh-CN"/>
        </w:rPr>
      </w:pPr>
    </w:p>
    <w:p>
      <w:pPr>
        <w:jc w:val="both"/>
        <w:rPr>
          <w:rFonts w:hint="eastAsia" w:ascii="仿宋_GB2312" w:hAnsi="仿宋_GB2312" w:eastAsia="仿宋_GB2312" w:cs="仿宋_GB2312"/>
          <w:b/>
          <w:bCs/>
          <w:sz w:val="24"/>
          <w:szCs w:val="24"/>
          <w:highlight w:val="none"/>
          <w:lang w:val="en-US" w:eastAsia="zh-CN"/>
        </w:rPr>
      </w:pPr>
      <w:r>
        <w:rPr>
          <w:rFonts w:hint="eastAsia" w:ascii="仿宋_GB2312" w:hAnsi="仿宋_GB2312" w:eastAsia="仿宋_GB2312" w:cs="仿宋_GB2312"/>
          <w:b/>
          <w:bCs/>
          <w:sz w:val="24"/>
          <w:szCs w:val="24"/>
          <w:highlight w:val="none"/>
          <w:lang w:val="en-US" w:eastAsia="zh-CN"/>
        </w:rPr>
        <w:t>附件4</w:t>
      </w:r>
    </w:p>
    <w:p>
      <w:pPr>
        <w:jc w:val="both"/>
        <w:rPr>
          <w:rFonts w:hint="eastAsia" w:ascii="仿宋_GB2312" w:hAnsi="仿宋_GB2312" w:eastAsia="仿宋_GB2312" w:cs="仿宋_GB2312"/>
          <w:b/>
          <w:bCs/>
          <w:sz w:val="24"/>
          <w:szCs w:val="24"/>
          <w:highlight w:val="none"/>
          <w:lang w:val="en-US" w:eastAsia="zh-CN"/>
        </w:rPr>
      </w:pPr>
    </w:p>
    <w:p>
      <w:pPr>
        <w:jc w:val="both"/>
        <w:rPr>
          <w:rFonts w:hint="eastAsia" w:ascii="仿宋_GB2312" w:hAnsi="仿宋_GB2312" w:eastAsia="仿宋_GB2312" w:cs="仿宋_GB2312"/>
          <w:sz w:val="32"/>
          <w:szCs w:val="32"/>
          <w:highlight w:val="none"/>
        </w:rPr>
      </w:pPr>
      <w:r>
        <w:rPr>
          <w:rFonts w:hint="eastAsia" w:ascii="方正小标宋简体" w:hAnsi="方正小标宋简体" w:eastAsia="方正小标宋简体" w:cs="方正小标宋简体"/>
          <w:i w:val="0"/>
          <w:iCs w:val="0"/>
          <w:color w:val="000000"/>
          <w:kern w:val="0"/>
          <w:sz w:val="44"/>
          <w:szCs w:val="44"/>
          <w:u w:val="none"/>
          <w:lang w:val="en-US" w:eastAsia="zh-CN" w:bidi="ar"/>
        </w:rPr>
        <w:t>2023年三公经费分项数据及增减变化说明</w:t>
      </w:r>
    </w:p>
    <w:p>
      <w:pPr>
        <w:ind w:firstLine="640" w:firstLineChars="200"/>
        <w:jc w:val="both"/>
        <w:rPr>
          <w:rFonts w:hint="eastAsia" w:ascii="仿宋_GB2312" w:hAnsi="仿宋_GB2312" w:eastAsia="仿宋_GB2312"/>
        </w:rPr>
      </w:pPr>
      <w:r>
        <w:rPr>
          <w:rFonts w:hint="eastAsia" w:ascii="仿宋_GB2312" w:hAnsi="仿宋_GB2312" w:eastAsia="仿宋_GB2312"/>
        </w:rPr>
        <w:t>根据《预算法》以及现行相关规定，经</w:t>
      </w:r>
      <w:r>
        <w:rPr>
          <w:rFonts w:hint="eastAsia" w:ascii="仿宋_GB2312" w:hAnsi="仿宋_GB2312" w:eastAsia="仿宋_GB2312"/>
          <w:lang w:eastAsia="zh-CN"/>
        </w:rPr>
        <w:t>区财政局</w:t>
      </w:r>
      <w:r>
        <w:rPr>
          <w:rFonts w:hint="eastAsia" w:ascii="仿宋_GB2312" w:hAnsi="仿宋_GB2312" w:eastAsia="仿宋_GB2312"/>
        </w:rPr>
        <w:t>汇总，20</w:t>
      </w:r>
      <w:r>
        <w:rPr>
          <w:rFonts w:hint="eastAsia" w:ascii="仿宋_GB2312" w:hAnsi="仿宋_GB2312" w:eastAsia="仿宋_GB2312"/>
          <w:lang w:val="en-US" w:eastAsia="zh-CN"/>
        </w:rPr>
        <w:t>23</w:t>
      </w:r>
      <w:r>
        <w:rPr>
          <w:rFonts w:hint="eastAsia" w:ascii="仿宋_GB2312" w:hAnsi="仿宋_GB2312" w:eastAsia="仿宋_GB2312"/>
        </w:rPr>
        <w:t>年</w:t>
      </w:r>
      <w:r>
        <w:rPr>
          <w:rFonts w:hint="eastAsia" w:ascii="仿宋_GB2312" w:hAnsi="仿宋_GB2312" w:eastAsia="仿宋_GB2312"/>
          <w:lang w:eastAsia="zh-CN"/>
        </w:rPr>
        <w:t>区</w:t>
      </w:r>
      <w:r>
        <w:rPr>
          <w:rFonts w:hint="eastAsia" w:ascii="仿宋_GB2312" w:hAnsi="仿宋_GB2312" w:eastAsia="仿宋_GB2312"/>
        </w:rPr>
        <w:t>级决算部门，包括</w:t>
      </w:r>
      <w:r>
        <w:rPr>
          <w:rFonts w:hint="eastAsia" w:ascii="仿宋_GB2312" w:hAnsi="仿宋_GB2312" w:eastAsia="仿宋_GB2312"/>
          <w:lang w:eastAsia="zh-CN"/>
        </w:rPr>
        <w:t>区</w:t>
      </w:r>
      <w:r>
        <w:rPr>
          <w:rFonts w:hint="eastAsia" w:ascii="仿宋_GB2312" w:hAnsi="仿宋_GB2312" w:eastAsia="仿宋_GB2312"/>
        </w:rPr>
        <w:t>级行政单位、事业单位（含参照公务员法管理的事业单位）和其他单位使用当年一般公共预算财政拨款及以前年度结转资金安排的“三公”经费决算数为</w:t>
      </w:r>
      <w:r>
        <w:rPr>
          <w:rFonts w:hint="eastAsia" w:ascii="仿宋_GB2312" w:hAnsi="仿宋_GB2312" w:eastAsia="仿宋_GB2312"/>
          <w:lang w:val="en-US" w:eastAsia="zh-CN"/>
        </w:rPr>
        <w:t>789万</w:t>
      </w:r>
      <w:r>
        <w:rPr>
          <w:rFonts w:hint="eastAsia" w:ascii="仿宋_GB2312" w:hAnsi="仿宋_GB2312" w:eastAsia="仿宋_GB2312"/>
        </w:rPr>
        <w:t>元，比年初预算数减少</w:t>
      </w:r>
      <w:r>
        <w:rPr>
          <w:rFonts w:hint="eastAsia" w:ascii="仿宋_GB2312" w:hAnsi="仿宋_GB2312" w:eastAsia="仿宋_GB2312"/>
          <w:lang w:val="en-US" w:eastAsia="zh-CN"/>
        </w:rPr>
        <w:t>316万</w:t>
      </w:r>
      <w:r>
        <w:rPr>
          <w:rFonts w:hint="eastAsia" w:ascii="仿宋_GB2312" w:hAnsi="仿宋_GB2312" w:eastAsia="仿宋_GB2312"/>
        </w:rPr>
        <w:t>元，主要是</w:t>
      </w:r>
      <w:r>
        <w:rPr>
          <w:rFonts w:hint="eastAsia" w:ascii="仿宋_GB2312" w:hAnsi="仿宋_GB2312" w:eastAsia="仿宋_GB2312"/>
          <w:lang w:eastAsia="zh-CN"/>
        </w:rPr>
        <w:t>区</w:t>
      </w:r>
      <w:r>
        <w:rPr>
          <w:rFonts w:hint="eastAsia" w:ascii="仿宋_GB2312" w:hAnsi="仿宋_GB2312" w:eastAsia="仿宋_GB2312"/>
        </w:rPr>
        <w:t>级各部门贯彻落实中央八项规定精神，按照过紧日子和厉行勤俭节约的要求，从严控制“三公”经费支出。其中，因公出国（境）费</w:t>
      </w:r>
      <w:r>
        <w:rPr>
          <w:rFonts w:hint="eastAsia" w:ascii="仿宋_GB2312" w:hAnsi="仿宋_GB2312" w:eastAsia="仿宋_GB2312"/>
          <w:lang w:val="en-US" w:eastAsia="zh-CN"/>
        </w:rPr>
        <w:t>26万</w:t>
      </w:r>
      <w:r>
        <w:rPr>
          <w:rFonts w:hint="eastAsia" w:ascii="仿宋_GB2312" w:hAnsi="仿宋_GB2312" w:eastAsia="仿宋_GB2312"/>
        </w:rPr>
        <w:t>元，比年初预算数减少</w:t>
      </w:r>
      <w:r>
        <w:rPr>
          <w:rFonts w:hint="eastAsia" w:ascii="仿宋_GB2312" w:hAnsi="仿宋_GB2312" w:eastAsia="仿宋_GB2312"/>
          <w:lang w:val="en-US" w:eastAsia="zh-CN"/>
        </w:rPr>
        <w:t>89万</w:t>
      </w:r>
      <w:r>
        <w:rPr>
          <w:rFonts w:hint="eastAsia" w:ascii="仿宋_GB2312" w:hAnsi="仿宋_GB2312" w:eastAsia="仿宋_GB2312"/>
        </w:rPr>
        <w:t>元，主要是</w:t>
      </w:r>
      <w:r>
        <w:rPr>
          <w:rFonts w:hint="eastAsia" w:ascii="仿宋_GB2312" w:hAnsi="仿宋_GB2312" w:eastAsia="仿宋_GB2312"/>
          <w:lang w:eastAsia="zh-CN"/>
        </w:rPr>
        <w:t>区</w:t>
      </w:r>
      <w:r>
        <w:rPr>
          <w:rFonts w:hint="eastAsia" w:ascii="仿宋_GB2312" w:hAnsi="仿宋_GB2312" w:eastAsia="仿宋_GB2312"/>
        </w:rPr>
        <w:t>直有关部门因公出国（境）团组和人数减少；公务用车购置及运行维护费</w:t>
      </w:r>
      <w:r>
        <w:rPr>
          <w:rFonts w:hint="eastAsia" w:ascii="仿宋_GB2312" w:hAnsi="仿宋_GB2312" w:eastAsia="仿宋_GB2312"/>
          <w:lang w:val="en-US" w:eastAsia="zh-CN"/>
        </w:rPr>
        <w:t>678万</w:t>
      </w:r>
      <w:r>
        <w:rPr>
          <w:rFonts w:hint="eastAsia" w:ascii="仿宋_GB2312" w:hAnsi="仿宋_GB2312" w:eastAsia="仿宋_GB2312"/>
        </w:rPr>
        <w:t>元（其中公务用车运行维护费</w:t>
      </w:r>
      <w:r>
        <w:rPr>
          <w:rFonts w:hint="eastAsia" w:ascii="仿宋_GB2312" w:hAnsi="仿宋_GB2312" w:eastAsia="仿宋_GB2312"/>
          <w:lang w:val="en-US" w:eastAsia="zh-CN"/>
        </w:rPr>
        <w:t>678万</w:t>
      </w:r>
      <w:r>
        <w:rPr>
          <w:rFonts w:hint="eastAsia" w:ascii="仿宋_GB2312" w:hAnsi="仿宋_GB2312" w:eastAsia="仿宋_GB2312"/>
        </w:rPr>
        <w:t>元），比年初预算数减少</w:t>
      </w:r>
      <w:r>
        <w:rPr>
          <w:rFonts w:hint="eastAsia" w:ascii="仿宋_GB2312" w:hAnsi="仿宋_GB2312" w:eastAsia="仿宋_GB2312"/>
          <w:lang w:val="en-US" w:eastAsia="zh-CN"/>
        </w:rPr>
        <w:t>7万</w:t>
      </w:r>
      <w:r>
        <w:rPr>
          <w:rFonts w:hint="eastAsia" w:ascii="仿宋_GB2312" w:hAnsi="仿宋_GB2312" w:eastAsia="仿宋_GB2312"/>
        </w:rPr>
        <w:t>元，主要是各部门加强和规范公务用车配备使用管理，公务用车开支下降；公</w:t>
      </w:r>
      <w:bookmarkStart w:id="35" w:name="_GoBack"/>
      <w:bookmarkEnd w:id="35"/>
      <w:r>
        <w:rPr>
          <w:rFonts w:hint="eastAsia" w:ascii="仿宋_GB2312" w:hAnsi="仿宋_GB2312" w:eastAsia="仿宋_GB2312"/>
        </w:rPr>
        <w:t>务接待费</w:t>
      </w:r>
      <w:r>
        <w:rPr>
          <w:rFonts w:hint="eastAsia" w:ascii="仿宋_GB2312" w:hAnsi="仿宋_GB2312" w:eastAsia="仿宋_GB2312"/>
          <w:lang w:val="en-US" w:eastAsia="zh-CN"/>
        </w:rPr>
        <w:t>85万</w:t>
      </w:r>
      <w:r>
        <w:rPr>
          <w:rFonts w:hint="eastAsia" w:ascii="仿宋_GB2312" w:hAnsi="仿宋_GB2312" w:eastAsia="仿宋_GB2312"/>
        </w:rPr>
        <w:t>元，比年初预算数减少</w:t>
      </w:r>
      <w:r>
        <w:rPr>
          <w:rFonts w:hint="eastAsia" w:ascii="仿宋_GB2312" w:hAnsi="仿宋_GB2312" w:eastAsia="仿宋_GB2312"/>
          <w:lang w:val="en-US" w:eastAsia="zh-CN"/>
        </w:rPr>
        <w:t>220万</w:t>
      </w:r>
      <w:r>
        <w:rPr>
          <w:rFonts w:hint="eastAsia" w:ascii="仿宋_GB2312" w:hAnsi="仿宋_GB2312" w:eastAsia="仿宋_GB2312"/>
        </w:rPr>
        <w:t xml:space="preserve">元，主要是各部门认真贯彻落实厉行节约有关规定，严控公务接待范围和开支标准，进一步压减相关支出。 </w:t>
      </w:r>
    </w:p>
    <w:p>
      <w:pPr>
        <w:ind w:firstLine="640" w:firstLineChars="200"/>
        <w:jc w:val="both"/>
        <w:rPr>
          <w:rFonts w:hint="eastAsia" w:ascii="仿宋_GB2312" w:hAnsi="仿宋_GB2312" w:eastAsia="仿宋_GB2312" w:cs="仿宋_GB2312"/>
          <w:sz w:val="32"/>
          <w:szCs w:val="32"/>
          <w:shd w:val="clear"/>
          <w:lang w:val="en-US" w:eastAsia="zh-CN"/>
        </w:rPr>
      </w:pPr>
      <w:r>
        <w:rPr>
          <w:rFonts w:hint="eastAsia" w:ascii="仿宋_GB2312" w:hAnsi="仿宋_GB2312" w:eastAsia="仿宋_GB2312"/>
        </w:rPr>
        <w:t>——注释与说明： 1、因公出国（境）费反映单位公务</w:t>
      </w:r>
      <w:r>
        <w:rPr>
          <w:rFonts w:hint="eastAsia" w:ascii="仿宋_GB2312" w:hAnsi="仿宋_GB2312" w:eastAsia="仿宋_GB2312" w:cs="仿宋_GB2312"/>
          <w:sz w:val="32"/>
          <w:szCs w:val="32"/>
        </w:rPr>
        <w:t>出国（境）的国际旅费、国外城市间交通费、住宿费、伙食费、培训费、公杂费等支出。据统计</w:t>
      </w:r>
      <w:r>
        <w:rPr>
          <w:rFonts w:hint="eastAsia" w:ascii="仿宋_GB2312" w:hAnsi="仿宋_GB2312" w:eastAsia="仿宋_GB2312" w:cs="仿宋_GB2312"/>
          <w:sz w:val="32"/>
          <w:szCs w:val="32"/>
          <w:shd w:val="clear"/>
        </w:rPr>
        <w:t>，20</w:t>
      </w:r>
      <w:r>
        <w:rPr>
          <w:rFonts w:hint="eastAsia" w:ascii="仿宋_GB2312" w:hAnsi="仿宋_GB2312" w:eastAsia="仿宋_GB2312" w:cs="仿宋_GB2312"/>
          <w:sz w:val="32"/>
          <w:szCs w:val="32"/>
          <w:shd w:val="clear"/>
          <w:lang w:val="en-US" w:eastAsia="zh-CN"/>
        </w:rPr>
        <w:t>23</w:t>
      </w:r>
      <w:r>
        <w:rPr>
          <w:rFonts w:hint="eastAsia" w:ascii="仿宋_GB2312" w:hAnsi="仿宋_GB2312" w:eastAsia="仿宋_GB2312" w:cs="仿宋_GB2312"/>
          <w:sz w:val="32"/>
          <w:szCs w:val="32"/>
          <w:shd w:val="clear"/>
        </w:rPr>
        <w:t>年</w:t>
      </w:r>
      <w:r>
        <w:rPr>
          <w:rFonts w:hint="eastAsia" w:ascii="仿宋_GB2312" w:hAnsi="仿宋_GB2312" w:eastAsia="仿宋_GB2312" w:cs="仿宋_GB2312"/>
          <w:sz w:val="32"/>
          <w:szCs w:val="32"/>
          <w:shd w:val="clear"/>
          <w:lang w:eastAsia="zh-CN"/>
        </w:rPr>
        <w:t>区</w:t>
      </w:r>
      <w:r>
        <w:rPr>
          <w:rFonts w:hint="eastAsia" w:ascii="仿宋_GB2312" w:hAnsi="仿宋_GB2312" w:eastAsia="仿宋_GB2312" w:cs="仿宋_GB2312"/>
          <w:sz w:val="32"/>
          <w:szCs w:val="32"/>
          <w:shd w:val="clear"/>
        </w:rPr>
        <w:t>本级因公出国（境）团组与累计人次分别为</w:t>
      </w:r>
      <w:r>
        <w:rPr>
          <w:rFonts w:hint="eastAsia" w:ascii="仿宋_GB2312" w:hAnsi="仿宋_GB2312" w:eastAsia="仿宋_GB2312" w:cs="仿宋_GB2312"/>
          <w:sz w:val="32"/>
          <w:szCs w:val="32"/>
          <w:shd w:val="clear"/>
          <w:lang w:val="en-US" w:eastAsia="zh-CN"/>
        </w:rPr>
        <w:t>11</w:t>
      </w:r>
      <w:r>
        <w:rPr>
          <w:rFonts w:hint="eastAsia" w:ascii="仿宋_GB2312" w:hAnsi="仿宋_GB2312" w:eastAsia="仿宋_GB2312" w:cs="仿宋_GB2312"/>
          <w:sz w:val="32"/>
          <w:szCs w:val="32"/>
          <w:shd w:val="clear"/>
        </w:rPr>
        <w:t>个、</w:t>
      </w:r>
      <w:r>
        <w:rPr>
          <w:rFonts w:hint="eastAsia" w:ascii="仿宋_GB2312" w:hAnsi="仿宋_GB2312" w:eastAsia="仿宋_GB2312" w:cs="仿宋_GB2312"/>
          <w:sz w:val="32"/>
          <w:szCs w:val="32"/>
          <w:shd w:val="clear"/>
          <w:lang w:val="en-US" w:eastAsia="zh-CN"/>
        </w:rPr>
        <w:t>16</w:t>
      </w:r>
      <w:r>
        <w:rPr>
          <w:rFonts w:hint="eastAsia" w:ascii="仿宋_GB2312" w:hAnsi="仿宋_GB2312" w:eastAsia="仿宋_GB2312" w:cs="仿宋_GB2312"/>
          <w:sz w:val="32"/>
          <w:szCs w:val="32"/>
          <w:shd w:val="clear"/>
        </w:rPr>
        <w:t xml:space="preserve">人次。 </w:t>
      </w:r>
      <w:r>
        <w:rPr>
          <w:rFonts w:hint="eastAsia" w:ascii="仿宋_GB2312" w:hAnsi="仿宋_GB2312" w:eastAsia="仿宋_GB2312" w:cs="仿宋_GB2312"/>
          <w:sz w:val="32"/>
          <w:szCs w:val="32"/>
        </w:rPr>
        <w:t>2、据统</w:t>
      </w:r>
      <w:r>
        <w:rPr>
          <w:rFonts w:hint="eastAsia" w:ascii="仿宋_GB2312" w:hAnsi="仿宋_GB2312" w:eastAsia="仿宋_GB2312" w:cs="仿宋_GB2312"/>
          <w:sz w:val="32"/>
          <w:szCs w:val="32"/>
          <w:shd w:val="clear"/>
        </w:rPr>
        <w:t>计，20</w:t>
      </w:r>
      <w:r>
        <w:rPr>
          <w:rFonts w:hint="eastAsia" w:ascii="仿宋_GB2312" w:hAnsi="仿宋_GB2312" w:eastAsia="仿宋_GB2312" w:cs="仿宋_GB2312"/>
          <w:sz w:val="32"/>
          <w:szCs w:val="32"/>
          <w:shd w:val="clear"/>
          <w:lang w:val="en-US" w:eastAsia="zh-CN"/>
        </w:rPr>
        <w:t>23</w:t>
      </w:r>
      <w:r>
        <w:rPr>
          <w:rFonts w:hint="eastAsia" w:ascii="仿宋_GB2312" w:hAnsi="仿宋_GB2312" w:eastAsia="仿宋_GB2312" w:cs="仿宋_GB2312"/>
          <w:sz w:val="32"/>
          <w:szCs w:val="32"/>
          <w:shd w:val="clear"/>
        </w:rPr>
        <w:t>年</w:t>
      </w:r>
      <w:r>
        <w:rPr>
          <w:rFonts w:hint="eastAsia" w:ascii="仿宋_GB2312" w:hAnsi="仿宋_GB2312" w:eastAsia="仿宋_GB2312" w:cs="仿宋_GB2312"/>
          <w:sz w:val="32"/>
          <w:szCs w:val="32"/>
          <w:shd w:val="clear"/>
          <w:lang w:eastAsia="zh-CN"/>
        </w:rPr>
        <w:t>区</w:t>
      </w:r>
      <w:r>
        <w:rPr>
          <w:rFonts w:hint="eastAsia" w:ascii="仿宋_GB2312" w:hAnsi="仿宋_GB2312" w:eastAsia="仿宋_GB2312" w:cs="仿宋_GB2312"/>
          <w:sz w:val="32"/>
          <w:szCs w:val="32"/>
          <w:shd w:val="clear"/>
        </w:rPr>
        <w:t>本级使用一般公共预算财政拨款开支运行维护费的公务用车保有量为</w:t>
      </w:r>
      <w:r>
        <w:rPr>
          <w:rFonts w:hint="eastAsia" w:ascii="仿宋_GB2312" w:hAnsi="仿宋_GB2312" w:eastAsia="仿宋_GB2312" w:cs="仿宋_GB2312"/>
          <w:sz w:val="32"/>
          <w:szCs w:val="32"/>
          <w:shd w:val="clear"/>
          <w:lang w:val="en-US" w:eastAsia="zh-CN"/>
        </w:rPr>
        <w:t>605</w:t>
      </w:r>
      <w:r>
        <w:rPr>
          <w:rFonts w:hint="eastAsia" w:ascii="仿宋_GB2312" w:hAnsi="仿宋_GB2312" w:eastAsia="仿宋_GB2312" w:cs="仿宋_GB2312"/>
          <w:sz w:val="32"/>
          <w:szCs w:val="32"/>
          <w:shd w:val="clear"/>
        </w:rPr>
        <w:t xml:space="preserve">辆。 </w:t>
      </w:r>
      <w:r>
        <w:rPr>
          <w:rFonts w:hint="eastAsia" w:ascii="仿宋_GB2312" w:hAnsi="仿宋_GB2312" w:eastAsia="仿宋_GB2312" w:cs="仿宋_GB2312"/>
          <w:sz w:val="32"/>
          <w:szCs w:val="32"/>
        </w:rPr>
        <w:t>3、公务接待费反映单位按规定开支的各类公务接待（含外宾接待）支出。据统计，</w:t>
      </w:r>
      <w:r>
        <w:rPr>
          <w:rFonts w:hint="eastAsia" w:ascii="仿宋_GB2312" w:hAnsi="仿宋_GB2312" w:eastAsia="仿宋_GB2312" w:cs="仿宋_GB2312"/>
          <w:sz w:val="32"/>
          <w:szCs w:val="32"/>
          <w:shd w:val="clear"/>
        </w:rPr>
        <w:t>20</w:t>
      </w:r>
      <w:r>
        <w:rPr>
          <w:rFonts w:hint="eastAsia" w:ascii="仿宋_GB2312" w:hAnsi="仿宋_GB2312" w:eastAsia="仿宋_GB2312" w:cs="仿宋_GB2312"/>
          <w:sz w:val="32"/>
          <w:szCs w:val="32"/>
          <w:shd w:val="clear"/>
          <w:lang w:val="en-US" w:eastAsia="zh-CN"/>
        </w:rPr>
        <w:t>23</w:t>
      </w:r>
      <w:r>
        <w:rPr>
          <w:rFonts w:hint="eastAsia" w:ascii="仿宋_GB2312" w:hAnsi="仿宋_GB2312" w:eastAsia="仿宋_GB2312" w:cs="仿宋_GB2312"/>
          <w:sz w:val="32"/>
          <w:szCs w:val="32"/>
          <w:shd w:val="clear"/>
        </w:rPr>
        <w:t>年</w:t>
      </w:r>
      <w:r>
        <w:rPr>
          <w:rFonts w:hint="eastAsia" w:ascii="仿宋_GB2312" w:hAnsi="仿宋_GB2312" w:eastAsia="仿宋_GB2312" w:cs="仿宋_GB2312"/>
          <w:sz w:val="32"/>
          <w:szCs w:val="32"/>
          <w:shd w:val="clear"/>
          <w:lang w:eastAsia="zh-CN"/>
        </w:rPr>
        <w:t>区</w:t>
      </w:r>
      <w:r>
        <w:rPr>
          <w:rFonts w:hint="eastAsia" w:ascii="仿宋_GB2312" w:hAnsi="仿宋_GB2312" w:eastAsia="仿宋_GB2312" w:cs="仿宋_GB2312"/>
          <w:sz w:val="32"/>
          <w:szCs w:val="32"/>
          <w:shd w:val="clear"/>
        </w:rPr>
        <w:t>本级公务接待批次与累计人次分别为</w:t>
      </w:r>
      <w:r>
        <w:rPr>
          <w:rFonts w:hint="eastAsia" w:ascii="仿宋_GB2312" w:hAnsi="仿宋_GB2312" w:eastAsia="仿宋_GB2312" w:cs="仿宋_GB2312"/>
          <w:sz w:val="32"/>
          <w:szCs w:val="32"/>
          <w:shd w:val="clear"/>
          <w:lang w:val="en-US" w:eastAsia="zh-CN"/>
        </w:rPr>
        <w:t>1205</w:t>
      </w:r>
      <w:r>
        <w:rPr>
          <w:rFonts w:hint="eastAsia" w:ascii="仿宋_GB2312" w:hAnsi="仿宋_GB2312" w:eastAsia="仿宋_GB2312" w:cs="仿宋_GB2312"/>
          <w:sz w:val="32"/>
          <w:szCs w:val="32"/>
          <w:shd w:val="clear"/>
        </w:rPr>
        <w:t>批次、</w:t>
      </w:r>
      <w:r>
        <w:rPr>
          <w:rFonts w:hint="eastAsia" w:ascii="仿宋_GB2312" w:hAnsi="仿宋_GB2312" w:eastAsia="仿宋_GB2312" w:cs="仿宋_GB2312"/>
          <w:sz w:val="32"/>
          <w:szCs w:val="32"/>
          <w:shd w:val="clear"/>
          <w:lang w:val="en-US" w:eastAsia="zh-CN"/>
        </w:rPr>
        <w:t>10905</w:t>
      </w:r>
      <w:r>
        <w:rPr>
          <w:rFonts w:hint="eastAsia" w:ascii="仿宋_GB2312" w:hAnsi="仿宋_GB2312" w:eastAsia="仿宋_GB2312" w:cs="仿宋_GB2312"/>
          <w:sz w:val="32"/>
          <w:szCs w:val="32"/>
          <w:shd w:val="clear"/>
        </w:rPr>
        <w:t>人次。</w:t>
      </w:r>
    </w:p>
    <w:p>
      <w:pPr>
        <w:jc w:val="both"/>
        <w:rPr>
          <w:rFonts w:hint="eastAsia" w:ascii="仿宋_GB2312" w:hAnsi="仿宋_GB2312" w:eastAsia="仿宋_GB2312" w:cs="仿宋_GB2312"/>
          <w:sz w:val="24"/>
          <w:szCs w:val="24"/>
          <w:highlight w:val="none"/>
          <w:lang w:val="en-US" w:eastAsia="zh-CN"/>
        </w:rPr>
      </w:pPr>
    </w:p>
    <w:p>
      <w:pPr>
        <w:jc w:val="both"/>
        <w:rPr>
          <w:rFonts w:hint="default" w:ascii="仿宋_GB2312" w:hAnsi="仿宋_GB2312" w:eastAsia="仿宋_GB2312" w:cs="仿宋_GB2312"/>
          <w:sz w:val="24"/>
          <w:szCs w:val="24"/>
          <w:highlight w:val="none"/>
          <w:lang w:val="en-US" w:eastAsia="zh-CN"/>
        </w:rPr>
      </w:pPr>
    </w:p>
    <w:p>
      <w:pPr>
        <w:jc w:val="both"/>
        <w:rPr>
          <w:rFonts w:hint="default" w:ascii="仿宋_GB2312" w:hAnsi="仿宋_GB2312" w:eastAsia="仿宋_GB2312" w:cs="仿宋_GB2312"/>
          <w:sz w:val="24"/>
          <w:szCs w:val="24"/>
          <w:highlight w:val="none"/>
          <w:lang w:val="en-US" w:eastAsia="zh-CN"/>
        </w:rPr>
      </w:pPr>
    </w:p>
    <w:p>
      <w:pPr>
        <w:jc w:val="both"/>
        <w:rPr>
          <w:rFonts w:hint="default" w:ascii="仿宋_GB2312" w:hAnsi="仿宋_GB2312" w:eastAsia="仿宋_GB2312" w:cs="仿宋_GB2312"/>
          <w:sz w:val="24"/>
          <w:szCs w:val="24"/>
          <w:highlight w:val="none"/>
          <w:lang w:val="en-US" w:eastAsia="zh-CN"/>
        </w:rPr>
      </w:pPr>
    </w:p>
    <w:p>
      <w:pPr>
        <w:jc w:val="both"/>
        <w:rPr>
          <w:rFonts w:hint="default" w:ascii="仿宋_GB2312" w:hAnsi="仿宋_GB2312" w:eastAsia="仿宋_GB2312" w:cs="仿宋_GB2312"/>
          <w:sz w:val="24"/>
          <w:szCs w:val="24"/>
          <w:highlight w:val="none"/>
          <w:lang w:val="en-US" w:eastAsia="zh-CN"/>
        </w:rPr>
      </w:pPr>
    </w:p>
    <w:p>
      <w:pPr>
        <w:jc w:val="both"/>
        <w:rPr>
          <w:rFonts w:hint="default" w:ascii="仿宋_GB2312" w:hAnsi="仿宋_GB2312" w:eastAsia="仿宋_GB2312" w:cs="仿宋_GB2312"/>
          <w:sz w:val="24"/>
          <w:szCs w:val="24"/>
          <w:highlight w:val="none"/>
          <w:lang w:val="en-US" w:eastAsia="zh-CN"/>
        </w:rPr>
      </w:pPr>
    </w:p>
    <w:p>
      <w:pPr>
        <w:jc w:val="both"/>
        <w:rPr>
          <w:rFonts w:hint="default" w:ascii="仿宋_GB2312" w:hAnsi="仿宋_GB2312" w:eastAsia="仿宋_GB2312" w:cs="仿宋_GB2312"/>
          <w:sz w:val="24"/>
          <w:szCs w:val="24"/>
          <w:highlight w:val="none"/>
          <w:lang w:val="en-US" w:eastAsia="zh-CN"/>
        </w:rPr>
      </w:pPr>
    </w:p>
    <w:p>
      <w:pPr>
        <w:jc w:val="both"/>
        <w:rPr>
          <w:rFonts w:hint="default" w:ascii="仿宋_GB2312" w:hAnsi="仿宋_GB2312" w:eastAsia="仿宋_GB2312" w:cs="仿宋_GB2312"/>
          <w:sz w:val="24"/>
          <w:szCs w:val="24"/>
          <w:highlight w:val="none"/>
          <w:lang w:val="en-US" w:eastAsia="zh-CN"/>
        </w:rPr>
      </w:pPr>
    </w:p>
    <w:p>
      <w:pPr>
        <w:jc w:val="both"/>
        <w:rPr>
          <w:rFonts w:hint="default" w:ascii="仿宋_GB2312" w:hAnsi="仿宋_GB2312" w:eastAsia="仿宋_GB2312" w:cs="仿宋_GB2312"/>
          <w:sz w:val="24"/>
          <w:szCs w:val="24"/>
          <w:highlight w:val="none"/>
          <w:lang w:val="en-US" w:eastAsia="zh-CN"/>
        </w:rPr>
      </w:pPr>
    </w:p>
    <w:p>
      <w:pPr>
        <w:jc w:val="both"/>
        <w:rPr>
          <w:rFonts w:hint="default" w:ascii="仿宋_GB2312" w:hAnsi="仿宋_GB2312" w:eastAsia="仿宋_GB2312" w:cs="仿宋_GB2312"/>
          <w:sz w:val="24"/>
          <w:szCs w:val="24"/>
          <w:highlight w:val="none"/>
          <w:lang w:val="en-US" w:eastAsia="zh-CN"/>
        </w:rPr>
      </w:pPr>
    </w:p>
    <w:p>
      <w:pPr>
        <w:jc w:val="both"/>
        <w:rPr>
          <w:rFonts w:hint="default" w:ascii="仿宋_GB2312" w:hAnsi="仿宋_GB2312" w:eastAsia="仿宋_GB2312" w:cs="仿宋_GB2312"/>
          <w:sz w:val="24"/>
          <w:szCs w:val="24"/>
          <w:highlight w:val="none"/>
          <w:lang w:val="en-US" w:eastAsia="zh-CN"/>
        </w:rPr>
      </w:pPr>
    </w:p>
    <w:p>
      <w:pPr>
        <w:jc w:val="both"/>
        <w:rPr>
          <w:rFonts w:hint="default" w:ascii="仿宋_GB2312" w:hAnsi="仿宋_GB2312" w:eastAsia="仿宋_GB2312" w:cs="仿宋_GB2312"/>
          <w:sz w:val="24"/>
          <w:szCs w:val="24"/>
          <w:highlight w:val="none"/>
          <w:lang w:val="en-US" w:eastAsia="zh-CN"/>
        </w:rPr>
      </w:pPr>
    </w:p>
    <w:p>
      <w:pPr>
        <w:jc w:val="both"/>
        <w:rPr>
          <w:rFonts w:hint="default" w:ascii="仿宋_GB2312" w:hAnsi="仿宋_GB2312" w:eastAsia="仿宋_GB2312" w:cs="仿宋_GB2312"/>
          <w:sz w:val="24"/>
          <w:szCs w:val="24"/>
          <w:highlight w:val="none"/>
          <w:lang w:val="en-US" w:eastAsia="zh-CN"/>
        </w:rPr>
      </w:pPr>
    </w:p>
    <w:p>
      <w:pPr>
        <w:jc w:val="both"/>
        <w:rPr>
          <w:rFonts w:hint="default" w:ascii="仿宋_GB2312" w:hAnsi="仿宋_GB2312" w:eastAsia="仿宋_GB2312" w:cs="仿宋_GB2312"/>
          <w:sz w:val="24"/>
          <w:szCs w:val="24"/>
          <w:highlight w:val="none"/>
          <w:lang w:val="en-US" w:eastAsia="zh-CN"/>
        </w:rPr>
      </w:pPr>
    </w:p>
    <w:p>
      <w:pPr>
        <w:jc w:val="both"/>
        <w:rPr>
          <w:rFonts w:hint="default" w:ascii="仿宋_GB2312" w:hAnsi="仿宋_GB2312" w:eastAsia="仿宋_GB2312" w:cs="仿宋_GB2312"/>
          <w:sz w:val="24"/>
          <w:szCs w:val="24"/>
          <w:highlight w:val="none"/>
          <w:lang w:val="en-US" w:eastAsia="zh-CN"/>
        </w:rPr>
      </w:pPr>
    </w:p>
    <w:p>
      <w:pPr>
        <w:jc w:val="both"/>
        <w:rPr>
          <w:rFonts w:hint="default" w:ascii="仿宋_GB2312" w:hAnsi="仿宋_GB2312" w:eastAsia="仿宋_GB2312" w:cs="仿宋_GB2312"/>
          <w:sz w:val="24"/>
          <w:szCs w:val="24"/>
          <w:highlight w:val="none"/>
          <w:lang w:val="en-US" w:eastAsia="zh-CN"/>
        </w:rPr>
      </w:pPr>
    </w:p>
    <w:p>
      <w:pPr>
        <w:jc w:val="both"/>
        <w:rPr>
          <w:rFonts w:hint="default" w:ascii="仿宋_GB2312" w:hAnsi="仿宋_GB2312" w:eastAsia="仿宋_GB2312" w:cs="仿宋_GB2312"/>
          <w:sz w:val="24"/>
          <w:szCs w:val="24"/>
          <w:highlight w:val="none"/>
          <w:lang w:val="en-US" w:eastAsia="zh-CN"/>
        </w:rPr>
      </w:pPr>
    </w:p>
    <w:p>
      <w:pPr>
        <w:jc w:val="both"/>
        <w:rPr>
          <w:rFonts w:hint="default" w:ascii="仿宋_GB2312" w:hAnsi="仿宋_GB2312" w:eastAsia="仿宋_GB2312" w:cs="仿宋_GB2312"/>
          <w:sz w:val="24"/>
          <w:szCs w:val="24"/>
          <w:highlight w:val="none"/>
          <w:lang w:val="en-US" w:eastAsia="zh-CN"/>
        </w:rPr>
      </w:pPr>
    </w:p>
    <w:p>
      <w:pPr>
        <w:jc w:val="both"/>
        <w:rPr>
          <w:rFonts w:hint="default" w:ascii="仿宋_GB2312" w:hAnsi="仿宋_GB2312" w:eastAsia="仿宋_GB2312" w:cs="仿宋_GB2312"/>
          <w:sz w:val="24"/>
          <w:szCs w:val="24"/>
          <w:highlight w:val="none"/>
          <w:lang w:val="en-US" w:eastAsia="zh-CN"/>
        </w:rPr>
      </w:pPr>
    </w:p>
    <w:p>
      <w:pPr>
        <w:jc w:val="both"/>
        <w:rPr>
          <w:rFonts w:hint="default" w:ascii="仿宋_GB2312" w:hAnsi="仿宋_GB2312" w:eastAsia="仿宋_GB2312" w:cs="仿宋_GB2312"/>
          <w:sz w:val="24"/>
          <w:szCs w:val="24"/>
          <w:highlight w:val="none"/>
          <w:lang w:val="en-US" w:eastAsia="zh-CN"/>
        </w:rPr>
      </w:pPr>
    </w:p>
    <w:p>
      <w:pPr>
        <w:jc w:val="both"/>
        <w:rPr>
          <w:rFonts w:hint="default" w:ascii="仿宋_GB2312" w:hAnsi="仿宋_GB2312" w:eastAsia="仿宋_GB2312" w:cs="仿宋_GB2312"/>
          <w:sz w:val="24"/>
          <w:szCs w:val="24"/>
          <w:highlight w:val="none"/>
          <w:lang w:val="en-US" w:eastAsia="zh-CN"/>
        </w:rPr>
      </w:pPr>
    </w:p>
    <w:p>
      <w:pPr>
        <w:jc w:val="both"/>
        <w:rPr>
          <w:rFonts w:hint="default" w:ascii="仿宋_GB2312" w:hAnsi="仿宋_GB2312" w:eastAsia="仿宋_GB2312" w:cs="仿宋_GB2312"/>
          <w:sz w:val="24"/>
          <w:szCs w:val="24"/>
          <w:highlight w:val="none"/>
          <w:lang w:val="en-US" w:eastAsia="zh-CN"/>
        </w:rPr>
      </w:pPr>
    </w:p>
    <w:p>
      <w:pPr>
        <w:jc w:val="both"/>
        <w:rPr>
          <w:rFonts w:hint="default" w:ascii="仿宋_GB2312" w:hAnsi="仿宋_GB2312" w:eastAsia="仿宋_GB2312" w:cs="仿宋_GB2312"/>
          <w:sz w:val="24"/>
          <w:szCs w:val="24"/>
          <w:highlight w:val="none"/>
          <w:lang w:val="en-US" w:eastAsia="zh-CN"/>
        </w:rPr>
      </w:pPr>
    </w:p>
    <w:p>
      <w:pPr>
        <w:jc w:val="both"/>
        <w:rPr>
          <w:rFonts w:hint="default" w:ascii="仿宋_GB2312" w:hAnsi="仿宋_GB2312" w:eastAsia="仿宋_GB2312" w:cs="仿宋_GB2312"/>
          <w:sz w:val="24"/>
          <w:szCs w:val="24"/>
          <w:highlight w:val="none"/>
          <w:lang w:val="en-US" w:eastAsia="zh-CN"/>
        </w:rPr>
      </w:pPr>
    </w:p>
    <w:p>
      <w:pPr>
        <w:jc w:val="both"/>
        <w:rPr>
          <w:rFonts w:hint="default" w:ascii="仿宋_GB2312" w:hAnsi="仿宋_GB2312" w:eastAsia="仿宋_GB2312" w:cs="仿宋_GB2312"/>
          <w:sz w:val="24"/>
          <w:szCs w:val="24"/>
          <w:highlight w:val="none"/>
          <w:lang w:val="en-US" w:eastAsia="zh-CN"/>
        </w:rPr>
      </w:pPr>
    </w:p>
    <w:p>
      <w:pPr>
        <w:jc w:val="both"/>
        <w:rPr>
          <w:rFonts w:hint="default" w:ascii="仿宋_GB2312" w:hAnsi="仿宋_GB2312" w:eastAsia="仿宋_GB2312" w:cs="仿宋_GB2312"/>
          <w:sz w:val="24"/>
          <w:szCs w:val="24"/>
          <w:highlight w:val="none"/>
          <w:lang w:val="en-US" w:eastAsia="zh-CN"/>
        </w:rPr>
      </w:pPr>
    </w:p>
    <w:p>
      <w:pPr>
        <w:jc w:val="both"/>
        <w:rPr>
          <w:rFonts w:hint="eastAsia" w:ascii="仿宋_GB2312" w:hAnsi="仿宋_GB2312" w:eastAsia="仿宋_GB2312" w:cs="仿宋_GB2312"/>
          <w:sz w:val="24"/>
          <w:szCs w:val="24"/>
          <w:highlight w:val="none"/>
          <w:lang w:val="en-US" w:eastAsia="zh-CN"/>
        </w:rPr>
      </w:pPr>
    </w:p>
    <w:p>
      <w:pPr>
        <w:jc w:val="both"/>
        <w:rPr>
          <w:rFonts w:hint="eastAsia" w:ascii="仿宋_GB2312" w:hAnsi="仿宋_GB2312" w:eastAsia="仿宋_GB2312" w:cs="仿宋_GB2312"/>
          <w:sz w:val="24"/>
          <w:szCs w:val="24"/>
          <w:highlight w:val="none"/>
          <w:lang w:val="en-US" w:eastAsia="zh-CN"/>
        </w:rPr>
      </w:pPr>
    </w:p>
    <w:p>
      <w:pPr>
        <w:jc w:val="both"/>
        <w:rPr>
          <w:rFonts w:hint="eastAsia" w:ascii="仿宋_GB2312" w:hAnsi="仿宋_GB2312" w:eastAsia="仿宋_GB2312" w:cs="仿宋_GB2312"/>
          <w:sz w:val="24"/>
          <w:szCs w:val="24"/>
          <w:highlight w:val="none"/>
          <w:lang w:val="en-US" w:eastAsia="zh-CN"/>
        </w:rPr>
      </w:pPr>
    </w:p>
    <w:p>
      <w:pPr>
        <w:jc w:val="both"/>
        <w:rPr>
          <w:rFonts w:hint="eastAsia" w:ascii="仿宋_GB2312" w:hAnsi="仿宋_GB2312" w:eastAsia="仿宋_GB2312" w:cs="仿宋_GB2312"/>
          <w:sz w:val="24"/>
          <w:szCs w:val="24"/>
          <w:highlight w:val="none"/>
          <w:lang w:val="en-US" w:eastAsia="zh-CN"/>
        </w:rPr>
      </w:pPr>
      <w:r>
        <w:rPr>
          <w:rFonts w:hint="eastAsia" w:ascii="仿宋_GB2312" w:hAnsi="仿宋_GB2312" w:eastAsia="仿宋_GB2312" w:cs="仿宋_GB2312"/>
          <w:sz w:val="24"/>
          <w:szCs w:val="24"/>
          <w:highlight w:val="none"/>
          <w:lang w:val="en-US" w:eastAsia="zh-CN"/>
        </w:rPr>
        <w:br w:type="textWrapping"/>
      </w:r>
    </w:p>
    <w:p>
      <w:pPr>
        <w:jc w:val="both"/>
        <w:rPr>
          <w:rFonts w:hint="eastAsia" w:ascii="仿宋_GB2312" w:hAnsi="仿宋_GB2312" w:eastAsia="仿宋_GB2312" w:cs="仿宋_GB2312"/>
          <w:sz w:val="24"/>
          <w:szCs w:val="24"/>
          <w:highlight w:val="none"/>
          <w:lang w:val="en-US" w:eastAsia="zh-CN"/>
        </w:rPr>
      </w:pPr>
    </w:p>
    <w:p>
      <w:pPr>
        <w:pStyle w:val="2"/>
        <w:rPr>
          <w:rFonts w:hint="eastAsia"/>
          <w:lang w:val="en-US" w:eastAsia="zh-CN"/>
        </w:rPr>
      </w:pPr>
    </w:p>
    <w:p>
      <w:pPr>
        <w:jc w:val="both"/>
        <w:rPr>
          <w:rFonts w:hint="eastAsia" w:ascii="仿宋_GB2312" w:hAnsi="仿宋_GB2312" w:eastAsia="仿宋_GB2312" w:cs="仿宋_GB2312"/>
          <w:sz w:val="24"/>
          <w:szCs w:val="24"/>
          <w:highlight w:val="none"/>
          <w:lang w:val="en-US" w:eastAsia="zh-CN"/>
        </w:rPr>
      </w:pPr>
    </w:p>
    <w:p>
      <w:pPr>
        <w:jc w:val="both"/>
        <w:rPr>
          <w:rFonts w:hint="eastAsia" w:ascii="仿宋_GB2312" w:hAnsi="仿宋_GB2312" w:eastAsia="仿宋_GB2312" w:cs="仿宋_GB2312"/>
          <w:sz w:val="24"/>
          <w:szCs w:val="24"/>
          <w:highlight w:val="none"/>
          <w:lang w:val="en-US" w:eastAsia="zh-CN"/>
        </w:rPr>
      </w:pPr>
    </w:p>
    <w:p>
      <w:pPr>
        <w:jc w:val="both"/>
        <w:rPr>
          <w:rFonts w:hint="eastAsia" w:ascii="仿宋_GB2312" w:hAnsi="仿宋_GB2312" w:eastAsia="仿宋_GB2312" w:cs="仿宋_GB2312"/>
          <w:b/>
          <w:bCs/>
          <w:sz w:val="24"/>
          <w:szCs w:val="24"/>
          <w:highlight w:val="none"/>
          <w:lang w:val="en-US" w:eastAsia="zh-CN"/>
        </w:rPr>
      </w:pPr>
      <w:r>
        <w:rPr>
          <w:rFonts w:hint="eastAsia" w:ascii="仿宋_GB2312" w:hAnsi="仿宋_GB2312" w:eastAsia="仿宋_GB2312" w:cs="仿宋_GB2312"/>
          <w:b/>
          <w:bCs/>
          <w:sz w:val="24"/>
          <w:szCs w:val="24"/>
          <w:highlight w:val="none"/>
          <w:lang w:val="en-US" w:eastAsia="zh-CN"/>
        </w:rPr>
        <w:t>附件5</w:t>
      </w:r>
    </w:p>
    <w:p>
      <w:pPr>
        <w:pStyle w:val="2"/>
        <w:rPr>
          <w:rFonts w:hint="eastAsia"/>
          <w:lang w:val="en-US" w:eastAsia="zh-CN"/>
        </w:rPr>
      </w:pPr>
    </w:p>
    <w:p>
      <w:pPr>
        <w:spacing w:line="700" w:lineRule="exact"/>
        <w:jc w:val="center"/>
        <w:rPr>
          <w:rFonts w:ascii="方正小标宋简体" w:eastAsia="方正小标宋简体"/>
          <w:sz w:val="44"/>
          <w:szCs w:val="44"/>
          <w:highlight w:val="none"/>
        </w:rPr>
      </w:pPr>
      <w:r>
        <w:rPr>
          <w:rFonts w:hint="eastAsia" w:ascii="方正小标宋简体" w:eastAsia="方正小标宋简体"/>
          <w:sz w:val="44"/>
          <w:szCs w:val="44"/>
          <w:highlight w:val="none"/>
        </w:rPr>
        <w:t>20</w:t>
      </w:r>
      <w:r>
        <w:rPr>
          <w:rFonts w:hint="eastAsia" w:ascii="方正小标宋简体" w:eastAsia="方正小标宋简体"/>
          <w:sz w:val="44"/>
          <w:szCs w:val="44"/>
          <w:highlight w:val="none"/>
          <w:lang w:val="en-US" w:eastAsia="zh-CN"/>
        </w:rPr>
        <w:t>23</w:t>
      </w:r>
      <w:r>
        <w:rPr>
          <w:rFonts w:hint="eastAsia" w:ascii="方正小标宋简体" w:eastAsia="方正小标宋简体"/>
          <w:sz w:val="44"/>
          <w:szCs w:val="44"/>
          <w:highlight w:val="none"/>
        </w:rPr>
        <w:t>年预算绩效工作开展情况说明</w:t>
      </w:r>
    </w:p>
    <w:p>
      <w:pPr>
        <w:spacing w:line="560" w:lineRule="exact"/>
        <w:rPr>
          <w:rFonts w:hint="eastAsia" w:ascii="Times New Roman" w:hAnsi="Times New Roman" w:eastAsia="仿宋_GB2312"/>
          <w:sz w:val="32"/>
          <w:szCs w:val="32"/>
        </w:rPr>
      </w:pPr>
    </w:p>
    <w:p>
      <w:pPr>
        <w:pStyle w:val="57"/>
        <w:keepNext w:val="0"/>
        <w:keepLines w:val="0"/>
        <w:pageBreakBefore w:val="0"/>
        <w:widowControl/>
        <w:numPr>
          <w:ilvl w:val="0"/>
          <w:numId w:val="0"/>
        </w:numPr>
        <w:kinsoku/>
        <w:wordWrap/>
        <w:overflowPunct/>
        <w:topLinePunct w:val="0"/>
        <w:autoSpaceDE/>
        <w:autoSpaceDN/>
        <w:bidi w:val="0"/>
        <w:adjustRightInd/>
        <w:snapToGrid/>
        <w:spacing w:after="0" w:line="560" w:lineRule="exact"/>
        <w:ind w:left="0" w:leftChars="0" w:firstLine="640" w:firstLineChars="200"/>
        <w:textAlignment w:val="auto"/>
        <w:rPr>
          <w:rFonts w:hint="eastAsia" w:ascii="Times New Roman" w:hAnsi="Times New Roman" w:eastAsia="仿宋_GB2312" w:cs="Times New Roman"/>
          <w:color w:val="auto"/>
          <w:spacing w:val="0"/>
          <w:kern w:val="2"/>
          <w:sz w:val="32"/>
          <w:szCs w:val="32"/>
          <w:lang w:val="en-US" w:eastAsia="zh-CN" w:bidi="ar-SA"/>
        </w:rPr>
      </w:pPr>
      <w:r>
        <w:rPr>
          <w:rFonts w:hint="eastAsia" w:ascii="黑体" w:hAnsi="黑体" w:eastAsia="黑体" w:cs="仿宋_GB2312"/>
          <w:color w:val="auto"/>
          <w:spacing w:val="0"/>
          <w:kern w:val="2"/>
          <w:sz w:val="32"/>
          <w:szCs w:val="32"/>
          <w:lang w:val="en-US" w:eastAsia="zh-CN" w:bidi="ar-SA"/>
        </w:rPr>
        <w:t>一、扎实开展事前绩效评估，打造独具特色的评估新模式。</w:t>
      </w:r>
      <w:r>
        <w:rPr>
          <w:rFonts w:hint="eastAsia" w:ascii="Times New Roman" w:hAnsi="Times New Roman" w:eastAsia="仿宋_GB2312" w:cs="Times New Roman"/>
          <w:color w:val="auto"/>
          <w:spacing w:val="0"/>
          <w:kern w:val="2"/>
          <w:sz w:val="32"/>
          <w:szCs w:val="32"/>
          <w:lang w:val="en-US" w:eastAsia="zh-CN" w:bidi="ar-SA"/>
        </w:rPr>
        <w:t>通过完善事前评估制度、构建事前评估机制、创新事前评估方法，对所有新增政策项目开展事前绩效评估，为加强预算管理、提高财政资金使用效益把好第一关。2023年度预算申报中，共评估审核项目311个，其中建议调整后支持的147个，建议不予支持的140个，共涉及金额16.34亿元，审减13.71亿，审减率83.91%。2023年3-4月，区财政局对2023年拟出台的工业和信息化、服务业发展、科技创新、品牌战略、英才计划、军民融合发展、招商引资、租赁型企业职工公寓等八项惠企政策进行了事前绩效评估，共计174条分项条款，其中有104项政策条款建议予以支持，有59项政策条款建议调整后予以支持，有11项政策条款建议取消，充分发挥财政资金使用效益，促进企业高质量发展。</w:t>
      </w:r>
    </w:p>
    <w:p>
      <w:pPr>
        <w:pStyle w:val="57"/>
        <w:keepNext w:val="0"/>
        <w:keepLines w:val="0"/>
        <w:pageBreakBefore w:val="0"/>
        <w:widowControl/>
        <w:numPr>
          <w:ilvl w:val="0"/>
          <w:numId w:val="0"/>
        </w:numPr>
        <w:kinsoku/>
        <w:wordWrap/>
        <w:overflowPunct/>
        <w:topLinePunct w:val="0"/>
        <w:autoSpaceDE/>
        <w:autoSpaceDN/>
        <w:bidi w:val="0"/>
        <w:adjustRightInd/>
        <w:snapToGrid/>
        <w:spacing w:after="0" w:line="560" w:lineRule="exact"/>
        <w:ind w:left="0" w:leftChars="0" w:firstLine="640" w:firstLineChars="200"/>
        <w:textAlignment w:val="auto"/>
        <w:rPr>
          <w:rFonts w:hint="eastAsia" w:ascii="Times New Roman" w:hAnsi="Times New Roman" w:eastAsia="仿宋_GB2312" w:cs="Times New Roman"/>
          <w:color w:val="auto"/>
          <w:spacing w:val="0"/>
          <w:kern w:val="2"/>
          <w:sz w:val="32"/>
          <w:szCs w:val="32"/>
          <w:lang w:val="en-US" w:eastAsia="zh-CN" w:bidi="ar-SA"/>
        </w:rPr>
      </w:pPr>
      <w:r>
        <w:rPr>
          <w:rFonts w:hint="eastAsia" w:ascii="黑体" w:hAnsi="黑体" w:eastAsia="黑体" w:cs="仿宋_GB2312"/>
          <w:color w:val="auto"/>
          <w:spacing w:val="0"/>
          <w:kern w:val="2"/>
          <w:sz w:val="32"/>
          <w:szCs w:val="32"/>
          <w:lang w:val="en-US" w:eastAsia="zh-CN" w:bidi="ar-SA"/>
        </w:rPr>
        <w:t>二、严把绩效目标审核关，提升绩效管理水平。</w:t>
      </w:r>
      <w:r>
        <w:rPr>
          <w:rFonts w:hint="eastAsia" w:ascii="Times New Roman" w:hAnsi="Times New Roman" w:eastAsia="仿宋_GB2312" w:cs="Times New Roman"/>
          <w:color w:val="auto"/>
          <w:spacing w:val="0"/>
          <w:kern w:val="2"/>
          <w:sz w:val="32"/>
          <w:szCs w:val="32"/>
          <w:lang w:val="en-US" w:eastAsia="zh-CN" w:bidi="ar-SA"/>
        </w:rPr>
        <w:t>按照“谁申请资金，谁设定目标”的原则，我们编制了2023年绩效目标编报手册、填报说明、预算绩效目标表模板，实行预算单位填报、业务科室初审、绩效科复审的工作制度，细化量化绩效目标，提升绩效目标的科学性、合理性，通过电话、网上交流、现场指导等方式进行沟通，对绩效目标填报内容逐项核对修改，应审尽审。今年1月以来，组织各部门开展2023年度预算项目绩效目标填报工作，对994个项目的绩效目标进行审核，退回修改项目绩效目标294个，绩效目标质量得到大幅提升，覆盖率达到100%。同时推进绩效目标信息与预算同步批复、下达、公开，主动接受社会和公众监督，进一步增强财政资金使用透明度。</w:t>
      </w:r>
    </w:p>
    <w:p>
      <w:pPr>
        <w:pStyle w:val="57"/>
        <w:keepNext w:val="0"/>
        <w:keepLines w:val="0"/>
        <w:pageBreakBefore w:val="0"/>
        <w:widowControl/>
        <w:numPr>
          <w:ilvl w:val="0"/>
          <w:numId w:val="0"/>
        </w:numPr>
        <w:kinsoku/>
        <w:wordWrap/>
        <w:overflowPunct/>
        <w:topLinePunct w:val="0"/>
        <w:autoSpaceDE/>
        <w:autoSpaceDN/>
        <w:bidi w:val="0"/>
        <w:adjustRightInd/>
        <w:snapToGrid/>
        <w:spacing w:after="0" w:line="560" w:lineRule="exact"/>
        <w:ind w:left="0" w:leftChars="0" w:firstLine="640" w:firstLineChars="200"/>
        <w:textAlignment w:val="auto"/>
        <w:rPr>
          <w:rFonts w:hint="eastAsia" w:ascii="Times New Roman" w:hAnsi="Times New Roman" w:eastAsia="仿宋_GB2312" w:cs="Times New Roman"/>
          <w:color w:val="auto"/>
          <w:spacing w:val="0"/>
          <w:kern w:val="2"/>
          <w:sz w:val="32"/>
          <w:szCs w:val="32"/>
          <w:lang w:val="en-US" w:eastAsia="zh-CN" w:bidi="ar-SA"/>
        </w:rPr>
      </w:pPr>
      <w:r>
        <w:rPr>
          <w:rFonts w:hint="eastAsia" w:ascii="黑体" w:hAnsi="黑体" w:eastAsia="黑体" w:cs="仿宋_GB2312"/>
          <w:color w:val="auto"/>
          <w:spacing w:val="0"/>
          <w:kern w:val="2"/>
          <w:sz w:val="32"/>
          <w:szCs w:val="32"/>
          <w:lang w:val="en-US" w:eastAsia="zh-CN" w:bidi="ar-SA"/>
        </w:rPr>
        <w:t>三、督导预算单位开展2022年度部门预算项目绩效自评工作，提升项目绩效自评质量。</w:t>
      </w:r>
      <w:r>
        <w:rPr>
          <w:rFonts w:hint="eastAsia" w:ascii="Times New Roman" w:hAnsi="Times New Roman" w:eastAsia="仿宋_GB2312" w:cs="Times New Roman"/>
          <w:color w:val="auto"/>
          <w:spacing w:val="0"/>
          <w:kern w:val="2"/>
          <w:sz w:val="32"/>
          <w:szCs w:val="32"/>
          <w:lang w:val="en-US" w:eastAsia="zh-CN" w:bidi="ar-SA"/>
        </w:rPr>
        <w:t>按照“谁支出、谁自评”的要求，通过设置绩效自评表、绩效报告模板，要求所有区直部门对2022年度718个预算项目全面开展绩效自评，单位绩效自评情况作为年度考核与预算安排的重要依据。收集、整理、审核各单位项目绩效自评表与自评报告，对不符合要求的单位提出整改要求并限期改正，确保绩效自评资料准确合规，项目绩效自评覆盖率达100%。</w:t>
      </w:r>
    </w:p>
    <w:p>
      <w:pPr>
        <w:pStyle w:val="57"/>
        <w:keepNext w:val="0"/>
        <w:keepLines w:val="0"/>
        <w:pageBreakBefore w:val="0"/>
        <w:widowControl/>
        <w:numPr>
          <w:ilvl w:val="0"/>
          <w:numId w:val="0"/>
        </w:numPr>
        <w:kinsoku/>
        <w:wordWrap/>
        <w:overflowPunct/>
        <w:topLinePunct w:val="0"/>
        <w:autoSpaceDE/>
        <w:autoSpaceDN/>
        <w:bidi w:val="0"/>
        <w:adjustRightInd/>
        <w:snapToGrid/>
        <w:spacing w:after="0" w:line="560" w:lineRule="exact"/>
        <w:ind w:left="0" w:leftChars="0" w:firstLine="640" w:firstLineChars="200"/>
        <w:textAlignment w:val="auto"/>
        <w:rPr>
          <w:rFonts w:hint="eastAsia" w:ascii="Times New Roman" w:hAnsi="Times New Roman" w:eastAsia="仿宋_GB2312" w:cs="Times New Roman"/>
          <w:color w:val="auto"/>
          <w:spacing w:val="0"/>
          <w:kern w:val="2"/>
          <w:sz w:val="32"/>
          <w:szCs w:val="32"/>
          <w:lang w:val="en-US" w:eastAsia="zh-CN" w:bidi="ar-SA"/>
        </w:rPr>
      </w:pPr>
      <w:r>
        <w:rPr>
          <w:rFonts w:hint="eastAsia" w:ascii="黑体" w:hAnsi="黑体" w:eastAsia="黑体" w:cs="仿宋_GB2312"/>
          <w:color w:val="auto"/>
          <w:spacing w:val="0"/>
          <w:kern w:val="2"/>
          <w:sz w:val="32"/>
          <w:szCs w:val="32"/>
          <w:lang w:val="en-US" w:eastAsia="zh-CN" w:bidi="ar-SA"/>
        </w:rPr>
        <w:t>四、全面推进部门整体绩效管理，开展2022年部门整体绩效重点评价。</w:t>
      </w:r>
      <w:r>
        <w:rPr>
          <w:rFonts w:hint="eastAsia" w:ascii="Times New Roman" w:hAnsi="Times New Roman" w:eastAsia="仿宋_GB2312" w:cs="Times New Roman"/>
          <w:color w:val="auto"/>
          <w:spacing w:val="0"/>
          <w:kern w:val="2"/>
          <w:sz w:val="32"/>
          <w:szCs w:val="32"/>
          <w:lang w:val="en-US" w:eastAsia="zh-CN" w:bidi="ar-SA"/>
        </w:rPr>
        <w:t>将部门整体绩效管理范围扩展到全部区直部门，完成所有区直部门2023年部门整体绩效目标表的编制，并选取10个部门开展2022年度整体绩效重点评价，从运行成本、管理效率、履职效能、社会效应和服务对象满意度等方面入手，综合衡量部门和单位整体及核心业务实施效果，利用预算约束，强化结果应用，部门整体绩效管理覆盖率达100%。</w:t>
      </w:r>
    </w:p>
    <w:p>
      <w:pPr>
        <w:pStyle w:val="57"/>
        <w:keepNext w:val="0"/>
        <w:keepLines w:val="0"/>
        <w:pageBreakBefore w:val="0"/>
        <w:widowControl/>
        <w:numPr>
          <w:ilvl w:val="0"/>
          <w:numId w:val="0"/>
        </w:numPr>
        <w:kinsoku/>
        <w:wordWrap/>
        <w:overflowPunct/>
        <w:topLinePunct w:val="0"/>
        <w:autoSpaceDE/>
        <w:autoSpaceDN/>
        <w:bidi w:val="0"/>
        <w:adjustRightInd/>
        <w:snapToGrid/>
        <w:spacing w:after="0" w:line="560" w:lineRule="exact"/>
        <w:ind w:left="0" w:leftChars="0" w:firstLine="640" w:firstLineChars="200"/>
        <w:textAlignment w:val="auto"/>
        <w:rPr>
          <w:rFonts w:hint="eastAsia" w:ascii="Times New Roman" w:hAnsi="Times New Roman" w:eastAsia="仿宋_GB2312" w:cs="Times New Roman"/>
          <w:color w:val="auto"/>
          <w:spacing w:val="0"/>
          <w:kern w:val="2"/>
          <w:sz w:val="32"/>
          <w:szCs w:val="32"/>
          <w:lang w:val="en-US" w:eastAsia="zh-CN" w:bidi="ar-SA"/>
        </w:rPr>
      </w:pPr>
      <w:r>
        <w:rPr>
          <w:rFonts w:hint="eastAsia" w:ascii="黑体" w:hAnsi="黑体" w:eastAsia="黑体" w:cs="仿宋_GB2312"/>
          <w:color w:val="auto"/>
          <w:spacing w:val="0"/>
          <w:kern w:val="2"/>
          <w:sz w:val="32"/>
          <w:szCs w:val="32"/>
          <w:lang w:val="en-US" w:eastAsia="zh-CN" w:bidi="ar-SA"/>
        </w:rPr>
        <w:t>五、重点项目评价实施全过程跟踪问效，建立以满足个性化需求为导向的全应用重点绩效评价机制。</w:t>
      </w:r>
      <w:r>
        <w:rPr>
          <w:rFonts w:hint="eastAsia" w:ascii="Times New Roman" w:hAnsi="Times New Roman" w:eastAsia="仿宋_GB2312" w:cs="Times New Roman"/>
          <w:color w:val="auto"/>
          <w:spacing w:val="0"/>
          <w:kern w:val="2"/>
          <w:sz w:val="32"/>
          <w:szCs w:val="32"/>
          <w:lang w:val="en-US" w:eastAsia="zh-CN" w:bidi="ar-SA"/>
        </w:rPr>
        <w:t>对2022年度19个项目开展重点绩效评价，涉及预算资金35565.22万元，评价过程中实行第三方签到制度，通过查阅资料、实地调研、现场答辩等形式，财政全过程参与绩效评价工作，确保绩效评价质量。绩效评价结果全部以项目绩效评价反馈意见书的形式发送至财政支出科室与项目单位，作为预算安排、改进管理、政策完善的重要依据。通过项目绩效重点评价，共提出主要经验作法47条，发现问题86条，提出整改建议82条，单位整改落实77条。</w:t>
      </w:r>
    </w:p>
    <w:p>
      <w:pPr>
        <w:pStyle w:val="57"/>
        <w:keepNext w:val="0"/>
        <w:keepLines w:val="0"/>
        <w:pageBreakBefore w:val="0"/>
        <w:widowControl/>
        <w:numPr>
          <w:ilvl w:val="0"/>
          <w:numId w:val="0"/>
        </w:numPr>
        <w:kinsoku/>
        <w:wordWrap/>
        <w:overflowPunct/>
        <w:topLinePunct w:val="0"/>
        <w:autoSpaceDE/>
        <w:autoSpaceDN/>
        <w:bidi w:val="0"/>
        <w:adjustRightInd/>
        <w:snapToGrid/>
        <w:spacing w:after="0" w:line="560" w:lineRule="exact"/>
        <w:ind w:left="0" w:leftChars="0" w:firstLine="640" w:firstLineChars="200"/>
        <w:textAlignment w:val="auto"/>
        <w:rPr>
          <w:rFonts w:hint="eastAsia" w:ascii="Times New Roman" w:hAnsi="Times New Roman" w:eastAsia="仿宋_GB2312" w:cs="Times New Roman"/>
          <w:color w:val="auto"/>
          <w:spacing w:val="0"/>
          <w:kern w:val="2"/>
          <w:sz w:val="32"/>
          <w:szCs w:val="32"/>
          <w:lang w:val="en-US" w:eastAsia="zh-CN" w:bidi="ar-SA"/>
        </w:rPr>
      </w:pPr>
      <w:r>
        <w:rPr>
          <w:rFonts w:hint="eastAsia" w:ascii="黑体" w:hAnsi="黑体" w:eastAsia="黑体" w:cs="仿宋_GB2312"/>
          <w:color w:val="auto"/>
          <w:spacing w:val="0"/>
          <w:kern w:val="2"/>
          <w:sz w:val="32"/>
          <w:szCs w:val="32"/>
          <w:lang w:val="en-US" w:eastAsia="zh-CN" w:bidi="ar-SA"/>
        </w:rPr>
        <w:t>六、切实做好绩效运行监控，强化跟踪问效导向。</w:t>
      </w:r>
      <w:r>
        <w:rPr>
          <w:rFonts w:hint="eastAsia" w:ascii="Times New Roman" w:hAnsi="Times New Roman" w:eastAsia="仿宋_GB2312" w:cs="Times New Roman"/>
          <w:color w:val="auto"/>
          <w:spacing w:val="0"/>
          <w:kern w:val="2"/>
          <w:sz w:val="32"/>
          <w:szCs w:val="32"/>
          <w:lang w:val="en-US" w:eastAsia="zh-CN" w:bidi="ar-SA"/>
        </w:rPr>
        <w:t>对纳入预算绩效管理范围的全部项目（政策）1-8月的绩效目标实现程度和预算执行进度开展“双监控”，监控覆盖率100%，通过“双监控”，共有17372.69万元资金截至年底前不再执行，建议收回此部分资金。</w:t>
      </w:r>
    </w:p>
    <w:p>
      <w:pPr>
        <w:pStyle w:val="57"/>
        <w:keepNext w:val="0"/>
        <w:keepLines w:val="0"/>
        <w:pageBreakBefore w:val="0"/>
        <w:widowControl/>
        <w:numPr>
          <w:ilvl w:val="0"/>
          <w:numId w:val="0"/>
        </w:numPr>
        <w:kinsoku/>
        <w:wordWrap/>
        <w:overflowPunct/>
        <w:topLinePunct w:val="0"/>
        <w:autoSpaceDE/>
        <w:autoSpaceDN/>
        <w:bidi w:val="0"/>
        <w:adjustRightInd/>
        <w:snapToGrid/>
        <w:spacing w:after="0" w:line="560" w:lineRule="exact"/>
        <w:ind w:left="0" w:leftChars="0" w:firstLine="640" w:firstLineChars="200"/>
        <w:textAlignment w:val="auto"/>
        <w:rPr>
          <w:rFonts w:hint="eastAsia" w:ascii="Times New Roman" w:hAnsi="Times New Roman" w:eastAsia="仿宋_GB2312" w:cs="Times New Roman"/>
          <w:color w:val="auto"/>
          <w:spacing w:val="0"/>
          <w:kern w:val="2"/>
          <w:sz w:val="32"/>
          <w:szCs w:val="32"/>
          <w:lang w:val="en-US" w:eastAsia="zh-CN" w:bidi="ar-SA"/>
        </w:rPr>
      </w:pPr>
      <w:r>
        <w:rPr>
          <w:rFonts w:hint="eastAsia" w:ascii="黑体" w:hAnsi="黑体" w:eastAsia="黑体" w:cs="仿宋_GB2312"/>
          <w:color w:val="auto"/>
          <w:spacing w:val="0"/>
          <w:kern w:val="2"/>
          <w:sz w:val="32"/>
          <w:szCs w:val="32"/>
          <w:lang w:val="en-US" w:eastAsia="zh-CN" w:bidi="ar-SA"/>
        </w:rPr>
        <w:t>七、全面推进成本预算绩效管理，认真开展成本效益分析。</w:t>
      </w:r>
      <w:r>
        <w:rPr>
          <w:rFonts w:hint="eastAsia" w:ascii="Times New Roman" w:hAnsi="Times New Roman" w:eastAsia="仿宋_GB2312" w:cs="Times New Roman"/>
          <w:color w:val="auto"/>
          <w:spacing w:val="0"/>
          <w:kern w:val="2"/>
          <w:sz w:val="32"/>
          <w:szCs w:val="32"/>
          <w:lang w:val="en-US" w:eastAsia="zh-CN" w:bidi="ar-SA"/>
        </w:rPr>
        <w:t>以《威海市全面推进成本预算绩效管理工作实施方案》（威财绩【2023】4号）文为指导，将成本指标从产出指标的二级指标，调整提升为一级指标，将其作为实施成本控制和绩效评价的重要依据。选择“环卫运行维护费”、“大楼运行维护费”、“网络线路租金”项目开展成本预算绩效管理，通过成本绩效分析，核定项目成本，建立18项成本支出标准，严格实施成本支出管控。其中对“大楼运行维护费”成本绩效分析，根据2022年各大楼实际运行支出情况，扣除水费、电费、办公费、管理费等费用和压减保洁费用，建议2023年大楼运行经费定额标准为6500元/100㎡.年，经明确成本定额标准后，2023年预算安排大楼运行维护费资金对比2022年实际支出压减618万元。对“网络线路租金”进行成本绩效分析后，所有线路如全部按制定的支出标准执行，125个单位的9334条网络线路每年共可减少网络租金支出314.18万元，能有效节省财政支出，提高财政资金使用效益。</w:t>
      </w:r>
    </w:p>
    <w:p>
      <w:pPr>
        <w:pStyle w:val="57"/>
        <w:keepNext w:val="0"/>
        <w:keepLines w:val="0"/>
        <w:pageBreakBefore w:val="0"/>
        <w:widowControl/>
        <w:numPr>
          <w:ilvl w:val="0"/>
          <w:numId w:val="0"/>
        </w:numPr>
        <w:kinsoku/>
        <w:wordWrap/>
        <w:overflowPunct/>
        <w:topLinePunct w:val="0"/>
        <w:autoSpaceDE/>
        <w:autoSpaceDN/>
        <w:bidi w:val="0"/>
        <w:adjustRightInd/>
        <w:snapToGrid/>
        <w:spacing w:after="0" w:line="560" w:lineRule="exact"/>
        <w:ind w:left="0" w:leftChars="0" w:firstLine="640" w:firstLineChars="200"/>
        <w:textAlignment w:val="auto"/>
        <w:rPr>
          <w:rFonts w:hint="eastAsia" w:ascii="Times New Roman" w:hAnsi="Times New Roman" w:eastAsia="仿宋_GB2312" w:cs="Times New Roman"/>
          <w:color w:val="auto"/>
          <w:spacing w:val="0"/>
          <w:kern w:val="2"/>
          <w:sz w:val="32"/>
          <w:szCs w:val="32"/>
          <w:lang w:val="en-US" w:eastAsia="zh-CN" w:bidi="ar-SA"/>
        </w:rPr>
      </w:pPr>
      <w:r>
        <w:rPr>
          <w:rFonts w:hint="eastAsia" w:ascii="黑体" w:hAnsi="黑体" w:eastAsia="黑体" w:cs="仿宋_GB2312"/>
          <w:color w:val="auto"/>
          <w:spacing w:val="0"/>
          <w:kern w:val="2"/>
          <w:sz w:val="32"/>
          <w:szCs w:val="32"/>
          <w:lang w:val="en-US" w:eastAsia="zh-CN" w:bidi="ar-SA"/>
        </w:rPr>
        <w:t>八、继续试点乡镇财政综合运行绩效评价。</w:t>
      </w:r>
      <w:r>
        <w:rPr>
          <w:rFonts w:hint="eastAsia" w:ascii="Times New Roman" w:hAnsi="Times New Roman" w:eastAsia="仿宋_GB2312" w:cs="Times New Roman"/>
          <w:color w:val="auto"/>
          <w:spacing w:val="0"/>
          <w:kern w:val="2"/>
          <w:sz w:val="32"/>
          <w:szCs w:val="32"/>
          <w:lang w:val="en-US" w:eastAsia="zh-CN" w:bidi="ar-SA"/>
        </w:rPr>
        <w:t>选择文登营镇、宋村镇政府开展财政运行综合绩效评价，将镇级政府收支预算纳入绩效管理，全面分析镇级财政运行状况，增强财政运行的可持续性。在山东省财政学会举办的关于“深入学习贯彻党的二十大精神加快推动山东财政改革发展”主题征文评选中，文登区财政局报送的《乡镇财政运行综合绩效评价指标体系建设探索——以威海市文登区葛家镇为例》，获得一等奖。</w:t>
      </w: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eastAsia" w:ascii="Times New Roman" w:hAnsi="Times New Roman" w:eastAsia="仿宋_GB2312" w:cs="Times New Roman"/>
          <w:color w:val="auto"/>
          <w:spacing w:val="0"/>
          <w:kern w:val="2"/>
          <w:sz w:val="32"/>
          <w:szCs w:val="32"/>
          <w:lang w:val="en-US" w:eastAsia="zh-CN" w:bidi="ar-SA"/>
        </w:rPr>
      </w:pPr>
    </w:p>
    <w:p>
      <w:pPr>
        <w:pStyle w:val="57"/>
        <w:spacing w:after="0" w:line="560" w:lineRule="exact"/>
        <w:ind w:firstLine="643"/>
        <w:rPr>
          <w:rFonts w:hint="default" w:ascii="仿宋_GB2312" w:hAnsi="仿宋_GB2312" w:eastAsia="仿宋_GB2312" w:cs="仿宋_GB2312"/>
          <w:sz w:val="24"/>
          <w:szCs w:val="24"/>
          <w:highlight w:val="none"/>
          <w:lang w:val="en-US" w:eastAsia="zh-CN"/>
        </w:rPr>
      </w:pPr>
    </w:p>
    <w:sectPr>
      <w:headerReference r:id="rId23" w:type="default"/>
      <w:footerReference r:id="rId24" w:type="default"/>
      <w:pgSz w:w="11906" w:h="16838"/>
      <w:pgMar w:top="1440" w:right="1800" w:bottom="1440" w:left="1800" w:header="851" w:footer="992" w:gutter="0"/>
      <w:pgNumType w:fmt="decimal"/>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仿宋_GB2312">
    <w:panose1 w:val="02010609030101010101"/>
    <w:charset w:val="86"/>
    <w:family w:val="auto"/>
    <w:pitch w:val="default"/>
    <w:sig w:usb0="00000001" w:usb1="080E0000" w:usb2="00000000" w:usb3="00000000" w:csb0="00040000" w:csb1="00000000"/>
  </w:font>
  <w:font w:name="Calibri Light">
    <w:panose1 w:val="020F0302020204030204"/>
    <w:charset w:val="00"/>
    <w:family w:val="auto"/>
    <w:pitch w:val="default"/>
    <w:sig w:usb0="A00002EF" w:usb1="4000207B" w:usb2="00000000" w:usb3="00000000" w:csb0="2000019F" w:csb1="00000000"/>
  </w:font>
  <w:font w:name="楷体_GB2312">
    <w:panose1 w:val="02010609030101010101"/>
    <w:charset w:val="86"/>
    <w:family w:val="auto"/>
    <w:pitch w:val="default"/>
    <w:sig w:usb0="00000001" w:usb1="080E0000" w:usb2="00000000" w:usb3="00000000" w:csb0="00040000" w:csb1="00000000"/>
  </w:font>
  <w:font w:name="方正小标宋简体">
    <w:panose1 w:val="03000509000000000000"/>
    <w:charset w:val="86"/>
    <w:family w:val="auto"/>
    <w:pitch w:val="default"/>
    <w:sig w:usb0="00000001" w:usb1="080E0000" w:usb2="00000000" w:usb3="00000000" w:csb0="00040000" w:csb1="00000000"/>
  </w:font>
  <w:font w:name="等线">
    <w:altName w:val="微软雅黑"/>
    <w:panose1 w:val="00000000000000000000"/>
    <w:charset w:val="86"/>
    <w:family w:val="auto"/>
    <w:pitch w:val="default"/>
    <w:sig w:usb0="00000000" w:usb1="00000000" w:usb2="00000010" w:usb3="00000000" w:csb0="00040000" w:csb1="00000000"/>
  </w:font>
  <w:font w:name="仿宋">
    <w:panose1 w:val="02010609060101010101"/>
    <w:charset w:val="86"/>
    <w:family w:val="auto"/>
    <w:pitch w:val="default"/>
    <w:sig w:usb0="800002BF" w:usb1="38CF7CFA" w:usb2="00000016" w:usb3="00000000" w:csb0="00040001" w:csb1="00000000"/>
  </w:font>
  <w:font w:name="Arial Unicode MS">
    <w:altName w:val="宋体"/>
    <w:panose1 w:val="020B0604020202020204"/>
    <w:charset w:val="86"/>
    <w:family w:val="swiss"/>
    <w:pitch w:val="default"/>
    <w:sig w:usb0="00000000" w:usb1="00000000" w:usb2="0000003F" w:usb3="00000000" w:csb0="003F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0"/>
      <w:spacing w:line="240" w:lineRule="auto"/>
      <w:ind w:firstLine="360" w:firstLineChars="0"/>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ffectLst/>
                    </wps:spPr>
                    <wps:txbx>
                      <w:txbxContent>
                        <w:p>
                          <w:pPr>
                            <w:pStyle w:val="10"/>
                            <w:spacing w:line="240" w:lineRule="auto"/>
                            <w:ind w:firstLine="360" w:firstLineChars="0"/>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L10G3Y3AgAAbw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QxQHSzMMBESn3p0Qrtvh34&#10;7E1xBk1n+jnxlm9qlLJlPjwwh8FA+Xg64R5LKQ1SmsGipDLuy7/OYzz6BS8lDQYtpxrvihL5XqOP&#10;AAyj4UZjPxr6qO4MJhe9QS2diQsuyNEsnVGf8Z5WMQdcTHNkymkYzbvQDzveIxerVRd0tK4+VP0F&#10;TKFlYat3lsc0USpvV8cAaTvFo0C9KuhU3GAOu54NbyYO+p/7LurxP7H8DV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">
              <v:fill on="f" focussize="0,0"/>
              <v:stroke on="f" weight="0.5pt"/>
              <v:imagedata o:title=""/>
              <o:lock v:ext="edit" aspectratio="f"/>
              <v:textbox inset="0mm,0mm,0mm,0mm" style="mso-fit-shape-to-text:t;">
                <w:txbxContent>
                  <w:p>
                    <w:pPr>
                      <w:pStyle w:val="10"/>
                      <w:spacing w:line="240" w:lineRule="auto"/>
                      <w:ind w:firstLine="360" w:firstLineChars="0"/>
                    </w:pPr>
                    <w:r>
                      <w:fldChar w:fldCharType="begin"/>
                    </w:r>
                    <w:r>
                      <w:instrText xml:space="preserve"> PAGE  \* MERGEFORMAT </w:instrText>
                    </w:r>
                    <w:r>
                      <w:fldChar w:fldCharType="separate"/>
                    </w:r>
                    <w:r>
                      <w:t>1</w:t>
                    </w:r>
                    <w:r>
                      <w:fldChar w:fldCharType="end"/>
                    </w:r>
                  </w:p>
                </w:txbxContent>
              </v:textbox>
            </v:shape>
          </w:pict>
        </mc:Fallback>
      </mc:AlternateContent>
    </w: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0"/>
      <w:ind w:firstLine="360"/>
    </w:pP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0"/>
      <w:ind w:firstLine="360"/>
    </w:pPr>
    <w:r>
      <w:rPr>
        <w:sz w:val="18"/>
      </w:rP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10" name="文本框 10"/>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10"/>
                          </w:pPr>
                          <w:r>
                            <w:t xml:space="preserve">— </w:t>
                          </w:r>
                          <w:r>
                            <w:fldChar w:fldCharType="begin"/>
                          </w:r>
                          <w:r>
                            <w:instrText xml:space="preserve"> PAGE  \* MERGEFORMAT </w:instrText>
                          </w:r>
                          <w:r>
                            <w:fldChar w:fldCharType="separate"/>
                          </w:r>
                          <w:r>
                            <w:t>43</w:t>
                          </w:r>
                          <w:r>
                            <w:fldChar w:fldCharType="end"/>
                          </w:r>
                          <w:r>
                            <w:t xml:space="preserve"> —</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CpqK+VMQIAAGMEAAAOAAAAAAAAAAEAIAAAAB8BAABkcnMvZTJvRG9jLnhtbFBLBQYA&#10;AAAABgAGAFkBAADCBQAAAAA=&#10;">
              <v:fill on="f" focussize="0,0"/>
              <v:stroke on="f" weight="0.5pt"/>
              <v:imagedata o:title=""/>
              <o:lock v:ext="edit" aspectratio="f"/>
              <v:textbox inset="0mm,0mm,0mm,0mm" style="mso-fit-shape-to-text:t;">
                <w:txbxContent>
                  <w:p>
                    <w:pPr>
                      <w:pStyle w:val="10"/>
                    </w:pPr>
                    <w:r>
                      <w:t xml:space="preserve">— </w:t>
                    </w:r>
                    <w:r>
                      <w:fldChar w:fldCharType="begin"/>
                    </w:r>
                    <w:r>
                      <w:instrText xml:space="preserve"> PAGE  \* MERGEFORMAT </w:instrText>
                    </w:r>
                    <w:r>
                      <w:fldChar w:fldCharType="separate"/>
                    </w:r>
                    <w:r>
                      <w:t>43</w:t>
                    </w:r>
                    <w:r>
                      <w:fldChar w:fldCharType="end"/>
                    </w:r>
                    <w:r>
                      <w:t xml:space="preserve"> —</w:t>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0"/>
      <w:spacing w:line="240" w:lineRule="auto"/>
      <w:ind w:firstLine="360" w:firstLineChars="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0"/>
      <w:spacing w:line="240" w:lineRule="auto"/>
      <w:ind w:firstLine="360" w:firstLineChars="0"/>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tabs>
        <w:tab w:val="center" w:pos="4153"/>
      </w:tabs>
      <w:rPr>
        <w:rFonts w:ascii="Times New Roman" w:hAnsi="Times New Roman" w:cs="Times New Roman"/>
      </w:rPr>
    </w:pPr>
    <w:r>
      <w:rPr>
        <w:rFonts w:ascii="Times New Roman" w:hAnsi="Times New Roman" w:cs="Times New Roman"/>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14935" cy="131445"/>
              <wp:effectExtent l="0" t="0" r="0" b="0"/>
              <wp:wrapNone/>
              <wp:docPr id="12" name="文本框 35"/>
              <wp:cNvGraphicFramePr/>
              <a:graphic xmlns:a="http://schemas.openxmlformats.org/drawingml/2006/main">
                <a:graphicData uri="http://schemas.microsoft.com/office/word/2010/wordprocessingShape">
                  <wps:wsp>
                    <wps:cNvSpPr txBox="1"/>
                    <wps:spPr>
                      <a:xfrm>
                        <a:off x="0" y="0"/>
                        <a:ext cx="114935" cy="131445"/>
                      </a:xfrm>
                      <a:prstGeom prst="rect">
                        <a:avLst/>
                      </a:prstGeom>
                      <a:noFill/>
                      <a:ln w="6350">
                        <a:noFill/>
                      </a:ln>
                    </wps:spPr>
                    <wps:txbx>
                      <w:txbxContent>
                        <w:p>
                          <w:pPr>
                            <w:pStyle w:val="10"/>
                            <w:rPr>
                              <w:rFonts w:ascii="Times New Roman" w:hAnsi="Times New Roman" w:eastAsiaTheme="minorEastAsia"/>
                            </w:rPr>
                          </w:pPr>
                          <w:r>
                            <w:rPr>
                              <w:rFonts w:ascii="Times New Roman" w:hAnsi="Times New Roman"/>
                            </w:rPr>
                            <w:fldChar w:fldCharType="begin"/>
                          </w:r>
                          <w:r>
                            <w:rPr>
                              <w:rFonts w:ascii="Times New Roman" w:hAnsi="Times New Roman"/>
                            </w:rPr>
                            <w:instrText xml:space="preserve"> PAGE  \* MERGEFORMAT </w:instrText>
                          </w:r>
                          <w:r>
                            <w:rPr>
                              <w:rFonts w:ascii="Times New Roman" w:hAnsi="Times New Roman"/>
                            </w:rPr>
                            <w:fldChar w:fldCharType="separate"/>
                          </w:r>
                          <w:r>
                            <w:rPr>
                              <w:rFonts w:ascii="Times New Roman" w:hAnsi="Times New Roman"/>
                            </w:rPr>
                            <w:t>2</w:t>
                          </w:r>
                          <w:r>
                            <w:rPr>
                              <w:rFonts w:ascii="Times New Roman" w:hAnsi="Times New Roman"/>
                            </w:rPr>
                            <w:fldChar w:fldCharType="end"/>
                          </w:r>
                        </w:p>
                      </w:txbxContent>
                    </wps:txbx>
                    <wps:bodyPr wrap="none" lIns="0" tIns="0" rIns="0" bIns="0" upright="1">
                      <a:spAutoFit/>
                    </wps:bodyPr>
                  </wps:wsp>
                </a:graphicData>
              </a:graphic>
            </wp:anchor>
          </w:drawing>
        </mc:Choice>
        <mc:Fallback>
          <w:pict>
            <v:shape id="文本框 35" o:spid="_x0000_s1026" o:spt="202" type="#_x0000_t202" style="position:absolute;left:0pt;margin-top:0pt;height:10.35pt;width:9.05pt;mso-position-horizontal:center;mso-position-horizontal-relative:margin;mso-wrap-style:none;z-index:251660288;mso-width-relative:page;mso-height-relative:page;" filled="f" stroked="f" coordsize="21600,21600" o:gfxdata="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">
              <v:fill on="f" focussize="0,0"/>
              <v:stroke on="f" weight="0.5pt"/>
              <v:imagedata o:title=""/>
              <o:lock v:ext="edit" aspectratio="f"/>
              <v:textbox inset="0mm,0mm,0mm,0mm" style="mso-fit-shape-to-text:t;">
                <w:txbxContent>
                  <w:p>
                    <w:pPr>
                      <w:pStyle w:val="10"/>
                      <w:rPr>
                        <w:rFonts w:ascii="Times New Roman" w:hAnsi="Times New Roman" w:eastAsiaTheme="minorEastAsia"/>
                      </w:rPr>
                    </w:pPr>
                    <w:r>
                      <w:rPr>
                        <w:rFonts w:ascii="Times New Roman" w:hAnsi="Times New Roman"/>
                      </w:rPr>
                      <w:fldChar w:fldCharType="begin"/>
                    </w:r>
                    <w:r>
                      <w:rPr>
                        <w:rFonts w:ascii="Times New Roman" w:hAnsi="Times New Roman"/>
                      </w:rPr>
                      <w:instrText xml:space="preserve"> PAGE  \* MERGEFORMAT </w:instrText>
                    </w:r>
                    <w:r>
                      <w:rPr>
                        <w:rFonts w:ascii="Times New Roman" w:hAnsi="Times New Roman"/>
                      </w:rPr>
                      <w:fldChar w:fldCharType="separate"/>
                    </w:r>
                    <w:r>
                      <w:rPr>
                        <w:rFonts w:ascii="Times New Roman" w:hAnsi="Times New Roman"/>
                      </w:rPr>
                      <w:t>2</w:t>
                    </w:r>
                    <w:r>
                      <w:rPr>
                        <w:rFonts w:ascii="Times New Roman" w:hAnsi="Times New Roman"/>
                      </w:rPr>
                      <w:fldChar w:fldCharType="end"/>
                    </w:r>
                  </w:p>
                </w:txbxContent>
              </v:textbox>
            </v:shape>
          </w:pict>
        </mc:Fallback>
      </mc:AlternateContent>
    </w:r>
    <w:r>
      <w:rPr>
        <w:rFonts w:ascii="Times New Roman" w:hAnsi="Times New Roman" w:cs="Times New Roman"/>
      </w:rPr>
      <w:tab/>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0"/>
      <w:ind w:firstLine="360"/>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ffectLst/>
                    </wps:spPr>
                    <wps:txbx>
                      <w:txbxContent>
                        <w:p>
                          <w:pPr>
                            <w:pStyle w:val="10"/>
                            <w:ind w:firstLine="360"/>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">
              <v:fill on="f" focussize="0,0"/>
              <v:stroke on="f" weight="0.5pt"/>
              <v:imagedata o:title=""/>
              <o:lock v:ext="edit" aspectratio="f"/>
              <v:textbox inset="0mm,0mm,0mm,0mm" style="mso-fit-shape-to-text:t;">
                <w:txbxContent>
                  <w:p>
                    <w:pPr>
                      <w:pStyle w:val="10"/>
                      <w:ind w:firstLine="360"/>
                    </w:pPr>
                    <w:r>
                      <w:fldChar w:fldCharType="begin"/>
                    </w:r>
                    <w:r>
                      <w:instrText xml:space="preserve"> PAGE  \* MERGEFORMAT </w:instrText>
                    </w:r>
                    <w:r>
                      <w:fldChar w:fldCharType="separate"/>
                    </w:r>
                    <w:r>
                      <w:t>1</w:t>
                    </w:r>
                    <w:r>
                      <w:fldChar w:fldCharType="end"/>
                    </w:r>
                  </w:p>
                </w:txbxContent>
              </v:textbox>
            </v:shape>
          </w:pict>
        </mc:Fallback>
      </mc:AlternateConten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0"/>
      <w:ind w:firstLine="360"/>
    </w:pP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0"/>
      <w:ind w:firstLine="360"/>
    </w:pP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0"/>
      <w:ind w:firstLine="360"/>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4" name="文本框 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ffectLst/>
                    </wps:spPr>
                    <wps:txbx>
                      <w:txbxContent>
                        <w:p>
                          <w:pPr>
                            <w:pStyle w:val="10"/>
                            <w:ind w:firstLine="360"/>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">
              <v:fill on="f" focussize="0,0"/>
              <v:stroke on="f" weight="0.5pt"/>
              <v:imagedata o:title=""/>
              <o:lock v:ext="edit" aspectratio="f"/>
              <v:textbox inset="0mm,0mm,0mm,0mm" style="mso-fit-shape-to-text:t;">
                <w:txbxContent>
                  <w:p>
                    <w:pPr>
                      <w:pStyle w:val="10"/>
                      <w:ind w:firstLine="360"/>
                    </w:pPr>
                    <w:r>
                      <w:fldChar w:fldCharType="begin"/>
                    </w:r>
                    <w:r>
                      <w:instrText xml:space="preserve"> PAGE  \* MERGEFORMAT </w:instrText>
                    </w:r>
                    <w:r>
                      <w:fldChar w:fldCharType="separate"/>
                    </w:r>
                    <w:r>
                      <w:t>1</w:t>
                    </w:r>
                    <w:r>
                      <w:fldChar w:fldCharType="end"/>
                    </w:r>
                  </w:p>
                </w:txbxContent>
              </v:textbox>
            </v:shape>
          </w:pict>
        </mc:Fallback>
      </mc:AlternateContent>
    </w: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0"/>
      <w:ind w:firstLine="360"/>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360" w:lineRule="auto"/>
      <w:ind w:left="600" w:firstLine="0" w:firstLineChars="0"/>
      <w:rPr>
        <w:rFonts w:ascii="宋体" w:hAnsi="宋体" w:eastAsia="宋体" w:cs="宋体"/>
        <w:sz w:val="30"/>
      </w:rPr>
    </w:pP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ind w:firstLine="360"/>
    </w:pP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ind w:left="640" w:firstLine="0" w:firstLineChars="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spacing w:line="240" w:lineRule="auto"/>
      <w:ind w:firstLine="360" w:firstLineChars="0"/>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spacing w:line="240" w:lineRule="auto"/>
      <w:ind w:firstLine="360" w:firstLineChars="0"/>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pBdr>
        <w:bottom w:val="none" w:color="auto" w:sz="0" w:space="1"/>
      </w:pBdr>
      <w:tabs>
        <w:tab w:val="center" w:pos="4156"/>
        <w:tab w:val="clear" w:pos="4153"/>
      </w:tabs>
      <w:jc w:val="left"/>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ind w:left="600" w:firstLine="0" w:firstLineChars="0"/>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ind w:firstLine="360"/>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ind w:firstLine="360"/>
    </w:pP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ind w:left="600" w:firstLine="0" w:firstLineChars="0"/>
    </w:pP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ind w:firstLine="360"/>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C21A8C2F"/>
    <w:multiLevelType w:val="singleLevel"/>
    <w:tmpl w:val="C21A8C2F"/>
    <w:lvl w:ilvl="0" w:tentative="0">
      <w:start w:val="1"/>
      <w:numFmt w:val="chineseCounting"/>
      <w:suff w:val="nothing"/>
      <w:lvlText w:val="%1、"/>
      <w:lvlJc w:val="left"/>
      <w:rPr>
        <w:rFonts w:hint="eastAsia"/>
      </w:rPr>
    </w:lvl>
  </w:abstractNum>
  <w:abstractNum w:abstractNumId="1">
    <w:nsid w:val="38E013F5"/>
    <w:multiLevelType w:val="singleLevel"/>
    <w:tmpl w:val="38E013F5"/>
    <w:lvl w:ilvl="0" w:tentative="0">
      <w:start w:val="1"/>
      <w:numFmt w:val="chineseCounting"/>
      <w:suff w:val="nothing"/>
      <w:lvlText w:val="%1、"/>
      <w:lvlJc w:val="left"/>
      <w:rPr>
        <w:rFonts w:hint="eastAsia"/>
      </w:rPr>
    </w:lvl>
  </w:abstractNum>
  <w:abstractNum w:abstractNumId="2">
    <w:nsid w:val="3CBD588F"/>
    <w:multiLevelType w:val="singleLevel"/>
    <w:tmpl w:val="3CBD588F"/>
    <w:lvl w:ilvl="0" w:tentative="0">
      <w:start w:val="2"/>
      <w:numFmt w:val="decimal"/>
      <w:lvlText w:val="%1."/>
      <w:lvlJc w:val="left"/>
      <w:pPr>
        <w:tabs>
          <w:tab w:val="left" w:pos="312"/>
        </w:tabs>
      </w:pPr>
    </w:lvl>
  </w:abstractNum>
  <w:abstractNum w:abstractNumId="3">
    <w:nsid w:val="610671B8"/>
    <w:multiLevelType w:val="multilevel"/>
    <w:tmpl w:val="610671B8"/>
    <w:lvl w:ilvl="0" w:tentative="0">
      <w:start w:val="1"/>
      <w:numFmt w:val="chineseCountingThousand"/>
      <w:suff w:val="nothing"/>
      <w:lvlText w:val="%1、"/>
      <w:lvlJc w:val="left"/>
      <w:pPr>
        <w:ind w:left="3969" w:firstLine="0"/>
      </w:pPr>
      <w:rPr>
        <w:rFonts w:hint="eastAsia"/>
        <w:b/>
        <w:i w:val="0"/>
      </w:rPr>
    </w:lvl>
    <w:lvl w:ilvl="1" w:tentative="0">
      <w:start w:val="1"/>
      <w:numFmt w:val="chineseCountingThousand"/>
      <w:suff w:val="nothing"/>
      <w:lvlText w:val="（%2）"/>
      <w:lvlJc w:val="left"/>
      <w:pPr>
        <w:ind w:left="425" w:firstLine="0"/>
      </w:pPr>
      <w:rPr>
        <w:rFonts w:hint="default" w:ascii="Times New Roman" w:hAnsi="Times New Roman" w:cs="Times New Roman"/>
        <w:b/>
        <w:bCs w:val="0"/>
        <w:i w:val="0"/>
        <w:iCs w:val="0"/>
        <w:caps w:val="0"/>
        <w:smallCaps w:val="0"/>
        <w:strike w:val="0"/>
        <w:dstrike w:val="0"/>
        <w:vanish w:val="0"/>
        <w:spacing w:val="0"/>
        <w:kern w:val="0"/>
        <w:position w:val="0"/>
        <w:u w:val="none"/>
        <w:vertAlign w:val="baseline"/>
        <w:lang w:bidi="zh-CN"/>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rPr>
    </w:lvl>
    <w:lvl w:ilvl="2" w:tentative="0">
      <w:start w:val="1"/>
      <w:numFmt w:val="decimal"/>
      <w:pStyle w:val="5"/>
      <w:suff w:val="nothing"/>
      <w:lvlText w:val="%3. "/>
      <w:lvlJc w:val="left"/>
      <w:pPr>
        <w:ind w:left="992" w:hanging="567"/>
      </w:pPr>
      <w:rPr>
        <w:rFonts w:hint="eastAsia"/>
      </w:rPr>
    </w:lvl>
    <w:lvl w:ilvl="3" w:tentative="0">
      <w:start w:val="1"/>
      <w:numFmt w:val="decimal"/>
      <w:suff w:val="nothing"/>
      <w:lvlText w:val="（%4）"/>
      <w:lvlJc w:val="left"/>
      <w:pPr>
        <w:ind w:left="992" w:hanging="425"/>
      </w:pPr>
      <w:rPr>
        <w:rFonts w:hint="eastAsia"/>
      </w:rPr>
    </w:lvl>
    <w:lvl w:ilvl="4" w:tentative="0">
      <w:start w:val="1"/>
      <w:numFmt w:val="decimal"/>
      <w:suff w:val="nothing"/>
      <w:lvlText w:val="%5）"/>
      <w:lvlJc w:val="left"/>
      <w:pPr>
        <w:ind w:left="992" w:hanging="113"/>
      </w:pPr>
      <w:rPr>
        <w:rFonts w:hint="eastAsia"/>
      </w:rPr>
    </w:lvl>
    <w:lvl w:ilvl="5" w:tentative="0">
      <w:start w:val="1"/>
      <w:numFmt w:val="decimal"/>
      <w:pStyle w:val="43"/>
      <w:suff w:val="nothing"/>
      <w:lvlText w:val="附件%6 "/>
      <w:lvlJc w:val="left"/>
      <w:pPr>
        <w:ind w:left="0" w:firstLine="0"/>
      </w:pPr>
      <w:rPr>
        <w:rFonts w:hint="eastAsia"/>
      </w:rPr>
    </w:lvl>
    <w:lvl w:ilvl="6" w:tentative="0">
      <w:start w:val="1"/>
      <w:numFmt w:val="chineseCountingThousand"/>
      <w:suff w:val="nothing"/>
      <w:lvlText w:val="%7、"/>
      <w:lvlJc w:val="left"/>
      <w:pPr>
        <w:ind w:left="992" w:hanging="567"/>
      </w:pPr>
      <w:rPr>
        <w:rFonts w:hint="eastAsia"/>
      </w:rPr>
    </w:lvl>
    <w:lvl w:ilvl="7" w:tentative="0">
      <w:start w:val="1"/>
      <w:numFmt w:val="chineseCountingThousand"/>
      <w:suff w:val="nothing"/>
      <w:lvlText w:val="（%8）"/>
      <w:lvlJc w:val="left"/>
      <w:pPr>
        <w:ind w:left="992" w:hanging="567"/>
      </w:pPr>
      <w:rPr>
        <w:rFonts w:hint="eastAsia"/>
      </w:rPr>
    </w:lvl>
    <w:lvl w:ilvl="8" w:tentative="0">
      <w:start w:val="1"/>
      <w:numFmt w:val="decimal"/>
      <w:suff w:val="nothing"/>
      <w:lvlText w:val="%9. "/>
      <w:lvlJc w:val="left"/>
      <w:pPr>
        <w:ind w:left="992" w:hanging="567"/>
      </w:pPr>
      <w:rPr>
        <w:rFonts w:hint="eastAsia"/>
      </w:rPr>
    </w:lvl>
  </w:abstractNum>
  <w:abstractNum w:abstractNumId="4">
    <w:nsid w:val="6A21A100"/>
    <w:multiLevelType w:val="singleLevel"/>
    <w:tmpl w:val="6A21A100"/>
    <w:lvl w:ilvl="0" w:tentative="0">
      <w:start w:val="2"/>
      <w:numFmt w:val="chineseCounting"/>
      <w:suff w:val="nothing"/>
      <w:lvlText w:val="%1、"/>
      <w:lvlJc w:val="left"/>
      <w:rPr>
        <w:rFonts w:hint="eastAsia"/>
      </w:rPr>
    </w:lvl>
  </w:abstractNum>
  <w:num w:numId="1">
    <w:abstractNumId w:val="3"/>
  </w:num>
  <w:num w:numId="2">
    <w:abstractNumId w:val="2"/>
  </w:num>
  <w:num w:numId="3">
    <w:abstractNumId w:val="4"/>
  </w:num>
  <w:num w:numId="4">
    <w:abstractNumId w:val="0"/>
  </w:num>
  <w:num w:numId="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TY1MjY0N2JlMDcyOTc5MGZmMjU5MWFkYzNmOTdmMGEifQ=="/>
    <w:docVar w:name="KSO_WPS_MARK_KEY" w:val="fe84a7e4-241e-4197-bed2-78e970f951bb"/>
  </w:docVars>
  <w:rsids>
    <w:rsidRoot w:val="79D00A66"/>
    <w:rsid w:val="04BA3565"/>
    <w:rsid w:val="063B2B4D"/>
    <w:rsid w:val="06DE32DA"/>
    <w:rsid w:val="07E64886"/>
    <w:rsid w:val="0F696B20"/>
    <w:rsid w:val="0FF24D67"/>
    <w:rsid w:val="10040085"/>
    <w:rsid w:val="1055163A"/>
    <w:rsid w:val="11744B2C"/>
    <w:rsid w:val="12C21534"/>
    <w:rsid w:val="13F27FF8"/>
    <w:rsid w:val="14445DAD"/>
    <w:rsid w:val="16247C45"/>
    <w:rsid w:val="162C6AF9"/>
    <w:rsid w:val="17F25957"/>
    <w:rsid w:val="1AE6371B"/>
    <w:rsid w:val="208A0FEC"/>
    <w:rsid w:val="20C932CD"/>
    <w:rsid w:val="211C2557"/>
    <w:rsid w:val="21D15060"/>
    <w:rsid w:val="228026A7"/>
    <w:rsid w:val="23D866EE"/>
    <w:rsid w:val="27C26BE0"/>
    <w:rsid w:val="2CC34063"/>
    <w:rsid w:val="2CFF39EA"/>
    <w:rsid w:val="2F462582"/>
    <w:rsid w:val="30BA5B1E"/>
    <w:rsid w:val="339C380E"/>
    <w:rsid w:val="344828F8"/>
    <w:rsid w:val="36F34D9D"/>
    <w:rsid w:val="37E90A73"/>
    <w:rsid w:val="38AD71CE"/>
    <w:rsid w:val="3C314FB9"/>
    <w:rsid w:val="3C486C5E"/>
    <w:rsid w:val="41014921"/>
    <w:rsid w:val="417C1E33"/>
    <w:rsid w:val="41D668C2"/>
    <w:rsid w:val="42775BE0"/>
    <w:rsid w:val="42BC2E2F"/>
    <w:rsid w:val="45B807DB"/>
    <w:rsid w:val="49956188"/>
    <w:rsid w:val="4B3F391B"/>
    <w:rsid w:val="4D6E4C0D"/>
    <w:rsid w:val="4DFC4C28"/>
    <w:rsid w:val="51FF6894"/>
    <w:rsid w:val="57230E23"/>
    <w:rsid w:val="5AC95C92"/>
    <w:rsid w:val="5B054A3B"/>
    <w:rsid w:val="5EB34C8F"/>
    <w:rsid w:val="5EBA426F"/>
    <w:rsid w:val="5F71563F"/>
    <w:rsid w:val="5FEA0785"/>
    <w:rsid w:val="61E70875"/>
    <w:rsid w:val="6252456C"/>
    <w:rsid w:val="62745086"/>
    <w:rsid w:val="640B615E"/>
    <w:rsid w:val="64A53FA6"/>
    <w:rsid w:val="6582360D"/>
    <w:rsid w:val="66EF76BF"/>
    <w:rsid w:val="69476AFE"/>
    <w:rsid w:val="6C375151"/>
    <w:rsid w:val="6CDA3D2E"/>
    <w:rsid w:val="6F063E1D"/>
    <w:rsid w:val="717F4379"/>
    <w:rsid w:val="72514A93"/>
    <w:rsid w:val="72FF004B"/>
    <w:rsid w:val="767C47E8"/>
    <w:rsid w:val="791F1447"/>
    <w:rsid w:val="79D00A66"/>
    <w:rsid w:val="7B7315D6"/>
    <w:rsid w:val="7CD74885"/>
    <w:rsid w:val="7D9618AD"/>
    <w:rsid w:val="7E3F668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nhideWhenUsed="0" w:uiPriority="2" w:semiHidden="0" w:name="heading 3"/>
    <w:lsdException w:qFormat="1" w:uiPriority="9" w:semiHidden="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iPriority="39" w:semiHidden="0" w:name="toc 1"/>
    <w:lsdException w:qFormat="1" w:uiPriority="39" w:semiHidden="0" w:name="toc 2"/>
    <w:lsdException w:qFormat="1" w:unhideWhenUsed="0" w:uiPriority="1"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qFormat="1" w:unhideWhenUsed="0" w:uiPriority="0" w:semiHidden="0" w:name="footnote text"/>
    <w:lsdException w:unhideWhenUsed="0" w:uiPriority="0" w:semiHidden="0" w:name="annotation text"/>
    <w:lsdException w:qFormat="1" w:uiPriority="99" w:semiHidden="0" w:name="header"/>
    <w:lsdException w:qFormat="1" w:unhideWhenUsed="0"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qFormat="1" w:unhideWhenUsed="0" w:uiPriority="0" w:semiHidden="0" w:name="footnote reference"/>
    <w:lsdException w:qFormat="1" w:uiPriority="99"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1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1"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11" w:semiHidden="0" w:name="Subtitle"/>
    <w:lsdException w:unhideWhenUsed="0" w:uiPriority="0" w:semiHidden="0" w:name="Salutation"/>
    <w:lsdException w:unhideWhenUsed="0" w:uiPriority="0" w:semiHidden="0" w:name="Date"/>
    <w:lsdException w:qFormat="1" w:unhideWhenUsed="0" w:uiPriority="99"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iPriority="99" w:semiHidden="0" w:name="Hyperlink"/>
    <w:lsdException w:unhideWhenUsed="0" w:uiPriority="0" w:semiHidden="0" w:name="FollowedHyperlink"/>
    <w:lsdException w:qFormat="1" w:unhideWhenUsed="0" w:uiPriority="0" w:semiHidden="0" w:name="Strong"/>
    <w:lsdException w:qFormat="1" w:unhideWhenUsed="0" w:uiPriority="2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39" w:semiHidden="0" w:name="Table Grid"/>
    <w:lsdException w:unhideWhenUsed="0" w:uiPriority="0" w:semiHidden="0" w:name="Table Theme"/>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qFormat="1"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cs="仿宋_GB2312" w:asciiTheme="minorHAnsi" w:hAnsiTheme="minorHAnsi" w:eastAsiaTheme="minorEastAsia"/>
      <w:color w:val="auto"/>
      <w:kern w:val="2"/>
      <w:sz w:val="32"/>
      <w:szCs w:val="32"/>
      <w:lang w:val="en-US" w:eastAsia="zh-CN" w:bidi="ar-SA"/>
    </w:rPr>
  </w:style>
  <w:style w:type="paragraph" w:styleId="3">
    <w:name w:val="heading 1"/>
    <w:basedOn w:val="1"/>
    <w:next w:val="1"/>
    <w:qFormat/>
    <w:uiPriority w:val="9"/>
    <w:pPr>
      <w:keepNext/>
      <w:keepLines/>
      <w:ind w:firstLine="200" w:firstLineChars="200"/>
      <w:outlineLvl w:val="0"/>
    </w:pPr>
    <w:rPr>
      <w:rFonts w:eastAsia="黑体"/>
      <w:bCs/>
      <w:kern w:val="44"/>
      <w:szCs w:val="44"/>
    </w:rPr>
  </w:style>
  <w:style w:type="paragraph" w:styleId="4">
    <w:name w:val="heading 2"/>
    <w:basedOn w:val="1"/>
    <w:next w:val="1"/>
    <w:unhideWhenUsed/>
    <w:qFormat/>
    <w:uiPriority w:val="9"/>
    <w:pPr>
      <w:keepNext/>
      <w:keepLines/>
      <w:ind w:firstLine="200" w:firstLineChars="200"/>
      <w:outlineLvl w:val="1"/>
    </w:pPr>
    <w:rPr>
      <w:rFonts w:eastAsia="楷体_GB2312" w:asciiTheme="majorHAnsi" w:hAnsiTheme="majorHAnsi" w:cstheme="majorBidi"/>
      <w:bCs/>
      <w:szCs w:val="32"/>
    </w:rPr>
  </w:style>
  <w:style w:type="paragraph" w:styleId="5">
    <w:name w:val="heading 3"/>
    <w:basedOn w:val="1"/>
    <w:next w:val="1"/>
    <w:qFormat/>
    <w:uiPriority w:val="2"/>
    <w:pPr>
      <w:keepNext/>
      <w:keepLines/>
      <w:widowControl w:val="0"/>
      <w:numPr>
        <w:ilvl w:val="2"/>
        <w:numId w:val="1"/>
      </w:numPr>
      <w:spacing w:before="120" w:after="60" w:line="500" w:lineRule="exact"/>
      <w:ind w:left="992" w:firstLine="0" w:firstLineChars="0"/>
      <w:jc w:val="both"/>
      <w:outlineLvl w:val="2"/>
    </w:pPr>
    <w:rPr>
      <w:rFonts w:ascii="Times New Roman" w:hAnsi="Times New Roman" w:eastAsia="仿宋_GB2312" w:cs="Times New Roman"/>
      <w:b/>
      <w:bCs/>
      <w:kern w:val="0"/>
      <w:sz w:val="28"/>
      <w:szCs w:val="32"/>
      <w:lang w:val="en-US" w:eastAsia="zh-CN" w:bidi="ar-SA"/>
    </w:rPr>
  </w:style>
  <w:style w:type="paragraph" w:styleId="6">
    <w:name w:val="heading 4"/>
    <w:basedOn w:val="1"/>
    <w:next w:val="1"/>
    <w:unhideWhenUsed/>
    <w:qFormat/>
    <w:uiPriority w:val="9"/>
    <w:pPr>
      <w:keepNext/>
      <w:keepLines/>
      <w:spacing w:line="560" w:lineRule="exact"/>
      <w:ind w:firstLine="200" w:firstLineChars="200"/>
      <w:jc w:val="left"/>
      <w:outlineLvl w:val="3"/>
    </w:pPr>
    <w:rPr>
      <w:rFonts w:eastAsia="楷体_GB2312" w:asciiTheme="majorHAnsi" w:hAnsiTheme="majorHAnsi" w:cstheme="majorBidi"/>
      <w:bCs/>
      <w:szCs w:val="28"/>
    </w:rPr>
  </w:style>
  <w:style w:type="character" w:default="1" w:styleId="22">
    <w:name w:val="Default Paragraph Font"/>
    <w:semiHidden/>
    <w:qFormat/>
    <w:uiPriority w:val="0"/>
  </w:style>
  <w:style w:type="table" w:default="1" w:styleId="19">
    <w:name w:val="Normal Table"/>
    <w:semiHidden/>
    <w:qFormat/>
    <w:uiPriority w:val="0"/>
    <w:tblPr>
      <w:tblCellMar>
        <w:top w:w="0" w:type="dxa"/>
        <w:left w:w="108" w:type="dxa"/>
        <w:bottom w:w="0" w:type="dxa"/>
        <w:right w:w="108" w:type="dxa"/>
      </w:tblCellMar>
    </w:tblPr>
  </w:style>
  <w:style w:type="paragraph" w:styleId="2">
    <w:name w:val="toc 1"/>
    <w:basedOn w:val="1"/>
    <w:next w:val="1"/>
    <w:unhideWhenUsed/>
    <w:qFormat/>
    <w:uiPriority w:val="39"/>
  </w:style>
  <w:style w:type="paragraph" w:styleId="7">
    <w:name w:val="Body Text"/>
    <w:basedOn w:val="1"/>
    <w:next w:val="8"/>
    <w:qFormat/>
    <w:uiPriority w:val="1"/>
    <w:pPr>
      <w:autoSpaceDE w:val="0"/>
      <w:autoSpaceDN w:val="0"/>
      <w:spacing w:before="190"/>
      <w:ind w:left="1333"/>
      <w:jc w:val="left"/>
    </w:pPr>
    <w:rPr>
      <w:rFonts w:eastAsia="宋体"/>
      <w:kern w:val="0"/>
      <w:szCs w:val="32"/>
      <w:lang w:val="zh-CN" w:bidi="zh-CN"/>
    </w:rPr>
  </w:style>
  <w:style w:type="paragraph" w:styleId="8">
    <w:name w:val="Body Text First Indent"/>
    <w:basedOn w:val="7"/>
    <w:qFormat/>
    <w:uiPriority w:val="99"/>
    <w:pPr>
      <w:spacing w:line="360" w:lineRule="auto"/>
      <w:ind w:firstLine="420" w:firstLineChars="100"/>
    </w:pPr>
    <w:rPr>
      <w:rFonts w:ascii="Times New Roman" w:hAnsi="Times New Roman" w:cs="Times New Roman"/>
      <w:sz w:val="24"/>
    </w:rPr>
  </w:style>
  <w:style w:type="paragraph" w:styleId="9">
    <w:name w:val="Body Text Indent"/>
    <w:basedOn w:val="1"/>
    <w:next w:val="1"/>
    <w:qFormat/>
    <w:uiPriority w:val="0"/>
    <w:pPr>
      <w:spacing w:after="120"/>
      <w:ind w:left="420" w:leftChars="200"/>
    </w:pPr>
  </w:style>
  <w:style w:type="paragraph" w:styleId="10">
    <w:name w:val="footer"/>
    <w:basedOn w:val="1"/>
    <w:qFormat/>
    <w:uiPriority w:val="99"/>
    <w:pPr>
      <w:tabs>
        <w:tab w:val="center" w:pos="4153"/>
        <w:tab w:val="right" w:pos="8306"/>
      </w:tabs>
      <w:snapToGrid w:val="0"/>
      <w:spacing w:line="240" w:lineRule="atLeast"/>
    </w:pPr>
    <w:rPr>
      <w:sz w:val="18"/>
      <w:szCs w:val="18"/>
    </w:rPr>
  </w:style>
  <w:style w:type="paragraph" w:styleId="11">
    <w:name w:val="header"/>
    <w:basedOn w:val="1"/>
    <w:unhideWhenUsed/>
    <w:qFormat/>
    <w:uiPriority w:val="99"/>
    <w:pPr>
      <w:pBdr>
        <w:bottom w:val="single" w:color="auto" w:sz="6" w:space="1"/>
      </w:pBdr>
      <w:tabs>
        <w:tab w:val="center" w:pos="4153"/>
        <w:tab w:val="right" w:pos="8306"/>
      </w:tabs>
      <w:snapToGrid w:val="0"/>
      <w:spacing w:line="240" w:lineRule="atLeast"/>
      <w:jc w:val="center"/>
    </w:pPr>
    <w:rPr>
      <w:sz w:val="18"/>
      <w:szCs w:val="18"/>
    </w:rPr>
  </w:style>
  <w:style w:type="paragraph" w:styleId="12">
    <w:name w:val="Subtitle"/>
    <w:basedOn w:val="1"/>
    <w:next w:val="1"/>
    <w:link w:val="58"/>
    <w:qFormat/>
    <w:uiPriority w:val="11"/>
    <w:pPr>
      <w:widowControl/>
      <w:spacing w:after="120" w:line="276" w:lineRule="auto"/>
      <w:jc w:val="left"/>
    </w:pPr>
    <w:rPr>
      <w:rFonts w:asciiTheme="majorHAnsi" w:hAnsiTheme="majorHAnsi" w:eastAsiaTheme="majorEastAsia" w:cstheme="majorBidi"/>
      <w:i/>
      <w:iCs/>
      <w:color w:val="5B9BD5" w:themeColor="accent1"/>
      <w:spacing w:val="15"/>
      <w:kern w:val="0"/>
      <w:sz w:val="24"/>
      <w:szCs w:val="24"/>
      <w14:textFill>
        <w14:solidFill>
          <w14:schemeClr w14:val="accent1"/>
        </w14:solidFill>
      </w14:textFill>
    </w:rPr>
  </w:style>
  <w:style w:type="paragraph" w:styleId="13">
    <w:name w:val="footnote text"/>
    <w:qFormat/>
    <w:uiPriority w:val="0"/>
    <w:pPr>
      <w:widowControl w:val="0"/>
      <w:snapToGrid w:val="0"/>
      <w:jc w:val="left"/>
    </w:pPr>
    <w:rPr>
      <w:rFonts w:ascii="Times New Roman" w:hAnsi="Times New Roman" w:eastAsia="仿宋_GB2312" w:cs="Times New Roman"/>
      <w:kern w:val="2"/>
      <w:sz w:val="18"/>
      <w:szCs w:val="18"/>
      <w:lang w:val="en-US" w:eastAsia="zh-CN" w:bidi="ar-SA"/>
    </w:rPr>
  </w:style>
  <w:style w:type="paragraph" w:styleId="14">
    <w:name w:val="toc 2"/>
    <w:basedOn w:val="1"/>
    <w:next w:val="15"/>
    <w:unhideWhenUsed/>
    <w:qFormat/>
    <w:uiPriority w:val="39"/>
  </w:style>
  <w:style w:type="paragraph" w:customStyle="1" w:styleId="15">
    <w:name w:val="闻政正文"/>
    <w:link w:val="42"/>
    <w:qFormat/>
    <w:uiPriority w:val="3"/>
    <w:pPr>
      <w:widowControl w:val="0"/>
      <w:spacing w:line="500" w:lineRule="exact"/>
      <w:ind w:firstLine="200" w:firstLineChars="200"/>
      <w:jc w:val="both"/>
    </w:pPr>
    <w:rPr>
      <w:rFonts w:ascii="Times New Roman" w:hAnsi="Times New Roman" w:eastAsia="仿宋_GB2312" w:cs="Times New Roman"/>
      <w:kern w:val="0"/>
      <w:sz w:val="28"/>
      <w:szCs w:val="28"/>
      <w:lang w:val="en-US" w:eastAsia="zh-CN" w:bidi="ar-SA"/>
    </w:rPr>
  </w:style>
  <w:style w:type="paragraph" w:styleId="16">
    <w:name w:val="Normal (Web)"/>
    <w:basedOn w:val="1"/>
    <w:qFormat/>
    <w:uiPriority w:val="0"/>
    <w:pPr>
      <w:widowControl w:val="0"/>
      <w:spacing w:before="100" w:beforeAutospacing="1" w:after="100" w:afterAutospacing="1" w:line="580" w:lineRule="exact"/>
      <w:ind w:left="0" w:right="0" w:firstLine="640" w:firstLineChars="200"/>
      <w:jc w:val="left"/>
    </w:pPr>
    <w:rPr>
      <w:rFonts w:ascii="仿宋_GB2312" w:hAnsi="Calibri" w:eastAsia="仿宋_GB2312" w:cs="Times New Roman"/>
      <w:kern w:val="0"/>
      <w:sz w:val="24"/>
      <w:szCs w:val="21"/>
      <w:lang w:val="en-US" w:eastAsia="zh-CN" w:bidi="ar"/>
    </w:rPr>
  </w:style>
  <w:style w:type="paragraph" w:styleId="17">
    <w:name w:val="Title"/>
    <w:basedOn w:val="1"/>
    <w:next w:val="1"/>
    <w:qFormat/>
    <w:uiPriority w:val="10"/>
    <w:pPr>
      <w:jc w:val="center"/>
      <w:outlineLvl w:val="0"/>
    </w:pPr>
    <w:rPr>
      <w:rFonts w:eastAsia="方正小标宋简体" w:asciiTheme="majorHAnsi" w:hAnsiTheme="majorHAnsi" w:cstheme="majorBidi"/>
      <w:bCs/>
      <w:sz w:val="44"/>
      <w:szCs w:val="32"/>
    </w:rPr>
  </w:style>
  <w:style w:type="paragraph" w:styleId="18">
    <w:name w:val="Body Text First Indent 2"/>
    <w:basedOn w:val="9"/>
    <w:next w:val="8"/>
    <w:qFormat/>
    <w:uiPriority w:val="0"/>
    <w:pPr>
      <w:widowControl/>
      <w:adjustRightInd w:val="0"/>
      <w:snapToGrid w:val="0"/>
      <w:spacing w:line="360" w:lineRule="auto"/>
      <w:ind w:firstLine="420"/>
      <w:jc w:val="left"/>
    </w:pPr>
    <w:rPr>
      <w:rFonts w:cs="Times New Roman"/>
      <w:kern w:val="0"/>
      <w:sz w:val="30"/>
    </w:rPr>
  </w:style>
  <w:style w:type="table" w:styleId="20">
    <w:name w:val="Table Grid"/>
    <w:qFormat/>
    <w:uiPriority w:val="39"/>
    <w:pPr>
      <w:spacing w:line="300" w:lineRule="exact"/>
      <w:jc w:val="center"/>
    </w:pPr>
    <w:rPr>
      <w:rFonts w:ascii="Times New Roman" w:hAnsi="Times New Roman" w:eastAsia="仿宋_GB2312"/>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trPr>
      <w:tblHeader/>
    </w:trPr>
    <w:tcPr>
      <w:vAlign w:val="center"/>
    </w:tcPr>
  </w:style>
  <w:style w:type="table" w:styleId="21">
    <w:name w:val="Medium Shading 1 Accent 1"/>
    <w:basedOn w:val="19"/>
    <w:qFormat/>
    <w:uiPriority w:val="63"/>
    <w:tblPr>
      <w:tblBorders>
        <w:top w:val="single" w:color="84B4DF" w:themeColor="accent1" w:themeTint="BF" w:sz="8" w:space="0"/>
        <w:left w:val="single" w:color="84B4DF" w:themeColor="accent1" w:themeTint="BF" w:sz="8" w:space="0"/>
        <w:bottom w:val="single" w:color="84B4DF" w:themeColor="accent1" w:themeTint="BF" w:sz="8" w:space="0"/>
        <w:right w:val="single" w:color="84B4DF" w:themeColor="accent1" w:themeTint="BF" w:sz="8" w:space="0"/>
        <w:insideH w:val="single" w:color="84B4DF" w:themeColor="accent1" w:themeTint="BF" w:sz="8" w:space="0"/>
      </w:tblBorders>
      <w:tblCellMar>
        <w:top w:w="0" w:type="dxa"/>
        <w:left w:w="108" w:type="dxa"/>
        <w:bottom w:w="0" w:type="dxa"/>
        <w:right w:w="108" w:type="dxa"/>
      </w:tblCellMar>
    </w:tblPr>
    <w:tblStylePr w:type="firstRow">
      <w:pPr>
        <w:spacing w:before="0" w:after="0" w:line="240" w:lineRule="auto"/>
      </w:pPr>
      <w:rPr>
        <w:b/>
        <w:bCs/>
        <w:color w:val="FFFFFF" w:themeColor="background1"/>
        <w14:textFill>
          <w14:solidFill>
            <w14:schemeClr w14:val="bg1"/>
          </w14:solidFill>
        </w14:textFill>
      </w:rPr>
      <w:tblPr/>
      <w:tcPr>
        <w:tcBorders>
          <w:top w:val="single" w:color="84B4DF" w:themeColor="accent1" w:themeTint="BF" w:sz="8" w:space="0"/>
          <w:left w:val="single" w:color="84B4DF" w:themeColor="accent1" w:themeTint="BF" w:sz="8" w:space="0"/>
          <w:bottom w:val="single" w:color="84B4DF" w:themeColor="accent1" w:themeTint="BF" w:sz="8" w:space="0"/>
          <w:right w:val="single" w:color="84B4DF" w:themeColor="accent1" w:themeTint="BF" w:sz="8" w:space="0"/>
          <w:insideH w:val="nil"/>
          <w:insideV w:val="nil"/>
        </w:tcBorders>
        <w:shd w:val="clear" w:color="auto" w:fill="5B9BD5" w:themeFill="accent1"/>
      </w:tcPr>
    </w:tblStylePr>
    <w:tblStylePr w:type="lastRow">
      <w:pPr>
        <w:spacing w:before="0" w:after="0" w:line="240" w:lineRule="auto"/>
      </w:pPr>
      <w:rPr>
        <w:b/>
        <w:bCs/>
      </w:rPr>
      <w:tblPr/>
      <w:tcPr>
        <w:tcBorders>
          <w:top w:val="double" w:color="84B4DF" w:themeColor="accent1" w:themeTint="BF" w:sz="6" w:space="0"/>
          <w:left w:val="single" w:color="84B4DF" w:themeColor="accent1" w:themeTint="BF" w:sz="8" w:space="0"/>
          <w:bottom w:val="single" w:color="84B4DF" w:themeColor="accent1" w:themeTint="BF" w:sz="8" w:space="0"/>
          <w:right w:val="single" w:color="84B4DF"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D6E6F4" w:themeFill="accent1" w:themeFillTint="3F"/>
      </w:tcPr>
    </w:tblStylePr>
    <w:tblStylePr w:type="band1Horz">
      <w:tblPr/>
      <w:tcPr>
        <w:tcBorders>
          <w:insideH w:val="nil"/>
          <w:insideV w:val="nil"/>
        </w:tcBorders>
        <w:shd w:val="clear" w:color="auto" w:fill="D6E6F4" w:themeFill="accent1" w:themeFillTint="3F"/>
      </w:tcPr>
    </w:tblStylePr>
    <w:tblStylePr w:type="band2Horz">
      <w:tblPr/>
      <w:tcPr>
        <w:tcBorders>
          <w:insideH w:val="nil"/>
          <w:insideV w:val="nil"/>
        </w:tcBorders>
      </w:tcPr>
    </w:tblStylePr>
  </w:style>
  <w:style w:type="character" w:styleId="23">
    <w:name w:val="Emphasis"/>
    <w:qFormat/>
    <w:uiPriority w:val="20"/>
    <w:rPr>
      <w:color w:val="CC0000"/>
    </w:rPr>
  </w:style>
  <w:style w:type="character" w:styleId="24">
    <w:name w:val="Hyperlink"/>
    <w:basedOn w:val="22"/>
    <w:unhideWhenUsed/>
    <w:qFormat/>
    <w:uiPriority w:val="99"/>
    <w:rPr>
      <w:color w:val="0000FF"/>
      <w:u w:val="single"/>
    </w:rPr>
  </w:style>
  <w:style w:type="character" w:styleId="25">
    <w:name w:val="annotation reference"/>
    <w:unhideWhenUsed/>
    <w:qFormat/>
    <w:uiPriority w:val="99"/>
    <w:rPr>
      <w:sz w:val="21"/>
      <w:szCs w:val="21"/>
    </w:rPr>
  </w:style>
  <w:style w:type="character" w:styleId="26">
    <w:name w:val="footnote reference"/>
    <w:qFormat/>
    <w:uiPriority w:val="0"/>
    <w:rPr>
      <w:vertAlign w:val="superscript"/>
    </w:rPr>
  </w:style>
  <w:style w:type="paragraph" w:customStyle="1" w:styleId="27">
    <w:name w:val="纯文本1"/>
    <w:basedOn w:val="1"/>
    <w:qFormat/>
    <w:uiPriority w:val="0"/>
    <w:pPr>
      <w:adjustRightInd w:val="0"/>
      <w:textAlignment w:val="baseline"/>
    </w:pPr>
    <w:rPr>
      <w:rFonts w:ascii="宋体" w:hAnsi="Courier New" w:eastAsia="仿宋_GB2312" w:cs="Times New Roman"/>
      <w:sz w:val="32"/>
      <w:szCs w:val="20"/>
    </w:rPr>
  </w:style>
  <w:style w:type="character" w:customStyle="1" w:styleId="28">
    <w:name w:val="font01"/>
    <w:basedOn w:val="22"/>
    <w:qFormat/>
    <w:uiPriority w:val="0"/>
    <w:rPr>
      <w:rFonts w:hint="eastAsia" w:ascii="宋体" w:hAnsi="宋体" w:eastAsia="宋体" w:cs="宋体"/>
      <w:color w:val="000000"/>
      <w:sz w:val="24"/>
      <w:szCs w:val="24"/>
      <w:u w:val="none"/>
    </w:rPr>
  </w:style>
  <w:style w:type="character" w:customStyle="1" w:styleId="29">
    <w:name w:val="font61"/>
    <w:basedOn w:val="22"/>
    <w:qFormat/>
    <w:uiPriority w:val="0"/>
    <w:rPr>
      <w:rFonts w:hint="eastAsia" w:ascii="宋体" w:hAnsi="宋体" w:eastAsia="宋体" w:cs="宋体"/>
      <w:color w:val="000000"/>
      <w:sz w:val="20"/>
      <w:szCs w:val="20"/>
      <w:u w:val="none"/>
    </w:rPr>
  </w:style>
  <w:style w:type="character" w:customStyle="1" w:styleId="30">
    <w:name w:val="font51"/>
    <w:basedOn w:val="22"/>
    <w:qFormat/>
    <w:uiPriority w:val="0"/>
    <w:rPr>
      <w:rFonts w:hint="eastAsia" w:ascii="宋体" w:hAnsi="宋体" w:eastAsia="宋体" w:cs="宋体"/>
      <w:color w:val="000000"/>
      <w:sz w:val="20"/>
      <w:szCs w:val="20"/>
      <w:u w:val="none"/>
    </w:rPr>
  </w:style>
  <w:style w:type="paragraph" w:styleId="31">
    <w:name w:val="No Spacing"/>
    <w:qFormat/>
    <w:uiPriority w:val="1"/>
    <w:pPr>
      <w:widowControl w:val="0"/>
      <w:jc w:val="both"/>
    </w:pPr>
    <w:rPr>
      <w:rFonts w:ascii="Calibri" w:hAnsi="Calibri" w:eastAsia="仿宋_GB2312" w:cs="Times New Roman"/>
      <w:kern w:val="2"/>
      <w:sz w:val="21"/>
      <w:szCs w:val="22"/>
      <w:lang w:val="en-US" w:eastAsia="zh-CN" w:bidi="ar-SA"/>
    </w:rPr>
  </w:style>
  <w:style w:type="paragraph" w:customStyle="1" w:styleId="32">
    <w:name w:val="样式 (中文) 仿宋_GB2312 三号"/>
    <w:qFormat/>
    <w:uiPriority w:val="0"/>
    <w:pPr>
      <w:widowControl w:val="0"/>
      <w:spacing w:before="50" w:after="50" w:line="560" w:lineRule="exact"/>
      <w:ind w:firstLine="600" w:firstLineChars="200"/>
    </w:pPr>
    <w:rPr>
      <w:rFonts w:ascii="仿宋_GB2312" w:hAnsi="宋体" w:eastAsia="仿宋_GB2312" w:cs="Times New Roman"/>
      <w:bCs/>
      <w:color w:val="000000"/>
      <w:kern w:val="2"/>
      <w:sz w:val="30"/>
      <w:szCs w:val="28"/>
      <w:lang w:val="en-US" w:eastAsia="zh-CN" w:bidi="ar-SA"/>
    </w:rPr>
  </w:style>
  <w:style w:type="paragraph" w:customStyle="1" w:styleId="33">
    <w:name w:val="闻政页码"/>
    <w:qFormat/>
    <w:uiPriority w:val="6"/>
    <w:pPr>
      <w:jc w:val="center"/>
    </w:pPr>
    <w:rPr>
      <w:rFonts w:ascii="Times New Roman" w:hAnsi="Times New Roman" w:eastAsia="Times New Roman" w:cs="Times New Roman"/>
      <w:sz w:val="21"/>
      <w:szCs w:val="28"/>
      <w:lang w:val="en-US" w:eastAsia="zh-CN" w:bidi="ar-SA"/>
    </w:rPr>
  </w:style>
  <w:style w:type="paragraph" w:customStyle="1" w:styleId="34">
    <w:name w:val="闻政封面项目信息"/>
    <w:next w:val="35"/>
    <w:qFormat/>
    <w:uiPriority w:val="0"/>
    <w:pPr>
      <w:widowControl w:val="0"/>
      <w:spacing w:before="120"/>
      <w:ind w:left="800" w:leftChars="800"/>
      <w:jc w:val="left"/>
    </w:pPr>
    <w:rPr>
      <w:rFonts w:ascii="Times New Roman" w:hAnsi="Times New Roman" w:eastAsia="黑体" w:cs="Times New Roman"/>
      <w:kern w:val="0"/>
      <w:sz w:val="28"/>
      <w:szCs w:val="28"/>
      <w:lang w:val="en-US" w:eastAsia="zh-CN" w:bidi="ar-SA"/>
    </w:rPr>
  </w:style>
  <w:style w:type="paragraph" w:customStyle="1" w:styleId="35">
    <w:name w:val="闻政封面完成时间"/>
    <w:qFormat/>
    <w:uiPriority w:val="0"/>
    <w:pPr>
      <w:widowControl w:val="0"/>
      <w:spacing w:before="120"/>
      <w:ind w:left="0" w:leftChars="0"/>
      <w:jc w:val="center"/>
    </w:pPr>
    <w:rPr>
      <w:rFonts w:ascii="Times New Roman" w:hAnsi="Times New Roman" w:eastAsia="黑体" w:cs="Times New Roman"/>
      <w:b/>
      <w:kern w:val="0"/>
      <w:sz w:val="28"/>
      <w:szCs w:val="28"/>
      <w:lang w:val="en-US" w:eastAsia="zh-CN" w:bidi="ar-SA"/>
    </w:rPr>
  </w:style>
  <w:style w:type="paragraph" w:customStyle="1" w:styleId="36">
    <w:name w:val="闻政摘要标题"/>
    <w:qFormat/>
    <w:uiPriority w:val="2"/>
    <w:pPr>
      <w:widowControl w:val="0"/>
      <w:spacing w:before="480" w:after="360"/>
      <w:jc w:val="center"/>
      <w:outlineLvl w:val="0"/>
    </w:pPr>
    <w:rPr>
      <w:rFonts w:ascii="Times New Roman" w:hAnsi="Times New Roman" w:eastAsia="黑体" w:cs="Times New Roman"/>
      <w:b/>
      <w:snapToGrid w:val="0"/>
      <w:kern w:val="2"/>
      <w:sz w:val="32"/>
      <w:szCs w:val="24"/>
      <w:lang w:val="en-US" w:eastAsia="zh-CN" w:bidi="ar-SA"/>
    </w:rPr>
  </w:style>
  <w:style w:type="paragraph" w:customStyle="1" w:styleId="37">
    <w:name w:val="正文-闻政"/>
    <w:link w:val="49"/>
    <w:qFormat/>
    <w:uiPriority w:val="0"/>
    <w:pPr>
      <w:spacing w:line="500" w:lineRule="exact"/>
      <w:ind w:firstLine="200" w:firstLineChars="200"/>
    </w:pPr>
    <w:rPr>
      <w:rFonts w:ascii="等线" w:hAnsi="等线" w:eastAsia="仿宋_GB2312" w:cs="Times New Roman"/>
      <w:kern w:val="2"/>
      <w:sz w:val="28"/>
      <w:szCs w:val="22"/>
      <w:lang w:val="en-US" w:eastAsia="zh-CN" w:bidi="ar-SA"/>
    </w:rPr>
  </w:style>
  <w:style w:type="paragraph" w:customStyle="1" w:styleId="38">
    <w:name w:val="闻政封面标题"/>
    <w:next w:val="34"/>
    <w:qFormat/>
    <w:uiPriority w:val="0"/>
    <w:pPr>
      <w:widowControl w:val="0"/>
      <w:spacing w:before="480" w:after="360"/>
      <w:jc w:val="center"/>
    </w:pPr>
    <w:rPr>
      <w:rFonts w:ascii="Times New Roman" w:hAnsi="Times New Roman" w:eastAsia="黑体" w:cs="Times New Roman"/>
      <w:b/>
      <w:snapToGrid w:val="0"/>
      <w:kern w:val="2"/>
      <w:sz w:val="32"/>
      <w:szCs w:val="24"/>
      <w:lang w:val="en-US" w:eastAsia="zh-CN" w:bidi="ar-SA"/>
    </w:rPr>
  </w:style>
  <w:style w:type="paragraph" w:customStyle="1" w:styleId="39">
    <w:name w:val="闻政表"/>
    <w:qFormat/>
    <w:uiPriority w:val="0"/>
    <w:pPr>
      <w:widowControl w:val="0"/>
      <w:spacing w:before="60" w:after="60"/>
      <w:jc w:val="center"/>
    </w:pPr>
    <w:rPr>
      <w:rFonts w:ascii="Times New Roman" w:hAnsi="Times New Roman" w:eastAsia="仿宋_GB2312" w:cs="Times New Roman"/>
      <w:b/>
      <w:kern w:val="2"/>
      <w:sz w:val="24"/>
      <w:szCs w:val="28"/>
      <w:lang w:val="en-US" w:eastAsia="zh-CN" w:bidi="ar-SA"/>
    </w:rPr>
  </w:style>
  <w:style w:type="character" w:customStyle="1" w:styleId="40">
    <w:name w:val="my正文 Char"/>
    <w:link w:val="41"/>
    <w:qFormat/>
    <w:uiPriority w:val="0"/>
    <w:rPr>
      <w:rFonts w:ascii="Times New Roman" w:hAnsi="Times New Roman" w:eastAsia="仿宋" w:cs="Times New Roman"/>
      <w:kern w:val="0"/>
      <w:sz w:val="28"/>
      <w:szCs w:val="24"/>
      <w:lang w:val="en-US" w:eastAsia="zh-CN" w:bidi="ar-SA"/>
    </w:rPr>
  </w:style>
  <w:style w:type="paragraph" w:customStyle="1" w:styleId="41">
    <w:name w:val="my正文"/>
    <w:link w:val="40"/>
    <w:qFormat/>
    <w:uiPriority w:val="0"/>
    <w:pPr>
      <w:widowControl w:val="0"/>
      <w:spacing w:line="360" w:lineRule="auto"/>
      <w:ind w:firstLine="496" w:firstLineChars="177"/>
      <w:jc w:val="both"/>
    </w:pPr>
    <w:rPr>
      <w:rFonts w:ascii="Times New Roman" w:hAnsi="Times New Roman" w:eastAsia="仿宋" w:cs="Times New Roman"/>
      <w:kern w:val="0"/>
      <w:sz w:val="28"/>
      <w:szCs w:val="24"/>
      <w:lang w:val="en-US" w:eastAsia="zh-CN" w:bidi="ar-SA"/>
    </w:rPr>
  </w:style>
  <w:style w:type="character" w:customStyle="1" w:styleId="42">
    <w:name w:val="闻政正文 Char"/>
    <w:link w:val="15"/>
    <w:qFormat/>
    <w:uiPriority w:val="3"/>
    <w:rPr>
      <w:rFonts w:ascii="Times New Roman" w:hAnsi="Times New Roman" w:eastAsia="仿宋_GB2312" w:cs="Times New Roman"/>
      <w:kern w:val="0"/>
      <w:sz w:val="28"/>
      <w:szCs w:val="28"/>
      <w:lang w:val="en-US" w:eastAsia="zh-CN" w:bidi="ar-SA"/>
    </w:rPr>
  </w:style>
  <w:style w:type="paragraph" w:customStyle="1" w:styleId="43">
    <w:name w:val="闻政附件标题"/>
    <w:qFormat/>
    <w:uiPriority w:val="5"/>
    <w:pPr>
      <w:widowControl w:val="0"/>
      <w:numPr>
        <w:ilvl w:val="5"/>
        <w:numId w:val="1"/>
      </w:numPr>
      <w:spacing w:before="120" w:after="60" w:line="240" w:lineRule="auto"/>
      <w:ind w:firstLine="200" w:firstLineChars="0"/>
      <w:jc w:val="both"/>
      <w:outlineLvl w:val="0"/>
    </w:pPr>
    <w:rPr>
      <w:rFonts w:ascii="Times New Roman" w:hAnsi="Times New Roman" w:eastAsia="黑体" w:cs="Times New Roman"/>
      <w:b/>
      <w:kern w:val="0"/>
      <w:sz w:val="32"/>
      <w:szCs w:val="28"/>
      <w:lang w:val="en-US" w:eastAsia="zh-CN" w:bidi="ar-SA"/>
    </w:rPr>
  </w:style>
  <w:style w:type="paragraph" w:customStyle="1" w:styleId="44">
    <w:name w:val="闻政表文字"/>
    <w:qFormat/>
    <w:uiPriority w:val="5"/>
    <w:pPr>
      <w:widowControl/>
      <w:pBdr>
        <w:between w:val="single" w:color="auto" w:sz="4" w:space="1"/>
      </w:pBdr>
      <w:spacing w:line="320" w:lineRule="exact"/>
      <w:ind w:firstLine="0" w:firstLineChars="0"/>
      <w:jc w:val="center"/>
    </w:pPr>
    <w:rPr>
      <w:rFonts w:ascii="Times New Roman" w:hAnsi="Times New Roman" w:eastAsia="宋体" w:cs="宋体"/>
      <w:bCs/>
      <w:color w:val="000000"/>
      <w:kern w:val="0"/>
      <w:sz w:val="22"/>
      <w:szCs w:val="22"/>
      <w:lang w:val="en-US" w:eastAsia="zh-CN" w:bidi="ar-SA"/>
    </w:rPr>
  </w:style>
  <w:style w:type="paragraph" w:customStyle="1" w:styleId="45">
    <w:name w:val="正文文本样式"/>
    <w:qFormat/>
    <w:uiPriority w:val="0"/>
    <w:pPr>
      <w:spacing w:line="360" w:lineRule="auto"/>
      <w:ind w:firstLine="480" w:firstLineChars="200"/>
    </w:pPr>
    <w:rPr>
      <w:rFonts w:ascii="Arial" w:hAnsi="Arial" w:eastAsia="宋体" w:cs="Times New Roman"/>
      <w:kern w:val="2"/>
      <w:sz w:val="24"/>
      <w:szCs w:val="22"/>
      <w:lang w:val="en-US" w:eastAsia="zh-CN" w:bidi="ar-SA"/>
    </w:rPr>
  </w:style>
  <w:style w:type="paragraph" w:customStyle="1" w:styleId="46">
    <w:name w:val="闻政附件一级标题"/>
    <w:next w:val="47"/>
    <w:qFormat/>
    <w:uiPriority w:val="7"/>
    <w:pPr>
      <w:widowControl w:val="0"/>
      <w:spacing w:before="120" w:after="60" w:line="500" w:lineRule="exact"/>
      <w:ind w:firstLine="0" w:firstLineChars="0"/>
      <w:jc w:val="left"/>
    </w:pPr>
    <w:rPr>
      <w:rFonts w:ascii="Times New Roman" w:hAnsi="Times New Roman" w:eastAsia="仿宋_GB2312" w:cs="宋体"/>
      <w:b/>
      <w:kern w:val="0"/>
      <w:sz w:val="28"/>
      <w:szCs w:val="28"/>
      <w:lang w:val="en-US" w:eastAsia="zh-CN" w:bidi="ar-SA"/>
    </w:rPr>
  </w:style>
  <w:style w:type="paragraph" w:customStyle="1" w:styleId="47">
    <w:name w:val="闻政附件正文"/>
    <w:qFormat/>
    <w:uiPriority w:val="99"/>
    <w:pPr>
      <w:widowControl w:val="0"/>
      <w:spacing w:line="500" w:lineRule="exact"/>
      <w:ind w:firstLine="200" w:firstLineChars="200"/>
      <w:jc w:val="both"/>
    </w:pPr>
    <w:rPr>
      <w:rFonts w:ascii="Times New Roman" w:hAnsi="Times New Roman" w:eastAsia="仿宋_GB2312" w:cs="Times New Roman"/>
      <w:kern w:val="0"/>
      <w:sz w:val="24"/>
      <w:szCs w:val="28"/>
      <w:lang w:val="en-US" w:eastAsia="zh-CN" w:bidi="ar-SA"/>
    </w:rPr>
  </w:style>
  <w:style w:type="paragraph" w:customStyle="1" w:styleId="48">
    <w:name w:val="闻政附件报告名"/>
    <w:qFormat/>
    <w:uiPriority w:val="9"/>
    <w:pPr>
      <w:widowControl w:val="0"/>
      <w:spacing w:before="120" w:after="60" w:line="500" w:lineRule="exact"/>
      <w:ind w:firstLine="0" w:firstLineChars="0"/>
      <w:jc w:val="center"/>
    </w:pPr>
    <w:rPr>
      <w:rFonts w:ascii="Times New Roman" w:hAnsi="Times New Roman" w:eastAsia="仿宋_GB2312" w:cs="Times New Roman"/>
      <w:b/>
      <w:kern w:val="0"/>
      <w:sz w:val="28"/>
      <w:szCs w:val="28"/>
      <w:lang w:val="en-US" w:eastAsia="zh-CN" w:bidi="ar-SA"/>
    </w:rPr>
  </w:style>
  <w:style w:type="character" w:customStyle="1" w:styleId="49">
    <w:name w:val="正文-闻政 Char"/>
    <w:link w:val="37"/>
    <w:qFormat/>
    <w:uiPriority w:val="0"/>
    <w:rPr>
      <w:rFonts w:ascii="等线" w:hAnsi="等线" w:eastAsia="仿宋_GB2312"/>
      <w:kern w:val="2"/>
      <w:sz w:val="28"/>
      <w:szCs w:val="22"/>
      <w:lang w:val="en-US" w:eastAsia="zh-CN" w:bidi="ar-SA"/>
    </w:rPr>
  </w:style>
  <w:style w:type="paragraph" w:customStyle="1" w:styleId="50">
    <w:name w:val="列出段落1"/>
    <w:qFormat/>
    <w:uiPriority w:val="34"/>
    <w:pPr>
      <w:widowControl w:val="0"/>
      <w:ind w:firstLine="420" w:firstLineChars="200"/>
      <w:jc w:val="both"/>
    </w:pPr>
    <w:rPr>
      <w:rFonts w:ascii="Calibri" w:hAnsi="Calibri" w:eastAsia="宋体" w:cs="Times New Roman"/>
      <w:kern w:val="0"/>
      <w:sz w:val="20"/>
      <w:szCs w:val="20"/>
      <w:lang w:val="en-US" w:eastAsia="zh-CN" w:bidi="ar-SA"/>
    </w:rPr>
  </w:style>
  <w:style w:type="paragraph" w:customStyle="1" w:styleId="51">
    <w:name w:val="正文首行缩进1"/>
    <w:qFormat/>
    <w:uiPriority w:val="0"/>
    <w:pPr>
      <w:spacing w:after="120"/>
      <w:ind w:firstLine="420"/>
    </w:pPr>
    <w:rPr>
      <w:rFonts w:eastAsia="Calibri" w:cs="Calibri" w:asciiTheme="minorHAnsi" w:hAnsiTheme="minorHAnsi"/>
      <w:color w:val="000000"/>
      <w:kern w:val="2"/>
      <w:sz w:val="21"/>
      <w:szCs w:val="21"/>
      <w:lang w:val="en-US" w:eastAsia="zh-CN" w:bidi="ar-SA"/>
    </w:rPr>
  </w:style>
  <w:style w:type="paragraph" w:customStyle="1" w:styleId="52">
    <w:name w:val="BodyText1I2"/>
    <w:basedOn w:val="1"/>
    <w:qFormat/>
    <w:uiPriority w:val="0"/>
    <w:pPr>
      <w:widowControl/>
      <w:spacing w:after="156"/>
      <w:ind w:left="420" w:leftChars="200" w:firstLine="420"/>
      <w:jc w:val="left"/>
    </w:pPr>
    <w:rPr>
      <w:color w:val="000000"/>
      <w:sz w:val="24"/>
      <w:szCs w:val="20"/>
    </w:rPr>
  </w:style>
  <w:style w:type="character" w:customStyle="1" w:styleId="53">
    <w:name w:val="NormalCharacter"/>
    <w:semiHidden/>
    <w:qFormat/>
    <w:uiPriority w:val="0"/>
    <w:rPr>
      <w:rFonts w:hint="default" w:ascii="Times New Roman" w:hAnsi="Times New Roman" w:eastAsia="仿宋_GB2312" w:cs="Times New Roman"/>
      <w:kern w:val="2"/>
      <w:sz w:val="30"/>
      <w:szCs w:val="24"/>
      <w:lang w:val="en-US" w:eastAsia="zh-CN" w:bidi="ar-SA"/>
    </w:rPr>
  </w:style>
  <w:style w:type="paragraph" w:customStyle="1" w:styleId="54">
    <w:name w:val="样式11"/>
    <w:basedOn w:val="1"/>
    <w:qFormat/>
    <w:uiPriority w:val="0"/>
    <w:pPr>
      <w:spacing w:line="600" w:lineRule="exact"/>
      <w:ind w:firstLine="602" w:firstLineChars="200"/>
    </w:pPr>
    <w:rPr>
      <w:rFonts w:ascii="宋体" w:hAnsi="宋体" w:eastAsiaTheme="minorEastAsia" w:cstheme="minorBidi"/>
      <w:b/>
      <w:sz w:val="30"/>
      <w:szCs w:val="30"/>
    </w:rPr>
  </w:style>
  <w:style w:type="paragraph" w:customStyle="1" w:styleId="55">
    <w:name w:val="正文 A"/>
    <w:qFormat/>
    <w:uiPriority w:val="0"/>
    <w:pPr>
      <w:widowControl w:val="0"/>
      <w:jc w:val="both"/>
    </w:pPr>
    <w:rPr>
      <w:rFonts w:ascii="Times New Roman" w:hAnsi="Arial Unicode MS" w:eastAsia="Arial Unicode MS" w:cs="Arial Unicode MS"/>
      <w:color w:val="000000"/>
      <w:kern w:val="2"/>
      <w:sz w:val="21"/>
      <w:szCs w:val="21"/>
      <w:u w:color="000000"/>
      <w:lang w:val="en-US" w:eastAsia="zh-CN" w:bidi="ar-SA"/>
    </w:rPr>
  </w:style>
  <w:style w:type="paragraph" w:customStyle="1" w:styleId="56">
    <w:name w:val="首行缩进"/>
    <w:basedOn w:val="1"/>
    <w:qFormat/>
    <w:uiPriority w:val="99"/>
    <w:pPr>
      <w:spacing w:line="360" w:lineRule="auto"/>
      <w:ind w:firstLine="480" w:firstLineChars="200"/>
    </w:pPr>
    <w:rPr>
      <w:rFonts w:ascii="宋体" w:hAnsi="宋体" w:cs="宋体"/>
      <w:kern w:val="0"/>
    </w:rPr>
  </w:style>
  <w:style w:type="paragraph" w:customStyle="1" w:styleId="57">
    <w:name w:val="Style1"/>
    <w:basedOn w:val="1"/>
    <w:qFormat/>
    <w:uiPriority w:val="0"/>
    <w:pPr>
      <w:widowControl/>
      <w:tabs>
        <w:tab w:val="left" w:pos="-720"/>
      </w:tabs>
      <w:spacing w:after="120" w:line="400" w:lineRule="exact"/>
      <w:ind w:firstLine="200" w:firstLineChars="200"/>
    </w:pPr>
    <w:rPr>
      <w:rFonts w:ascii="Times New Roman" w:hAnsi="Times New Roman"/>
      <w:spacing w:val="-3"/>
      <w:kern w:val="0"/>
      <w:sz w:val="24"/>
      <w:lang w:val="en-AU" w:eastAsia="en-US"/>
    </w:rPr>
  </w:style>
  <w:style w:type="character" w:customStyle="1" w:styleId="58">
    <w:name w:val="副标题 Char"/>
    <w:basedOn w:val="22"/>
    <w:link w:val="12"/>
    <w:qFormat/>
    <w:uiPriority w:val="11"/>
    <w:rPr>
      <w:rFonts w:asciiTheme="majorHAnsi" w:hAnsiTheme="majorHAnsi" w:eastAsiaTheme="majorEastAsia" w:cstheme="majorBidi"/>
      <w:i/>
      <w:iCs/>
      <w:color w:val="5B9BD5" w:themeColor="accent1"/>
      <w:spacing w:val="15"/>
      <w:kern w:val="0"/>
      <w:sz w:val="24"/>
      <w:szCs w:val="24"/>
      <w14:textFill>
        <w14:solidFill>
          <w14:schemeClr w14:val="accent1"/>
        </w14:solidFill>
      </w14:textFill>
    </w:rPr>
  </w:style>
  <w:style w:type="paragraph" w:customStyle="1" w:styleId="59">
    <w:name w:val="p0"/>
    <w:basedOn w:val="1"/>
    <w:qFormat/>
    <w:uiPriority w:val="0"/>
    <w:pPr>
      <w:widowControl/>
    </w:pPr>
    <w:rPr>
      <w:kern w:val="0"/>
      <w:szCs w:val="21"/>
    </w:rPr>
  </w:style>
</w:styles>
</file>

<file path=word/_rels/document.xml.rels><?xml version="1.0" encoding="UTF-8" standalone="yes"?>
<Relationships xmlns="http://schemas.openxmlformats.org/package/2006/relationships"><Relationship Id="rId9" Type="http://schemas.openxmlformats.org/officeDocument/2006/relationships/header" Target="header4.xml"/><Relationship Id="rId8" Type="http://schemas.openxmlformats.org/officeDocument/2006/relationships/footer" Target="footer3.xml"/><Relationship Id="rId7" Type="http://schemas.openxmlformats.org/officeDocument/2006/relationships/footer" Target="footer2.xml"/><Relationship Id="rId6" Type="http://schemas.openxmlformats.org/officeDocument/2006/relationships/footer" Target="footer1.xml"/><Relationship Id="rId5" Type="http://schemas.openxmlformats.org/officeDocument/2006/relationships/header" Target="header3.xml"/><Relationship Id="rId4" Type="http://schemas.openxmlformats.org/officeDocument/2006/relationships/header" Target="header2.xml"/><Relationship Id="rId3" Type="http://schemas.openxmlformats.org/officeDocument/2006/relationships/header" Target="header1.xml"/><Relationship Id="rId28" Type="http://schemas.openxmlformats.org/officeDocument/2006/relationships/fontTable" Target="fontTable.xml"/><Relationship Id="rId27" Type="http://schemas.openxmlformats.org/officeDocument/2006/relationships/numbering" Target="numbering.xml"/><Relationship Id="rId26" Type="http://schemas.openxmlformats.org/officeDocument/2006/relationships/customXml" Target="../customXml/item1.xml"/><Relationship Id="rId25" Type="http://schemas.openxmlformats.org/officeDocument/2006/relationships/theme" Target="theme/theme1.xml"/><Relationship Id="rId24" Type="http://schemas.openxmlformats.org/officeDocument/2006/relationships/footer" Target="footer11.xml"/><Relationship Id="rId23" Type="http://schemas.openxmlformats.org/officeDocument/2006/relationships/header" Target="header11.xml"/><Relationship Id="rId22" Type="http://schemas.openxmlformats.org/officeDocument/2006/relationships/footer" Target="footer10.xml"/><Relationship Id="rId21" Type="http://schemas.openxmlformats.org/officeDocument/2006/relationships/footer" Target="footer9.xml"/><Relationship Id="rId20" Type="http://schemas.openxmlformats.org/officeDocument/2006/relationships/footer" Target="footer8.xml"/><Relationship Id="rId2" Type="http://schemas.openxmlformats.org/officeDocument/2006/relationships/settings" Target="settings.xml"/><Relationship Id="rId19" Type="http://schemas.openxmlformats.org/officeDocument/2006/relationships/header" Target="header10.xml"/><Relationship Id="rId18" Type="http://schemas.openxmlformats.org/officeDocument/2006/relationships/header" Target="header9.xml"/><Relationship Id="rId17" Type="http://schemas.openxmlformats.org/officeDocument/2006/relationships/header" Target="header8.xml"/><Relationship Id="rId16" Type="http://schemas.openxmlformats.org/officeDocument/2006/relationships/footer" Target="footer7.xml"/><Relationship Id="rId15" Type="http://schemas.openxmlformats.org/officeDocument/2006/relationships/footer" Target="footer6.xml"/><Relationship Id="rId14" Type="http://schemas.openxmlformats.org/officeDocument/2006/relationships/footer" Target="footer5.xml"/><Relationship Id="rId13" Type="http://schemas.openxmlformats.org/officeDocument/2006/relationships/header" Target="header7.xml"/><Relationship Id="rId12" Type="http://schemas.openxmlformats.org/officeDocument/2006/relationships/header" Target="header6.xml"/><Relationship Id="rId11" Type="http://schemas.openxmlformats.org/officeDocument/2006/relationships/header" Target="header5.xml"/><Relationship Id="rId10" Type="http://schemas.openxmlformats.org/officeDocument/2006/relationships/footer" Target="footer4.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37</Pages>
  <Words>15052</Words>
  <Characters>16317</Characters>
  <Lines>0</Lines>
  <Paragraphs>0</Paragraphs>
  <TotalTime>0</TotalTime>
  <ScaleCrop>false</ScaleCrop>
  <LinksUpToDate>false</LinksUpToDate>
  <CharactersWithSpaces>16344</CharactersWithSpaces>
  <Application>WPS Office_11.1.0.15319_F1E327BC-269C-435d-A152-05C5408002CA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2021-05-15T08:41:00Z</dcterms:created>
  <dc:creator>刘鹏</dc:creator>
  <cp:lastModifiedBy>座头鲸9395</cp:lastModifiedBy>
  <cp:lastPrinted>2022-11-11T08:34:00Z</cp:lastPrinted>
  <dcterms:modified xsi:type="dcterms:W3CDTF">2024-12-31T06:08:54Z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2052-11.1.0.15319</vt:lpwstr>
  </property>
  <property fmtid="{D5CDD505-2E9C-101B-9397-08002B2CF9AE}" pid="3" name="ICV">
    <vt:lpwstr>EBADD4697C0E4E92B65CF4F64EB6DB9B_13</vt:lpwstr>
  </property>
</Properties>
</file>