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20" w:lineRule="exact"/>
        <w:rPr>
          <w:rFonts w:hint="eastAsia" w:ascii="Times New Roman" w:hAnsi="Times New Roman" w:eastAsia="仿宋_GB2312"/>
          <w:sz w:val="32"/>
          <w:szCs w:val="32"/>
          <w:lang w:eastAsia="zh-CN"/>
        </w:rPr>
      </w:pPr>
      <w:r>
        <w:rPr>
          <w:rFonts w:ascii="Times New Roman" w:hAnsi="Times New Roman" w:eastAsia="仿宋_GB2312"/>
          <w:sz w:val="32"/>
          <w:szCs w:val="32"/>
        </w:rPr>
        <w:t>WDDR-2021-014000</w:t>
      </w:r>
      <w:r>
        <w:rPr>
          <w:rFonts w:hint="eastAsia" w:ascii="Times New Roman" w:hAnsi="Times New Roman" w:eastAsia="仿宋_GB2312"/>
          <w:sz w:val="32"/>
          <w:szCs w:val="32"/>
          <w:lang w:val="en-US" w:eastAsia="zh-CN"/>
        </w:rPr>
        <w:t>3</w:t>
      </w:r>
    </w:p>
    <w:p>
      <w:pPr>
        <w:spacing w:line="560" w:lineRule="exact"/>
        <w:jc w:val="both"/>
        <w:rPr>
          <w:rFonts w:eastAsia="方正小标宋简体"/>
          <w:sz w:val="44"/>
          <w:szCs w:val="44"/>
        </w:rPr>
      </w:pPr>
    </w:p>
    <w:p>
      <w:pPr>
        <w:spacing w:line="560" w:lineRule="exact"/>
        <w:jc w:val="both"/>
        <w:rPr>
          <w:rFonts w:hint="eastAsia" w:eastAsia="方正小标宋简体"/>
          <w:sz w:val="44"/>
          <w:szCs w:val="44"/>
          <w:lang w:eastAsia="zh-CN"/>
        </w:rPr>
      </w:pPr>
      <w:bookmarkStart w:id="0" w:name="_GoBack"/>
      <w:bookmarkEnd w:id="0"/>
    </w:p>
    <w:p>
      <w:pPr>
        <w:spacing w:line="560" w:lineRule="exact"/>
        <w:jc w:val="center"/>
        <w:rPr>
          <w:rFonts w:hint="eastAsia" w:eastAsia="方正小标宋简体"/>
          <w:sz w:val="44"/>
          <w:szCs w:val="44"/>
          <w:lang w:eastAsia="zh-CN"/>
        </w:rPr>
      </w:pPr>
      <w:r>
        <w:rPr>
          <w:rFonts w:hint="eastAsia" w:eastAsia="方正小标宋简体"/>
          <w:sz w:val="44"/>
          <w:szCs w:val="44"/>
          <w:lang w:eastAsia="zh-CN"/>
        </w:rPr>
        <w:t>威海市文登区住房和城乡建设局</w:t>
      </w:r>
    </w:p>
    <w:p>
      <w:pPr>
        <w:spacing w:line="560" w:lineRule="exact"/>
        <w:jc w:val="center"/>
        <w:rPr>
          <w:rFonts w:hint="default" w:ascii="Times New Roman" w:hAnsi="Times New Roman" w:eastAsia="仿宋_GB2312" w:cs="Times New Roman"/>
          <w:color w:val="000000"/>
          <w:spacing w:val="-34"/>
          <w:sz w:val="32"/>
          <w:szCs w:val="32"/>
          <w:lang w:eastAsia="zh-CN"/>
        </w:rPr>
      </w:pPr>
      <w:r>
        <w:rPr>
          <w:rFonts w:hint="eastAsia" w:eastAsia="方正小标宋简体"/>
          <w:spacing w:val="-34"/>
          <w:sz w:val="44"/>
          <w:szCs w:val="44"/>
          <w:lang w:val="en-US" w:eastAsia="zh-CN"/>
        </w:rPr>
        <w:t>中国人民银行文登支行  威海银保监分局文登监管组</w:t>
      </w:r>
    </w:p>
    <w:p>
      <w:pPr>
        <w:spacing w:line="560" w:lineRule="exact"/>
        <w:jc w:val="center"/>
        <w:rPr>
          <w:rStyle w:val="13"/>
          <w:rFonts w:hint="eastAsia" w:ascii="Times New Roman" w:hAnsi="Times New Roman" w:eastAsia="方正小标宋简体" w:cs="Times New Roman"/>
          <w:b w:val="0"/>
          <w:bCs w:val="0"/>
          <w:i w:val="0"/>
          <w:caps w:val="0"/>
          <w:snapToGrid w:val="0"/>
          <w:spacing w:val="0"/>
          <w:w w:val="100"/>
          <w:kern w:val="2"/>
          <w:sz w:val="44"/>
          <w:szCs w:val="44"/>
          <w:lang w:val="en-US" w:eastAsia="zh-CN" w:bidi="ar-SA"/>
        </w:rPr>
      </w:pPr>
      <w:r>
        <w:rPr>
          <w:rStyle w:val="13"/>
          <w:rFonts w:hint="eastAsia" w:ascii="Times New Roman" w:hAnsi="Times New Roman" w:eastAsia="方正小标宋简体" w:cs="Times New Roman"/>
          <w:b w:val="0"/>
          <w:bCs w:val="0"/>
          <w:i w:val="0"/>
          <w:caps w:val="0"/>
          <w:snapToGrid w:val="0"/>
          <w:spacing w:val="0"/>
          <w:w w:val="100"/>
          <w:kern w:val="2"/>
          <w:sz w:val="44"/>
          <w:szCs w:val="44"/>
          <w:lang w:val="en-US" w:eastAsia="zh-CN" w:bidi="ar-SA"/>
        </w:rPr>
        <w:t>关于印发《</w:t>
      </w:r>
      <w:r>
        <w:rPr>
          <w:rStyle w:val="13"/>
          <w:rFonts w:hint="default" w:ascii="Times New Roman" w:hAnsi="Times New Roman" w:eastAsia="方正小标宋简体" w:cs="Times New Roman"/>
          <w:b w:val="0"/>
          <w:bCs w:val="0"/>
          <w:i w:val="0"/>
          <w:caps w:val="0"/>
          <w:snapToGrid w:val="0"/>
          <w:spacing w:val="0"/>
          <w:w w:val="100"/>
          <w:kern w:val="2"/>
          <w:sz w:val="44"/>
          <w:szCs w:val="44"/>
          <w:lang w:val="en-US" w:eastAsia="zh-CN" w:bidi="ar-SA"/>
        </w:rPr>
        <w:t>威海市文登区商品房预售资金监管暂行办法</w:t>
      </w:r>
      <w:r>
        <w:rPr>
          <w:rStyle w:val="13"/>
          <w:rFonts w:hint="eastAsia" w:ascii="Times New Roman" w:hAnsi="Times New Roman" w:eastAsia="方正小标宋简体" w:cs="Times New Roman"/>
          <w:b w:val="0"/>
          <w:bCs w:val="0"/>
          <w:i w:val="0"/>
          <w:caps w:val="0"/>
          <w:snapToGrid w:val="0"/>
          <w:spacing w:val="0"/>
          <w:w w:val="100"/>
          <w:kern w:val="2"/>
          <w:sz w:val="44"/>
          <w:szCs w:val="44"/>
          <w:lang w:val="en-US" w:eastAsia="zh-CN" w:bidi="ar-SA"/>
        </w:rPr>
        <w:t>》的通知</w:t>
      </w:r>
    </w:p>
    <w:p>
      <w:pPr>
        <w:spacing w:line="800" w:lineRule="exact"/>
        <w:jc w:val="center"/>
        <w:rPr>
          <w:rFonts w:hint="eastAsia"/>
          <w:sz w:val="32"/>
          <w:szCs w:val="32"/>
        </w:rPr>
      </w:pPr>
      <w:r>
        <w:rPr>
          <w:rFonts w:hint="eastAsia" w:eastAsia="仿宋"/>
          <w:sz w:val="32"/>
          <w:szCs w:val="32"/>
          <w:lang w:eastAsia="zh-CN"/>
        </w:rPr>
        <w:t>威文住建通字〔</w:t>
      </w:r>
      <w:r>
        <w:rPr>
          <w:rFonts w:eastAsia="仿宋"/>
          <w:sz w:val="32"/>
          <w:szCs w:val="32"/>
          <w:lang w:eastAsia="zh-CN"/>
        </w:rPr>
        <w:t>2021</w:t>
      </w:r>
      <w:r>
        <w:rPr>
          <w:rFonts w:hint="eastAsia" w:eastAsia="仿宋"/>
          <w:sz w:val="32"/>
          <w:szCs w:val="32"/>
          <w:lang w:eastAsia="zh-CN"/>
        </w:rPr>
        <w:t>〕</w:t>
      </w:r>
      <w:r>
        <w:rPr>
          <w:rFonts w:eastAsia="仿宋"/>
          <w:sz w:val="32"/>
          <w:szCs w:val="32"/>
          <w:lang w:eastAsia="zh-CN"/>
        </w:rPr>
        <w:t>1</w:t>
      </w:r>
      <w:r>
        <w:rPr>
          <w:rFonts w:hint="eastAsia" w:eastAsia="仿宋"/>
          <w:sz w:val="32"/>
          <w:szCs w:val="32"/>
          <w:lang w:val="en-US" w:eastAsia="zh-CN"/>
        </w:rPr>
        <w:t>3</w:t>
      </w:r>
      <w:r>
        <w:rPr>
          <w:rFonts w:hint="eastAsia" w:eastAsia="仿宋"/>
          <w:sz w:val="32"/>
          <w:szCs w:val="32"/>
          <w:lang w:eastAsia="zh-CN"/>
        </w:rPr>
        <w:t>号</w:t>
      </w:r>
    </w:p>
    <w:p>
      <w:pPr>
        <w:keepNext w:val="0"/>
        <w:keepLines w:val="0"/>
        <w:pageBreakBefore w:val="0"/>
        <w:widowControl/>
        <w:kinsoku/>
        <w:wordWrap/>
        <w:overflowPunct/>
        <w:topLinePunct w:val="0"/>
        <w:autoSpaceDE/>
        <w:autoSpaceDN/>
        <w:bidi w:val="0"/>
        <w:adjustRightInd w:val="0"/>
        <w:snapToGrid w:val="0"/>
        <w:spacing w:line="560" w:lineRule="exact"/>
        <w:textAlignment w:val="baseline"/>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各银行业金融机构，各房地产开发企业，</w:t>
      </w:r>
      <w:r>
        <w:rPr>
          <w:rFonts w:hint="default" w:ascii="Times New Roman" w:hAnsi="Times New Roman" w:eastAsia="仿宋_GB2312" w:cs="Times New Roman"/>
          <w:sz w:val="32"/>
          <w:szCs w:val="32"/>
          <w:lang w:eastAsia="zh-CN"/>
        </w:rPr>
        <w:t>区政府</w:t>
      </w:r>
      <w:r>
        <w:rPr>
          <w:rFonts w:hint="default" w:ascii="Times New Roman" w:hAnsi="Times New Roman" w:eastAsia="仿宋_GB2312" w:cs="Times New Roman"/>
          <w:sz w:val="32"/>
          <w:szCs w:val="32"/>
        </w:rPr>
        <w:t>各有关单位</w:t>
      </w:r>
      <w:r>
        <w:rPr>
          <w:rFonts w:hint="default" w:ascii="Times New Roman" w:hAnsi="Times New Roman" w:eastAsia="仿宋_GB2312" w:cs="Times New Roman"/>
          <w:sz w:val="32"/>
          <w:szCs w:val="32"/>
          <w:lang w:eastAsia="zh-CN"/>
        </w:rPr>
        <w:t>：</w:t>
      </w:r>
    </w:p>
    <w:p>
      <w:pPr>
        <w:pStyle w:val="12"/>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威海市文登区商品房预售资金监管暂行办法</w:t>
      </w:r>
      <w:r>
        <w:rPr>
          <w:rFonts w:hint="default" w:ascii="Times New Roman" w:hAnsi="Times New Roman" w:eastAsia="仿宋_GB2312" w:cs="Times New Roman"/>
          <w:sz w:val="32"/>
          <w:szCs w:val="32"/>
          <w:lang w:eastAsia="zh-CN"/>
        </w:rPr>
        <w:t>》已经区政府第</w:t>
      </w:r>
      <w:r>
        <w:rPr>
          <w:rFonts w:hint="eastAsia" w:eastAsia="仿宋_GB2312" w:cs="Times New Roman"/>
          <w:sz w:val="32"/>
          <w:szCs w:val="32"/>
          <w:lang w:val="en-US" w:eastAsia="zh-CN"/>
        </w:rPr>
        <w:t>60</w:t>
      </w:r>
      <w:r>
        <w:rPr>
          <w:rFonts w:hint="default" w:ascii="Times New Roman" w:hAnsi="Times New Roman" w:eastAsia="仿宋_GB2312" w:cs="Times New Roman"/>
          <w:sz w:val="32"/>
          <w:szCs w:val="32"/>
          <w:lang w:val="en-US" w:eastAsia="zh-CN"/>
        </w:rPr>
        <w:t>次常务会议</w:t>
      </w:r>
      <w:r>
        <w:rPr>
          <w:rFonts w:hint="default" w:ascii="Times New Roman" w:hAnsi="Times New Roman" w:eastAsia="仿宋_GB2312" w:cs="Times New Roman"/>
          <w:sz w:val="32"/>
          <w:szCs w:val="32"/>
          <w:lang w:eastAsia="zh-CN"/>
        </w:rPr>
        <w:t>同意，现印发给你们，请认真</w:t>
      </w:r>
      <w:r>
        <w:rPr>
          <w:rFonts w:hint="eastAsia" w:eastAsia="仿宋_GB2312" w:cs="Times New Roman"/>
          <w:sz w:val="32"/>
          <w:szCs w:val="32"/>
          <w:lang w:eastAsia="zh-CN"/>
        </w:rPr>
        <w:t>贯彻落实</w:t>
      </w:r>
      <w:r>
        <w:rPr>
          <w:rFonts w:hint="default" w:ascii="Times New Roman" w:hAnsi="Times New Roman" w:eastAsia="仿宋_GB2312" w:cs="Times New Roman"/>
          <w:sz w:val="32"/>
          <w:szCs w:val="32"/>
          <w:lang w:eastAsia="zh-CN"/>
        </w:rPr>
        <w:t>。</w:t>
      </w:r>
    </w:p>
    <w:p>
      <w:pPr>
        <w:pStyle w:val="12"/>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lang w:eastAsia="zh-CN"/>
        </w:rPr>
      </w:pPr>
    </w:p>
    <w:p>
      <w:pPr>
        <w:rPr>
          <w:rFonts w:hint="default" w:ascii="Times New Roman" w:hAnsi="Times New Roman" w:eastAsia="仿宋_GB2312" w:cs="Times New Roman"/>
          <w:sz w:val="32"/>
          <w:szCs w:val="32"/>
          <w:lang w:eastAsia="zh-CN"/>
        </w:rPr>
      </w:pPr>
    </w:p>
    <w:p>
      <w:pPr>
        <w:pStyle w:val="2"/>
        <w:rPr>
          <w:rFonts w:hint="default"/>
          <w:lang w:eastAsia="zh-CN"/>
        </w:rPr>
      </w:pPr>
    </w:p>
    <w:p>
      <w:pPr>
        <w:pStyle w:val="12"/>
        <w:keepNext w:val="0"/>
        <w:keepLines w:val="0"/>
        <w:pageBreakBefore w:val="0"/>
        <w:widowControl/>
        <w:kinsoku/>
        <w:wordWrap/>
        <w:overflowPunct/>
        <w:topLinePunct w:val="0"/>
        <w:autoSpaceDE/>
        <w:autoSpaceDN/>
        <w:bidi w:val="0"/>
        <w:adjustRightInd w:val="0"/>
        <w:snapToGrid w:val="0"/>
        <w:spacing w:line="560" w:lineRule="exact"/>
        <w:ind w:firstLine="320" w:firstLineChars="100"/>
        <w:jc w:val="left"/>
        <w:textAlignment w:val="baseline"/>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sz w:val="32"/>
          <w:szCs w:val="32"/>
          <w:lang w:eastAsia="zh-CN"/>
        </w:rPr>
        <w:t>威海市文登区住房和城乡建设局</w:t>
      </w:r>
      <w:r>
        <w:rPr>
          <w:rFonts w:hint="eastAsia" w:eastAsia="仿宋_GB2312" w:cs="Times New Roman"/>
          <w:sz w:val="32"/>
          <w:szCs w:val="32"/>
          <w:lang w:val="en-US" w:eastAsia="zh-CN"/>
        </w:rPr>
        <w:t xml:space="preserve">  </w:t>
      </w:r>
      <w:r>
        <w:rPr>
          <w:rFonts w:hint="default" w:ascii="Times New Roman" w:hAnsi="Times New Roman" w:eastAsia="仿宋_GB2312" w:cs="Times New Roman"/>
          <w:color w:val="000000"/>
          <w:sz w:val="32"/>
          <w:szCs w:val="32"/>
          <w:lang w:eastAsia="zh-CN"/>
        </w:rPr>
        <w:t>中国人民银行文登支行</w:t>
      </w:r>
    </w:p>
    <w:p>
      <w:pPr>
        <w:pStyle w:val="12"/>
        <w:keepNext w:val="0"/>
        <w:keepLines w:val="0"/>
        <w:pageBreakBefore w:val="0"/>
        <w:widowControl/>
        <w:kinsoku/>
        <w:wordWrap/>
        <w:overflowPunct/>
        <w:topLinePunct w:val="0"/>
        <w:autoSpaceDE/>
        <w:autoSpaceDN/>
        <w:bidi w:val="0"/>
        <w:adjustRightInd w:val="0"/>
        <w:snapToGrid w:val="0"/>
        <w:spacing w:line="560" w:lineRule="exact"/>
        <w:ind w:firstLine="4800" w:firstLineChars="1500"/>
        <w:textAlignment w:val="baseline"/>
        <w:rPr>
          <w:rFonts w:hint="eastAsia" w:ascii="Times New Roman" w:hAnsi="Times New Roman" w:eastAsia="仿宋_GB2312" w:cs="Times New Roman"/>
          <w:color w:val="000000"/>
          <w:sz w:val="32"/>
          <w:szCs w:val="32"/>
          <w:lang w:eastAsia="zh-CN"/>
        </w:rPr>
      </w:pPr>
    </w:p>
    <w:p>
      <w:pPr>
        <w:keepNext w:val="0"/>
        <w:keepLines w:val="0"/>
        <w:pageBreakBefore w:val="0"/>
        <w:widowControl/>
        <w:kinsoku/>
        <w:wordWrap w:val="0"/>
        <w:overflowPunct/>
        <w:topLinePunct w:val="0"/>
        <w:autoSpaceDE/>
        <w:autoSpaceDN/>
        <w:bidi w:val="0"/>
        <w:adjustRightInd w:val="0"/>
        <w:snapToGrid w:val="0"/>
        <w:spacing w:line="560" w:lineRule="exact"/>
        <w:ind w:firstLine="640" w:firstLineChars="200"/>
        <w:jc w:val="right"/>
        <w:textAlignment w:val="baseline"/>
        <w:rPr>
          <w:rFonts w:hint="eastAsia"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eastAsia="zh-CN"/>
        </w:rPr>
        <w:t>威海银保监分局文登监管组</w:t>
      </w:r>
      <w:r>
        <w:rPr>
          <w:rFonts w:hint="eastAsia" w:eastAsia="仿宋_GB2312" w:cs="Times New Roman"/>
          <w:color w:val="000000"/>
          <w:sz w:val="32"/>
          <w:szCs w:val="32"/>
          <w:lang w:val="en-US" w:eastAsia="zh-CN"/>
        </w:rPr>
        <w:t xml:space="preserve">        </w:t>
      </w:r>
    </w:p>
    <w:p>
      <w:pPr>
        <w:pStyle w:val="2"/>
        <w:wordWrap/>
        <w:rPr>
          <w:rFonts w:hint="eastAsia" w:eastAsia="仿宋_GB2312" w:cs="Times New Roman"/>
          <w:color w:val="000000"/>
          <w:sz w:val="32"/>
          <w:szCs w:val="32"/>
          <w:lang w:val="en-US" w:eastAsia="zh-CN"/>
        </w:rPr>
      </w:pPr>
    </w:p>
    <w:p>
      <w:pPr>
        <w:pStyle w:val="2"/>
        <w:wordWrap/>
        <w:rPr>
          <w:rFonts w:hint="default" w:eastAsia="仿宋_GB2312" w:cs="Times New Roman"/>
          <w:color w:val="000000"/>
          <w:sz w:val="32"/>
          <w:szCs w:val="32"/>
          <w:lang w:val="en-US" w:eastAsia="zh-CN"/>
        </w:rPr>
      </w:pPr>
    </w:p>
    <w:p>
      <w:pPr>
        <w:keepNext w:val="0"/>
        <w:keepLines w:val="0"/>
        <w:pageBreakBefore w:val="0"/>
        <w:widowControl/>
        <w:kinsoku/>
        <w:wordWrap w:val="0"/>
        <w:overflowPunct/>
        <w:topLinePunct w:val="0"/>
        <w:autoSpaceDE/>
        <w:autoSpaceDN/>
        <w:bidi w:val="0"/>
        <w:adjustRightInd w:val="0"/>
        <w:snapToGrid w:val="0"/>
        <w:spacing w:line="560" w:lineRule="exact"/>
        <w:ind w:firstLine="640" w:firstLineChars="200"/>
        <w:jc w:val="right"/>
        <w:textAlignment w:val="baseline"/>
        <w:rPr>
          <w:rStyle w:val="13"/>
          <w:rFonts w:hint="default" w:ascii="Times New Roman" w:hAnsi="Times New Roman" w:eastAsia="方正小标宋简体" w:cs="Times New Roman"/>
          <w:b w:val="0"/>
          <w:bCs w:val="0"/>
          <w:i w:val="0"/>
          <w:caps w:val="0"/>
          <w:snapToGrid w:val="0"/>
          <w:spacing w:val="0"/>
          <w:w w:val="100"/>
          <w:kern w:val="2"/>
          <w:sz w:val="44"/>
          <w:szCs w:val="44"/>
          <w:lang w:val="en-US" w:eastAsia="zh-CN" w:bidi="ar-SA"/>
        </w:rPr>
      </w:pPr>
      <w:r>
        <w:rPr>
          <w:rFonts w:hint="default" w:ascii="Times New Roman" w:hAnsi="Times New Roman" w:eastAsia="仿宋_GB2312" w:cs="Times New Roman"/>
          <w:sz w:val="32"/>
          <w:szCs w:val="32"/>
          <w:lang w:val="en-US" w:eastAsia="zh-CN"/>
        </w:rPr>
        <w:t>2021年9月7日</w:t>
      </w:r>
      <w:r>
        <w:rPr>
          <w:rFonts w:hint="eastAsia" w:eastAsia="仿宋_GB2312" w:cs="Times New Roman"/>
          <w:sz w:val="32"/>
          <w:szCs w:val="32"/>
          <w:lang w:val="en-US" w:eastAsia="zh-CN"/>
        </w:rPr>
        <w:t xml:space="preserve">        </w:t>
      </w:r>
    </w:p>
    <w:p>
      <w:pPr>
        <w:rPr>
          <w:rStyle w:val="13"/>
          <w:rFonts w:hint="default" w:ascii="Times New Roman" w:hAnsi="Times New Roman" w:eastAsia="方正小标宋简体" w:cs="Times New Roman"/>
          <w:b w:val="0"/>
          <w:bCs w:val="0"/>
          <w:i w:val="0"/>
          <w:caps w:val="0"/>
          <w:snapToGrid w:val="0"/>
          <w:spacing w:val="0"/>
          <w:w w:val="100"/>
          <w:kern w:val="2"/>
          <w:sz w:val="44"/>
          <w:szCs w:val="44"/>
          <w:lang w:val="en-US" w:eastAsia="zh-CN" w:bidi="ar-SA"/>
        </w:rPr>
      </w:pPr>
      <w:r>
        <w:rPr>
          <w:rStyle w:val="13"/>
          <w:rFonts w:hint="default" w:ascii="Times New Roman" w:hAnsi="Times New Roman" w:eastAsia="方正小标宋简体" w:cs="Times New Roman"/>
          <w:b w:val="0"/>
          <w:bCs w:val="0"/>
          <w:i w:val="0"/>
          <w:caps w:val="0"/>
          <w:snapToGrid w:val="0"/>
          <w:spacing w:val="0"/>
          <w:w w:val="100"/>
          <w:kern w:val="2"/>
          <w:sz w:val="44"/>
          <w:szCs w:val="44"/>
          <w:lang w:val="en-US" w:eastAsia="zh-CN" w:bidi="ar-SA"/>
        </w:rPr>
        <w:br w:type="page"/>
      </w:r>
    </w:p>
    <w:p>
      <w:pPr>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baseline"/>
        <w:rPr>
          <w:rStyle w:val="13"/>
          <w:rFonts w:hint="default" w:ascii="Times New Roman" w:hAnsi="Times New Roman" w:eastAsia="方正小标宋简体" w:cs="Times New Roman"/>
          <w:b w:val="0"/>
          <w:bCs w:val="0"/>
          <w:i w:val="0"/>
          <w:caps w:val="0"/>
          <w:snapToGrid w:val="0"/>
          <w:spacing w:val="0"/>
          <w:w w:val="100"/>
          <w:kern w:val="2"/>
          <w:sz w:val="44"/>
          <w:szCs w:val="44"/>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baseline"/>
        <w:rPr>
          <w:rStyle w:val="13"/>
          <w:rFonts w:hint="default" w:ascii="Times New Roman" w:hAnsi="Times New Roman" w:eastAsia="方正小标宋简体" w:cs="Times New Roman"/>
          <w:b w:val="0"/>
          <w:bCs w:val="0"/>
          <w:i w:val="0"/>
          <w:caps w:val="0"/>
          <w:snapToGrid w:val="0"/>
          <w:spacing w:val="0"/>
          <w:w w:val="100"/>
          <w:kern w:val="2"/>
          <w:sz w:val="44"/>
          <w:szCs w:val="44"/>
          <w:lang w:val="en-US" w:eastAsia="zh-CN" w:bidi="ar-SA"/>
        </w:rPr>
      </w:pPr>
      <w:r>
        <w:rPr>
          <w:rStyle w:val="13"/>
          <w:rFonts w:hint="default" w:ascii="Times New Roman" w:hAnsi="Times New Roman" w:eastAsia="方正小标宋简体" w:cs="Times New Roman"/>
          <w:b w:val="0"/>
          <w:bCs w:val="0"/>
          <w:i w:val="0"/>
          <w:caps w:val="0"/>
          <w:snapToGrid w:val="0"/>
          <w:spacing w:val="0"/>
          <w:w w:val="100"/>
          <w:kern w:val="2"/>
          <w:sz w:val="44"/>
          <w:szCs w:val="44"/>
          <w:lang w:val="en-US" w:eastAsia="zh-CN" w:bidi="ar-SA"/>
        </w:rPr>
        <w:t>威海市文登区商品房预售资金监管暂行办法</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420" w:firstLineChars="200"/>
        <w:jc w:val="both"/>
        <w:textAlignment w:val="baseline"/>
        <w:rPr>
          <w:rStyle w:val="13"/>
          <w:rFonts w:hint="default" w:ascii="Times New Roman" w:hAnsi="Times New Roman" w:eastAsia="仿宋_GB2312" w:cs="Times New Roman"/>
          <w:b w:val="0"/>
          <w:i w:val="0"/>
          <w:caps w:val="0"/>
          <w:snapToGrid w:val="0"/>
          <w:spacing w:val="0"/>
          <w:w w:val="100"/>
          <w:kern w:val="2"/>
          <w:sz w:val="21"/>
          <w:szCs w:val="24"/>
          <w:lang w:val="en-US" w:eastAsia="zh-CN" w:bidi="ar-SA"/>
        </w:rPr>
      </w:pPr>
    </w:p>
    <w:p>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jc w:val="center"/>
        <w:textAlignment w:val="baseline"/>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t>第一章  总则</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pStyle w:val="1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baseline"/>
        <w:rPr>
          <w:rStyle w:val="13"/>
          <w:rFonts w:hint="default" w:ascii="Times New Roman" w:hAnsi="Times New Roman" w:eastAsia="仿宋_GB2312" w:cs="Times New Roman"/>
          <w:b w:val="0"/>
          <w:i w:val="0"/>
          <w:caps w:val="0"/>
          <w:snapToGrid w:val="0"/>
          <w:color w:val="000000"/>
          <w:spacing w:val="0"/>
          <w:w w:val="100"/>
          <w:kern w:val="0"/>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第一条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w:t>
      </w:r>
      <w:r>
        <w:rPr>
          <w:rStyle w:val="13"/>
          <w:rFonts w:hint="default" w:ascii="Times New Roman" w:hAnsi="Times New Roman" w:eastAsia="仿宋_GB2312" w:cs="Times New Roman"/>
          <w:b w:val="0"/>
          <w:i w:val="0"/>
          <w:caps w:val="0"/>
          <w:snapToGrid w:val="0"/>
          <w:color w:val="000000"/>
          <w:spacing w:val="0"/>
          <w:w w:val="100"/>
          <w:kern w:val="0"/>
          <w:sz w:val="32"/>
          <w:szCs w:val="32"/>
          <w:lang w:val="en-US" w:eastAsia="zh-CN" w:bidi="ar-SA"/>
        </w:rPr>
        <w:t xml:space="preserve"> 为促进我区房地产市场健康发展，维护商品房交易双方的合法权益，进一步加强商品房预售资金监督管理，保证商品房预售资金专款专用，根据《中华人民共和国城市房地产管理法》《城市商品房预售管理办法》《关于进一步加强房地产市场监管完善商品房预售制度有关问题的通知》</w:t>
      </w:r>
      <w:r>
        <w:rPr>
          <w:rStyle w:val="13"/>
          <w:rFonts w:hint="default" w:ascii="Times New Roman" w:hAnsi="Times New Roman" w:eastAsia="仿宋" w:cs="Times New Roman"/>
          <w:b w:val="0"/>
          <w:i w:val="0"/>
          <w:caps w:val="0"/>
          <w:snapToGrid w:val="0"/>
          <w:spacing w:val="0"/>
          <w:w w:val="100"/>
          <w:kern w:val="0"/>
          <w:sz w:val="32"/>
          <w:szCs w:val="32"/>
          <w:lang w:val="en-US" w:eastAsia="zh-CN" w:bidi="ar-SA"/>
        </w:rPr>
        <w:t>（建房</w:t>
      </w:r>
      <w:r>
        <w:rPr>
          <w:rStyle w:val="13"/>
          <w:rFonts w:hint="default" w:ascii="Times New Roman" w:hAnsi="Times New Roman" w:eastAsia="仿宋" w:cs="Times New Roman"/>
          <w:b w:val="0"/>
          <w:i w:val="0"/>
          <w:caps w:val="0"/>
          <w:snapToGrid w:val="0"/>
          <w:spacing w:val="0"/>
          <w:w w:val="100"/>
          <w:kern w:val="0"/>
          <w:sz w:val="32"/>
          <w:szCs w:val="32"/>
          <w:highlight w:val="none"/>
          <w:lang w:val="en-US" w:eastAsia="zh-CN" w:bidi="ar-SA"/>
        </w:rPr>
        <w:t>〔20</w:t>
      </w:r>
      <w:r>
        <w:rPr>
          <w:rStyle w:val="13"/>
          <w:rFonts w:hint="eastAsia" w:ascii="Times New Roman" w:hAnsi="Times New Roman" w:eastAsia="仿宋" w:cs="Times New Roman"/>
          <w:b w:val="0"/>
          <w:i w:val="0"/>
          <w:caps w:val="0"/>
          <w:snapToGrid w:val="0"/>
          <w:spacing w:val="0"/>
          <w:w w:val="100"/>
          <w:kern w:val="0"/>
          <w:sz w:val="32"/>
          <w:szCs w:val="32"/>
          <w:highlight w:val="none"/>
          <w:lang w:val="en-US" w:eastAsia="zh-CN" w:bidi="ar-SA"/>
        </w:rPr>
        <w:t>1</w:t>
      </w:r>
      <w:r>
        <w:rPr>
          <w:rStyle w:val="13"/>
          <w:rFonts w:hint="default" w:ascii="Times New Roman" w:hAnsi="Times New Roman" w:eastAsia="仿宋" w:cs="Times New Roman"/>
          <w:b w:val="0"/>
          <w:i w:val="0"/>
          <w:caps w:val="0"/>
          <w:snapToGrid w:val="0"/>
          <w:spacing w:val="0"/>
          <w:w w:val="100"/>
          <w:kern w:val="0"/>
          <w:sz w:val="32"/>
          <w:szCs w:val="32"/>
          <w:highlight w:val="none"/>
          <w:lang w:val="en-US" w:eastAsia="zh-CN" w:bidi="ar-SA"/>
        </w:rPr>
        <w:t>0〕</w:t>
      </w:r>
      <w:r>
        <w:rPr>
          <w:rStyle w:val="13"/>
          <w:rFonts w:hint="default" w:ascii="Times New Roman" w:hAnsi="Times New Roman" w:eastAsia="仿宋" w:cs="Times New Roman"/>
          <w:b w:val="0"/>
          <w:i w:val="0"/>
          <w:caps w:val="0"/>
          <w:snapToGrid w:val="0"/>
          <w:spacing w:val="0"/>
          <w:w w:val="100"/>
          <w:kern w:val="0"/>
          <w:sz w:val="32"/>
          <w:szCs w:val="32"/>
          <w:lang w:val="en-US" w:eastAsia="zh-CN" w:bidi="ar-SA"/>
        </w:rPr>
        <w:t>53号）、</w:t>
      </w:r>
      <w:r>
        <w:rPr>
          <w:rStyle w:val="13"/>
          <w:rFonts w:hint="default" w:ascii="Times New Roman" w:hAnsi="Times New Roman" w:eastAsia="仿宋_GB2312" w:cs="Times New Roman"/>
          <w:b w:val="0"/>
          <w:i w:val="0"/>
          <w:caps w:val="0"/>
          <w:snapToGrid w:val="0"/>
          <w:color w:val="000000"/>
          <w:spacing w:val="0"/>
          <w:w w:val="100"/>
          <w:kern w:val="0"/>
          <w:sz w:val="32"/>
          <w:szCs w:val="32"/>
          <w:lang w:val="en-US" w:eastAsia="zh-CN" w:bidi="ar-SA"/>
        </w:rPr>
        <w:t>《山东省商品房预售资金监管办法》等法律、法规文件的规定，结合我区实际情况，制定本办法。</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第二条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凡在本区范围内许可预售的商品房建设项目，其商品房预售资金的收存、支出、使用及其监督管理，适用本办法。</w:t>
      </w:r>
    </w:p>
    <w:p>
      <w:pPr>
        <w:keepNext w:val="0"/>
        <w:keepLines w:val="0"/>
        <w:pageBreakBefore w:val="0"/>
        <w:widowControl/>
        <w:shd w:val="clear"/>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第三条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本办法所称商品房预售资金，是指</w:t>
      </w:r>
      <w:r>
        <w:rPr>
          <w:rStyle w:val="13"/>
          <w:rFonts w:hint="default" w:ascii="Times New Roman" w:hAnsi="Times New Roman" w:eastAsia="仿宋_GB2312" w:cs="Times New Roman"/>
          <w:b w:val="0"/>
          <w:bCs/>
          <w:i w:val="0"/>
          <w:caps w:val="0"/>
          <w:snapToGrid w:val="0"/>
          <w:spacing w:val="0"/>
          <w:w w:val="100"/>
          <w:kern w:val="2"/>
          <w:sz w:val="32"/>
          <w:szCs w:val="32"/>
          <w:shd w:val="clear"/>
          <w:lang w:val="en-US" w:eastAsia="zh-CN" w:bidi="ar-SA"/>
        </w:rPr>
        <w:t>房地产开发企业依法将其开发的商品房（含经济适用房、限价商品房）进行预售，</w:t>
      </w:r>
      <w:r>
        <w:rPr>
          <w:rStyle w:val="13"/>
          <w:rFonts w:hint="default" w:ascii="Times New Roman" w:hAnsi="Times New Roman" w:eastAsia="仿宋_GB2312" w:cs="Times New Roman"/>
          <w:b w:val="0"/>
          <w:bCs/>
          <w:i w:val="0"/>
          <w:caps w:val="0"/>
          <w:snapToGrid w:val="0"/>
          <w:color w:val="auto"/>
          <w:spacing w:val="0"/>
          <w:w w:val="100"/>
          <w:kern w:val="2"/>
          <w:sz w:val="32"/>
          <w:szCs w:val="32"/>
          <w:highlight w:val="none"/>
          <w:shd w:val="clear"/>
          <w:lang w:val="en-US" w:eastAsia="zh-CN" w:bidi="ar-SA"/>
        </w:rPr>
        <w:t>购房人</w:t>
      </w:r>
      <w:r>
        <w:rPr>
          <w:rStyle w:val="13"/>
          <w:rFonts w:hint="default" w:ascii="Times New Roman" w:hAnsi="Times New Roman" w:eastAsia="仿宋_GB2312" w:cs="Times New Roman"/>
          <w:b w:val="0"/>
          <w:bCs/>
          <w:i w:val="0"/>
          <w:caps w:val="0"/>
          <w:snapToGrid w:val="0"/>
          <w:spacing w:val="0"/>
          <w:w w:val="100"/>
          <w:kern w:val="2"/>
          <w:sz w:val="32"/>
          <w:szCs w:val="32"/>
          <w:shd w:val="clear"/>
          <w:lang w:val="en-US" w:eastAsia="zh-CN" w:bidi="ar-SA"/>
        </w:rPr>
        <w:t>按商品房预售合同约定支付的定</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金、首付款、购房贷款以及其他形式的全部购房款项。</w:t>
      </w:r>
    </w:p>
    <w:p>
      <w:pPr>
        <w:keepNext w:val="0"/>
        <w:keepLines w:val="0"/>
        <w:pageBreakBefore w:val="0"/>
        <w:widowControl/>
        <w:shd w:val="clear"/>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本办法所称预售人，是指依法取得《商品房预售许可证》进行商品房预售的房地产开发经营企业。</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本办法所称预购人，是指购买预售商品房的单位和个人。</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本办法所称专营单位，是指供水、供电、供气、供暖的单位。</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本办法所称执收部门，是指区行政审批局。</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第四条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区住房和城乡建设局是商品房预售资金监管行政主管部门（以下称“监管部门”），对全区商品房预售资金的收存、支出、使用实施监督管理。</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第五条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中国人民银行文登支行负责指导预售资金监管银行开设商品房预售资金监管专用账户。银监会威海监管分局文登办事处负责监督预售资金监管银行开展监管工作。    </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highlight w:val="yellow"/>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预售资金监管银行（以下简称监管银行）是指与预售人签订商品房预售资金监管协议、设立资金监管账户并接受监管部门监督的商业银行，监管银行应当在文登区设立分支机构（按揭贷款银行不能作为资金监管开户行）</w:t>
      </w:r>
      <w:r>
        <w:rPr>
          <w:rStyle w:val="13"/>
          <w:rFonts w:hint="default" w:ascii="Times New Roman" w:hAnsi="Times New Roman" w:eastAsia="仿宋_GB2312" w:cs="Times New Roman"/>
          <w:b w:val="0"/>
          <w:bCs/>
          <w:i w:val="0"/>
          <w:caps w:val="0"/>
          <w:snapToGrid w:val="0"/>
          <w:spacing w:val="0"/>
          <w:w w:val="100"/>
          <w:kern w:val="2"/>
          <w:sz w:val="32"/>
          <w:szCs w:val="32"/>
          <w:highlight w:val="none"/>
          <w:shd w:val="clear"/>
          <w:lang w:val="en-US" w:eastAsia="zh-CN" w:bidi="ar-SA"/>
        </w:rPr>
        <w:t>。</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第六条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监管部门应当建立统一的商品房预售资金监管系统（预售合同网签备案、预售资金监管等模块），定期对监管系统进行维护升级，实现预售资金监管信息化、自动化。</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监管银行应当设立专用账户与监管系统进行数据对接，实现有关监管信息的即时传递，提供相应的金融服务。</w:t>
      </w:r>
    </w:p>
    <w:p>
      <w:pPr>
        <w:pStyle w:val="12"/>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i w:val="0"/>
          <w:caps w:val="0"/>
          <w:snapToGrid w:val="0"/>
          <w:spacing w:val="0"/>
          <w:w w:val="100"/>
          <w:sz w:val="21"/>
          <w:lang w:eastAsia="zh-CN"/>
        </w:rPr>
      </w:pPr>
      <w:r>
        <w:rPr>
          <w:rStyle w:val="13"/>
          <w:rFonts w:hint="default" w:ascii="Times New Roman" w:hAnsi="Times New Roman" w:eastAsia="仿宋_GB2312" w:cs="Times New Roman"/>
          <w:b w:val="0"/>
          <w:bCs/>
          <w:i w:val="0"/>
          <w:caps w:val="0"/>
          <w:snapToGrid w:val="0"/>
          <w:spacing w:val="0"/>
          <w:w w:val="100"/>
          <w:sz w:val="32"/>
          <w:szCs w:val="32"/>
          <w:lang w:eastAsia="zh-CN"/>
        </w:rPr>
        <w:t>监管银行应当按照一个《商品房预售许可证》对应一个子账户原则设立账户监管专用账户。</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第七条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预售人在申请办理商品房预售许可前，应当与监管银行签订商品房预售资金监管协议，监管协议应当包括：当事人的名称、地址；监管项目的名称、坐落位置；监管账户名称、账号；监管项目范围；监管资金使用节点；监管资金的收存、支出、使用方式；新建物业质量保修金划转方式；监管期限；解除商品房预售资金监管条件；违约责任；争议解决方式等相关内容。同时向监管部门提交施工总包、分包重要材料供应商等合同。</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监管期限一般设定为自预售人取得《商品房预售许可证》之日起，至商品房建设项目完成综合验收备案止。</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baseline"/>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t>第二章</w:t>
      </w:r>
      <w:r>
        <w:rPr>
          <w:rStyle w:val="13"/>
          <w:rFonts w:hint="eastAsia" w:eastAsia="黑体" w:cs="Times New Roman"/>
          <w:b w:val="0"/>
          <w:bCs/>
          <w:i w:val="0"/>
          <w:caps w:val="0"/>
          <w:snapToGrid w:val="0"/>
          <w:spacing w:val="0"/>
          <w:w w:val="100"/>
          <w:kern w:val="2"/>
          <w:sz w:val="32"/>
          <w:szCs w:val="32"/>
          <w:lang w:val="en-US" w:eastAsia="zh-CN" w:bidi="ar-SA"/>
        </w:rPr>
        <w:t xml:space="preserve">  </w:t>
      </w:r>
      <w:r>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t>监管资金的收存及监管</w:t>
      </w:r>
    </w:p>
    <w:p>
      <w:pPr>
        <w:pStyle w:val="12"/>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sz w:val="32"/>
          <w:szCs w:val="32"/>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w:t>
      </w: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第八条</w:t>
      </w:r>
      <w:r>
        <w:rPr>
          <w:rStyle w:val="13"/>
          <w:rFonts w:hint="default" w:ascii="Times New Roman" w:hAnsi="Times New Roman" w:eastAsia="仿宋_GB2312" w:cs="Times New Roman"/>
          <w:b/>
          <w:bCs w:val="0"/>
          <w:i w:val="0"/>
          <w:caps w:val="0"/>
          <w:snapToGrid w:val="0"/>
          <w:spacing w:val="0"/>
          <w:w w:val="100"/>
          <w:kern w:val="2"/>
          <w:sz w:val="32"/>
          <w:szCs w:val="32"/>
          <w:lang w:val="en-US" w:eastAsia="zh-CN" w:bidi="ar-SA"/>
        </w:rPr>
        <w:t xml:space="preserve">  </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商品房预售资金应当全部存入监管账户，预售人不得在监管账户外收存房价款。为预购人办理商品房购房贷款的商业银行</w:t>
      </w:r>
      <w:r>
        <w:rPr>
          <w:rStyle w:val="13"/>
          <w:rFonts w:hint="eastAsia" w:eastAsia="仿宋_GB2312" w:cs="Times New Roman"/>
          <w:b w:val="0"/>
          <w:bCs/>
          <w:i w:val="0"/>
          <w:caps w:val="0"/>
          <w:snapToGrid w:val="0"/>
          <w:spacing w:val="0"/>
          <w:w w:val="100"/>
          <w:kern w:val="2"/>
          <w:sz w:val="32"/>
          <w:szCs w:val="32"/>
          <w:highlight w:val="none"/>
          <w:lang w:val="en-US" w:eastAsia="zh-CN" w:bidi="ar-SA"/>
        </w:rPr>
        <w:t>，</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应当将预购人的贷款款项及时足额存入监管账户。</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预售人应当将商品房预售资金监管相关规定告知预购人，并将监管银行及账户、楼牌号、工程号等信息在商品房销售场所入口显著位置公示。公示应当设置公示牌，公示牌按照监管部门设定的标准格式制作。</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第九条</w:t>
      </w:r>
      <w:r>
        <w:rPr>
          <w:rStyle w:val="13"/>
          <w:rFonts w:hint="eastAsia" w:eastAsia="仿宋_GB2312" w:cs="Times New Roman"/>
          <w:b/>
          <w:bCs w:val="0"/>
          <w:i w:val="0"/>
          <w:caps w:val="0"/>
          <w:snapToGrid w:val="0"/>
          <w:spacing w:val="0"/>
          <w:w w:val="100"/>
          <w:kern w:val="2"/>
          <w:sz w:val="32"/>
          <w:szCs w:val="32"/>
          <w:lang w:val="en-US" w:eastAsia="zh-CN" w:bidi="ar-SA"/>
        </w:rPr>
        <w:t xml:space="preserve">  </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商品房预售资金通过监管系统按套存入监管账户后，商品房预售合同应当进行网上备案。房地产开发企业或商品房承销机构在与预购人签订商品房买卖合同时，应当按照《山东省商品房销售条例》有关规定，预售合同应当使用住建部、工商总局《商品房买卖合同示范文本》（建房</w:t>
      </w:r>
      <w:r>
        <w:rPr>
          <w:rStyle w:val="13"/>
          <w:rFonts w:hint="default" w:ascii="Times New Roman" w:hAnsi="Times New Roman" w:eastAsia="仿宋" w:cs="Times New Roman"/>
          <w:b w:val="0"/>
          <w:i w:val="0"/>
          <w:caps w:val="0"/>
          <w:snapToGrid w:val="0"/>
          <w:spacing w:val="0"/>
          <w:w w:val="100"/>
          <w:kern w:val="0"/>
          <w:sz w:val="32"/>
          <w:szCs w:val="32"/>
          <w:lang w:val="en-US" w:eastAsia="zh-CN" w:bidi="ar-SA"/>
        </w:rPr>
        <w:t>〔20</w:t>
      </w:r>
      <w:r>
        <w:rPr>
          <w:rStyle w:val="13"/>
          <w:rFonts w:hint="eastAsia" w:eastAsia="仿宋" w:cs="Times New Roman"/>
          <w:b w:val="0"/>
          <w:i w:val="0"/>
          <w:caps w:val="0"/>
          <w:snapToGrid w:val="0"/>
          <w:spacing w:val="0"/>
          <w:w w:val="100"/>
          <w:kern w:val="0"/>
          <w:sz w:val="32"/>
          <w:szCs w:val="32"/>
          <w:lang w:val="en-US" w:eastAsia="zh-CN" w:bidi="ar-SA"/>
        </w:rPr>
        <w:t>14</w:t>
      </w:r>
      <w:r>
        <w:rPr>
          <w:rStyle w:val="13"/>
          <w:rFonts w:hint="default" w:ascii="Times New Roman" w:hAnsi="Times New Roman" w:eastAsia="仿宋" w:cs="Times New Roman"/>
          <w:b w:val="0"/>
          <w:i w:val="0"/>
          <w:caps w:val="0"/>
          <w:snapToGrid w:val="0"/>
          <w:spacing w:val="0"/>
          <w:w w:val="100"/>
          <w:kern w:val="0"/>
          <w:sz w:val="32"/>
          <w:szCs w:val="32"/>
          <w:lang w:val="en-US" w:eastAsia="zh-CN" w:bidi="ar-SA"/>
        </w:rPr>
        <w:t>〕</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53号），将房屋（含地下储藏室、车位、车库）的建筑面积、套内建筑面积、其所分摊的共有建筑面积部位及分摊面积在合同中予以明确（若储藏室、车位、车库按个销售，应在合同中单独约定），并约定面积差异处理方式。</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color w:val="00000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第十条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商品房预售资金实行</w:t>
      </w:r>
      <w:r>
        <w:rPr>
          <w:rStyle w:val="13"/>
          <w:rFonts w:hint="default" w:ascii="Times New Roman" w:hAnsi="Times New Roman" w:eastAsia="仿宋_GB2312" w:cs="Times New Roman"/>
          <w:b w:val="0"/>
          <w:bCs/>
          <w:i w:val="0"/>
          <w:caps w:val="0"/>
          <w:snapToGrid w:val="0"/>
          <w:color w:val="000000"/>
          <w:spacing w:val="0"/>
          <w:w w:val="100"/>
          <w:kern w:val="2"/>
          <w:sz w:val="32"/>
          <w:szCs w:val="32"/>
          <w:lang w:val="en-US" w:eastAsia="zh-CN" w:bidi="ar-SA"/>
        </w:rPr>
        <w:t>全程监</w:t>
      </w:r>
      <w:r>
        <w:rPr>
          <w:rStyle w:val="13"/>
          <w:rFonts w:hint="default" w:ascii="Times New Roman" w:hAnsi="Times New Roman" w:eastAsia="仿宋_GB2312" w:cs="Times New Roman"/>
          <w:b w:val="0"/>
          <w:bCs/>
          <w:i w:val="0"/>
          <w:caps w:val="0"/>
          <w:snapToGrid w:val="0"/>
          <w:spacing w:val="0"/>
          <w:w w:val="100"/>
          <w:kern w:val="2"/>
          <w:sz w:val="32"/>
          <w:szCs w:val="32"/>
          <w:shd w:val="clear"/>
          <w:lang w:val="en-US" w:eastAsia="zh-CN" w:bidi="ar-SA"/>
        </w:rPr>
        <w:t>控</w:t>
      </w:r>
      <w:r>
        <w:rPr>
          <w:rStyle w:val="13"/>
          <w:rFonts w:hint="default" w:ascii="Times New Roman" w:hAnsi="Times New Roman" w:eastAsia="仿宋_GB2312" w:cs="Times New Roman"/>
          <w:b w:val="0"/>
          <w:bCs/>
          <w:i w:val="0"/>
          <w:caps w:val="0"/>
          <w:snapToGrid w:val="0"/>
          <w:color w:val="000000"/>
          <w:spacing w:val="0"/>
          <w:w w:val="100"/>
          <w:kern w:val="2"/>
          <w:sz w:val="32"/>
          <w:szCs w:val="32"/>
          <w:lang w:val="en-US" w:eastAsia="zh-CN" w:bidi="ar-SA"/>
        </w:rPr>
        <w:t>、分级监管、按幢管理使用的原则。</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商品房预售资金全程监</w:t>
      </w:r>
      <w:r>
        <w:rPr>
          <w:rStyle w:val="13"/>
          <w:rFonts w:hint="default" w:ascii="Times New Roman" w:hAnsi="Times New Roman" w:eastAsia="仿宋_GB2312" w:cs="Times New Roman"/>
          <w:b w:val="0"/>
          <w:bCs/>
          <w:i w:val="0"/>
          <w:caps w:val="0"/>
          <w:snapToGrid w:val="0"/>
          <w:spacing w:val="0"/>
          <w:w w:val="100"/>
          <w:kern w:val="2"/>
          <w:sz w:val="32"/>
          <w:szCs w:val="32"/>
          <w:shd w:val="clear"/>
          <w:lang w:val="en-US" w:eastAsia="zh-CN" w:bidi="ar-SA"/>
        </w:rPr>
        <w:t>控</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是指监管部门在监管期限内对商品房预售资金实行全过程监控。</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分级监管是指按照《房地产市场诚信清单》分三个等级对房地产预售资金进行监管，监管额度由区房地产主管部门组织相关专业机构结合区域、建筑结构、用途等因素综合测定，并定期调整公布。</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按幢管理是指预售资金按幢管理、使用，重点监管额度按每幢建筑的具体面积确定，支取使用依照每按幢楼到账金额及具体进度确定。</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t>对于出现严重违法违规问题、群体性信访事件、严重欠薪问题、超过6个月以上的延期交房或超过25%的未售商品房被抵押、查封等重大风险隐患的房地产开发项目，监管部门应当根据情节严重程度随时提高该项目的监管等级。进入房地产市场负面清单的企业</w:t>
      </w:r>
      <w:r>
        <w:rPr>
          <w:rStyle w:val="13"/>
          <w:rFonts w:hint="eastAsia" w:eastAsia="仿宋_GB2312" w:cs="Times New Roman"/>
          <w:b w:val="0"/>
          <w:i w:val="0"/>
          <w:caps w:val="0"/>
          <w:snapToGrid w:val="0"/>
          <w:color w:val="000000"/>
          <w:spacing w:val="0"/>
          <w:w w:val="100"/>
          <w:kern w:val="2"/>
          <w:sz w:val="32"/>
          <w:szCs w:val="32"/>
          <w:highlight w:val="none"/>
          <w:lang w:val="en-US" w:eastAsia="zh-CN" w:bidi="ar-SA"/>
        </w:rPr>
        <w:t>，</w:t>
      </w:r>
      <w:r>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t>需连续两年脱离房地产市场负面清单，方可申请降低监管等级。</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firstLine="640" w:firstLineChars="200"/>
        <w:jc w:val="center"/>
        <w:textAlignment w:val="baseline"/>
        <w:rPr>
          <w:rStyle w:val="13"/>
          <w:rFonts w:hint="default" w:ascii="Times New Roman" w:hAnsi="Times New Roman" w:eastAsia="黑体" w:cs="Times New Roman"/>
          <w:b w:val="0"/>
          <w:i w:val="0"/>
          <w:caps w:val="0"/>
          <w:snapToGrid w:val="0"/>
          <w:color w:val="00000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baseline"/>
        <w:rPr>
          <w:rStyle w:val="13"/>
          <w:rFonts w:hint="default" w:ascii="Times New Roman" w:hAnsi="Times New Roman" w:eastAsia="黑体" w:cs="Times New Roman"/>
          <w:b w:val="0"/>
          <w:i w:val="0"/>
          <w:caps w:val="0"/>
          <w:snapToGrid w:val="0"/>
          <w:color w:val="000000"/>
          <w:spacing w:val="0"/>
          <w:w w:val="100"/>
          <w:kern w:val="2"/>
          <w:sz w:val="32"/>
          <w:szCs w:val="32"/>
          <w:lang w:val="en-US" w:eastAsia="zh-CN" w:bidi="ar-SA"/>
        </w:rPr>
      </w:pPr>
      <w:r>
        <w:rPr>
          <w:rStyle w:val="13"/>
          <w:rFonts w:hint="default" w:ascii="Times New Roman" w:hAnsi="Times New Roman" w:eastAsia="黑体" w:cs="Times New Roman"/>
          <w:b w:val="0"/>
          <w:i w:val="0"/>
          <w:caps w:val="0"/>
          <w:snapToGrid w:val="0"/>
          <w:color w:val="000000"/>
          <w:spacing w:val="0"/>
          <w:w w:val="100"/>
          <w:kern w:val="2"/>
          <w:sz w:val="32"/>
          <w:szCs w:val="32"/>
          <w:lang w:val="en-US" w:eastAsia="zh-CN" w:bidi="ar-SA"/>
        </w:rPr>
        <w:t>第三章</w:t>
      </w:r>
      <w:r>
        <w:rPr>
          <w:rStyle w:val="13"/>
          <w:rFonts w:hint="eastAsia" w:eastAsia="黑体" w:cs="Times New Roman"/>
          <w:b w:val="0"/>
          <w:i w:val="0"/>
          <w:caps w:val="0"/>
          <w:snapToGrid w:val="0"/>
          <w:color w:val="000000"/>
          <w:spacing w:val="0"/>
          <w:w w:val="100"/>
          <w:kern w:val="2"/>
          <w:sz w:val="32"/>
          <w:szCs w:val="32"/>
          <w:lang w:val="en-US" w:eastAsia="zh-CN" w:bidi="ar-SA"/>
        </w:rPr>
        <w:t xml:space="preserve">  </w:t>
      </w:r>
      <w:r>
        <w:rPr>
          <w:rStyle w:val="13"/>
          <w:rFonts w:hint="default" w:ascii="Times New Roman" w:hAnsi="Times New Roman" w:eastAsia="黑体" w:cs="Times New Roman"/>
          <w:b w:val="0"/>
          <w:i w:val="0"/>
          <w:caps w:val="0"/>
          <w:snapToGrid w:val="0"/>
          <w:color w:val="000000"/>
          <w:spacing w:val="0"/>
          <w:w w:val="100"/>
          <w:kern w:val="2"/>
          <w:sz w:val="32"/>
          <w:szCs w:val="32"/>
          <w:lang w:val="en-US" w:eastAsia="zh-CN" w:bidi="ar-SA"/>
        </w:rPr>
        <w:t>监管资金的支出及使用</w:t>
      </w:r>
    </w:p>
    <w:p>
      <w:pPr>
        <w:pStyle w:val="12"/>
        <w:keepNext w:val="0"/>
        <w:keepLines w:val="0"/>
        <w:pageBreakBefore w:val="0"/>
        <w:widowControl/>
        <w:kinsoku/>
        <w:wordWrap/>
        <w:overflowPunct/>
        <w:topLinePunct w:val="0"/>
        <w:autoSpaceDE/>
        <w:autoSpaceDN/>
        <w:bidi w:val="0"/>
        <w:adjustRightInd/>
        <w:snapToGrid/>
        <w:spacing w:beforeAutospacing="0" w:afterAutospacing="0" w:line="560" w:lineRule="exact"/>
        <w:ind w:firstLine="420" w:firstLineChars="200"/>
        <w:jc w:val="both"/>
        <w:textAlignment w:val="baseline"/>
        <w:rPr>
          <w:rStyle w:val="13"/>
          <w:rFonts w:hint="default" w:ascii="Times New Roman" w:hAnsi="Times New Roman" w:eastAsia="宋体" w:cs="Times New Roman"/>
          <w:b w:val="0"/>
          <w:i w:val="0"/>
          <w:caps w:val="0"/>
          <w:snapToGrid w:val="0"/>
          <w:spacing w:val="0"/>
          <w:w w:val="100"/>
          <w:sz w:val="21"/>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第十一条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预售人使用监管资金的，按照商品房建设项目建成层数达到规划总层数一半、主体结构封顶、单体工程竣工验收、综合</w:t>
      </w:r>
      <w:r>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t>验收备案四个节点使用，并增加两次（含）以下应急节点。</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1.</w:t>
      </w:r>
      <w:r>
        <w:rPr>
          <w:rStyle w:val="13"/>
          <w:rFonts w:hint="eastAsia" w:eastAsia="仿宋_GB2312" w:cs="Times New Roman"/>
          <w:b w:val="0"/>
          <w:bCs w:val="0"/>
          <w:i w:val="0"/>
          <w:caps w:val="0"/>
          <w:snapToGrid w:val="0"/>
          <w:color w:val="000000"/>
          <w:spacing w:val="0"/>
          <w:w w:val="100"/>
          <w:kern w:val="2"/>
          <w:sz w:val="32"/>
          <w:szCs w:val="32"/>
          <w:lang w:val="en-US" w:eastAsia="zh-CN" w:bidi="ar-SA"/>
        </w:rPr>
        <w:t xml:space="preserve"> </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建成层数达到规划设计总层数一半，监管资金留存比例不低于监管资金的70%。</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2.</w:t>
      </w:r>
      <w:r>
        <w:rPr>
          <w:rStyle w:val="13"/>
          <w:rFonts w:hint="eastAsia" w:eastAsia="仿宋_GB2312" w:cs="Times New Roman"/>
          <w:b w:val="0"/>
          <w:bCs w:val="0"/>
          <w:i w:val="0"/>
          <w:caps w:val="0"/>
          <w:snapToGrid w:val="0"/>
          <w:color w:val="000000"/>
          <w:spacing w:val="0"/>
          <w:w w:val="100"/>
          <w:kern w:val="2"/>
          <w:sz w:val="32"/>
          <w:szCs w:val="32"/>
          <w:lang w:val="en-US" w:eastAsia="zh-CN" w:bidi="ar-SA"/>
        </w:rPr>
        <w:t xml:space="preserve"> </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主体结构封顶，监管资金留存比例不低于监管资金的35%。</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3.</w:t>
      </w:r>
      <w:r>
        <w:rPr>
          <w:rStyle w:val="13"/>
          <w:rFonts w:hint="eastAsia" w:eastAsia="仿宋_GB2312" w:cs="Times New Roman"/>
          <w:b w:val="0"/>
          <w:bCs w:val="0"/>
          <w:i w:val="0"/>
          <w:caps w:val="0"/>
          <w:snapToGrid w:val="0"/>
          <w:color w:val="000000"/>
          <w:spacing w:val="0"/>
          <w:w w:val="100"/>
          <w:kern w:val="2"/>
          <w:sz w:val="32"/>
          <w:szCs w:val="32"/>
          <w:lang w:val="en-US" w:eastAsia="zh-CN" w:bidi="ar-SA"/>
        </w:rPr>
        <w:t xml:space="preserve"> </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单体工程竣工验收，监管资金留存比例不低于监管资金的18%。</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4.</w:t>
      </w:r>
      <w:r>
        <w:rPr>
          <w:rStyle w:val="13"/>
          <w:rFonts w:hint="eastAsia" w:eastAsia="仿宋_GB2312" w:cs="Times New Roman"/>
          <w:b w:val="0"/>
          <w:bCs w:val="0"/>
          <w:i w:val="0"/>
          <w:caps w:val="0"/>
          <w:snapToGrid w:val="0"/>
          <w:color w:val="000000"/>
          <w:spacing w:val="0"/>
          <w:w w:val="100"/>
          <w:kern w:val="2"/>
          <w:sz w:val="32"/>
          <w:szCs w:val="32"/>
          <w:lang w:val="en-US" w:eastAsia="zh-CN" w:bidi="ar-SA"/>
        </w:rPr>
        <w:t xml:space="preserve"> </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完成综合验收备案，终止和解除监管。</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5.</w:t>
      </w:r>
      <w:r>
        <w:rPr>
          <w:rStyle w:val="13"/>
          <w:rFonts w:hint="eastAsia" w:eastAsia="仿宋_GB2312" w:cs="Times New Roman"/>
          <w:b w:val="0"/>
          <w:bCs w:val="0"/>
          <w:i w:val="0"/>
          <w:caps w:val="0"/>
          <w:snapToGrid w:val="0"/>
          <w:color w:val="000000"/>
          <w:spacing w:val="0"/>
          <w:w w:val="100"/>
          <w:kern w:val="2"/>
          <w:sz w:val="32"/>
          <w:szCs w:val="32"/>
          <w:lang w:val="en-US" w:eastAsia="zh-CN" w:bidi="ar-SA"/>
        </w:rPr>
        <w:t xml:space="preserve"> </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允许开发企业每年度申请两次应急使用资金用于农民工工资发放，使用资金额度累计不超过重点监管资金的18%，提取应急资金后实行预售资金全程监管，当监管账户恢复原有额度后恢复分级监管。</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6.</w:t>
      </w:r>
      <w:r>
        <w:rPr>
          <w:rStyle w:val="13"/>
          <w:rFonts w:hint="eastAsia" w:eastAsia="仿宋_GB2312" w:cs="Times New Roman"/>
          <w:b w:val="0"/>
          <w:bCs w:val="0"/>
          <w:i w:val="0"/>
          <w:caps w:val="0"/>
          <w:snapToGrid w:val="0"/>
          <w:color w:val="000000"/>
          <w:spacing w:val="0"/>
          <w:w w:val="100"/>
          <w:kern w:val="2"/>
          <w:sz w:val="32"/>
          <w:szCs w:val="32"/>
          <w:lang w:val="en-US" w:eastAsia="zh-CN" w:bidi="ar-SA"/>
        </w:rPr>
        <w:t xml:space="preserve"> </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允许开发企业使用商品房预售资金交纳本项目水、电、气、暖配套费。当建成层数达到规划设计总层数一半，开发企业向监管部门提出交纳水、电、气、暖配套费申请，监管部门配合企业将专营配套费的10%从商品房预售资金账户支付给执收部门，由财政部门及时拨付至各专营单位，各专营单位应当及时进行配套设计、施工招投标、材料采购等，确保能及时进场施工和按时完工：当主体结构封顶后，根据开发企业申请，监管部门将专营配套费的60%从商品房预售资金账户支付给执收部门，由区财政部门拨付至各专营单位；其余30%在办理竣工验收时支付，由区财政部门及时拨付至各专营单位。</w:t>
      </w:r>
      <w:r>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t>各</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专营单位须提供：网上公开招标截图、《中标通知书》</w:t>
      </w:r>
      <w:r>
        <w:rPr>
          <w:rStyle w:val="13"/>
          <w:rFonts w:hint="eastAsia" w:eastAsia="仿宋_GB2312" w:cs="Times New Roman"/>
          <w:b w:val="0"/>
          <w:bCs w:val="0"/>
          <w:i w:val="0"/>
          <w:caps w:val="0"/>
          <w:snapToGrid w:val="0"/>
          <w:color w:val="000000"/>
          <w:spacing w:val="0"/>
          <w:w w:val="100"/>
          <w:kern w:val="2"/>
          <w:sz w:val="32"/>
          <w:szCs w:val="32"/>
          <w:lang w:val="en-US" w:eastAsia="zh-CN" w:bidi="ar-SA"/>
        </w:rPr>
        <w:t>、</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《施工合同》（合同中应当约定建设单位参与工程量的确认</w:t>
      </w:r>
      <w:r>
        <w:rPr>
          <w:rStyle w:val="13"/>
          <w:rFonts w:hint="eastAsia" w:eastAsia="仿宋_GB2312" w:cs="Times New Roman"/>
          <w:b w:val="0"/>
          <w:bCs w:val="0"/>
          <w:i w:val="0"/>
          <w:caps w:val="0"/>
          <w:snapToGrid w:val="0"/>
          <w:color w:val="000000"/>
          <w:spacing w:val="0"/>
          <w:w w:val="100"/>
          <w:kern w:val="2"/>
          <w:sz w:val="32"/>
          <w:szCs w:val="32"/>
          <w:highlight w:val="none"/>
          <w:lang w:val="en-US" w:eastAsia="zh-CN" w:bidi="ar-SA"/>
        </w:rPr>
        <w:t>，</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包括签字和盖章），各专营单位将《中标通知书》和《施工合同》（合同中应当约定建设单位参与工程量的确认</w:t>
      </w:r>
      <w:r>
        <w:rPr>
          <w:rStyle w:val="13"/>
          <w:rFonts w:hint="eastAsia" w:eastAsia="仿宋_GB2312" w:cs="Times New Roman"/>
          <w:b w:val="0"/>
          <w:bCs w:val="0"/>
          <w:i w:val="0"/>
          <w:caps w:val="0"/>
          <w:snapToGrid w:val="0"/>
          <w:color w:val="000000"/>
          <w:spacing w:val="0"/>
          <w:w w:val="100"/>
          <w:kern w:val="2"/>
          <w:sz w:val="32"/>
          <w:szCs w:val="32"/>
          <w:highlight w:val="none"/>
          <w:lang w:val="en-US" w:eastAsia="zh-CN" w:bidi="ar-SA"/>
        </w:rPr>
        <w:t>，</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包括签字和盖章）报行政主管部门备案并抄报区住建局后</w:t>
      </w:r>
      <w:r>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t>组织进场施工，配套费交纳金额仍计入监管额度。</w:t>
      </w:r>
    </w:p>
    <w:p>
      <w:pPr>
        <w:pStyle w:val="12"/>
        <w:keepNext w:val="0"/>
        <w:keepLines w:val="0"/>
        <w:pageBreakBefore w:val="0"/>
        <w:widowControl/>
        <w:shd w:val="clear"/>
        <w:kinsoku/>
        <w:wordWrap/>
        <w:overflowPunct/>
        <w:topLinePunct w:val="0"/>
        <w:autoSpaceDE/>
        <w:autoSpaceDN/>
        <w:bidi w:val="0"/>
        <w:adjustRightInd/>
        <w:snapToGrid/>
        <w:spacing w:beforeAutospacing="0" w:afterAutospacing="0" w:line="560" w:lineRule="exact"/>
        <w:ind w:firstLine="640" w:firstLineChars="200"/>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监管部门可根据上一年度预售人信用状况、资质等级等情况，适当降低商品房预售监管资金留存比例，但最多不得超过5个百分点。</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预售人申请使用商品房预售资金监管额度以内的资金，应当按照工程建设进度控制节点提出用款申请，并不得突破本办法</w:t>
      </w:r>
      <w:r>
        <w:rPr>
          <w:rStyle w:val="13"/>
          <w:rFonts w:hint="default" w:ascii="Times New Roman" w:hAnsi="Times New Roman" w:eastAsia="仿宋_GB2312" w:cs="Times New Roman"/>
          <w:b w:val="0"/>
          <w:bCs w:val="0"/>
          <w:i w:val="0"/>
          <w:caps w:val="0"/>
          <w:snapToGrid w:val="0"/>
          <w:color w:val="000000"/>
          <w:spacing w:val="0"/>
          <w:w w:val="100"/>
          <w:kern w:val="2"/>
          <w:sz w:val="32"/>
          <w:szCs w:val="32"/>
          <w:highlight w:val="none"/>
          <w:shd w:val="clear"/>
          <w:lang w:val="en-US" w:eastAsia="zh-CN" w:bidi="ar-SA"/>
        </w:rPr>
        <w:t>第十一条</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规定的监管资金留存比例。预售人应当如实填写、提交以下材料，并对材料的真实性负责</w:t>
      </w:r>
      <w:r>
        <w:rPr>
          <w:rStyle w:val="13"/>
          <w:rFonts w:hint="eastAsia" w:eastAsia="仿宋_GB2312" w:cs="Times New Roman"/>
          <w:b w:val="0"/>
          <w:bCs w:val="0"/>
          <w:i w:val="0"/>
          <w:caps w:val="0"/>
          <w:snapToGrid w:val="0"/>
          <w:color w:val="000000"/>
          <w:spacing w:val="0"/>
          <w:w w:val="100"/>
          <w:kern w:val="2"/>
          <w:sz w:val="32"/>
          <w:szCs w:val="32"/>
          <w:highlight w:val="none"/>
          <w:lang w:val="en-US" w:eastAsia="zh-CN" w:bidi="ar-SA"/>
        </w:rPr>
        <w:t>。</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（一）企业用款申请表（见附件）；</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（二）经监理单位签字盖章的工程建设进度结算书（开发企业、施工企业、第三方）及影像资料；</w:t>
      </w:r>
    </w:p>
    <w:p>
      <w:pPr>
        <w:keepNext w:val="0"/>
        <w:keepLines w:val="0"/>
        <w:pageBreakBefore w:val="0"/>
        <w:widowControl/>
        <w:shd w:val="clear"/>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（三）安全文明施工费明细表、付款凭证及完税证明；</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（四）监管账户对账单（银行盖章原件）；</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（五）授权委托书及受托人身份证复印件；</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六）预售人已经向材料设备供应单位或者供水、供电、供气、供热等专营单位拨付款项的，提供付款凭证、完税证明；预售人拟向上述单位拨付款项的，提供对方指定的银行基本户，需拨付其他账户的，应单独提出申请；</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（七）预售人拟支付工程款项的，提供收款单位账号、税务部门确认完税信息（工程费占比不低于90%）；</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（八）提供农民工工资专户单位名称、账号、税务部门确认完税信息（不得以现金形式支付）；</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（九）预售人应当在建筑物二层至五层之间适当的显著位置悬挂工程号、楼牌号；</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（十）法律、法规规定的其他文件材料；</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pP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（十一）以上资料须提供纸质版和扫描版各一份。</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 xml:space="preserve">第十二条 </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监管账户资金未达到分级监管额度的，商品房预售资金实行全程监</w:t>
      </w:r>
      <w:r>
        <w:rPr>
          <w:rStyle w:val="13"/>
          <w:rFonts w:hint="default" w:ascii="Times New Roman" w:hAnsi="Times New Roman" w:eastAsia="仿宋_GB2312" w:cs="Times New Roman"/>
          <w:b w:val="0"/>
          <w:bCs/>
          <w:i w:val="0"/>
          <w:caps w:val="0"/>
          <w:snapToGrid w:val="0"/>
          <w:spacing w:val="0"/>
          <w:w w:val="100"/>
          <w:kern w:val="2"/>
          <w:sz w:val="32"/>
          <w:szCs w:val="32"/>
          <w:shd w:val="clear"/>
          <w:lang w:val="en-US" w:eastAsia="zh-CN" w:bidi="ar-SA"/>
        </w:rPr>
        <w:t>控</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监管账户资金在优先保证下一节点基本资金需要的前提下，余额部分按施工进度使用；提取使用分级监管的预售资金，必须由监管银行直接汇入《施工许可证》上载明的施工企业、监理企业、勘察设计企业账户或签订正式合同的专业分包企业和材料商账户</w:t>
      </w:r>
      <w:r>
        <w:rPr>
          <w:rStyle w:val="13"/>
          <w:rFonts w:hint="default" w:ascii="Times New Roman" w:hAnsi="Times New Roman" w:eastAsia="仿宋_GB2312" w:cs="Times New Roman"/>
          <w:b w:val="0"/>
          <w:bCs w:val="0"/>
          <w:i w:val="0"/>
          <w:caps w:val="0"/>
          <w:snapToGrid w:val="0"/>
          <w:color w:val="000000"/>
          <w:spacing w:val="0"/>
          <w:w w:val="100"/>
          <w:kern w:val="2"/>
          <w:sz w:val="32"/>
          <w:szCs w:val="32"/>
          <w:lang w:val="en-US" w:eastAsia="zh-CN" w:bidi="ar-SA"/>
        </w:rPr>
        <w:t>（原则上为基本户）</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，用于购买本工程开发建设必须的建筑材料、设备，支付施工进度款等工程建设费用，不得挪作他用。</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监管账户资金超出分级监管资金额度的，实行全程监</w:t>
      </w:r>
      <w:r>
        <w:rPr>
          <w:rStyle w:val="13"/>
          <w:rFonts w:hint="default" w:ascii="Times New Roman" w:hAnsi="Times New Roman" w:eastAsia="仿宋_GB2312" w:cs="Times New Roman"/>
          <w:b w:val="0"/>
          <w:bCs/>
          <w:i w:val="0"/>
          <w:caps w:val="0"/>
          <w:snapToGrid w:val="0"/>
          <w:spacing w:val="0"/>
          <w:w w:val="100"/>
          <w:kern w:val="2"/>
          <w:sz w:val="32"/>
          <w:szCs w:val="32"/>
          <w:shd w:val="clear"/>
          <w:lang w:val="en-US" w:eastAsia="zh-CN" w:bidi="ar-SA"/>
        </w:rPr>
        <w:t>控</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，余额部分预售人根据项目建设需要使用。</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第十三条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预售人使用全程监</w:t>
      </w:r>
      <w:r>
        <w:rPr>
          <w:rStyle w:val="13"/>
          <w:rFonts w:hint="default" w:ascii="Times New Roman" w:hAnsi="Times New Roman" w:eastAsia="仿宋_GB2312" w:cs="Times New Roman"/>
          <w:b w:val="0"/>
          <w:bCs/>
          <w:i w:val="0"/>
          <w:caps w:val="0"/>
          <w:snapToGrid w:val="0"/>
          <w:spacing w:val="0"/>
          <w:w w:val="100"/>
          <w:kern w:val="2"/>
          <w:sz w:val="32"/>
          <w:szCs w:val="32"/>
          <w:shd w:val="clear"/>
          <w:lang w:val="en-US" w:eastAsia="zh-CN" w:bidi="ar-SA"/>
        </w:rPr>
        <w:t>控</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资金，应当提供由工程施工单位、工程监理单位、预售人出具的进度证明或出具《建设工程质量监督报告》《威海市文登区房屋建筑工程和威海市文登区市政基础设施工程竣工验收备案证》原件。</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 xml:space="preserve">第十四条 </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预售人应当按月向监管部门报送《房地产开发项目手册》、建设项目工程进度情况、销售情况及监管银行出具的预售资金存入和支出对账单（加盖银行业务章）。</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baseline"/>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t>第四章</w:t>
      </w:r>
      <w:r>
        <w:rPr>
          <w:rStyle w:val="13"/>
          <w:rFonts w:hint="eastAsia" w:eastAsia="黑体" w:cs="Times New Roman"/>
          <w:b w:val="0"/>
          <w:bCs/>
          <w:i w:val="0"/>
          <w:caps w:val="0"/>
          <w:snapToGrid w:val="0"/>
          <w:spacing w:val="0"/>
          <w:w w:val="100"/>
          <w:kern w:val="2"/>
          <w:sz w:val="32"/>
          <w:szCs w:val="32"/>
          <w:lang w:val="en-US" w:eastAsia="zh-CN" w:bidi="ar-SA"/>
        </w:rPr>
        <w:t xml:space="preserve">  </w:t>
      </w:r>
      <w:r>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t>法律责任</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第十五条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预售人未按本办法规定使用预售资金的，由监管部门责令改正；情节严重的，可暂停其预售合同网签，并依法进行行政处罚。</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第十六条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监管部门应当建立预售人</w:t>
      </w:r>
      <w:r>
        <w:rPr>
          <w:rStyle w:val="13"/>
          <w:rFonts w:hint="eastAsia" w:eastAsia="仿宋_GB2312" w:cs="Times New Roman"/>
          <w:b w:val="0"/>
          <w:bCs/>
          <w:i w:val="0"/>
          <w:caps w:val="0"/>
          <w:snapToGrid w:val="0"/>
          <w:spacing w:val="0"/>
          <w:w w:val="100"/>
          <w:kern w:val="2"/>
          <w:sz w:val="32"/>
          <w:szCs w:val="32"/>
          <w:highlight w:val="none"/>
          <w:lang w:val="en-US" w:eastAsia="zh-CN" w:bidi="ar-SA"/>
        </w:rPr>
        <w:t>、</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购房人回访制度，发现预售人有违规使用预售资金行为的，必要时可以</w:t>
      </w:r>
      <w:r>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t>聘请具有审计资质的机构对项目预售资金的使用情况进行审计，审计期一般不超过7个工作日。审计期间，预售人不得使用预售资金</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第十七条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法院等有关部门对商品房预售资金监管账户进行冻结或划扣监管资金的，监管银行应当说明商品房预售资金及监管账户的性质，并于当日书面告知监管部门。</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第十八条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监管银行必须严格按照《商品房预售资金监管协议》监管商品房预售资金；监管银行未将预购人的贷款款项及时足额存入对应</w:t>
      </w:r>
      <w:r>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t>监管账户的，1年内不得参与预售资金监管；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监管</w:t>
      </w:r>
      <w:r>
        <w:rPr>
          <w:rStyle w:val="13"/>
          <w:rFonts w:hint="default" w:ascii="Times New Roman" w:hAnsi="Times New Roman" w:eastAsia="仿宋_GB2312" w:cs="Times New Roman"/>
          <w:b w:val="0"/>
          <w:i w:val="0"/>
          <w:caps w:val="0"/>
          <w:snapToGrid w:val="0"/>
          <w:color w:val="000000"/>
          <w:spacing w:val="0"/>
          <w:w w:val="100"/>
          <w:kern w:val="2"/>
          <w:sz w:val="32"/>
          <w:szCs w:val="32"/>
          <w:lang w:val="en-US" w:eastAsia="zh-CN" w:bidi="ar-SA"/>
        </w:rPr>
        <w:t>银行有协助、默许企业违规挪用监管资金等行为的，3年内不得参与预售资金监管。</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第十九条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商品房预售资金监管工作人员在监管工作中玩忽职守、滥用职权、徇私舞弊的，依法予以处理。</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baseline"/>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t>第五章</w:t>
      </w:r>
      <w:r>
        <w:rPr>
          <w:rStyle w:val="13"/>
          <w:rFonts w:hint="eastAsia" w:eastAsia="黑体" w:cs="Times New Roman"/>
          <w:b w:val="0"/>
          <w:bCs/>
          <w:i w:val="0"/>
          <w:caps w:val="0"/>
          <w:snapToGrid w:val="0"/>
          <w:spacing w:val="0"/>
          <w:w w:val="100"/>
          <w:kern w:val="2"/>
          <w:sz w:val="32"/>
          <w:szCs w:val="32"/>
          <w:lang w:val="en-US" w:eastAsia="zh-CN" w:bidi="ar-SA"/>
        </w:rPr>
        <w:t xml:space="preserve">  </w:t>
      </w:r>
      <w:r>
        <w:rPr>
          <w:rStyle w:val="13"/>
          <w:rFonts w:hint="default" w:ascii="Times New Roman" w:hAnsi="Times New Roman" w:eastAsia="黑体" w:cs="Times New Roman"/>
          <w:b w:val="0"/>
          <w:bCs/>
          <w:i w:val="0"/>
          <w:caps w:val="0"/>
          <w:snapToGrid w:val="0"/>
          <w:spacing w:val="0"/>
          <w:w w:val="100"/>
          <w:kern w:val="2"/>
          <w:sz w:val="32"/>
          <w:szCs w:val="32"/>
          <w:lang w:val="en-US" w:eastAsia="zh-CN" w:bidi="ar-SA"/>
        </w:rPr>
        <w:t>附 则</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第二十条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本办法实施之前收取的预售资金按照原实施办法监管，本办法实施之后收取的预售资金按照本办法监管。</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第二十一条</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根据国家有关政策、房地产市场变化调控需要、建筑设计规范等情况，监管部门可对监管资金使用节点、相应资金支取比例和预售资金支付节点等进行调整，报区政府批准后公布执行。</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黑体" w:cs="Times New Roman"/>
          <w:b w:val="0"/>
          <w:bCs/>
          <w:i w:val="0"/>
          <w:caps w:val="0"/>
          <w:snapToGrid w:val="0"/>
          <w:spacing w:val="0"/>
          <w:w w:val="100"/>
          <w:kern w:val="0"/>
          <w:sz w:val="32"/>
          <w:szCs w:val="32"/>
          <w:lang w:val="en-US" w:eastAsia="zh-CN" w:bidi="ar-SA"/>
        </w:rPr>
        <w:t xml:space="preserve">第二十二条  </w:t>
      </w: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本办法自2021年10月8日起实施，有效期2023年10月7日。 </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br w:type="page"/>
      </w:r>
    </w:p>
    <w:p>
      <w:pPr>
        <w:pStyle w:val="5"/>
        <w:numPr>
          <w:ilvl w:val="4"/>
          <w:numId w:val="0"/>
        </w:numPr>
        <w:ind w:leftChars="0"/>
        <w:rPr>
          <w:rFonts w:hint="default"/>
          <w:lang w:val="en-US" w:eastAsia="zh-CN"/>
        </w:rPr>
      </w:pPr>
    </w:p>
    <w:p>
      <w:pPr>
        <w:rPr>
          <w:rFonts w:hint="default"/>
          <w:lang w:val="en-US" w:eastAsia="zh-CN"/>
        </w:rPr>
      </w:pPr>
    </w:p>
    <w:p>
      <w:pPr>
        <w:pStyle w:val="5"/>
        <w:numPr>
          <w:ilvl w:val="4"/>
          <w:numId w:val="0"/>
        </w:numPr>
        <w:ind w:leftChars="0"/>
        <w:rPr>
          <w:rFonts w:hint="default"/>
          <w:lang w:val="en-US" w:eastAsia="zh-CN"/>
        </w:rPr>
      </w:pPr>
    </w:p>
    <w:p>
      <w:pPr>
        <w:rPr>
          <w:rFonts w:hint="default"/>
          <w:lang w:val="en-US" w:eastAsia="zh-CN"/>
        </w:rPr>
      </w:pPr>
    </w:p>
    <w:p>
      <w:pPr>
        <w:pStyle w:val="5"/>
        <w:numPr>
          <w:ilvl w:val="4"/>
          <w:numId w:val="0"/>
        </w:numPr>
        <w:ind w:leftChars="0"/>
        <w:rPr>
          <w:rFonts w:hint="default"/>
          <w:lang w:val="en-US" w:eastAsia="zh-CN"/>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w:t>
      </w:r>
    </w:p>
    <w:p>
      <w:pPr>
        <w:rPr>
          <w:rFonts w:hint="default"/>
          <w:lang w:val="en-US" w:eastAsia="zh-CN"/>
        </w:rPr>
      </w:pPr>
    </w:p>
    <w:p>
      <w:pPr>
        <w:pStyle w:val="5"/>
        <w:numPr>
          <w:ilvl w:val="4"/>
          <w:numId w:val="0"/>
        </w:numPr>
        <w:ind w:leftChars="0"/>
        <w:rPr>
          <w:rFonts w:hint="default"/>
          <w:lang w:val="en-US" w:eastAsia="zh-CN"/>
        </w:rPr>
      </w:pPr>
    </w:p>
    <w:p>
      <w:pPr>
        <w:rPr>
          <w:rFonts w:hint="default"/>
          <w:lang w:val="en-US" w:eastAsia="zh-CN"/>
        </w:rPr>
      </w:pPr>
    </w:p>
    <w:p>
      <w:pPr>
        <w:pStyle w:val="5"/>
        <w:numPr>
          <w:ilvl w:val="4"/>
          <w:numId w:val="0"/>
        </w:numPr>
        <w:ind w:leftChars="0"/>
        <w:rPr>
          <w:rFonts w:hint="default"/>
          <w:lang w:val="en-US" w:eastAsia="zh-CN"/>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w:t>
      </w:r>
    </w:p>
    <w:p>
      <w:pPr>
        <w:rPr>
          <w:rFonts w:hint="default"/>
          <w:lang w:val="en-US" w:eastAsia="zh-CN"/>
        </w:rPr>
      </w:pPr>
    </w:p>
    <w:p>
      <w:pPr>
        <w:pStyle w:val="5"/>
        <w:numPr>
          <w:ilvl w:val="4"/>
          <w:numId w:val="0"/>
        </w:numPr>
        <w:ind w:leftChars="0"/>
        <w:rPr>
          <w:rFonts w:hint="default"/>
          <w:lang w:val="en-US" w:eastAsia="zh-CN"/>
        </w:rPr>
      </w:pPr>
    </w:p>
    <w:p>
      <w:pPr>
        <w:rPr>
          <w:rFonts w:hint="default"/>
          <w:lang w:val="en-US" w:eastAsia="zh-CN"/>
        </w:rPr>
      </w:pPr>
    </w:p>
    <w:p>
      <w:pPr>
        <w:pStyle w:val="5"/>
        <w:numPr>
          <w:ilvl w:val="4"/>
          <w:numId w:val="0"/>
        </w:numPr>
        <w:ind w:leftChars="0"/>
        <w:rPr>
          <w:rFonts w:hint="default"/>
          <w:lang w:val="en-US" w:eastAsia="zh-CN"/>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w:t>
      </w:r>
    </w:p>
    <w:p>
      <w:pPr>
        <w:rPr>
          <w:rFonts w:hint="default"/>
          <w:lang w:val="en-US" w:eastAsia="zh-CN"/>
        </w:rPr>
      </w:pPr>
    </w:p>
    <w:p>
      <w:pPr>
        <w:pStyle w:val="5"/>
        <w:numPr>
          <w:ilvl w:val="4"/>
          <w:numId w:val="0"/>
        </w:numPr>
        <w:ind w:leftChars="0"/>
        <w:rPr>
          <w:rFonts w:hint="default"/>
          <w:lang w:val="en-US" w:eastAsia="zh-CN"/>
        </w:rPr>
      </w:pPr>
    </w:p>
    <w:p>
      <w:pPr>
        <w:rPr>
          <w:rFonts w:hint="default"/>
          <w:lang w:val="en-US" w:eastAsia="zh-CN"/>
        </w:rPr>
      </w:pPr>
    </w:p>
    <w:p>
      <w:pPr>
        <w:pStyle w:val="5"/>
        <w:numPr>
          <w:ilvl w:val="4"/>
          <w:numId w:val="0"/>
        </w:numPr>
        <w:ind w:leftChars="0"/>
        <w:rPr>
          <w:rFonts w:hint="default"/>
          <w:lang w:val="en-US" w:eastAsia="zh-CN"/>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w:t>
      </w:r>
    </w:p>
    <w:p>
      <w:pPr>
        <w:pStyle w:val="5"/>
        <w:numPr>
          <w:ilvl w:val="4"/>
          <w:numId w:val="0"/>
        </w:numPr>
        <w:ind w:leftChars="0"/>
        <w:rPr>
          <w:rFonts w:hint="default"/>
          <w:lang w:val="en-US" w:eastAsia="zh-CN"/>
        </w:rPr>
      </w:pPr>
    </w:p>
    <w:p>
      <w:pPr>
        <w:rPr>
          <w:rFonts w:hint="default"/>
          <w:lang w:val="en-US" w:eastAsia="zh-CN"/>
        </w:rPr>
      </w:pPr>
    </w:p>
    <w:p>
      <w:pPr>
        <w:pStyle w:val="5"/>
        <w:numPr>
          <w:ilvl w:val="4"/>
          <w:numId w:val="0"/>
        </w:numPr>
        <w:ind w:leftChars="0"/>
        <w:rPr>
          <w:rFonts w:hint="default"/>
          <w:lang w:val="en-US" w:eastAsia="zh-CN"/>
        </w:rPr>
      </w:pPr>
    </w:p>
    <w:p>
      <w:pPr>
        <w:rPr>
          <w:rFonts w:hint="default"/>
          <w:lang w:val="en-US" w:eastAsia="zh-CN"/>
        </w:rPr>
      </w:pPr>
    </w:p>
    <w:p>
      <w:pPr>
        <w:pStyle w:val="5"/>
        <w:numPr>
          <w:ilvl w:val="4"/>
          <w:numId w:val="0"/>
        </w:numPr>
        <w:ind w:leftChars="0"/>
        <w:rPr>
          <w:rFonts w:hint="default"/>
          <w:lang w:val="en-US" w:eastAsia="zh-CN"/>
        </w:rPr>
      </w:pPr>
    </w:p>
    <w:p>
      <w:pPr>
        <w:pStyle w:val="5"/>
        <w:numPr>
          <w:ilvl w:val="4"/>
          <w:numId w:val="0"/>
        </w:numPr>
        <w:ind w:leftChars="0"/>
        <w:rPr>
          <w:rFonts w:hint="default"/>
          <w:lang w:val="en-US" w:eastAsia="zh-CN"/>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w:t>
      </w:r>
    </w:p>
    <w:p>
      <w:pPr>
        <w:rPr>
          <w:rFonts w:hint="default"/>
          <w:lang w:val="en-US" w:eastAsia="zh-CN"/>
        </w:rPr>
      </w:pPr>
    </w:p>
    <w:p>
      <w:pPr>
        <w:pStyle w:val="5"/>
        <w:numPr>
          <w:ilvl w:val="4"/>
          <w:numId w:val="0"/>
        </w:numPr>
        <w:ind w:leftChars="0"/>
        <w:rPr>
          <w:rFonts w:hint="default"/>
          <w:lang w:val="en-US" w:eastAsia="zh-CN"/>
        </w:rPr>
      </w:pPr>
    </w:p>
    <w:p>
      <w:pPr>
        <w:rPr>
          <w:rFonts w:hint="default"/>
          <w:lang w:val="en-US" w:eastAsia="zh-CN"/>
        </w:rPr>
      </w:pPr>
    </w:p>
    <w:p>
      <w:pPr>
        <w:pStyle w:val="5"/>
        <w:numPr>
          <w:ilvl w:val="4"/>
          <w:numId w:val="0"/>
        </w:numPr>
        <w:ind w:leftChars="0"/>
        <w:rPr>
          <w:rFonts w:hint="default"/>
          <w:lang w:val="en-US" w:eastAsia="zh-CN"/>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r>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t xml:space="preserve"> </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baseline"/>
        <w:rPr>
          <w:rStyle w:val="13"/>
          <w:rFonts w:hint="default" w:ascii="Times New Roman" w:hAnsi="Times New Roman" w:eastAsia="仿宋_GB2312" w:cs="Times New Roman"/>
          <w:b w:val="0"/>
          <w:bCs/>
          <w:i w:val="0"/>
          <w:caps w:val="0"/>
          <w:snapToGrid w:val="0"/>
          <w:spacing w:val="0"/>
          <w:w w:val="100"/>
          <w:kern w:val="2"/>
          <w:sz w:val="32"/>
          <w:szCs w:val="32"/>
          <w:lang w:val="en-US" w:eastAsia="zh-CN" w:bidi="ar-SA"/>
        </w:rPr>
      </w:pPr>
    </w:p>
    <w:p>
      <w:pPr>
        <w:rPr>
          <w:rFonts w:ascii="Times New Roman" w:hAnsi="Times New Roman"/>
        </w:rPr>
      </w:pPr>
    </w:p>
    <w:p>
      <w:pPr>
        <w:widowControl/>
        <w:tabs>
          <w:tab w:val="left" w:pos="3544"/>
        </w:tabs>
        <w:spacing w:line="560" w:lineRule="exact"/>
        <w:rPr>
          <w:rFonts w:hint="default" w:ascii="Times New Roman" w:hAnsi="Times New Roman"/>
          <w:lang w:val="en-US" w:eastAsia="zh-CN"/>
        </w:rPr>
      </w:pPr>
      <w:r>
        <w:rPr>
          <w:rFonts w:ascii="Times New Roman" w:hAnsi="Times New Roman"/>
        </w:rPr>
        <mc:AlternateContent>
          <mc:Choice Requires="wps">
            <w:drawing>
              <wp:anchor distT="0" distB="0" distL="114300" distR="114300" simplePos="0" relativeHeight="251659264" behindDoc="0" locked="0" layoutInCell="1" allowOverlap="1">
                <wp:simplePos x="0" y="0"/>
                <wp:positionH relativeFrom="column">
                  <wp:posOffset>-149225</wp:posOffset>
                </wp:positionH>
                <wp:positionV relativeFrom="paragraph">
                  <wp:posOffset>14605</wp:posOffset>
                </wp:positionV>
                <wp:extent cx="5725160" cy="635"/>
                <wp:effectExtent l="0" t="0" r="0" b="0"/>
                <wp:wrapNone/>
                <wp:docPr id="3" name="直接连接符 3"/>
                <wp:cNvGraphicFramePr/>
                <a:graphic xmlns:a="http://schemas.openxmlformats.org/drawingml/2006/main">
                  <a:graphicData uri="http://schemas.microsoft.com/office/word/2010/wordprocessingShape">
                    <wps:wsp>
                      <wps:cNvCnPr/>
                      <wps:spPr>
                        <a:xfrm>
                          <a:off x="0" y="0"/>
                          <a:ext cx="5725160" cy="635"/>
                        </a:xfrm>
                        <a:prstGeom prst="line">
                          <a:avLst/>
                        </a:prstGeom>
                        <a:ln w="952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11.75pt;margin-top:1.15pt;height:0.05pt;width:450.8pt;z-index:251659264;mso-width-relative:page;mso-height-relative:page;" filled="f" stroked="t" coordsize="21600,21600" o:gfxdata="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IPkho1QAAAAcBAAAPAAAAAAAAAAEAIAAAACIAAABkcnMvZG93bnJldi54bWxQ&#10;SwECFAAUAAAACACHTuJA4cy/BvoBAAD0AwAADgAAAAAAAAABACAAAAAkAQAAZHJzL2Uyb0RvYy54&#10;bWxQSwUGAAAAAAYABgBZAQAAkAUAAAAA&#10;">
                <v:fill on="f" focussize="0,0"/>
                <v:stroke color="#000000" joinstyle="round"/>
                <v:imagedata o:title=""/>
                <o:lock v:ext="edit" aspectratio="f"/>
              </v:line>
            </w:pict>
          </mc:Fallback>
        </mc:AlternateContent>
      </w:r>
      <w:r>
        <w:rPr>
          <w:rFonts w:ascii="Times New Roman" w:hAnsi="Times New Roman"/>
        </w:rPr>
        <mc:AlternateContent>
          <mc:Choice Requires="wps">
            <w:drawing>
              <wp:anchor distT="0" distB="0" distL="114300" distR="114300" simplePos="0" relativeHeight="251660288" behindDoc="0" locked="0" layoutInCell="1" allowOverlap="1">
                <wp:simplePos x="0" y="0"/>
                <wp:positionH relativeFrom="column">
                  <wp:posOffset>-142875</wp:posOffset>
                </wp:positionH>
                <wp:positionV relativeFrom="paragraph">
                  <wp:posOffset>336550</wp:posOffset>
                </wp:positionV>
                <wp:extent cx="5725160" cy="0"/>
                <wp:effectExtent l="0" t="0" r="0" b="0"/>
                <wp:wrapNone/>
                <wp:docPr id="1" name="直接连接符 1"/>
                <wp:cNvGraphicFramePr/>
                <a:graphic xmlns:a="http://schemas.openxmlformats.org/drawingml/2006/main">
                  <a:graphicData uri="http://schemas.microsoft.com/office/word/2010/wordprocessingShape">
                    <wps:wsp>
                      <wps:cNvCnPr/>
                      <wps:spPr>
                        <a:xfrm>
                          <a:off x="0" y="0"/>
                          <a:ext cx="5725160" cy="0"/>
                        </a:xfrm>
                        <a:prstGeom prst="line">
                          <a:avLst/>
                        </a:prstGeom>
                        <a:ln w="952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11.25pt;margin-top:26.5pt;height:0pt;width:450.8pt;z-index:251660288;mso-width-relative:page;mso-height-relative:page;" filled="f" stroked="t" coordsize="21600,21600" o:gfxdata="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RxzfZtcAAAAJAQAADwAAAAAAAAABACAAAAAiAAAAZHJzL2Rvd25yZXYueG1s&#10;UEsBAhQAFAAAAAgAh07iQPB2RwL5AQAA8gMAAA4AAAAAAAAAAQAgAAAAJgEAAGRycy9lMm9Eb2Mu&#10;eG1sUEsFBgAAAAAGAAYAWQEAAJEFAAAAAA==&#10;">
                <v:fill on="f" focussize="0,0"/>
                <v:stroke color="#000000" joinstyle="round"/>
                <v:imagedata o:title=""/>
                <o:lock v:ext="edit" aspectratio="f"/>
              </v:line>
            </w:pict>
          </mc:Fallback>
        </mc:AlternateContent>
      </w:r>
      <w:r>
        <w:rPr>
          <w:rFonts w:ascii="Times New Roman" w:hAnsi="Times New Roman" w:eastAsia="仿宋_GB2312"/>
          <w:kern w:val="0"/>
          <w:sz w:val="28"/>
          <w:szCs w:val="28"/>
        </w:rPr>
        <w:t xml:space="preserve">威海市文登区住房和城乡建设局     </w:t>
      </w:r>
      <w:r>
        <w:rPr>
          <w:rFonts w:hint="eastAsia" w:eastAsia="仿宋_GB2312"/>
          <w:kern w:val="0"/>
          <w:sz w:val="28"/>
          <w:szCs w:val="28"/>
          <w:lang w:val="en-US" w:eastAsia="zh-CN"/>
        </w:rPr>
        <w:t xml:space="preserve">  </w:t>
      </w:r>
      <w:r>
        <w:rPr>
          <w:rFonts w:ascii="Times New Roman" w:hAnsi="Times New Roman" w:eastAsia="仿宋_GB2312"/>
          <w:kern w:val="0"/>
          <w:sz w:val="28"/>
          <w:szCs w:val="28"/>
        </w:rPr>
        <w:t xml:space="preserve">       2021年</w:t>
      </w:r>
      <w:r>
        <w:rPr>
          <w:rFonts w:hint="eastAsia" w:eastAsia="仿宋_GB2312"/>
          <w:kern w:val="0"/>
          <w:sz w:val="28"/>
          <w:szCs w:val="28"/>
          <w:lang w:val="en-US" w:eastAsia="zh-CN"/>
        </w:rPr>
        <w:t>9</w:t>
      </w:r>
      <w:r>
        <w:rPr>
          <w:rFonts w:ascii="Times New Roman" w:hAnsi="Times New Roman" w:eastAsia="仿宋_GB2312"/>
          <w:kern w:val="0"/>
          <w:sz w:val="28"/>
          <w:szCs w:val="28"/>
        </w:rPr>
        <w:t>月</w:t>
      </w:r>
      <w:r>
        <w:rPr>
          <w:rFonts w:hint="eastAsia" w:eastAsia="仿宋_GB2312"/>
          <w:kern w:val="0"/>
          <w:sz w:val="28"/>
          <w:szCs w:val="28"/>
          <w:lang w:val="en-US" w:eastAsia="zh-CN"/>
        </w:rPr>
        <w:t>7</w:t>
      </w:r>
      <w:r>
        <w:rPr>
          <w:rFonts w:ascii="Times New Roman" w:hAnsi="Times New Roman" w:eastAsia="仿宋_GB2312"/>
          <w:kern w:val="0"/>
          <w:sz w:val="28"/>
          <w:szCs w:val="28"/>
        </w:rPr>
        <w:t>日印发</w:t>
      </w:r>
      <w:r>
        <w:rPr>
          <w:rFonts w:ascii="Times New Roman" w:hAnsi="Times New Roman" w:eastAsia="新宋体"/>
          <w:color w:val="000000"/>
          <w:kern w:val="0"/>
          <w:sz w:val="28"/>
          <w:szCs w:val="28"/>
        </w:rPr>
        <w:t xml:space="preserve"> </w:t>
      </w:r>
    </w:p>
    <w:sectPr>
      <w:footerReference r:id="rId3" w:type="default"/>
      <w:pgSz w:w="11906" w:h="16838"/>
      <w:pgMar w:top="2211" w:right="1531" w:bottom="1871" w:left="1531" w:header="851" w:footer="1417" w:gutter="0"/>
      <w:lnNumType w:countBy="0"/>
      <w:pgNumType w:fmt="decimal"/>
      <w:cols w:space="425" w:num="1"/>
      <w:vAlign w:val="top"/>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60C91DB-6F16-4C47-9529-24D6ED524C8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embedRegular r:id="rId2" w:fontKey="{35413B0A-E899-4C17-A23F-9C279428022E}"/>
  </w:font>
  <w:font w:name="仿宋">
    <w:panose1 w:val="02010609060101010101"/>
    <w:charset w:val="86"/>
    <w:family w:val="auto"/>
    <w:pitch w:val="default"/>
    <w:sig w:usb0="800002BF" w:usb1="38CF7CFA" w:usb2="00000016" w:usb3="00000000" w:csb0="00040001" w:csb1="00000000"/>
    <w:embedRegular r:id="rId3" w:fontKey="{AA844688-EA2B-4D60-9EB1-DABEAF012FC3}"/>
  </w:font>
  <w:font w:name="方正小标宋简体">
    <w:panose1 w:val="02000000000000000000"/>
    <w:charset w:val="86"/>
    <w:family w:val="auto"/>
    <w:pitch w:val="default"/>
    <w:sig w:usb0="00000001" w:usb1="08000000" w:usb2="00000000" w:usb3="00000000" w:csb0="00040000" w:csb1="00000000"/>
    <w:embedRegular r:id="rId4" w:fontKey="{E4A55DA4-6D21-46A4-9A9E-25C4E3C13822}"/>
  </w:font>
  <w:font w:name="新宋体">
    <w:panose1 w:val="02010609030101010101"/>
    <w:charset w:val="86"/>
    <w:family w:val="modern"/>
    <w:pitch w:val="default"/>
    <w:sig w:usb0="00000283" w:usb1="288F0000" w:usb2="00000006" w:usb3="00000000" w:csb0="00040001" w:csb1="00000000"/>
    <w:embedRegular r:id="rId5" w:fontKey="{2DF988D8-7D3D-4DBD-A546-F1AED71BEFB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widowControl/>
      <w:snapToGrid w:val="0"/>
      <w:jc w:val="left"/>
      <w:textAlignment w:val="baseline"/>
      <w:rPr>
        <w:rStyle w:val="13"/>
        <w:rFonts w:eastAsia="宋体"/>
        <w:kern w:val="2"/>
        <w:sz w:val="18"/>
        <w:szCs w:val="24"/>
        <w:lang w:val="en-US" w:eastAsia="zh-CN" w:bidi="ar-SA"/>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7"/>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lang w:eastAsia="zh-CN"/>
                      </w:rPr>
                      <w:t>—</w:t>
                    </w:r>
                  </w:p>
                </w:txbxContent>
              </v:textbox>
            </v:shape>
          </w:pict>
        </mc:Fallback>
      </mc:AlternateContent>
    </w:r>
    <w:r>
      <w:rPr>
        <w:rStyle w:val="13"/>
        <w:rFonts w:eastAsia="宋体"/>
        <w:kern w:val="2"/>
        <w:sz w:val="18"/>
        <w:szCs w:val="24"/>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widowControl/>
                            <w:snapToGrid w:val="0"/>
                            <w:jc w:val="left"/>
                            <w:textAlignment w:val="baseline"/>
                            <w:rPr>
                              <w:rStyle w:val="13"/>
                              <w:rFonts w:eastAsia="宋体"/>
                              <w:kern w:val="2"/>
                              <w:sz w:val="21"/>
                              <w:szCs w:val="24"/>
                              <w:lang w:val="en-US" w:eastAsia="zh-CN" w:bidi="ar-SA"/>
                            </w:rPr>
                          </w:pPr>
                        </w:p>
                      </w:txbxContent>
                    </wps:txbx>
                    <wps:bodyPr lIns="0" tIns="0" rIns="0" bIns="0" anchor="t" anchorCtr="0" upright="1"/>
                  </wps:wsp>
                </a:graphicData>
              </a:graphic>
            </wp:anchor>
          </w:drawing>
        </mc:Choice>
        <mc:Fallback>
          <w:pict>
            <v:shape id="文本框 1" o:spid="_x0000_s1026" o:spt="202" type="#_x0000_t202" style="position:absolute;left:0pt;margin-top:0pt;height:144pt;width:144pt;mso-position-horizontal:center;mso-position-horizontal-relative:margin;z-index:251660288;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T2QNIAAAAFAQAADwAAAAAAAAABACAAAAAiAAAAZHJzL2Rvd25yZXYueG1sUEsB&#10;AhQAFAAAAAgAh07iQMc7/ZrCAQAAjAMAAA4AAAAAAAAAAQAgAAAAIQEAAGRycy9lMm9Eb2MueG1s&#10;UEsFBgAAAAAGAAYAWQEAAFUFAAAAAA==&#10;">
              <v:fill on="f" focussize="0,0"/>
              <v:stroke on="f"/>
              <v:imagedata o:title=""/>
              <o:lock v:ext="edit" aspectratio="f"/>
              <v:textbox inset="0mm,0mm,0mm,0mm">
                <w:txbxContent>
                  <w:p>
                    <w:pPr>
                      <w:pStyle w:val="7"/>
                      <w:widowControl/>
                      <w:snapToGrid w:val="0"/>
                      <w:jc w:val="left"/>
                      <w:textAlignment w:val="baseline"/>
                      <w:rPr>
                        <w:rStyle w:val="13"/>
                        <w:rFonts w:eastAsia="宋体"/>
                        <w:kern w:val="2"/>
                        <w:sz w:val="21"/>
                        <w:szCs w:val="24"/>
                        <w:lang w:val="en-US" w:eastAsia="zh-CN" w:bidi="ar-SA"/>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BD3230"/>
    <w:multiLevelType w:val="multilevel"/>
    <w:tmpl w:val="23BD3230"/>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5"/>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isplayHorizontalDrawingGridEvery w:val="1"/>
  <w:displayVerticalDrawingGridEvery w:val="1"/>
  <w:doNotUseMarginsForDrawingGridOrigin w:val="1"/>
  <w:drawingGridHorizontalOrigin w:val="1800"/>
  <w:drawingGridVerticalOrigin w:val="1440"/>
  <w:compat>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BB3702"/>
    <w:rsid w:val="07FA25AE"/>
    <w:rsid w:val="08F16C5D"/>
    <w:rsid w:val="0A335979"/>
    <w:rsid w:val="0DFF3015"/>
    <w:rsid w:val="0FC330A3"/>
    <w:rsid w:val="107E5BFD"/>
    <w:rsid w:val="1579356C"/>
    <w:rsid w:val="16F51001"/>
    <w:rsid w:val="1C87339D"/>
    <w:rsid w:val="1E102BFE"/>
    <w:rsid w:val="214032C1"/>
    <w:rsid w:val="228B3C3F"/>
    <w:rsid w:val="22E07648"/>
    <w:rsid w:val="23F202DD"/>
    <w:rsid w:val="24500490"/>
    <w:rsid w:val="26EB5A62"/>
    <w:rsid w:val="27213231"/>
    <w:rsid w:val="27684556"/>
    <w:rsid w:val="28745CB7"/>
    <w:rsid w:val="300E2B44"/>
    <w:rsid w:val="31904BE1"/>
    <w:rsid w:val="3338726B"/>
    <w:rsid w:val="36667B8B"/>
    <w:rsid w:val="369B6CFA"/>
    <w:rsid w:val="37644416"/>
    <w:rsid w:val="38EB6C68"/>
    <w:rsid w:val="39871361"/>
    <w:rsid w:val="3A915918"/>
    <w:rsid w:val="3FCB3A7B"/>
    <w:rsid w:val="400E34FA"/>
    <w:rsid w:val="40AA6157"/>
    <w:rsid w:val="43C07131"/>
    <w:rsid w:val="43CB6343"/>
    <w:rsid w:val="477E73E2"/>
    <w:rsid w:val="4B853C99"/>
    <w:rsid w:val="4D28125C"/>
    <w:rsid w:val="4F525D33"/>
    <w:rsid w:val="50855183"/>
    <w:rsid w:val="52642C68"/>
    <w:rsid w:val="55341AA6"/>
    <w:rsid w:val="5560020A"/>
    <w:rsid w:val="57820A29"/>
    <w:rsid w:val="57957D4A"/>
    <w:rsid w:val="584916BE"/>
    <w:rsid w:val="601079A9"/>
    <w:rsid w:val="617C3EB3"/>
    <w:rsid w:val="61DB4B30"/>
    <w:rsid w:val="63B24880"/>
    <w:rsid w:val="66CB687E"/>
    <w:rsid w:val="69ED08C9"/>
    <w:rsid w:val="6B295F7C"/>
    <w:rsid w:val="6B40655C"/>
    <w:rsid w:val="6BD201AA"/>
    <w:rsid w:val="715B6E83"/>
    <w:rsid w:val="747F4665"/>
    <w:rsid w:val="748436CE"/>
    <w:rsid w:val="74BD25E4"/>
    <w:rsid w:val="77C705F4"/>
    <w:rsid w:val="7C5D78E9"/>
    <w:rsid w:val="7E215C3C"/>
    <w:rsid w:val="7EC13A1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13"/>
    <w:qFormat/>
    <w:uiPriority w:val="0"/>
    <w:pPr>
      <w:jc w:val="both"/>
      <w:textAlignment w:val="baseline"/>
    </w:pPr>
    <w:rPr>
      <w:rFonts w:ascii="Times New Roman" w:hAnsi="Times New Roman" w:eastAsia="宋体" w:cstheme="minorBidi"/>
      <w:kern w:val="2"/>
      <w:sz w:val="21"/>
      <w:szCs w:val="24"/>
      <w:lang w:val="en-US" w:eastAsia="zh-CN" w:bidi="ar-SA"/>
    </w:rPr>
  </w:style>
  <w:style w:type="paragraph" w:styleId="5">
    <w:name w:val="heading 5"/>
    <w:basedOn w:val="1"/>
    <w:next w:val="1"/>
    <w:qFormat/>
    <w:uiPriority w:val="0"/>
    <w:pPr>
      <w:keepNext/>
      <w:keepLines/>
      <w:numPr>
        <w:ilvl w:val="4"/>
        <w:numId w:val="1"/>
      </w:numPr>
      <w:ind w:left="851" w:hanging="851"/>
      <w:outlineLvl w:val="4"/>
    </w:pPr>
    <w:rPr>
      <w:b/>
      <w:bCs/>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99"/>
    <w:pPr>
      <w:spacing w:after="0"/>
      <w:ind w:firstLine="420" w:firstLineChars="200"/>
    </w:pPr>
  </w:style>
  <w:style w:type="paragraph" w:styleId="3">
    <w:name w:val="Body Text Indent"/>
    <w:basedOn w:val="1"/>
    <w:next w:val="4"/>
    <w:qFormat/>
    <w:uiPriority w:val="99"/>
    <w:pPr>
      <w:spacing w:after="120"/>
      <w:ind w:left="420" w:leftChars="200"/>
    </w:pPr>
  </w:style>
  <w:style w:type="paragraph" w:styleId="4">
    <w:name w:val="Normal Indent"/>
    <w:basedOn w:val="1"/>
    <w:qFormat/>
    <w:uiPriority w:val="99"/>
    <w:pPr>
      <w:ind w:firstLine="420" w:firstLineChars="200"/>
    </w:pPr>
  </w:style>
  <w:style w:type="paragraph" w:styleId="6">
    <w:name w:val="annotation text"/>
    <w:basedOn w:val="1"/>
    <w:qFormat/>
    <w:uiPriority w:val="0"/>
    <w:pPr>
      <w:jc w:val="left"/>
    </w:pPr>
  </w:style>
  <w:style w:type="paragraph" w:styleId="7">
    <w:name w:val="footer"/>
    <w:basedOn w:val="1"/>
    <w:qFormat/>
    <w:uiPriority w:val="0"/>
    <w:pPr>
      <w:tabs>
        <w:tab w:val="center" w:pos="4153"/>
        <w:tab w:val="right" w:pos="8306"/>
      </w:tabs>
      <w:snapToGrid w:val="0"/>
      <w:jc w:val="left"/>
      <w:textAlignment w:val="baseline"/>
    </w:pPr>
    <w:rPr>
      <w:rFonts w:eastAsia="宋体"/>
      <w:kern w:val="2"/>
      <w:sz w:val="18"/>
      <w:szCs w:val="24"/>
      <w:lang w:val="en-US" w:eastAsia="zh-CN" w:bidi="ar-SA"/>
    </w:rPr>
  </w:style>
  <w:style w:type="paragraph" w:styleId="8">
    <w:name w:val="header"/>
    <w:basedOn w:val="1"/>
    <w:qFormat/>
    <w:uiPriority w:val="0"/>
    <w:pPr>
      <w:pBdr>
        <w:top w:val="none" w:color="000000" w:sz="0" w:space="1"/>
        <w:left w:val="none" w:color="000000" w:sz="0" w:space="4"/>
        <w:bottom w:val="none" w:color="000000" w:sz="0" w:space="1"/>
        <w:right w:val="none" w:color="000000" w:sz="0" w:space="4"/>
      </w:pBdr>
      <w:tabs>
        <w:tab w:val="center" w:pos="4153"/>
        <w:tab w:val="right" w:pos="8306"/>
      </w:tabs>
      <w:snapToGrid w:val="0"/>
      <w:spacing w:line="240" w:lineRule="auto"/>
      <w:jc w:val="both"/>
      <w:textAlignment w:val="baseline"/>
    </w:pPr>
    <w:rPr>
      <w:rFonts w:eastAsia="宋体"/>
      <w:kern w:val="2"/>
      <w:sz w:val="18"/>
      <w:szCs w:val="24"/>
      <w:lang w:val="en-US" w:eastAsia="zh-CN" w:bidi="ar-SA"/>
    </w:rPr>
  </w:style>
  <w:style w:type="character" w:styleId="11">
    <w:name w:val="page number"/>
    <w:basedOn w:val="10"/>
    <w:qFormat/>
    <w:uiPriority w:val="0"/>
  </w:style>
  <w:style w:type="paragraph" w:customStyle="1" w:styleId="12">
    <w:name w:val="TOC1"/>
    <w:basedOn w:val="1"/>
    <w:next w:val="1"/>
    <w:qFormat/>
    <w:uiPriority w:val="0"/>
    <w:pPr>
      <w:jc w:val="both"/>
      <w:textAlignment w:val="baseline"/>
    </w:pPr>
  </w:style>
  <w:style w:type="character" w:customStyle="1" w:styleId="13">
    <w:name w:val="NormalCharacter"/>
    <w:link w:val="1"/>
    <w:semiHidden/>
    <w:qFormat/>
    <w:uiPriority w:val="0"/>
  </w:style>
  <w:style w:type="table" w:customStyle="1" w:styleId="14">
    <w:name w:val="TableNormal"/>
    <w:semiHidden/>
    <w:qFormat/>
    <w:uiPriority w:val="0"/>
  </w:style>
  <w:style w:type="paragraph" w:customStyle="1" w:styleId="15">
    <w:name w:val="HtmlNormal"/>
    <w:basedOn w:val="1"/>
    <w:qFormat/>
    <w:uiPriority w:val="0"/>
    <w:pPr>
      <w:widowControl/>
      <w:spacing w:before="100" w:beforeAutospacing="1" w:after="100" w:afterAutospacing="1"/>
      <w:jc w:val="left"/>
      <w:textAlignment w:val="baseline"/>
    </w:pPr>
    <w:rPr>
      <w:rFonts w:ascii="宋体" w:hAnsi="宋体" w:eastAsia="宋体"/>
      <w:kern w:val="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Office_11.1.0.11194_F1E327BC-269C-435d-A152-05C5408002CA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2021-09-05T06:27:00Z</dcterms:created>
  <dc:creator>Administrator.SKY-20201202MQZ</dc:creator>
  <cp:lastModifiedBy>小菲宝</cp:lastModifiedBy>
  <cp:lastPrinted>2021-09-09T09:31:00Z</cp:lastPrinted>
  <dcterms:modified xsi:type="dcterms:W3CDTF">2021-12-29T07:34:06Z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F0EA70EFAE1B488C9688FBA37F10AED0</vt:lpwstr>
  </property>
</Properties>
</file>