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926ADE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jc w:val="center"/>
        <w:textAlignment w:val="auto"/>
        <w:rPr>
          <w:rFonts w:hint="eastAsia" w:ascii="方正小标宋简体" w:hAnsi="宋体" w:eastAsia="方正小标宋简体" w:cs="宋体"/>
          <w:color w:val="auto"/>
          <w:sz w:val="44"/>
          <w:szCs w:val="44"/>
        </w:rPr>
      </w:pPr>
      <w:r>
        <w:rPr>
          <w:rFonts w:hint="eastAsia" w:ascii="方正小标宋简体" w:hAnsi="宋体" w:eastAsia="方正小标宋简体" w:cs="宋体"/>
          <w:color w:val="auto"/>
          <w:sz w:val="44"/>
          <w:szCs w:val="44"/>
        </w:rPr>
        <w:t>202</w:t>
      </w:r>
      <w:r>
        <w:rPr>
          <w:rFonts w:hint="eastAsia" w:ascii="方正小标宋简体" w:hAnsi="宋体" w:eastAsia="方正小标宋简体" w:cs="宋体"/>
          <w:color w:val="auto"/>
          <w:sz w:val="44"/>
          <w:szCs w:val="44"/>
          <w:lang w:val="en-US" w:eastAsia="zh-CN"/>
        </w:rPr>
        <w:t>4</w:t>
      </w:r>
      <w:r>
        <w:rPr>
          <w:rFonts w:hint="eastAsia" w:ascii="方正小标宋简体" w:hAnsi="宋体" w:eastAsia="方正小标宋简体" w:cs="宋体"/>
          <w:color w:val="auto"/>
          <w:sz w:val="44"/>
          <w:szCs w:val="44"/>
        </w:rPr>
        <w:t>年文登区</w:t>
      </w:r>
    </w:p>
    <w:p w14:paraId="112F0EF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jc w:val="center"/>
        <w:textAlignment w:val="auto"/>
        <w:rPr>
          <w:rFonts w:ascii="方正小标宋简体" w:hAnsi="宋体" w:eastAsia="方正小标宋简体" w:cs="宋体"/>
          <w:color w:val="auto"/>
          <w:sz w:val="44"/>
          <w:szCs w:val="44"/>
        </w:rPr>
      </w:pPr>
      <w:r>
        <w:rPr>
          <w:rFonts w:hint="eastAsia" w:ascii="方正小标宋简体" w:hAnsi="宋体" w:eastAsia="方正小标宋简体" w:cs="宋体"/>
          <w:color w:val="auto"/>
          <w:sz w:val="44"/>
          <w:szCs w:val="44"/>
        </w:rPr>
        <w:t>国民经济和社会发展统计公报</w:t>
      </w:r>
    </w:p>
    <w:p w14:paraId="5700152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ascii="仿宋_GB2312" w:hAnsi="仿宋" w:eastAsia="仿宋_GB2312" w:cs="仿宋"/>
          <w:color w:val="auto"/>
          <w:sz w:val="32"/>
          <w:szCs w:val="32"/>
        </w:rPr>
      </w:pPr>
    </w:p>
    <w:p w14:paraId="22FD23E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" w:eastAsia="仿宋_GB2312" w:cs="仿宋"/>
          <w:color w:val="auto"/>
          <w:sz w:val="32"/>
          <w:szCs w:val="32"/>
        </w:rPr>
      </w:pPr>
      <w:r>
        <w:rPr>
          <w:rFonts w:hint="eastAsia" w:ascii="仿宋_GB2312" w:hAnsi="仿宋" w:eastAsia="仿宋_GB2312" w:cs="仿宋"/>
          <w:color w:val="auto"/>
          <w:sz w:val="32"/>
          <w:szCs w:val="32"/>
        </w:rPr>
        <w:t>2024年，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文登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区坚持以习近平新时代中国特色社会主义思想为指导，承重奋起、担当实干，全力做好稳增长、促改革、调结构、惠民生、防风险、保稳定各项工作，经济社会发展稳中有进。</w:t>
      </w:r>
    </w:p>
    <w:p w14:paraId="10125C6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jc w:val="center"/>
        <w:textAlignment w:val="auto"/>
        <w:rPr>
          <w:rFonts w:ascii="黑体" w:hAnsi="黑体" w:eastAsia="黑体" w:cs="黑体"/>
          <w:color w:val="auto"/>
          <w:sz w:val="32"/>
          <w:szCs w:val="32"/>
        </w:rPr>
      </w:pPr>
      <w:r>
        <w:rPr>
          <w:rFonts w:hint="eastAsia" w:ascii="黑体" w:hAnsi="黑体" w:eastAsia="黑体" w:cs="黑体"/>
          <w:color w:val="auto"/>
          <w:sz w:val="32"/>
          <w:szCs w:val="32"/>
        </w:rPr>
        <w:t>一、综 合</w:t>
      </w:r>
    </w:p>
    <w:p w14:paraId="18A3103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仿宋" w:eastAsia="仿宋_GB2312" w:cs="仿宋"/>
          <w:color w:val="auto"/>
          <w:sz w:val="32"/>
          <w:szCs w:val="32"/>
        </w:rPr>
      </w:pPr>
      <w:r>
        <w:rPr>
          <w:rFonts w:hint="eastAsia" w:ascii="仿宋_GB2312" w:hAnsi="仿宋" w:eastAsia="仿宋_GB2312" w:cs="仿宋"/>
          <w:color w:val="auto"/>
          <w:sz w:val="32"/>
          <w:szCs w:val="32"/>
        </w:rPr>
        <w:t>初步核算，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全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年地区生产总值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642.83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亿元，按可比价格计算，比上年增长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5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.3%。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其中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，第一产业增加值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78.4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亿元，增长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4.1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%；第二产业增加值220.48亿元，增长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6.8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%；第三产业增加值343.95亿元，增长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4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.6%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；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三次产业结构为12.2：34.3：53.5。</w:t>
      </w:r>
    </w:p>
    <w:p w14:paraId="42919A8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</w:pP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年末全区常住人口54.72万人，常住人口城镇化率62.61%；户籍人口自然增长率-8.16‰。全年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新增城镇就业6916人，失业人员再就业3758人，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就业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困难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人员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就业487人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。</w:t>
      </w:r>
    </w:p>
    <w:p w14:paraId="59C7533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</w:pP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消费价格小幅下降。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全年居民消费价格指数下降0.1%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，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在消费八大项中，食品烟酒类下降0.6%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，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衣着类上涨1.2%，居住类上涨0.3%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，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生活用品及服务类上涨1.1%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，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交通通信类下降2.9%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，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教育文化和娱乐类上涨1.7%，医疗保健类上涨0.4%，其他用品和服务类上涨3.6%。</w:t>
      </w:r>
    </w:p>
    <w:p w14:paraId="0F707D3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jc w:val="left"/>
        <w:textAlignment w:val="auto"/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</w:pPr>
      <w:r>
        <w:rPr>
          <w:rFonts w:hint="eastAsia" w:ascii="仿宋_GB2312" w:hAnsi="仿宋" w:eastAsia="仿宋_GB2312" w:cs="仿宋"/>
          <w:color w:val="auto"/>
          <w:sz w:val="32"/>
          <w:szCs w:val="32"/>
        </w:rPr>
        <w:t>年末实有各类市场主体（不含外资企业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，下同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）75092户，其中，个体工商户55219户，私营企业17795户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，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新登记各类市场主体7868户。</w:t>
      </w:r>
    </w:p>
    <w:p w14:paraId="1AE41D6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jc w:val="center"/>
        <w:textAlignment w:val="auto"/>
        <w:rPr>
          <w:rFonts w:ascii="黑体" w:hAnsi="黑体" w:eastAsia="黑体" w:cs="黑体"/>
          <w:color w:val="auto"/>
          <w:sz w:val="32"/>
          <w:szCs w:val="32"/>
        </w:rPr>
      </w:pPr>
      <w:r>
        <w:rPr>
          <w:rFonts w:hint="eastAsia" w:ascii="黑体" w:hAnsi="黑体" w:eastAsia="黑体" w:cs="黑体"/>
          <w:color w:val="auto"/>
          <w:sz w:val="32"/>
          <w:szCs w:val="32"/>
        </w:rPr>
        <w:t>二、农业</w:t>
      </w:r>
    </w:p>
    <w:p w14:paraId="520581D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jc w:val="left"/>
        <w:textAlignment w:val="auto"/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</w:pP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全年实现农林牧渔业增加值86.74亿元，增长4.3%。其中，农林牧渔专业及辅助性活动增加值8.34亿元，增长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5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.5%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。</w:t>
      </w:r>
    </w:p>
    <w:p w14:paraId="0E04EDC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jc w:val="left"/>
        <w:textAlignment w:val="auto"/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</w:pP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全年粮食总产量24.35万吨，增长1.0%，其中，夏粮产量9.87万吨，增长3.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1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%；秋粮产量14.48万吨，增长0.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4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%。油料总产量6.66万吨，增长1.8%。茶叶总产量13.79吨，下降79.6%。园林水果总产量35.32万吨，增长4.6%，其中，苹果31.48万吨，增长4.6%。</w:t>
      </w:r>
    </w:p>
    <w:p w14:paraId="18B85FC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jc w:val="left"/>
        <w:textAlignment w:val="auto"/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</w:pP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全年猪肉产量4.31万吨，禽蛋类总产量5.46万吨，牛奶总产量0.53万吨。</w:t>
      </w:r>
    </w:p>
    <w:p w14:paraId="7F24D01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jc w:val="left"/>
        <w:textAlignment w:val="auto"/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</w:pP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全年水产品（不含远洋捕捞部分）总产量45.54万吨，增长49.7%。水产养殖面积1.86万公顷，增长21%；养殖产量36.1万吨，增长56%。</w:t>
      </w:r>
    </w:p>
    <w:p w14:paraId="071F114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jc w:val="left"/>
        <w:textAlignment w:val="auto"/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</w:pP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农业生产机械化。年末农业机械总动力139.3万千瓦，下降5.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1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%；农用水泵2.26万台，增长0.1%，节水灌溉类机械0.41万套，增长0.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1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%；全年小麦机耕面积1.02万公顷，机播面积1.6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8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万公顷，机收面积1.6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8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万公顷；全年玉米机耕面积0.3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2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万公顷，机播面积2.03万公顷，机收面积1.8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9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万公顷。</w:t>
      </w:r>
    </w:p>
    <w:p w14:paraId="1BDC5E5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jc w:val="left"/>
        <w:textAlignment w:val="auto"/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</w:pP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农业经营主体产业化。年末市级以上农业产业化龙头企业39家，其中，国家、省、市级分别是1家、10家、28家。新注册农民专业合作社24家，总数达1081家，入社成员2.59万户。</w:t>
      </w:r>
    </w:p>
    <w:p w14:paraId="039AB49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jc w:val="center"/>
        <w:textAlignment w:val="auto"/>
        <w:rPr>
          <w:rFonts w:ascii="黑体" w:hAnsi="黑体" w:eastAsia="黑体" w:cs="仿宋"/>
          <w:color w:val="auto"/>
          <w:sz w:val="32"/>
          <w:szCs w:val="32"/>
        </w:rPr>
      </w:pPr>
      <w:r>
        <w:rPr>
          <w:rFonts w:hint="eastAsia" w:ascii="黑体" w:hAnsi="黑体" w:eastAsia="黑体" w:cs="黑体"/>
          <w:color w:val="auto"/>
          <w:sz w:val="32"/>
          <w:szCs w:val="32"/>
        </w:rPr>
        <w:t>三、工业</w:t>
      </w:r>
      <w:r>
        <w:rPr>
          <w:rFonts w:hint="eastAsia" w:ascii="黑体" w:hAnsi="黑体" w:eastAsia="黑体" w:cs="黑体"/>
          <w:color w:val="auto"/>
          <w:sz w:val="32"/>
          <w:szCs w:val="32"/>
          <w:lang w:eastAsia="zh-CN"/>
        </w:rPr>
        <w:t>和</w:t>
      </w:r>
      <w:r>
        <w:rPr>
          <w:rFonts w:hint="eastAsia" w:ascii="黑体" w:hAnsi="黑体" w:eastAsia="黑体" w:cs="黑体"/>
          <w:color w:val="auto"/>
          <w:sz w:val="32"/>
          <w:szCs w:val="32"/>
        </w:rPr>
        <w:t>建筑业</w:t>
      </w:r>
    </w:p>
    <w:p w14:paraId="1AFCD74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/>
        <w:jc w:val="left"/>
        <w:textAlignment w:val="auto"/>
        <w:rPr>
          <w:rFonts w:hint="eastAsia" w:ascii="仿宋_GB2312" w:hAnsi="仿宋" w:eastAsia="仿宋_GB2312" w:cs="仿宋"/>
          <w:color w:val="0000FF"/>
          <w:sz w:val="32"/>
          <w:szCs w:val="32"/>
          <w:lang w:eastAsia="zh-CN"/>
        </w:rPr>
      </w:pP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全年规模以上工业增加值增长5.6%。分门类看，规模以上采矿业增加值下降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9.8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%，制造业增加值增长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4.5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%，电力、热力、燃气及水生产和供应业增加值增长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19.3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%。</w:t>
      </w:r>
    </w:p>
    <w:p w14:paraId="48FE431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/>
        <w:jc w:val="left"/>
        <w:textAlignment w:val="auto"/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</w:pP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全年规模以上工业企业营业收入增长4.9%，利润总额增长1.8%。</w:t>
      </w:r>
    </w:p>
    <w:p w14:paraId="72FDEDE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/>
        <w:jc w:val="left"/>
        <w:textAlignment w:val="auto"/>
        <w:rPr>
          <w:rFonts w:hint="eastAsia" w:ascii="仿宋_GB2312" w:hAnsi="仿宋" w:eastAsia="仿宋_GB2312" w:cs="仿宋"/>
          <w:color w:val="auto"/>
          <w:sz w:val="32"/>
          <w:szCs w:val="32"/>
        </w:rPr>
      </w:pPr>
      <w:r>
        <w:rPr>
          <w:rFonts w:hint="eastAsia" w:ascii="仿宋_GB2312" w:hAnsi="仿宋" w:eastAsia="仿宋_GB2312" w:cs="仿宋"/>
          <w:color w:val="auto"/>
          <w:sz w:val="32"/>
          <w:szCs w:val="32"/>
        </w:rPr>
        <w:t>年末全区共有资质内建筑业企业127家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，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建筑业总产值54.2亿元，增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长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15.1%。</w:t>
      </w:r>
    </w:p>
    <w:p w14:paraId="118F45E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jc w:val="center"/>
        <w:textAlignment w:val="auto"/>
        <w:rPr>
          <w:rFonts w:hint="eastAsia" w:ascii="黑体" w:hAnsi="黑体" w:eastAsia="黑体" w:cs="黑体"/>
          <w:color w:val="auto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eastAsia="zh-CN"/>
        </w:rPr>
        <w:t>四</w:t>
      </w:r>
      <w:r>
        <w:rPr>
          <w:rFonts w:hint="eastAsia" w:ascii="黑体" w:hAnsi="黑体" w:eastAsia="黑体" w:cs="黑体"/>
          <w:color w:val="auto"/>
          <w:sz w:val="32"/>
          <w:szCs w:val="32"/>
        </w:rPr>
        <w:t>、</w:t>
      </w:r>
      <w:r>
        <w:rPr>
          <w:rFonts w:hint="eastAsia" w:ascii="黑体" w:hAnsi="黑体" w:eastAsia="黑体" w:cs="黑体"/>
          <w:color w:val="auto"/>
          <w:sz w:val="32"/>
          <w:szCs w:val="32"/>
          <w:lang w:eastAsia="zh-CN"/>
        </w:rPr>
        <w:t>服务业</w:t>
      </w:r>
    </w:p>
    <w:p w14:paraId="4346ACD7">
      <w:pPr>
        <w:keepNext w:val="0"/>
        <w:keepLines w:val="0"/>
        <w:pageBreakBefore w:val="0"/>
        <w:widowControl w:val="0"/>
        <w:pBdr>
          <w:top w:val="none" w:color="auto" w:sz="0" w:space="1"/>
          <w:left w:val="none" w:color="auto" w:sz="0" w:space="4"/>
          <w:bottom w:val="none" w:color="auto" w:sz="0" w:space="1"/>
          <w:right w:val="none" w:color="auto" w:sz="0" w:space="4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default" w:ascii="仿宋_GB2312" w:hAnsi="仿宋" w:eastAsia="仿宋_GB2312" w:cs="仿宋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三产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成为全区经济的第一主导产业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。全年实现服务业增加值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343.95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亿元，增长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4.6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%；占地区生产总值的比重为53.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5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%，对经济增长的贡献率为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47.4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%。规模以上服务业营业收入增长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5.2%，其中，文化体育和娱乐业增长35.9%，居民服务修理和其他服务业增长16.2%，多式联运和运输代理业增长13.5%。</w:t>
      </w:r>
    </w:p>
    <w:p w14:paraId="5D0B6661">
      <w:pPr>
        <w:keepNext w:val="0"/>
        <w:keepLines w:val="0"/>
        <w:pageBreakBefore w:val="0"/>
        <w:widowControl w:val="0"/>
        <w:pBdr>
          <w:top w:val="none" w:color="auto" w:sz="0" w:space="1"/>
          <w:left w:val="none" w:color="auto" w:sz="0" w:space="4"/>
          <w:bottom w:val="none" w:color="auto" w:sz="0" w:space="1"/>
          <w:right w:val="none" w:color="auto" w:sz="0" w:space="4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ascii="仿宋_GB2312" w:hAnsi="仿宋" w:eastAsia="仿宋_GB2312" w:cs="仿宋"/>
          <w:color w:val="auto"/>
          <w:sz w:val="32"/>
          <w:szCs w:val="32"/>
        </w:rPr>
      </w:pPr>
      <w:r>
        <w:rPr>
          <w:rFonts w:hint="eastAsia" w:ascii="仿宋_GB2312" w:hAnsi="仿宋" w:eastAsia="仿宋_GB2312" w:cs="仿宋"/>
          <w:color w:val="auto"/>
          <w:sz w:val="32"/>
          <w:szCs w:val="32"/>
        </w:rPr>
        <w:t>年末公路通车里程1683.2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7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公里(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含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农村公路)。全年公路完成客运量144.28万人次，货运量1996万吨。全年公路完成客运周转量1.98亿人公里。全年公路、海运完成货运周转量26.3亿吨公里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；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其中，公路21亿吨公里，海运5.3亿吨公里。全年港口货物吞吐量111.9万吨，增长20%。</w:t>
      </w:r>
    </w:p>
    <w:p w14:paraId="7EAC2A4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jc w:val="left"/>
        <w:textAlignment w:val="auto"/>
        <w:rPr>
          <w:rFonts w:hint="eastAsia" w:ascii="仿宋_GB2312" w:hAnsi="仿宋" w:eastAsia="仿宋_GB2312" w:cs="仿宋"/>
          <w:color w:val="auto"/>
          <w:sz w:val="32"/>
          <w:szCs w:val="32"/>
        </w:rPr>
      </w:pPr>
      <w:r>
        <w:rPr>
          <w:rFonts w:hint="eastAsia" w:ascii="仿宋_GB2312" w:hAnsi="仿宋" w:eastAsia="仿宋_GB2312" w:cs="仿宋"/>
          <w:color w:val="auto"/>
          <w:sz w:val="32"/>
          <w:szCs w:val="32"/>
        </w:rPr>
        <w:t>全区拥有国家4A级景区2处、3A级景区4处、2A级景区1处，四星级酒店2家、三星级酒店1家，省级乡村旅游重点村4个、省级景区化村庄20个。</w:t>
      </w:r>
    </w:p>
    <w:p w14:paraId="65DFF4C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jc w:val="left"/>
        <w:textAlignment w:val="auto"/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</w:pP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全年纳入统计的景区共2家（汤泊温泉、天沐温泉），共接待游客66万人次，增长10.6%；实现旅游总收入5964万元。</w:t>
      </w:r>
    </w:p>
    <w:p w14:paraId="598E18B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jc w:val="center"/>
        <w:textAlignment w:val="auto"/>
        <w:rPr>
          <w:rFonts w:ascii="黑体" w:hAnsi="黑体" w:eastAsia="黑体" w:cs="黑体"/>
          <w:color w:val="auto"/>
          <w:sz w:val="32"/>
          <w:szCs w:val="32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eastAsia="zh-CN"/>
        </w:rPr>
        <w:t>五</w:t>
      </w:r>
      <w:r>
        <w:rPr>
          <w:rFonts w:hint="eastAsia" w:ascii="黑体" w:hAnsi="黑体" w:eastAsia="黑体" w:cs="黑体"/>
          <w:color w:val="auto"/>
          <w:sz w:val="32"/>
          <w:szCs w:val="32"/>
        </w:rPr>
        <w:t>、固定资产投资</w:t>
      </w:r>
    </w:p>
    <w:p w14:paraId="7C7EE2E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jc w:val="left"/>
        <w:textAlignment w:val="auto"/>
        <w:rPr>
          <w:rFonts w:hint="eastAsia" w:ascii="仿宋_GB2312" w:hAnsi="仿宋" w:eastAsia="仿宋_GB2312" w:cs="仿宋"/>
          <w:color w:val="auto"/>
          <w:sz w:val="32"/>
          <w:szCs w:val="32"/>
        </w:rPr>
      </w:pPr>
      <w:r>
        <w:rPr>
          <w:rFonts w:hint="eastAsia" w:ascii="仿宋_GB2312" w:hAnsi="仿宋" w:eastAsia="仿宋_GB2312" w:cs="仿宋"/>
          <w:color w:val="auto"/>
          <w:sz w:val="32"/>
          <w:szCs w:val="32"/>
        </w:rPr>
        <w:t>全年固定资产投资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增长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5.1%。分产业看，第一产业投资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增长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6.9%，占总投资的比重3.7%；第二产业投资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增长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18.9%，占总投资的比重64.6%；第三产业投资下降32%，占总投资的比重31.7%。</w:t>
      </w:r>
    </w:p>
    <w:p w14:paraId="7F7264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/>
        <w:jc w:val="left"/>
        <w:textAlignment w:val="auto"/>
        <w:rPr>
          <w:rFonts w:hint="eastAsia" w:ascii="仿宋_GB2312" w:hAnsi="仿宋" w:eastAsia="仿宋_GB2312" w:cs="仿宋"/>
          <w:color w:val="auto"/>
          <w:sz w:val="32"/>
          <w:szCs w:val="32"/>
        </w:rPr>
      </w:pPr>
      <w:r>
        <w:rPr>
          <w:rFonts w:hint="eastAsia" w:ascii="仿宋_GB2312" w:hAnsi="仿宋" w:eastAsia="仿宋_GB2312" w:cs="仿宋"/>
          <w:color w:val="auto"/>
          <w:sz w:val="32"/>
          <w:szCs w:val="32"/>
        </w:rPr>
        <w:t>全年房地产开发投资26.87亿元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。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 xml:space="preserve">从房屋建设用途看，住宅投资22.24亿元，占全部房地产开发投资的82.8%；商业营业用房投资1.76亿元，占全部房地产开发投资的6.6%。全年商品房施工面积694.96万平方米，商品房竣工面积15.1万平方米，商品房销售面积108.81万平方米，其中，住宅销售面积89.49万平方米，占全部销售面积的82.2%。 </w:t>
      </w:r>
    </w:p>
    <w:p w14:paraId="1863C42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jc w:val="center"/>
        <w:textAlignment w:val="auto"/>
        <w:rPr>
          <w:rFonts w:ascii="黑体" w:hAnsi="黑体" w:eastAsia="黑体" w:cs="黑体"/>
          <w:color w:val="auto"/>
          <w:sz w:val="32"/>
          <w:szCs w:val="32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eastAsia="zh-CN"/>
        </w:rPr>
        <w:t>六</w:t>
      </w:r>
      <w:r>
        <w:rPr>
          <w:rFonts w:hint="eastAsia" w:ascii="黑体" w:hAnsi="黑体" w:eastAsia="黑体" w:cs="黑体"/>
          <w:color w:val="auto"/>
          <w:sz w:val="32"/>
          <w:szCs w:val="32"/>
        </w:rPr>
        <w:t>、国内外贸易</w:t>
      </w:r>
    </w:p>
    <w:p w14:paraId="03E8063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/>
        <w:jc w:val="left"/>
        <w:textAlignment w:val="auto"/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 w:cs="仿宋"/>
          <w:color w:val="auto"/>
          <w:sz w:val="32"/>
          <w:szCs w:val="32"/>
        </w:rPr>
        <w:t>全年社会消费品零售总额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增长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6.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4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%，其中，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限上消费品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零售额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增长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17.4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%。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 xml:space="preserve"> </w:t>
      </w:r>
    </w:p>
    <w:p w14:paraId="4752095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/>
        <w:jc w:val="left"/>
        <w:textAlignment w:val="auto"/>
        <w:rPr>
          <w:rFonts w:hint="eastAsia" w:ascii="仿宋_GB2312" w:hAnsi="仿宋" w:eastAsia="仿宋_GB2312" w:cs="仿宋"/>
          <w:color w:val="auto"/>
          <w:sz w:val="32"/>
          <w:szCs w:val="32"/>
        </w:rPr>
      </w:pPr>
      <w:r>
        <w:rPr>
          <w:rFonts w:hint="eastAsia" w:ascii="仿宋_GB2312" w:hAnsi="仿宋" w:eastAsia="仿宋_GB2312" w:cs="仿宋"/>
          <w:color w:val="auto"/>
          <w:sz w:val="32"/>
          <w:szCs w:val="32"/>
        </w:rPr>
        <w:t>外贸进出口总额增长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。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全年完成进出口总额234.5亿元，增长6.9%。其中，出口183.4亿元，增长10.1%；进口51.1亿元，下降3.2%。全年新批准外资项目27个，合同外资0.77亿美元；实际到账外资2868万美元，下降66.8%。</w:t>
      </w:r>
    </w:p>
    <w:p w14:paraId="4B081B91">
      <w:pPr>
        <w:keepNext w:val="0"/>
        <w:keepLines w:val="0"/>
        <w:pageBreakBefore w:val="0"/>
        <w:widowControl w:val="0"/>
        <w:pBdr>
          <w:top w:val="none" w:color="auto" w:sz="0" w:space="1"/>
          <w:left w:val="none" w:color="auto" w:sz="0" w:space="4"/>
          <w:bottom w:val="none" w:color="auto" w:sz="0" w:space="1"/>
          <w:right w:val="none" w:color="auto" w:sz="0" w:space="4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hint="eastAsia" w:ascii="黑体" w:hAnsi="黑体" w:eastAsia="黑体" w:cs="黑体"/>
          <w:color w:val="auto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</w:rPr>
        <w:t>七、财政</w:t>
      </w:r>
      <w:r>
        <w:rPr>
          <w:rFonts w:hint="eastAsia" w:ascii="黑体" w:hAnsi="黑体" w:eastAsia="黑体" w:cs="黑体"/>
          <w:color w:val="auto"/>
          <w:sz w:val="32"/>
          <w:szCs w:val="32"/>
          <w:lang w:eastAsia="zh-CN"/>
        </w:rPr>
        <w:t>税收</w:t>
      </w:r>
      <w:r>
        <w:rPr>
          <w:rFonts w:hint="eastAsia" w:ascii="黑体" w:hAnsi="黑体" w:eastAsia="黑体" w:cs="黑体"/>
          <w:color w:val="auto"/>
          <w:sz w:val="32"/>
          <w:szCs w:val="32"/>
        </w:rPr>
        <w:t>、金融</w:t>
      </w:r>
      <w:r>
        <w:rPr>
          <w:rFonts w:hint="eastAsia" w:ascii="黑体" w:hAnsi="黑体" w:eastAsia="黑体" w:cs="黑体"/>
          <w:color w:val="auto"/>
          <w:sz w:val="32"/>
          <w:szCs w:val="32"/>
          <w:lang w:eastAsia="zh-CN"/>
        </w:rPr>
        <w:t>和保险</w:t>
      </w:r>
    </w:p>
    <w:p w14:paraId="798E8A29">
      <w:pPr>
        <w:keepNext w:val="0"/>
        <w:keepLines w:val="0"/>
        <w:pageBreakBefore w:val="0"/>
        <w:widowControl w:val="0"/>
        <w:pBdr>
          <w:top w:val="none" w:color="auto" w:sz="0" w:space="1"/>
          <w:bottom w:val="none" w:color="auto" w:sz="0" w:space="1"/>
          <w:right w:val="none" w:color="auto" w:sz="0" w:space="4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" w:eastAsia="仿宋_GB2312" w:cs="仿宋"/>
          <w:color w:val="auto"/>
          <w:sz w:val="32"/>
          <w:szCs w:val="32"/>
        </w:rPr>
      </w:pP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全区一般公共预算收入42.88亿元，其中，税收收入23.03亿元，占一般公共预算收入比重53.7%。全区一般公共预算支出73.24亿元，其中，教育支出18.92亿元，社会保障和就业支出 13.93亿元，农林水支出8.36亿元，城乡社区支出8.03亿元，卫生健康支出7.77亿元，住房保障支出6.81 亿元，一般公共服务支出4.61亿元。</w:t>
      </w:r>
    </w:p>
    <w:p w14:paraId="011D1E9F">
      <w:pPr>
        <w:keepNext w:val="0"/>
        <w:keepLines w:val="0"/>
        <w:pageBreakBefore w:val="0"/>
        <w:widowControl w:val="0"/>
        <w:pBdr>
          <w:top w:val="none" w:color="auto" w:sz="0" w:space="1"/>
          <w:bottom w:val="none" w:color="auto" w:sz="0" w:space="1"/>
          <w:right w:val="none" w:color="auto" w:sz="0" w:space="4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年末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银行业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机构本外币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各项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存款余额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1051.25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亿元，较年初增加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96.28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亿元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增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长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10.1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%。其中，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住户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存款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826.15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亿元，较年初增加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77.71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亿元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增长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10.4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%。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银行业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机构本外币各项贷款余额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843.09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亿元，较年初增加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90.1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亿元，增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长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1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 xml:space="preserve">%。 </w:t>
      </w:r>
    </w:p>
    <w:p w14:paraId="57A723A4">
      <w:pPr>
        <w:keepNext w:val="0"/>
        <w:keepLines w:val="0"/>
        <w:pageBreakBefore w:val="0"/>
        <w:widowControl w:val="0"/>
        <w:pBdr>
          <w:top w:val="none" w:color="auto" w:sz="0" w:space="1"/>
          <w:bottom w:val="none" w:color="auto" w:sz="0" w:space="1"/>
          <w:right w:val="none" w:color="auto" w:sz="0" w:space="4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jc w:val="both"/>
        <w:textAlignment w:val="auto"/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</w:pP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全年保险机构保费收入18.41亿元，增长7.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7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%，其中，财产险保费收入5.54亿元，增长4.9%；人身险保费收入12.87亿元，增长8.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9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%。各项赔款7.69亿元，增长7.4%，其中，财产赔款3.85亿元，下降1.0%；人身险赔款3.84亿元，增长17.4%。</w:t>
      </w:r>
    </w:p>
    <w:p w14:paraId="1251B48C">
      <w:pPr>
        <w:keepNext w:val="0"/>
        <w:keepLines w:val="0"/>
        <w:pageBreakBefore w:val="0"/>
        <w:widowControl w:val="0"/>
        <w:pBdr>
          <w:top w:val="none" w:color="auto" w:sz="0" w:space="1"/>
          <w:bottom w:val="none" w:color="auto" w:sz="0" w:space="1"/>
          <w:right w:val="none" w:color="auto" w:sz="0" w:space="4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/>
        <w:jc w:val="center"/>
        <w:textAlignment w:val="auto"/>
        <w:rPr>
          <w:rFonts w:ascii="黑体" w:hAnsi="黑体" w:eastAsia="黑体" w:cs="黑体"/>
          <w:color w:val="auto"/>
          <w:sz w:val="32"/>
          <w:szCs w:val="32"/>
        </w:rPr>
      </w:pPr>
      <w:r>
        <w:rPr>
          <w:rFonts w:hint="eastAsia" w:ascii="黑体" w:hAnsi="黑体" w:eastAsia="黑体" w:cs="黑体"/>
          <w:color w:val="auto"/>
          <w:sz w:val="32"/>
          <w:szCs w:val="32"/>
        </w:rPr>
        <w:t>八、科学技术</w:t>
      </w:r>
    </w:p>
    <w:p w14:paraId="0C20FAFE">
      <w:pPr>
        <w:keepNext w:val="0"/>
        <w:keepLines w:val="0"/>
        <w:pageBreakBefore w:val="0"/>
        <w:widowControl w:val="0"/>
        <w:pBdr>
          <w:top w:val="none" w:color="auto" w:sz="0" w:space="1"/>
          <w:bottom w:val="none" w:color="auto" w:sz="0" w:space="1"/>
          <w:right w:val="none" w:color="auto" w:sz="0" w:space="4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</w:pP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创新动能加速释放。年末全区共有省级工程技术研究中心20家，市级工程技术研究中心36家；省级新型研发机构3家，市级新型研发机构10家；省级重点实验室1家（为2024年新获批重组），市级重点实验室20家；获批省级以上科技研发项目16项，成功获评省科技创新强县。</w:t>
      </w:r>
    </w:p>
    <w:p w14:paraId="665F600B">
      <w:pPr>
        <w:keepNext w:val="0"/>
        <w:keepLines w:val="0"/>
        <w:pageBreakBefore w:val="0"/>
        <w:widowControl w:val="0"/>
        <w:pBdr>
          <w:top w:val="none" w:color="auto" w:sz="0" w:space="1"/>
          <w:bottom w:val="none" w:color="auto" w:sz="0" w:space="1"/>
          <w:right w:val="none" w:color="auto" w:sz="0" w:space="4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" w:eastAsia="仿宋_GB2312" w:cs="仿宋"/>
          <w:color w:val="auto"/>
          <w:sz w:val="32"/>
          <w:szCs w:val="32"/>
        </w:rPr>
      </w:pP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专利授权质量提升。全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年专利授权量1170件，其中，发明专利授权量164件，占总授权量的14%。</w:t>
      </w:r>
    </w:p>
    <w:p w14:paraId="623623D2">
      <w:pPr>
        <w:keepNext w:val="0"/>
        <w:keepLines w:val="0"/>
        <w:pageBreakBefore w:val="0"/>
        <w:widowControl w:val="0"/>
        <w:pBdr>
          <w:top w:val="none" w:color="auto" w:sz="0" w:space="1"/>
          <w:bottom w:val="none" w:color="auto" w:sz="0" w:space="1"/>
          <w:right w:val="none" w:color="auto" w:sz="0" w:space="4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</w:pP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科技型企业持续壮大。全区国家高新技术企业总数达到210家，国家科技型中小企业36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7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家，高新技术产业产值占比达到66.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89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%。</w:t>
      </w:r>
    </w:p>
    <w:p w14:paraId="1FAEA08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jc w:val="center"/>
        <w:textAlignment w:val="auto"/>
        <w:rPr>
          <w:rFonts w:ascii="黑体" w:hAnsi="黑体" w:eastAsia="黑体" w:cs="黑体"/>
          <w:color w:val="auto"/>
          <w:sz w:val="32"/>
          <w:szCs w:val="32"/>
        </w:rPr>
      </w:pPr>
      <w:r>
        <w:rPr>
          <w:rFonts w:hint="eastAsia" w:ascii="黑体" w:hAnsi="黑体" w:eastAsia="黑体" w:cs="黑体"/>
          <w:color w:val="auto"/>
          <w:sz w:val="32"/>
          <w:szCs w:val="32"/>
        </w:rPr>
        <w:t>九、</w:t>
      </w:r>
      <w:r>
        <w:rPr>
          <w:rFonts w:hint="eastAsia" w:ascii="黑体" w:hAnsi="黑体" w:eastAsia="黑体" w:cs="黑体"/>
          <w:color w:val="auto"/>
          <w:sz w:val="32"/>
          <w:szCs w:val="32"/>
          <w:lang w:eastAsia="zh-CN"/>
        </w:rPr>
        <w:t>教育、</w:t>
      </w:r>
      <w:r>
        <w:rPr>
          <w:rFonts w:hint="eastAsia" w:ascii="黑体" w:hAnsi="黑体" w:eastAsia="黑体" w:cs="黑体"/>
          <w:color w:val="auto"/>
          <w:sz w:val="32"/>
          <w:szCs w:val="32"/>
        </w:rPr>
        <w:t>文化、卫生</w:t>
      </w:r>
      <w:r>
        <w:rPr>
          <w:rFonts w:hint="eastAsia" w:ascii="黑体" w:hAnsi="黑体" w:eastAsia="黑体" w:cs="黑体"/>
          <w:color w:val="auto"/>
          <w:sz w:val="32"/>
          <w:szCs w:val="32"/>
          <w:lang w:eastAsia="zh-CN"/>
        </w:rPr>
        <w:t>健康</w:t>
      </w:r>
      <w:r>
        <w:rPr>
          <w:rFonts w:hint="eastAsia" w:ascii="黑体" w:hAnsi="黑体" w:eastAsia="黑体" w:cs="黑体"/>
          <w:color w:val="auto"/>
          <w:sz w:val="32"/>
          <w:szCs w:val="32"/>
        </w:rPr>
        <w:t>和体育</w:t>
      </w:r>
    </w:p>
    <w:p w14:paraId="712DA1F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仿宋" w:eastAsia="仿宋_GB2312" w:cs="仿宋"/>
          <w:color w:val="auto"/>
          <w:sz w:val="32"/>
          <w:szCs w:val="32"/>
        </w:rPr>
      </w:pP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年末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全区共有普通中等专业学校2所，在校学生2837人；普通高中5所，在校学生8348人；初中20所，在校学生16247人；小学25所，在校学生21466人；特殊教育学校1所，在校学生102人；幼儿园4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7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所，在园幼儿8252人。</w:t>
      </w:r>
    </w:p>
    <w:p w14:paraId="122F7B3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ascii="仿宋_GB2312" w:hAnsi="仿宋" w:eastAsia="仿宋_GB2312" w:cs="仿宋"/>
          <w:color w:val="auto"/>
          <w:sz w:val="32"/>
          <w:szCs w:val="32"/>
        </w:rPr>
      </w:pPr>
      <w:r>
        <w:rPr>
          <w:rFonts w:hint="eastAsia" w:ascii="仿宋_GB2312" w:hAnsi="仿宋" w:eastAsia="仿宋_GB2312" w:cs="仿宋"/>
          <w:color w:val="auto"/>
          <w:sz w:val="32"/>
          <w:szCs w:val="32"/>
        </w:rPr>
        <w:t>年末全区拥有艺术表演团体1个，博物馆4个，文化馆、公共图书馆、文物管理机构、艺术表演场馆各1个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，电影院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5座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；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组织举办“百姓放歌·唱响文登”群众文艺汇演活动30场次，公益培训、讲座、展览等公益性文化活动350余次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；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 xml:space="preserve">有线数字电视用户11万户。 </w:t>
      </w:r>
    </w:p>
    <w:p w14:paraId="3754F311">
      <w:pPr>
        <w:keepNext w:val="0"/>
        <w:keepLines w:val="0"/>
        <w:pageBreakBefore w:val="0"/>
        <w:widowControl w:val="0"/>
        <w:pBdr>
          <w:top w:val="none" w:color="auto" w:sz="0" w:space="1"/>
          <w:left w:val="none" w:color="auto" w:sz="0" w:space="4"/>
          <w:bottom w:val="none" w:color="auto" w:sz="0" w:space="1"/>
          <w:right w:val="none" w:color="auto" w:sz="0" w:space="4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jc w:val="left"/>
        <w:textAlignment w:val="auto"/>
        <w:rPr>
          <w:rFonts w:hint="eastAsia" w:ascii="仿宋_GB2312" w:hAnsi="仿宋" w:eastAsia="仿宋_GB2312" w:cs="仿宋"/>
          <w:color w:val="auto"/>
          <w:sz w:val="32"/>
          <w:szCs w:val="32"/>
        </w:rPr>
      </w:pPr>
      <w:r>
        <w:rPr>
          <w:rFonts w:hint="eastAsia" w:ascii="仿宋_GB2312" w:hAnsi="仿宋" w:eastAsia="仿宋_GB2312" w:cs="仿宋"/>
          <w:color w:val="auto"/>
          <w:sz w:val="32"/>
          <w:szCs w:val="32"/>
        </w:rPr>
        <w:t>年末全区拥有市直属卫生机构1处（威海市中心医院），公立医疗卫生单位24处，拥有诊所、门诊部、医务室等民营医疗机构171所，村卫生室221所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；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各类卫生机构拥有开放床位5148张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。全区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卫生技术人员5817人，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其中，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执业医师及执业助理医师2380人，注册护士2652人。</w:t>
      </w:r>
    </w:p>
    <w:p w14:paraId="3B4FEF65">
      <w:pPr>
        <w:keepNext w:val="0"/>
        <w:keepLines w:val="0"/>
        <w:pageBreakBefore w:val="0"/>
        <w:widowControl w:val="0"/>
        <w:pBdr>
          <w:top w:val="none" w:color="auto" w:sz="0" w:space="1"/>
          <w:left w:val="none" w:color="auto" w:sz="0" w:space="4"/>
          <w:bottom w:val="none" w:color="auto" w:sz="0" w:space="1"/>
          <w:right w:val="none" w:color="auto" w:sz="0" w:space="4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jc w:val="left"/>
        <w:textAlignment w:val="auto"/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</w:pP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体育事业再创佳绩。全年共有204人次在省级以上比赛获得名次，其中，阮洪婷获2024年巴黎奥运会女子七人制橄榄球第6名，再创历史最好成绩。2人达到国家一级运动员等级，14人达到国家二级运动员等级。</w:t>
      </w:r>
    </w:p>
    <w:p w14:paraId="44F87193">
      <w:pPr>
        <w:keepNext w:val="0"/>
        <w:keepLines w:val="0"/>
        <w:pageBreakBefore w:val="0"/>
        <w:widowControl w:val="0"/>
        <w:pBdr>
          <w:top w:val="none" w:color="auto" w:sz="0" w:space="1"/>
          <w:left w:val="none" w:color="auto" w:sz="0" w:space="4"/>
          <w:bottom w:val="none" w:color="auto" w:sz="0" w:space="1"/>
          <w:right w:val="none" w:color="auto" w:sz="0" w:space="4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ascii="黑体" w:hAnsi="黑体" w:eastAsia="黑体" w:cs="黑体"/>
          <w:color w:val="auto"/>
          <w:sz w:val="32"/>
          <w:szCs w:val="32"/>
        </w:rPr>
      </w:pPr>
      <w:r>
        <w:rPr>
          <w:rFonts w:hint="eastAsia" w:ascii="黑体" w:hAnsi="黑体" w:eastAsia="黑体" w:cs="黑体"/>
          <w:color w:val="auto"/>
          <w:sz w:val="32"/>
          <w:szCs w:val="32"/>
        </w:rPr>
        <w:t>十、</w:t>
      </w:r>
      <w:r>
        <w:rPr>
          <w:rFonts w:hint="eastAsia" w:ascii="黑体" w:hAnsi="黑体" w:eastAsia="黑体" w:cs="黑体"/>
          <w:color w:val="auto"/>
          <w:sz w:val="32"/>
          <w:szCs w:val="32"/>
          <w:lang w:eastAsia="zh-CN"/>
        </w:rPr>
        <w:t>人口、</w:t>
      </w:r>
      <w:r>
        <w:rPr>
          <w:rFonts w:hint="eastAsia" w:ascii="黑体" w:hAnsi="黑体" w:eastAsia="黑体" w:cs="黑体"/>
          <w:color w:val="auto"/>
          <w:sz w:val="32"/>
          <w:szCs w:val="32"/>
        </w:rPr>
        <w:t>人民生活和社会保障</w:t>
      </w:r>
    </w:p>
    <w:p w14:paraId="5544CD3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</w:pPr>
      <w:r>
        <w:rPr>
          <w:rFonts w:hint="eastAsia" w:ascii="仿宋_GB2312" w:hAnsi="仿宋" w:eastAsia="仿宋_GB2312" w:cs="仿宋"/>
          <w:color w:val="auto"/>
          <w:sz w:val="32"/>
          <w:szCs w:val="32"/>
        </w:rPr>
        <w:t>年末全区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常住人口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54.72万人，其中，城镇人口34.26万人，常住人口城镇化率62.61%。年末全区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户籍人口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54.85万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人，其中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，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城镇人口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27.44万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人，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户籍人口城镇化率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50.03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%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。全年出生人口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2111人，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出生率3.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83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‰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；死亡人口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6610人，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死亡率11.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99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‰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；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人口自然增长率-8.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16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‰。</w:t>
      </w:r>
    </w:p>
    <w:p w14:paraId="340DB74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</w:pP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年末全体居民人均可支配收入45647元，增长5.3%。其中，城镇居民人均可支配收入58175元，增长4.7%；农村居民人均可支配收入32927元，增长6.4%。全体居民人均消费支出26702元，增长5.5%。其中，城镇居民人均消费支出34117元，增长4.9%；农村居民人均消费支出19173元，增长6.6%。</w:t>
      </w:r>
    </w:p>
    <w:p w14:paraId="58AA1AE6">
      <w:pPr>
        <w:keepNext w:val="0"/>
        <w:keepLines w:val="0"/>
        <w:pageBreakBefore w:val="0"/>
        <w:widowControl w:val="0"/>
        <w:pBdr>
          <w:top w:val="none" w:color="auto" w:sz="0" w:space="1"/>
          <w:left w:val="none" w:color="auto" w:sz="0" w:space="4"/>
          <w:bottom w:val="none" w:color="auto" w:sz="0" w:space="1"/>
          <w:right w:val="none" w:color="auto" w:sz="0" w:space="4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</w:pP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年末全区基本养老保险参保人数51.27万人，其中，居民基本养老保险参保人数25.51万人，职工养老保险参保人数14.27万人，企事业养老保险离退休人员11.49万人。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年末职工医疗保险参保人数16.05万人，居民基本医疗保险参保人数34.19万人。</w:t>
      </w:r>
    </w:p>
    <w:p w14:paraId="33EBBC3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jc w:val="left"/>
        <w:textAlignment w:val="auto"/>
        <w:rPr>
          <w:rFonts w:hint="eastAsia" w:ascii="Times New Roman" w:hAnsi="Times New Roman" w:eastAsia="仿宋_GB2312" w:cs="仿宋"/>
          <w:color w:val="auto"/>
          <w:sz w:val="32"/>
          <w:szCs w:val="32"/>
        </w:rPr>
      </w:pPr>
      <w:r>
        <w:rPr>
          <w:rFonts w:hint="eastAsia" w:ascii="Times New Roman" w:hAnsi="Times New Roman" w:eastAsia="仿宋_GB2312" w:cs="仿宋"/>
          <w:color w:val="auto"/>
          <w:sz w:val="32"/>
          <w:szCs w:val="32"/>
        </w:rPr>
        <w:t>年末全区各类养老机构及收养性社会福利单位51个，床位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lang w:eastAsia="zh-CN"/>
        </w:rPr>
        <w:t>数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</w:rPr>
        <w:t>12260张，在院人数6568人。其中，农村特困养老机构15个，床位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lang w:eastAsia="zh-CN"/>
        </w:rPr>
        <w:t>数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</w:rPr>
        <w:t>3424张，收养人员2315人；养老公寓等各类养老机构36个，床位数8836张，收养人员4253人。全年保障城镇居民最低生活保障人数708人，562户；农村居民最低生活保障人数4715人，3680户。保障农村特困对象2870人，其中集中供养950人，分散供养1920人。</w:t>
      </w:r>
    </w:p>
    <w:p w14:paraId="397DF22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jc w:val="left"/>
        <w:textAlignment w:val="auto"/>
        <w:rPr>
          <w:rFonts w:hint="eastAsia" w:ascii="仿宋_GB2312" w:hAnsi="仿宋" w:eastAsia="仿宋_GB2312" w:cs="仿宋"/>
          <w:color w:val="auto"/>
          <w:sz w:val="32"/>
          <w:szCs w:val="32"/>
        </w:rPr>
      </w:pP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全年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享受“雨露计划”中高等职业教育脱贫家庭学生45名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，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改造脱贫户危房11户。</w:t>
      </w:r>
    </w:p>
    <w:p w14:paraId="624A2B1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jc w:val="center"/>
        <w:textAlignment w:val="auto"/>
        <w:rPr>
          <w:rFonts w:ascii="黑体" w:hAnsi="黑体" w:eastAsia="黑体" w:cs="黑体"/>
          <w:color w:val="auto"/>
          <w:sz w:val="32"/>
          <w:szCs w:val="32"/>
        </w:rPr>
      </w:pPr>
      <w:r>
        <w:rPr>
          <w:rFonts w:hint="eastAsia" w:ascii="黑体" w:hAnsi="黑体" w:eastAsia="黑体" w:cs="黑体"/>
          <w:color w:val="auto"/>
          <w:sz w:val="32"/>
          <w:szCs w:val="32"/>
        </w:rPr>
        <w:t>十一、城市建设、环境保护</w:t>
      </w:r>
      <w:r>
        <w:rPr>
          <w:rFonts w:hint="eastAsia" w:ascii="黑体" w:hAnsi="黑体" w:eastAsia="黑体" w:cs="黑体"/>
          <w:color w:val="auto"/>
          <w:sz w:val="32"/>
          <w:szCs w:val="32"/>
          <w:lang w:eastAsia="zh-CN"/>
        </w:rPr>
        <w:t>和</w:t>
      </w:r>
      <w:r>
        <w:rPr>
          <w:rFonts w:hint="eastAsia" w:ascii="黑体" w:hAnsi="黑体" w:eastAsia="黑体" w:cs="黑体"/>
          <w:color w:val="auto"/>
          <w:sz w:val="32"/>
          <w:szCs w:val="32"/>
        </w:rPr>
        <w:t>安全生产</w:t>
      </w:r>
    </w:p>
    <w:p w14:paraId="7E9E880F">
      <w:pPr>
        <w:keepNext w:val="0"/>
        <w:keepLines w:val="0"/>
        <w:pageBreakBefore w:val="0"/>
        <w:widowControl w:val="0"/>
        <w:pBdr>
          <w:top w:val="none" w:color="auto" w:sz="0" w:space="1"/>
          <w:left w:val="none" w:color="auto" w:sz="0" w:space="4"/>
          <w:bottom w:val="none" w:color="auto" w:sz="0" w:space="1"/>
          <w:right w:val="none" w:color="auto" w:sz="0" w:space="4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</w:pP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年末全区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建成区绿化覆盖率4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8.16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%，建成区绿地率4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5.06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%，人均公园绿地面积2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8.87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平方米，生活垃圾无害化处理率100%。</w:t>
      </w:r>
    </w:p>
    <w:p w14:paraId="1DC1E0EC">
      <w:pPr>
        <w:keepNext w:val="0"/>
        <w:keepLines w:val="0"/>
        <w:pageBreakBefore w:val="0"/>
        <w:widowControl w:val="0"/>
        <w:pBdr>
          <w:top w:val="none" w:color="auto" w:sz="0" w:space="1"/>
          <w:left w:val="none" w:color="auto" w:sz="0" w:space="4"/>
          <w:bottom w:val="none" w:color="auto" w:sz="0" w:space="1"/>
          <w:right w:val="none" w:color="auto" w:sz="0" w:space="4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</w:pP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全区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天然气供气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总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量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6325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万立方米，燃气普及率100%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。全区建成区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集中供热面积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2212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万平方米。</w:t>
      </w:r>
    </w:p>
    <w:p w14:paraId="1918A866">
      <w:pPr>
        <w:keepNext w:val="0"/>
        <w:keepLines w:val="0"/>
        <w:pageBreakBefore w:val="0"/>
        <w:widowControl w:val="0"/>
        <w:pBdr>
          <w:top w:val="none" w:color="auto" w:sz="0" w:space="1"/>
          <w:left w:val="none" w:color="auto" w:sz="0" w:space="4"/>
          <w:bottom w:val="none" w:color="auto" w:sz="0" w:space="1"/>
          <w:right w:val="none" w:color="auto" w:sz="0" w:space="4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</w:pP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全区公交运营线路88条，运营路线总长度1994.85公里，公交车辆296辆，完成客运总量1377.91万人次，平均日客运量3.78万人次。全区巡游出租汽车314辆，网络预约出租车合规车辆419辆。</w:t>
      </w:r>
    </w:p>
    <w:p w14:paraId="4A0E8E7D">
      <w:pPr>
        <w:keepNext w:val="0"/>
        <w:keepLines w:val="0"/>
        <w:pageBreakBefore w:val="0"/>
        <w:widowControl w:val="0"/>
        <w:pBdr>
          <w:top w:val="none" w:color="auto" w:sz="0" w:space="1"/>
          <w:left w:val="none" w:color="auto" w:sz="0" w:space="4"/>
          <w:bottom w:val="none" w:color="auto" w:sz="0" w:space="1"/>
          <w:right w:val="none" w:color="auto" w:sz="0" w:space="4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全区环境空气质量优良率94.2%，在全省县（市、区、高新区、开发区）中排名第四，稳定达到国家二级标准。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 xml:space="preserve">  </w:t>
      </w:r>
    </w:p>
    <w:p w14:paraId="5D723D54">
      <w:pPr>
        <w:keepNext w:val="0"/>
        <w:keepLines w:val="0"/>
        <w:pageBreakBefore w:val="0"/>
        <w:widowControl w:val="0"/>
        <w:pBdr>
          <w:top w:val="none" w:color="auto" w:sz="0" w:space="1"/>
          <w:left w:val="none" w:color="auto" w:sz="0" w:space="4"/>
          <w:bottom w:val="none" w:color="auto" w:sz="0" w:space="1"/>
          <w:right w:val="none" w:color="auto" w:sz="0" w:space="4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ascii="仿宋_GB2312" w:hAnsi="仿宋" w:eastAsia="仿宋_GB2312" w:cs="仿宋"/>
          <w:color w:val="auto"/>
          <w:sz w:val="32"/>
          <w:szCs w:val="32"/>
        </w:rPr>
      </w:pPr>
      <w:r>
        <w:rPr>
          <w:rFonts w:hint="eastAsia" w:ascii="仿宋_GB2312" w:hAnsi="仿宋" w:eastAsia="仿宋_GB2312" w:cs="仿宋"/>
          <w:color w:val="auto"/>
          <w:sz w:val="32"/>
          <w:szCs w:val="32"/>
        </w:rPr>
        <w:t>全年发生各类生产安全事故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4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起，死亡4人，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百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亿元GDP生产安全事故死亡率0.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6222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。</w:t>
      </w:r>
    </w:p>
    <w:p w14:paraId="3C0C418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jc w:val="both"/>
        <w:textAlignment w:val="auto"/>
        <w:rPr>
          <w:rFonts w:ascii="仿宋_GB2312" w:hAnsi="仿宋" w:eastAsia="仿宋_GB2312" w:cs="仿宋"/>
          <w:color w:val="auto"/>
          <w:sz w:val="32"/>
          <w:szCs w:val="32"/>
        </w:rPr>
      </w:pPr>
    </w:p>
    <w:p w14:paraId="01BBB81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00" w:firstLineChars="200"/>
        <w:textAlignment w:val="auto"/>
        <w:rPr>
          <w:rFonts w:ascii="仿宋_GB2312" w:hAnsi="楷体" w:eastAsia="仿宋_GB2312" w:cs="楷体"/>
          <w:color w:val="auto"/>
          <w:sz w:val="30"/>
          <w:szCs w:val="30"/>
        </w:rPr>
      </w:pPr>
      <w:r>
        <w:rPr>
          <w:rFonts w:hint="eastAsia" w:ascii="楷体_GB2312" w:hAnsi="楷体_GB2312" w:eastAsia="楷体_GB2312" w:cs="楷体_GB2312"/>
          <w:color w:val="auto"/>
          <w:sz w:val="30"/>
          <w:szCs w:val="30"/>
          <w:lang w:eastAsia="zh-CN"/>
        </w:rPr>
        <w:t>注释</w:t>
      </w:r>
      <w:bookmarkStart w:id="0" w:name="_GoBack"/>
      <w:bookmarkEnd w:id="0"/>
      <w:r>
        <w:rPr>
          <w:rFonts w:hint="eastAsia" w:ascii="楷体_GB2312" w:hAnsi="楷体_GB2312" w:eastAsia="楷体_GB2312" w:cs="楷体_GB2312"/>
          <w:color w:val="auto"/>
          <w:sz w:val="30"/>
          <w:szCs w:val="30"/>
        </w:rPr>
        <w:t>：</w:t>
      </w:r>
    </w:p>
    <w:p w14:paraId="211234C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00" w:firstLineChars="200"/>
        <w:textAlignment w:val="auto"/>
        <w:rPr>
          <w:rFonts w:ascii="仿宋_GB2312" w:hAnsi="楷体" w:eastAsia="仿宋_GB2312" w:cs="楷体"/>
          <w:color w:val="auto"/>
          <w:sz w:val="30"/>
          <w:szCs w:val="30"/>
        </w:rPr>
      </w:pPr>
      <w:r>
        <w:rPr>
          <w:rFonts w:hint="eastAsia" w:ascii="仿宋_GB2312" w:hAnsi="楷体" w:eastAsia="仿宋_GB2312" w:cs="楷体"/>
          <w:color w:val="auto"/>
          <w:sz w:val="30"/>
          <w:szCs w:val="30"/>
        </w:rPr>
        <w:t>1</w:t>
      </w:r>
      <w:r>
        <w:rPr>
          <w:rFonts w:hint="eastAsia" w:ascii="仿宋_GB2312" w:hAnsi="楷体" w:eastAsia="仿宋_GB2312" w:cs="楷体"/>
          <w:color w:val="auto"/>
          <w:sz w:val="30"/>
          <w:szCs w:val="30"/>
          <w:lang w:eastAsia="zh-CN"/>
        </w:rPr>
        <w:t>.</w:t>
      </w:r>
      <w:r>
        <w:rPr>
          <w:rFonts w:hint="eastAsia" w:ascii="仿宋_GB2312" w:hAnsi="楷体" w:eastAsia="仿宋_GB2312" w:cs="楷体"/>
          <w:color w:val="auto"/>
          <w:sz w:val="30"/>
          <w:szCs w:val="30"/>
        </w:rPr>
        <w:t>本公报数据为初步统计数，最终数据以《文登统计年鉴》为准</w:t>
      </w:r>
      <w:r>
        <w:rPr>
          <w:rFonts w:ascii="Calibri" w:hAnsi="Calibri" w:eastAsia="仿宋_GB2312" w:cs="Calibri"/>
          <w:color w:val="auto"/>
          <w:sz w:val="30"/>
          <w:szCs w:val="30"/>
        </w:rPr>
        <w:t> </w:t>
      </w:r>
      <w:r>
        <w:rPr>
          <w:rFonts w:hint="eastAsia" w:ascii="Calibri" w:hAnsi="Calibri" w:eastAsia="仿宋_GB2312" w:cs="Calibri"/>
          <w:color w:val="auto"/>
          <w:sz w:val="30"/>
          <w:szCs w:val="30"/>
        </w:rPr>
        <w:t>。</w:t>
      </w:r>
      <w:r>
        <w:rPr>
          <w:rFonts w:ascii="Calibri" w:hAnsi="Calibri" w:eastAsia="仿宋_GB2312" w:cs="Calibri"/>
          <w:color w:val="auto"/>
          <w:sz w:val="30"/>
          <w:szCs w:val="30"/>
        </w:rPr>
        <w:t> </w:t>
      </w:r>
    </w:p>
    <w:p w14:paraId="4FED1AA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00" w:firstLineChars="200"/>
        <w:textAlignment w:val="auto"/>
        <w:rPr>
          <w:rFonts w:ascii="仿宋_GB2312" w:hAnsi="楷体" w:eastAsia="仿宋_GB2312" w:cs="楷体"/>
          <w:color w:val="auto"/>
          <w:sz w:val="30"/>
          <w:szCs w:val="30"/>
        </w:rPr>
      </w:pPr>
      <w:r>
        <w:rPr>
          <w:rFonts w:hint="eastAsia" w:ascii="仿宋_GB2312" w:hAnsi="楷体" w:eastAsia="仿宋_GB2312" w:cs="楷体"/>
          <w:color w:val="auto"/>
          <w:sz w:val="30"/>
          <w:szCs w:val="30"/>
        </w:rPr>
        <w:t>2</w:t>
      </w:r>
      <w:r>
        <w:rPr>
          <w:rFonts w:hint="eastAsia" w:ascii="仿宋_GB2312" w:hAnsi="楷体" w:eastAsia="仿宋_GB2312" w:cs="楷体"/>
          <w:color w:val="auto"/>
          <w:sz w:val="30"/>
          <w:szCs w:val="30"/>
          <w:lang w:eastAsia="zh-CN"/>
        </w:rPr>
        <w:t>.</w:t>
      </w:r>
      <w:r>
        <w:rPr>
          <w:rFonts w:hint="eastAsia" w:ascii="仿宋_GB2312" w:hAnsi="楷体" w:eastAsia="仿宋_GB2312" w:cs="楷体"/>
          <w:color w:val="auto"/>
          <w:sz w:val="30"/>
          <w:szCs w:val="30"/>
        </w:rPr>
        <w:t>地区生产总值、各产业增加值、有关行业增加值绝对数按现价计算，增长速度按可比价格计算。</w:t>
      </w:r>
    </w:p>
    <w:p w14:paraId="0BE68E7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00" w:firstLineChars="200"/>
        <w:textAlignment w:val="auto"/>
        <w:rPr>
          <w:rFonts w:ascii="仿宋_GB2312" w:hAnsi="楷体" w:eastAsia="仿宋_GB2312" w:cs="楷体"/>
          <w:color w:val="auto"/>
          <w:sz w:val="30"/>
          <w:szCs w:val="30"/>
        </w:rPr>
      </w:pPr>
      <w:r>
        <w:rPr>
          <w:rFonts w:hint="eastAsia" w:ascii="仿宋_GB2312" w:hAnsi="楷体" w:eastAsia="仿宋_GB2312" w:cs="楷体"/>
          <w:color w:val="auto"/>
          <w:sz w:val="30"/>
          <w:szCs w:val="30"/>
        </w:rPr>
        <w:t>3</w:t>
      </w:r>
      <w:r>
        <w:rPr>
          <w:rFonts w:hint="eastAsia" w:ascii="仿宋_GB2312" w:hAnsi="楷体" w:eastAsia="仿宋_GB2312" w:cs="楷体"/>
          <w:color w:val="auto"/>
          <w:sz w:val="30"/>
          <w:szCs w:val="30"/>
          <w:lang w:eastAsia="zh-CN"/>
        </w:rPr>
        <w:t>.</w:t>
      </w:r>
      <w:r>
        <w:rPr>
          <w:rFonts w:hint="eastAsia" w:ascii="仿宋_GB2312" w:hAnsi="楷体" w:eastAsia="仿宋_GB2312" w:cs="楷体"/>
          <w:color w:val="auto"/>
          <w:sz w:val="30"/>
          <w:szCs w:val="30"/>
        </w:rPr>
        <w:t>未经特殊说明，本文“增长”“下降”均为同比口径。</w:t>
      </w:r>
    </w:p>
    <w:p w14:paraId="1F3017D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00" w:firstLineChars="200"/>
        <w:textAlignment w:val="auto"/>
        <w:rPr>
          <w:rFonts w:ascii="仿宋_GB2312" w:hAnsi="楷体" w:eastAsia="仿宋_GB2312" w:cs="楷体"/>
          <w:color w:val="auto"/>
          <w:sz w:val="30"/>
          <w:szCs w:val="30"/>
        </w:rPr>
      </w:pPr>
      <w:r>
        <w:rPr>
          <w:rFonts w:hint="eastAsia" w:ascii="仿宋_GB2312" w:hAnsi="楷体" w:eastAsia="仿宋_GB2312" w:cs="楷体"/>
          <w:color w:val="auto"/>
          <w:sz w:val="30"/>
          <w:szCs w:val="30"/>
        </w:rPr>
        <w:t>4</w:t>
      </w:r>
      <w:r>
        <w:rPr>
          <w:rFonts w:hint="eastAsia" w:ascii="仿宋_GB2312" w:hAnsi="楷体" w:eastAsia="仿宋_GB2312" w:cs="楷体"/>
          <w:color w:val="auto"/>
          <w:sz w:val="30"/>
          <w:szCs w:val="30"/>
          <w:lang w:eastAsia="zh-CN"/>
        </w:rPr>
        <w:t>.</w:t>
      </w:r>
      <w:r>
        <w:rPr>
          <w:rFonts w:hint="eastAsia" w:ascii="仿宋_GB2312" w:hAnsi="楷体" w:eastAsia="仿宋_GB2312" w:cs="楷体"/>
          <w:color w:val="auto"/>
          <w:sz w:val="30"/>
          <w:szCs w:val="30"/>
        </w:rPr>
        <w:t>部分数据因四舍五入的原因，存在总计与分项合计不等的情况。</w:t>
      </w:r>
    </w:p>
    <w:p w14:paraId="7974752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00" w:firstLineChars="200"/>
        <w:textAlignment w:val="auto"/>
        <w:rPr>
          <w:rFonts w:ascii="仿宋_GB2312" w:hAnsi="楷体" w:eastAsia="仿宋_GB2312" w:cs="楷体"/>
          <w:color w:val="auto"/>
          <w:sz w:val="30"/>
          <w:szCs w:val="30"/>
        </w:rPr>
      </w:pPr>
    </w:p>
    <w:p w14:paraId="652EFAF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00" w:firstLineChars="200"/>
        <w:textAlignment w:val="auto"/>
        <w:rPr>
          <w:rFonts w:ascii="仿宋_GB2312" w:hAnsi="宋体" w:eastAsia="仿宋_GB2312" w:cs="宋体"/>
          <w:color w:val="auto"/>
          <w:sz w:val="30"/>
          <w:szCs w:val="30"/>
        </w:rPr>
      </w:pPr>
      <w:r>
        <w:rPr>
          <w:rFonts w:hint="eastAsia" w:ascii="楷体_GB2312" w:hAnsi="楷体_GB2312" w:eastAsia="楷体_GB2312" w:cs="楷体_GB2312"/>
          <w:color w:val="auto"/>
          <w:sz w:val="30"/>
          <w:szCs w:val="30"/>
        </w:rPr>
        <w:t>资料来源：</w:t>
      </w:r>
    </w:p>
    <w:p w14:paraId="2576BC2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ascii="仿宋_GB2312" w:hAnsi="仿宋" w:eastAsia="仿宋_GB2312" w:cs="仿宋"/>
          <w:color w:val="auto"/>
          <w:sz w:val="28"/>
          <w:szCs w:val="28"/>
        </w:rPr>
      </w:pPr>
      <w:r>
        <w:rPr>
          <w:rFonts w:hint="eastAsia" w:ascii="仿宋_GB2312" w:hAnsi="宋体" w:eastAsia="仿宋_GB2312" w:cs="宋体"/>
          <w:color w:val="auto"/>
          <w:sz w:val="28"/>
          <w:szCs w:val="28"/>
        </w:rPr>
        <w:t>本公报中新增城镇就业、养老保险数据来自区人力资源和社会保障局；价格指数、粮食总产量、畜牧总产量、城乡居民收支数据来自国家统计局文登调查队；市场主体情况来自区行政审批服务局；水产品数据来自区海洋发展局；农业机械、农业产业化龙头企业、帮扶贫困数据来自区农业农村局；公路通车里程、公路、海运、港口货物吞吐量、公交数据来自区交通运输局；旅游、艺术表演团体、博物馆、有线电视等数据来自区文化和旅游局；</w:t>
      </w:r>
      <w:r>
        <w:rPr>
          <w:rFonts w:hint="eastAsia" w:ascii="仿宋_GB2312" w:hAnsi="宋体" w:eastAsia="仿宋_GB2312" w:cs="宋体"/>
          <w:color w:val="auto"/>
          <w:sz w:val="28"/>
          <w:szCs w:val="28"/>
          <w:lang w:eastAsia="zh-CN"/>
        </w:rPr>
        <w:t>电影院数据来自宣传部；</w:t>
      </w:r>
      <w:r>
        <w:rPr>
          <w:rFonts w:hint="eastAsia" w:ascii="仿宋_GB2312" w:hAnsi="宋体" w:eastAsia="仿宋_GB2312" w:cs="宋体"/>
          <w:color w:val="auto"/>
          <w:sz w:val="28"/>
          <w:szCs w:val="28"/>
        </w:rPr>
        <w:t>进出口、利用外资数据来自区商务局；财政数据来自区财政局；金融数据来自区金融运行监测中心；</w:t>
      </w:r>
      <w:r>
        <w:rPr>
          <w:rFonts w:hint="eastAsia" w:ascii="仿宋_GB2312" w:hAnsi="宋体" w:eastAsia="仿宋_GB2312" w:cs="宋体"/>
          <w:color w:val="auto"/>
          <w:sz w:val="28"/>
          <w:szCs w:val="28"/>
          <w:lang w:eastAsia="zh-CN"/>
        </w:rPr>
        <w:t>保险业数据来自国家金融监督管理总局文登监管支局；</w:t>
      </w:r>
      <w:r>
        <w:rPr>
          <w:rFonts w:hint="eastAsia" w:ascii="仿宋_GB2312" w:hAnsi="宋体" w:eastAsia="仿宋_GB2312" w:cs="宋体"/>
          <w:color w:val="auto"/>
          <w:sz w:val="28"/>
          <w:szCs w:val="28"/>
        </w:rPr>
        <w:t>科技数据来自区科技局；专利来自区市场监管局；教育、体育数据来自区教体局；卫生健康数据来自区卫健局；户籍人口</w:t>
      </w:r>
      <w:r>
        <w:rPr>
          <w:rFonts w:hint="eastAsia" w:ascii="仿宋_GB2312" w:hAnsi="宋体" w:eastAsia="仿宋_GB2312" w:cs="宋体"/>
          <w:color w:val="auto"/>
          <w:sz w:val="28"/>
          <w:szCs w:val="28"/>
          <w:lang w:eastAsia="zh-CN"/>
        </w:rPr>
        <w:t>、出生人口和死亡人口</w:t>
      </w:r>
      <w:r>
        <w:rPr>
          <w:rFonts w:hint="eastAsia" w:ascii="仿宋_GB2312" w:hAnsi="宋体" w:eastAsia="仿宋_GB2312" w:cs="宋体"/>
          <w:color w:val="auto"/>
          <w:sz w:val="28"/>
          <w:szCs w:val="28"/>
        </w:rPr>
        <w:t>数据来自区公安分局；医疗保险数据来自区医疗保障局；社会福利数据来自区民政局；城市建设数据来自区住房和城乡建设局；环保数据来自区生态环境分局；安全生产数据来自区应急管理局；</w:t>
      </w:r>
      <w:r>
        <w:rPr>
          <w:rFonts w:hint="eastAsia" w:ascii="仿宋_GB2312" w:hAnsi="宋体" w:eastAsia="仿宋_GB2312" w:cs="宋体"/>
          <w:color w:val="auto"/>
          <w:sz w:val="28"/>
          <w:szCs w:val="28"/>
          <w:lang w:eastAsia="zh-CN"/>
        </w:rPr>
        <w:t>其他数据均来自区统计局</w:t>
      </w:r>
      <w:r>
        <w:rPr>
          <w:rFonts w:hint="eastAsia" w:ascii="仿宋_GB2312" w:hAnsi="宋体" w:eastAsia="仿宋_GB2312" w:cs="宋体"/>
          <w:color w:val="auto"/>
          <w:sz w:val="28"/>
          <w:szCs w:val="28"/>
        </w:rPr>
        <w:t>。</w:t>
      </w:r>
    </w:p>
    <w:p w14:paraId="5536DD7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560" w:firstLineChars="200"/>
        <w:textAlignment w:val="auto"/>
        <w:rPr>
          <w:rFonts w:ascii="仿宋_GB2312" w:hAnsi="仿宋" w:eastAsia="仿宋_GB2312" w:cs="仿宋"/>
          <w:color w:val="auto"/>
          <w:sz w:val="28"/>
          <w:szCs w:val="28"/>
        </w:rPr>
      </w:pPr>
    </w:p>
    <w:p w14:paraId="265BB87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jc w:val="left"/>
        <w:textAlignment w:val="auto"/>
        <w:rPr>
          <w:rFonts w:hint="default" w:ascii="仿宋_GB2312" w:hAnsi="宋体" w:eastAsia="仿宋_GB2312" w:cs="宋体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 w:cs="宋体"/>
          <w:color w:val="auto"/>
          <w:sz w:val="32"/>
          <w:szCs w:val="32"/>
          <w:lang w:val="en-US" w:eastAsia="zh-CN"/>
        </w:rPr>
        <w:t xml:space="preserve">                        </w:t>
      </w:r>
      <w:r>
        <w:rPr>
          <w:rFonts w:hint="eastAsia" w:ascii="仿宋_GB2312" w:hAnsi="宋体" w:eastAsia="仿宋_GB2312" w:cs="宋体"/>
          <w:color w:val="auto"/>
          <w:sz w:val="32"/>
          <w:szCs w:val="32"/>
        </w:rPr>
        <w:t>电子信箱： wdtjj@</w:t>
      </w:r>
      <w:r>
        <w:rPr>
          <w:rFonts w:hint="eastAsia" w:ascii="仿宋_GB2312" w:hAnsi="宋体" w:eastAsia="仿宋_GB2312" w:cs="宋体"/>
          <w:color w:val="auto"/>
          <w:sz w:val="32"/>
          <w:szCs w:val="32"/>
          <w:lang w:val="en-US" w:eastAsia="zh-CN"/>
        </w:rPr>
        <w:t>wh.shandong.cn</w:t>
      </w:r>
    </w:p>
    <w:p w14:paraId="7B37E1C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jc w:val="center"/>
        <w:textAlignment w:val="auto"/>
        <w:rPr>
          <w:rFonts w:ascii="仿宋_GB2312" w:hAnsi="宋体" w:eastAsia="仿宋_GB2312" w:cs="宋体"/>
          <w:color w:val="auto"/>
          <w:sz w:val="32"/>
          <w:szCs w:val="32"/>
        </w:rPr>
      </w:pPr>
      <w:r>
        <w:rPr>
          <w:rFonts w:hint="eastAsia" w:ascii="仿宋_GB2312" w:hAnsi="宋体" w:eastAsia="仿宋_GB2312" w:cs="宋体"/>
          <w:color w:val="auto"/>
          <w:sz w:val="32"/>
          <w:szCs w:val="32"/>
        </w:rPr>
        <w:t>　　　　　　电</w:t>
      </w:r>
      <w:r>
        <w:rPr>
          <w:rFonts w:hint="eastAsia" w:ascii="仿宋_GB2312" w:hAnsi="宋体" w:eastAsia="仿宋_GB2312" w:cs="宋体"/>
          <w:color w:val="auto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hAnsi="宋体" w:eastAsia="仿宋_GB2312" w:cs="宋体"/>
          <w:color w:val="auto"/>
          <w:sz w:val="32"/>
          <w:szCs w:val="32"/>
        </w:rPr>
        <w:t>话：</w:t>
      </w:r>
      <w:r>
        <w:rPr>
          <w:rFonts w:hint="eastAsia" w:ascii="仿宋_GB2312" w:hAnsi="宋体" w:eastAsia="仿宋_GB2312" w:cs="宋体"/>
          <w:color w:val="auto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宋体" w:eastAsia="仿宋_GB2312" w:cs="宋体"/>
          <w:color w:val="auto"/>
          <w:sz w:val="32"/>
          <w:szCs w:val="32"/>
        </w:rPr>
        <w:t>0631-8360571</w:t>
      </w:r>
    </w:p>
    <w:sectPr>
      <w:footerReference r:id="rId3" w:type="default"/>
      <w:pgSz w:w="11906" w:h="16838"/>
      <w:pgMar w:top="2211" w:right="1531" w:bottom="2211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1"/>
    </w:sdtPr>
    <w:sdtContent>
      <w:p w14:paraId="2A288D58">
        <w:pPr>
          <w:pStyle w:val="4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1</w:t>
        </w:r>
        <w:r>
          <w:fldChar w:fldCharType="end"/>
        </w:r>
      </w:p>
    </w:sdtContent>
  </w:sdt>
  <w:p w14:paraId="29D7A7A8">
    <w:pPr>
      <w:pStyle w:val="4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WI2ZjA3ZTUyYWQwOTEzYjUyMzY3YjhkZDE4ODlhMDMifQ=="/>
  </w:docVars>
  <w:rsids>
    <w:rsidRoot w:val="10A21FDB"/>
    <w:rsid w:val="00006527"/>
    <w:rsid w:val="00013654"/>
    <w:rsid w:val="0003083A"/>
    <w:rsid w:val="00062007"/>
    <w:rsid w:val="0008568B"/>
    <w:rsid w:val="000A6E3D"/>
    <w:rsid w:val="000B2FCB"/>
    <w:rsid w:val="000D2C9D"/>
    <w:rsid w:val="000E30C9"/>
    <w:rsid w:val="000F7D3C"/>
    <w:rsid w:val="00105521"/>
    <w:rsid w:val="00121289"/>
    <w:rsid w:val="001346BD"/>
    <w:rsid w:val="001352D7"/>
    <w:rsid w:val="00136ECC"/>
    <w:rsid w:val="00144A73"/>
    <w:rsid w:val="00152239"/>
    <w:rsid w:val="00156373"/>
    <w:rsid w:val="00157379"/>
    <w:rsid w:val="00194175"/>
    <w:rsid w:val="00195307"/>
    <w:rsid w:val="001C58AB"/>
    <w:rsid w:val="001C58B1"/>
    <w:rsid w:val="001E0A8E"/>
    <w:rsid w:val="001E4C23"/>
    <w:rsid w:val="001F356D"/>
    <w:rsid w:val="002171E5"/>
    <w:rsid w:val="0022703A"/>
    <w:rsid w:val="00232408"/>
    <w:rsid w:val="002378CE"/>
    <w:rsid w:val="00245594"/>
    <w:rsid w:val="00250C5A"/>
    <w:rsid w:val="00256324"/>
    <w:rsid w:val="00262288"/>
    <w:rsid w:val="0027031C"/>
    <w:rsid w:val="0027135D"/>
    <w:rsid w:val="0027213A"/>
    <w:rsid w:val="00283D11"/>
    <w:rsid w:val="002B06C8"/>
    <w:rsid w:val="002B3C3F"/>
    <w:rsid w:val="002D4534"/>
    <w:rsid w:val="002D63C8"/>
    <w:rsid w:val="002E49CB"/>
    <w:rsid w:val="002E7CFE"/>
    <w:rsid w:val="002F10D9"/>
    <w:rsid w:val="002F62D1"/>
    <w:rsid w:val="002F781B"/>
    <w:rsid w:val="00304A9D"/>
    <w:rsid w:val="00311731"/>
    <w:rsid w:val="00324D6D"/>
    <w:rsid w:val="00343FA7"/>
    <w:rsid w:val="00350C60"/>
    <w:rsid w:val="00352FDA"/>
    <w:rsid w:val="0035488C"/>
    <w:rsid w:val="00361060"/>
    <w:rsid w:val="00374990"/>
    <w:rsid w:val="00387D6A"/>
    <w:rsid w:val="00396617"/>
    <w:rsid w:val="003A1E02"/>
    <w:rsid w:val="003A5700"/>
    <w:rsid w:val="003D04B7"/>
    <w:rsid w:val="003D7BEB"/>
    <w:rsid w:val="003E23C8"/>
    <w:rsid w:val="003E24D3"/>
    <w:rsid w:val="003E2F11"/>
    <w:rsid w:val="003E6AF5"/>
    <w:rsid w:val="00427548"/>
    <w:rsid w:val="00444EB1"/>
    <w:rsid w:val="00447C00"/>
    <w:rsid w:val="00463660"/>
    <w:rsid w:val="00472122"/>
    <w:rsid w:val="00476973"/>
    <w:rsid w:val="004B0494"/>
    <w:rsid w:val="004D4C2C"/>
    <w:rsid w:val="004E2B7B"/>
    <w:rsid w:val="0051381E"/>
    <w:rsid w:val="00563FEE"/>
    <w:rsid w:val="00565C23"/>
    <w:rsid w:val="00567BC4"/>
    <w:rsid w:val="00573DD4"/>
    <w:rsid w:val="00575CCC"/>
    <w:rsid w:val="00576C2D"/>
    <w:rsid w:val="005A4525"/>
    <w:rsid w:val="005A7AEE"/>
    <w:rsid w:val="005B20BF"/>
    <w:rsid w:val="005C5264"/>
    <w:rsid w:val="005F7EFF"/>
    <w:rsid w:val="00600E53"/>
    <w:rsid w:val="006068D6"/>
    <w:rsid w:val="00613728"/>
    <w:rsid w:val="00614E59"/>
    <w:rsid w:val="006310A7"/>
    <w:rsid w:val="00656DB3"/>
    <w:rsid w:val="006602FB"/>
    <w:rsid w:val="006712D6"/>
    <w:rsid w:val="00675481"/>
    <w:rsid w:val="006777DF"/>
    <w:rsid w:val="00677AA6"/>
    <w:rsid w:val="006A3190"/>
    <w:rsid w:val="006B59B4"/>
    <w:rsid w:val="006B5C23"/>
    <w:rsid w:val="006B75E8"/>
    <w:rsid w:val="006C37F7"/>
    <w:rsid w:val="006D1252"/>
    <w:rsid w:val="006E342F"/>
    <w:rsid w:val="006E57FD"/>
    <w:rsid w:val="006E7428"/>
    <w:rsid w:val="006F0E18"/>
    <w:rsid w:val="00702968"/>
    <w:rsid w:val="00706427"/>
    <w:rsid w:val="00707036"/>
    <w:rsid w:val="00743D91"/>
    <w:rsid w:val="007477C0"/>
    <w:rsid w:val="007541C1"/>
    <w:rsid w:val="00774E27"/>
    <w:rsid w:val="00790565"/>
    <w:rsid w:val="007C0171"/>
    <w:rsid w:val="007C0F2D"/>
    <w:rsid w:val="007C0FE0"/>
    <w:rsid w:val="007C1EE2"/>
    <w:rsid w:val="007F575F"/>
    <w:rsid w:val="007F65A5"/>
    <w:rsid w:val="007F66D2"/>
    <w:rsid w:val="00800031"/>
    <w:rsid w:val="00803F40"/>
    <w:rsid w:val="00825C66"/>
    <w:rsid w:val="00827E74"/>
    <w:rsid w:val="008403C0"/>
    <w:rsid w:val="008661D5"/>
    <w:rsid w:val="00877796"/>
    <w:rsid w:val="00882F76"/>
    <w:rsid w:val="00884948"/>
    <w:rsid w:val="00891AD2"/>
    <w:rsid w:val="008B1C4C"/>
    <w:rsid w:val="008C1263"/>
    <w:rsid w:val="009009DC"/>
    <w:rsid w:val="00905D0F"/>
    <w:rsid w:val="00907758"/>
    <w:rsid w:val="0092231F"/>
    <w:rsid w:val="00924997"/>
    <w:rsid w:val="00937DAE"/>
    <w:rsid w:val="00942666"/>
    <w:rsid w:val="00942DF5"/>
    <w:rsid w:val="00946DF2"/>
    <w:rsid w:val="00957A35"/>
    <w:rsid w:val="00960100"/>
    <w:rsid w:val="00967926"/>
    <w:rsid w:val="00986C14"/>
    <w:rsid w:val="00987AD5"/>
    <w:rsid w:val="00993D7C"/>
    <w:rsid w:val="0099654E"/>
    <w:rsid w:val="00996A67"/>
    <w:rsid w:val="009C78BC"/>
    <w:rsid w:val="009D0EA3"/>
    <w:rsid w:val="009D2E48"/>
    <w:rsid w:val="009D4346"/>
    <w:rsid w:val="009E0CF5"/>
    <w:rsid w:val="009F5EBC"/>
    <w:rsid w:val="00A04D4C"/>
    <w:rsid w:val="00A53971"/>
    <w:rsid w:val="00A95BA9"/>
    <w:rsid w:val="00AA3843"/>
    <w:rsid w:val="00AC608A"/>
    <w:rsid w:val="00AC77B0"/>
    <w:rsid w:val="00AC788F"/>
    <w:rsid w:val="00AE110C"/>
    <w:rsid w:val="00AE375A"/>
    <w:rsid w:val="00B07694"/>
    <w:rsid w:val="00B07CCC"/>
    <w:rsid w:val="00B15EB0"/>
    <w:rsid w:val="00B22BA0"/>
    <w:rsid w:val="00B24668"/>
    <w:rsid w:val="00B36E11"/>
    <w:rsid w:val="00BA0193"/>
    <w:rsid w:val="00BA2F2F"/>
    <w:rsid w:val="00BE16CA"/>
    <w:rsid w:val="00BE5E44"/>
    <w:rsid w:val="00BF35C8"/>
    <w:rsid w:val="00BF483F"/>
    <w:rsid w:val="00C029ED"/>
    <w:rsid w:val="00C21793"/>
    <w:rsid w:val="00C21FA5"/>
    <w:rsid w:val="00C3157F"/>
    <w:rsid w:val="00C33519"/>
    <w:rsid w:val="00C36B5B"/>
    <w:rsid w:val="00C41B12"/>
    <w:rsid w:val="00C46F94"/>
    <w:rsid w:val="00C47693"/>
    <w:rsid w:val="00C820FF"/>
    <w:rsid w:val="00C85A93"/>
    <w:rsid w:val="00C90722"/>
    <w:rsid w:val="00C9652D"/>
    <w:rsid w:val="00CB6465"/>
    <w:rsid w:val="00CC112A"/>
    <w:rsid w:val="00CC1B65"/>
    <w:rsid w:val="00CE5E26"/>
    <w:rsid w:val="00CE72AE"/>
    <w:rsid w:val="00D00C89"/>
    <w:rsid w:val="00D012D0"/>
    <w:rsid w:val="00D01AC5"/>
    <w:rsid w:val="00D33835"/>
    <w:rsid w:val="00D804CF"/>
    <w:rsid w:val="00D96221"/>
    <w:rsid w:val="00DA6892"/>
    <w:rsid w:val="00DB7811"/>
    <w:rsid w:val="00DE3995"/>
    <w:rsid w:val="00E3735D"/>
    <w:rsid w:val="00E4302A"/>
    <w:rsid w:val="00E4398A"/>
    <w:rsid w:val="00E50FCF"/>
    <w:rsid w:val="00E567AE"/>
    <w:rsid w:val="00E658D2"/>
    <w:rsid w:val="00E903D5"/>
    <w:rsid w:val="00EB4205"/>
    <w:rsid w:val="00ED42EB"/>
    <w:rsid w:val="00EE4202"/>
    <w:rsid w:val="00EE6D5A"/>
    <w:rsid w:val="00F15EE4"/>
    <w:rsid w:val="00F26F32"/>
    <w:rsid w:val="00F45813"/>
    <w:rsid w:val="00F4731F"/>
    <w:rsid w:val="00F47871"/>
    <w:rsid w:val="00F65120"/>
    <w:rsid w:val="00F651B7"/>
    <w:rsid w:val="00F723A7"/>
    <w:rsid w:val="00F73AAC"/>
    <w:rsid w:val="00F7456A"/>
    <w:rsid w:val="00F77547"/>
    <w:rsid w:val="00F8212A"/>
    <w:rsid w:val="00F8506E"/>
    <w:rsid w:val="00F911A1"/>
    <w:rsid w:val="00F95973"/>
    <w:rsid w:val="00F96EBE"/>
    <w:rsid w:val="00FC13C6"/>
    <w:rsid w:val="00FC7C11"/>
    <w:rsid w:val="00FD132F"/>
    <w:rsid w:val="00FD430B"/>
    <w:rsid w:val="00FE468B"/>
    <w:rsid w:val="00FF0803"/>
    <w:rsid w:val="00FF6616"/>
    <w:rsid w:val="01172A03"/>
    <w:rsid w:val="011949CD"/>
    <w:rsid w:val="01374E54"/>
    <w:rsid w:val="018502B5"/>
    <w:rsid w:val="01852B12"/>
    <w:rsid w:val="018A1427"/>
    <w:rsid w:val="01967485"/>
    <w:rsid w:val="019849A8"/>
    <w:rsid w:val="01BD3AC1"/>
    <w:rsid w:val="01C26E13"/>
    <w:rsid w:val="01DF5C17"/>
    <w:rsid w:val="01EC3E90"/>
    <w:rsid w:val="01EE7C08"/>
    <w:rsid w:val="01FB2325"/>
    <w:rsid w:val="01FB4D14"/>
    <w:rsid w:val="022278B2"/>
    <w:rsid w:val="022C6982"/>
    <w:rsid w:val="02702D13"/>
    <w:rsid w:val="02753E85"/>
    <w:rsid w:val="02904FFB"/>
    <w:rsid w:val="02A4476B"/>
    <w:rsid w:val="02BE247E"/>
    <w:rsid w:val="02C3291E"/>
    <w:rsid w:val="02DE52DA"/>
    <w:rsid w:val="02ED7EC0"/>
    <w:rsid w:val="02F3027F"/>
    <w:rsid w:val="03062D2F"/>
    <w:rsid w:val="030B6598"/>
    <w:rsid w:val="0317318F"/>
    <w:rsid w:val="03195159"/>
    <w:rsid w:val="034A5312"/>
    <w:rsid w:val="03604B36"/>
    <w:rsid w:val="03644857"/>
    <w:rsid w:val="03726460"/>
    <w:rsid w:val="038F0F77"/>
    <w:rsid w:val="038F541B"/>
    <w:rsid w:val="03A07A75"/>
    <w:rsid w:val="03C75F71"/>
    <w:rsid w:val="03CA0919"/>
    <w:rsid w:val="03E90BC8"/>
    <w:rsid w:val="03EF5EB9"/>
    <w:rsid w:val="04196698"/>
    <w:rsid w:val="04207E21"/>
    <w:rsid w:val="0422003D"/>
    <w:rsid w:val="04360267"/>
    <w:rsid w:val="04367644"/>
    <w:rsid w:val="0442248D"/>
    <w:rsid w:val="046C3066"/>
    <w:rsid w:val="04700DA8"/>
    <w:rsid w:val="048C3708"/>
    <w:rsid w:val="048F2449"/>
    <w:rsid w:val="049F343C"/>
    <w:rsid w:val="04A70542"/>
    <w:rsid w:val="04A71B2E"/>
    <w:rsid w:val="04AE4A43"/>
    <w:rsid w:val="04AE7B23"/>
    <w:rsid w:val="04CF2297"/>
    <w:rsid w:val="04D53301"/>
    <w:rsid w:val="04EF43C3"/>
    <w:rsid w:val="0506170D"/>
    <w:rsid w:val="050938AE"/>
    <w:rsid w:val="051200B1"/>
    <w:rsid w:val="051A6F66"/>
    <w:rsid w:val="05322240"/>
    <w:rsid w:val="053578FC"/>
    <w:rsid w:val="055661F0"/>
    <w:rsid w:val="058F1702"/>
    <w:rsid w:val="05942874"/>
    <w:rsid w:val="059C797B"/>
    <w:rsid w:val="05B2719F"/>
    <w:rsid w:val="05C07B0D"/>
    <w:rsid w:val="05CA098C"/>
    <w:rsid w:val="05EA6938"/>
    <w:rsid w:val="05F11A75"/>
    <w:rsid w:val="06043E9E"/>
    <w:rsid w:val="061B11E8"/>
    <w:rsid w:val="061E0340"/>
    <w:rsid w:val="06224324"/>
    <w:rsid w:val="06253E14"/>
    <w:rsid w:val="06420522"/>
    <w:rsid w:val="0671705A"/>
    <w:rsid w:val="06867778"/>
    <w:rsid w:val="06A666D9"/>
    <w:rsid w:val="06AD62E4"/>
    <w:rsid w:val="06B86A37"/>
    <w:rsid w:val="06BC2051"/>
    <w:rsid w:val="06BF1B73"/>
    <w:rsid w:val="06D73361"/>
    <w:rsid w:val="06DB44D3"/>
    <w:rsid w:val="06DD024B"/>
    <w:rsid w:val="06F513D9"/>
    <w:rsid w:val="06FA0DFD"/>
    <w:rsid w:val="070954E4"/>
    <w:rsid w:val="070B125C"/>
    <w:rsid w:val="07222102"/>
    <w:rsid w:val="07351E35"/>
    <w:rsid w:val="07533584"/>
    <w:rsid w:val="07617259"/>
    <w:rsid w:val="077010BF"/>
    <w:rsid w:val="078608E3"/>
    <w:rsid w:val="078801B7"/>
    <w:rsid w:val="078E1E1E"/>
    <w:rsid w:val="079528D4"/>
    <w:rsid w:val="07955AAB"/>
    <w:rsid w:val="07A64AE1"/>
    <w:rsid w:val="07A73637"/>
    <w:rsid w:val="07A82607"/>
    <w:rsid w:val="07A86AAB"/>
    <w:rsid w:val="07AF3996"/>
    <w:rsid w:val="07B0770E"/>
    <w:rsid w:val="07B40FAC"/>
    <w:rsid w:val="07D4164E"/>
    <w:rsid w:val="07D9342B"/>
    <w:rsid w:val="07E51AAD"/>
    <w:rsid w:val="08057A5A"/>
    <w:rsid w:val="08131F69"/>
    <w:rsid w:val="08161C67"/>
    <w:rsid w:val="085E53BC"/>
    <w:rsid w:val="086A1FB2"/>
    <w:rsid w:val="087E15BA"/>
    <w:rsid w:val="08915791"/>
    <w:rsid w:val="08935065"/>
    <w:rsid w:val="0896417C"/>
    <w:rsid w:val="08AE37EB"/>
    <w:rsid w:val="08AF5C17"/>
    <w:rsid w:val="08BF5E5A"/>
    <w:rsid w:val="08CC4586"/>
    <w:rsid w:val="08DE5E11"/>
    <w:rsid w:val="08DF474E"/>
    <w:rsid w:val="08EE04EE"/>
    <w:rsid w:val="08F85810"/>
    <w:rsid w:val="0911242E"/>
    <w:rsid w:val="09203517"/>
    <w:rsid w:val="0935436E"/>
    <w:rsid w:val="097A4477"/>
    <w:rsid w:val="09815806"/>
    <w:rsid w:val="098175B4"/>
    <w:rsid w:val="09A3752A"/>
    <w:rsid w:val="09A60DC8"/>
    <w:rsid w:val="09BC294A"/>
    <w:rsid w:val="09BC4A90"/>
    <w:rsid w:val="09C5316B"/>
    <w:rsid w:val="09D41DD9"/>
    <w:rsid w:val="09FE6E56"/>
    <w:rsid w:val="0A067AB9"/>
    <w:rsid w:val="0A3665F0"/>
    <w:rsid w:val="0A6A0048"/>
    <w:rsid w:val="0A785072"/>
    <w:rsid w:val="0A79028B"/>
    <w:rsid w:val="0A7E1D45"/>
    <w:rsid w:val="0A83110A"/>
    <w:rsid w:val="0A9652E1"/>
    <w:rsid w:val="0A9E5F43"/>
    <w:rsid w:val="0AB87005"/>
    <w:rsid w:val="0AD57BB7"/>
    <w:rsid w:val="0AE55920"/>
    <w:rsid w:val="0AE71698"/>
    <w:rsid w:val="0AFF69E2"/>
    <w:rsid w:val="0B1F7084"/>
    <w:rsid w:val="0B304DED"/>
    <w:rsid w:val="0B3C19E4"/>
    <w:rsid w:val="0B494101"/>
    <w:rsid w:val="0B534F80"/>
    <w:rsid w:val="0B584344"/>
    <w:rsid w:val="0B67789D"/>
    <w:rsid w:val="0B716DE5"/>
    <w:rsid w:val="0B732F2C"/>
    <w:rsid w:val="0B8C3CA5"/>
    <w:rsid w:val="0B907065"/>
    <w:rsid w:val="0BA203E8"/>
    <w:rsid w:val="0BA63302"/>
    <w:rsid w:val="0BBF146A"/>
    <w:rsid w:val="0BC419DA"/>
    <w:rsid w:val="0BDE3E50"/>
    <w:rsid w:val="0BE45BD8"/>
    <w:rsid w:val="0C0A36B6"/>
    <w:rsid w:val="0C1069CD"/>
    <w:rsid w:val="0C1464BD"/>
    <w:rsid w:val="0C1F1FEC"/>
    <w:rsid w:val="0C281F69"/>
    <w:rsid w:val="0C676F35"/>
    <w:rsid w:val="0C743400"/>
    <w:rsid w:val="0C9C3DA6"/>
    <w:rsid w:val="0CA830A9"/>
    <w:rsid w:val="0CB679B8"/>
    <w:rsid w:val="0CB90E13"/>
    <w:rsid w:val="0CBE28CD"/>
    <w:rsid w:val="0CD345CA"/>
    <w:rsid w:val="0CEA6C31"/>
    <w:rsid w:val="0CEE31B2"/>
    <w:rsid w:val="0CF02931"/>
    <w:rsid w:val="0CF85DDF"/>
    <w:rsid w:val="0CFB39B9"/>
    <w:rsid w:val="0D44139E"/>
    <w:rsid w:val="0D5374B9"/>
    <w:rsid w:val="0D6071BB"/>
    <w:rsid w:val="0D7A67F4"/>
    <w:rsid w:val="0D814026"/>
    <w:rsid w:val="0D817B82"/>
    <w:rsid w:val="0D887163"/>
    <w:rsid w:val="0D95362E"/>
    <w:rsid w:val="0DE32B91"/>
    <w:rsid w:val="0DEB5944"/>
    <w:rsid w:val="0DF05114"/>
    <w:rsid w:val="0DF90060"/>
    <w:rsid w:val="0DFF63C6"/>
    <w:rsid w:val="0E176739"/>
    <w:rsid w:val="0E1F474F"/>
    <w:rsid w:val="0E236E8B"/>
    <w:rsid w:val="0E564F96"/>
    <w:rsid w:val="0E745939"/>
    <w:rsid w:val="0E761F17"/>
    <w:rsid w:val="0E9B4C74"/>
    <w:rsid w:val="0E9C2D4A"/>
    <w:rsid w:val="0EA16002"/>
    <w:rsid w:val="0EA93835"/>
    <w:rsid w:val="0EAB137C"/>
    <w:rsid w:val="0EB67D00"/>
    <w:rsid w:val="0EBF2B9C"/>
    <w:rsid w:val="0ECC401B"/>
    <w:rsid w:val="0EDD34DE"/>
    <w:rsid w:val="0EE04D7C"/>
    <w:rsid w:val="0EEF55DA"/>
    <w:rsid w:val="0F0A66EA"/>
    <w:rsid w:val="0F112F78"/>
    <w:rsid w:val="0F497356"/>
    <w:rsid w:val="0F4F3538"/>
    <w:rsid w:val="0F523506"/>
    <w:rsid w:val="0F56503F"/>
    <w:rsid w:val="0F7543CC"/>
    <w:rsid w:val="0FA712D3"/>
    <w:rsid w:val="0FBB3E63"/>
    <w:rsid w:val="0FC176EE"/>
    <w:rsid w:val="0FDF3286"/>
    <w:rsid w:val="0FE03FC8"/>
    <w:rsid w:val="0FE20680"/>
    <w:rsid w:val="0FE4264A"/>
    <w:rsid w:val="0FEB39D9"/>
    <w:rsid w:val="0FF705D0"/>
    <w:rsid w:val="10036F74"/>
    <w:rsid w:val="10067CF4"/>
    <w:rsid w:val="10211758"/>
    <w:rsid w:val="10256727"/>
    <w:rsid w:val="102858E0"/>
    <w:rsid w:val="102E271A"/>
    <w:rsid w:val="10300244"/>
    <w:rsid w:val="103877B0"/>
    <w:rsid w:val="103F4F23"/>
    <w:rsid w:val="10573CE3"/>
    <w:rsid w:val="105B0B5E"/>
    <w:rsid w:val="105B1F68"/>
    <w:rsid w:val="108005C5"/>
    <w:rsid w:val="1090632E"/>
    <w:rsid w:val="109C7329"/>
    <w:rsid w:val="10A047C3"/>
    <w:rsid w:val="10A21FDB"/>
    <w:rsid w:val="10A342B4"/>
    <w:rsid w:val="10C82519"/>
    <w:rsid w:val="10D64689"/>
    <w:rsid w:val="10ED552F"/>
    <w:rsid w:val="10F845FF"/>
    <w:rsid w:val="1115666B"/>
    <w:rsid w:val="115A7068"/>
    <w:rsid w:val="115F467E"/>
    <w:rsid w:val="116713B1"/>
    <w:rsid w:val="11731ED8"/>
    <w:rsid w:val="118063A3"/>
    <w:rsid w:val="11904838"/>
    <w:rsid w:val="11CB5870"/>
    <w:rsid w:val="11D566EF"/>
    <w:rsid w:val="11EC068E"/>
    <w:rsid w:val="11F56D91"/>
    <w:rsid w:val="120B2110"/>
    <w:rsid w:val="120D3BF0"/>
    <w:rsid w:val="121216F1"/>
    <w:rsid w:val="122D652B"/>
    <w:rsid w:val="123E24E6"/>
    <w:rsid w:val="12437AFC"/>
    <w:rsid w:val="1257764D"/>
    <w:rsid w:val="12940C14"/>
    <w:rsid w:val="12AF41F6"/>
    <w:rsid w:val="12BC165D"/>
    <w:rsid w:val="12EC0194"/>
    <w:rsid w:val="12F901BB"/>
    <w:rsid w:val="12FB03D7"/>
    <w:rsid w:val="12FB3818"/>
    <w:rsid w:val="130A4100"/>
    <w:rsid w:val="13174AE5"/>
    <w:rsid w:val="1336140F"/>
    <w:rsid w:val="134F0723"/>
    <w:rsid w:val="136441CE"/>
    <w:rsid w:val="136917E4"/>
    <w:rsid w:val="136C3083"/>
    <w:rsid w:val="1374267F"/>
    <w:rsid w:val="13A75E69"/>
    <w:rsid w:val="13DA4490"/>
    <w:rsid w:val="13DB5B12"/>
    <w:rsid w:val="13F2626E"/>
    <w:rsid w:val="140D6614"/>
    <w:rsid w:val="14103A0E"/>
    <w:rsid w:val="1412637B"/>
    <w:rsid w:val="14261F25"/>
    <w:rsid w:val="142C7357"/>
    <w:rsid w:val="144813FA"/>
    <w:rsid w:val="144933C4"/>
    <w:rsid w:val="146B6E96"/>
    <w:rsid w:val="1478625E"/>
    <w:rsid w:val="147A532B"/>
    <w:rsid w:val="14812B5E"/>
    <w:rsid w:val="14861F22"/>
    <w:rsid w:val="14896527"/>
    <w:rsid w:val="148A7C64"/>
    <w:rsid w:val="1497412F"/>
    <w:rsid w:val="14A30D26"/>
    <w:rsid w:val="14A44FB8"/>
    <w:rsid w:val="14CB202B"/>
    <w:rsid w:val="14CF33D4"/>
    <w:rsid w:val="14DA7796"/>
    <w:rsid w:val="14E54E9B"/>
    <w:rsid w:val="14EB1F04"/>
    <w:rsid w:val="14FB5517"/>
    <w:rsid w:val="150C0679"/>
    <w:rsid w:val="15262D7B"/>
    <w:rsid w:val="153830B0"/>
    <w:rsid w:val="15520875"/>
    <w:rsid w:val="15707D03"/>
    <w:rsid w:val="15741F45"/>
    <w:rsid w:val="157601E9"/>
    <w:rsid w:val="159F14ED"/>
    <w:rsid w:val="15A563D8"/>
    <w:rsid w:val="15B64D26"/>
    <w:rsid w:val="15C35898"/>
    <w:rsid w:val="15DE44DF"/>
    <w:rsid w:val="15F1786F"/>
    <w:rsid w:val="16450281"/>
    <w:rsid w:val="16495BAD"/>
    <w:rsid w:val="164E2618"/>
    <w:rsid w:val="16667FF6"/>
    <w:rsid w:val="167E55A7"/>
    <w:rsid w:val="16930926"/>
    <w:rsid w:val="16A82624"/>
    <w:rsid w:val="16CE195E"/>
    <w:rsid w:val="16F46E5E"/>
    <w:rsid w:val="1704668D"/>
    <w:rsid w:val="171001C9"/>
    <w:rsid w:val="172C5003"/>
    <w:rsid w:val="172D0D7B"/>
    <w:rsid w:val="174A5489"/>
    <w:rsid w:val="175B7696"/>
    <w:rsid w:val="17620A24"/>
    <w:rsid w:val="17650CC5"/>
    <w:rsid w:val="177F74FC"/>
    <w:rsid w:val="177F7E5D"/>
    <w:rsid w:val="178321B2"/>
    <w:rsid w:val="178A3AD7"/>
    <w:rsid w:val="17942BA8"/>
    <w:rsid w:val="17C074F9"/>
    <w:rsid w:val="17C214C3"/>
    <w:rsid w:val="17D64F6F"/>
    <w:rsid w:val="181066D2"/>
    <w:rsid w:val="1811244B"/>
    <w:rsid w:val="18133ACD"/>
    <w:rsid w:val="18307719"/>
    <w:rsid w:val="185B7278"/>
    <w:rsid w:val="186C56F3"/>
    <w:rsid w:val="187C78C4"/>
    <w:rsid w:val="18A07F48"/>
    <w:rsid w:val="18AD2173"/>
    <w:rsid w:val="18B3705E"/>
    <w:rsid w:val="18CC52F8"/>
    <w:rsid w:val="1901426D"/>
    <w:rsid w:val="191E2947"/>
    <w:rsid w:val="193E101D"/>
    <w:rsid w:val="19434886"/>
    <w:rsid w:val="19575C3B"/>
    <w:rsid w:val="19636CD6"/>
    <w:rsid w:val="197762DD"/>
    <w:rsid w:val="197C4F9C"/>
    <w:rsid w:val="198E3FC8"/>
    <w:rsid w:val="19A76BC3"/>
    <w:rsid w:val="19B474C6"/>
    <w:rsid w:val="19B93006"/>
    <w:rsid w:val="19C808E7"/>
    <w:rsid w:val="19D02EEA"/>
    <w:rsid w:val="19ED43C7"/>
    <w:rsid w:val="1A0D279E"/>
    <w:rsid w:val="1A103216"/>
    <w:rsid w:val="1A116732"/>
    <w:rsid w:val="1A143B2C"/>
    <w:rsid w:val="1A2F18F5"/>
    <w:rsid w:val="1A8962C8"/>
    <w:rsid w:val="1A8E7D82"/>
    <w:rsid w:val="1A9D1D74"/>
    <w:rsid w:val="1A9F789A"/>
    <w:rsid w:val="1AA17AB6"/>
    <w:rsid w:val="1AB570BD"/>
    <w:rsid w:val="1AC92B69"/>
    <w:rsid w:val="1ADC289C"/>
    <w:rsid w:val="1AE14356"/>
    <w:rsid w:val="1AE479A2"/>
    <w:rsid w:val="1AFC4CEC"/>
    <w:rsid w:val="1B0A1B5C"/>
    <w:rsid w:val="1B1E7A45"/>
    <w:rsid w:val="1B2B19DA"/>
    <w:rsid w:val="1B2D1349"/>
    <w:rsid w:val="1B2E0C1E"/>
    <w:rsid w:val="1B2E6E70"/>
    <w:rsid w:val="1B34092A"/>
    <w:rsid w:val="1B440441"/>
    <w:rsid w:val="1B5C28E4"/>
    <w:rsid w:val="1B5F527B"/>
    <w:rsid w:val="1B6D5BEA"/>
    <w:rsid w:val="1B742AD4"/>
    <w:rsid w:val="1B764A27"/>
    <w:rsid w:val="1B7E208F"/>
    <w:rsid w:val="1B852F33"/>
    <w:rsid w:val="1BB61BD8"/>
    <w:rsid w:val="1BB76E65"/>
    <w:rsid w:val="1BE55780"/>
    <w:rsid w:val="1C0C0F5F"/>
    <w:rsid w:val="1C0E2F29"/>
    <w:rsid w:val="1C0E52F2"/>
    <w:rsid w:val="1C1222ED"/>
    <w:rsid w:val="1C1F5136"/>
    <w:rsid w:val="1C236647"/>
    <w:rsid w:val="1C27334B"/>
    <w:rsid w:val="1C275D99"/>
    <w:rsid w:val="1C295FB5"/>
    <w:rsid w:val="1C2F10F1"/>
    <w:rsid w:val="1C387FA6"/>
    <w:rsid w:val="1C4C451E"/>
    <w:rsid w:val="1C511068"/>
    <w:rsid w:val="1C746B04"/>
    <w:rsid w:val="1C8054A9"/>
    <w:rsid w:val="1C972EE8"/>
    <w:rsid w:val="1CAA0778"/>
    <w:rsid w:val="1CAE3888"/>
    <w:rsid w:val="1CC950A2"/>
    <w:rsid w:val="1CE47D76"/>
    <w:rsid w:val="1D1207F7"/>
    <w:rsid w:val="1D1B4B41"/>
    <w:rsid w:val="1D2D3883"/>
    <w:rsid w:val="1D2F75FB"/>
    <w:rsid w:val="1D306ECF"/>
    <w:rsid w:val="1D396C3A"/>
    <w:rsid w:val="1D3B760C"/>
    <w:rsid w:val="1D5A3F4C"/>
    <w:rsid w:val="1D6B707B"/>
    <w:rsid w:val="1D6E53E6"/>
    <w:rsid w:val="1D835251"/>
    <w:rsid w:val="1D977656"/>
    <w:rsid w:val="1DBC4C07"/>
    <w:rsid w:val="1DEB2F8A"/>
    <w:rsid w:val="1DFF2482"/>
    <w:rsid w:val="1E34479D"/>
    <w:rsid w:val="1E3B1FCF"/>
    <w:rsid w:val="1E432C32"/>
    <w:rsid w:val="1E6257AE"/>
    <w:rsid w:val="1E6F1C79"/>
    <w:rsid w:val="1E9B481C"/>
    <w:rsid w:val="1ECD61C2"/>
    <w:rsid w:val="1EE42AB4"/>
    <w:rsid w:val="1EEB57A3"/>
    <w:rsid w:val="1F016D75"/>
    <w:rsid w:val="1F0B3750"/>
    <w:rsid w:val="1F210279"/>
    <w:rsid w:val="1F212F73"/>
    <w:rsid w:val="1F2C1918"/>
    <w:rsid w:val="1F330EF8"/>
    <w:rsid w:val="1F413615"/>
    <w:rsid w:val="1F444EB4"/>
    <w:rsid w:val="1F4948B4"/>
    <w:rsid w:val="1F5B77C8"/>
    <w:rsid w:val="1F5F3A9B"/>
    <w:rsid w:val="1F672950"/>
    <w:rsid w:val="1F841754"/>
    <w:rsid w:val="1F9574BD"/>
    <w:rsid w:val="1F9E2816"/>
    <w:rsid w:val="1F9E45C4"/>
    <w:rsid w:val="1FC42F0B"/>
    <w:rsid w:val="1FD72C6D"/>
    <w:rsid w:val="1FD75D28"/>
    <w:rsid w:val="1FDB5818"/>
    <w:rsid w:val="1FE521F3"/>
    <w:rsid w:val="1FF93EF0"/>
    <w:rsid w:val="1FFB37C4"/>
    <w:rsid w:val="1FFF4D46"/>
    <w:rsid w:val="201B0639"/>
    <w:rsid w:val="20273694"/>
    <w:rsid w:val="204131A1"/>
    <w:rsid w:val="205C7FDB"/>
    <w:rsid w:val="205D447F"/>
    <w:rsid w:val="20C04A0E"/>
    <w:rsid w:val="20CA13E8"/>
    <w:rsid w:val="20CB20F3"/>
    <w:rsid w:val="20D12777"/>
    <w:rsid w:val="20E26732"/>
    <w:rsid w:val="20E56222"/>
    <w:rsid w:val="21050673"/>
    <w:rsid w:val="210668C5"/>
    <w:rsid w:val="210B4B8E"/>
    <w:rsid w:val="21345064"/>
    <w:rsid w:val="21374CD0"/>
    <w:rsid w:val="21442F49"/>
    <w:rsid w:val="214967B1"/>
    <w:rsid w:val="215F4227"/>
    <w:rsid w:val="21617F9F"/>
    <w:rsid w:val="216655B5"/>
    <w:rsid w:val="216670CB"/>
    <w:rsid w:val="21780E44"/>
    <w:rsid w:val="217D46AD"/>
    <w:rsid w:val="2197576F"/>
    <w:rsid w:val="21AE4866"/>
    <w:rsid w:val="21BF6A73"/>
    <w:rsid w:val="21ED24E8"/>
    <w:rsid w:val="21F4496F"/>
    <w:rsid w:val="2208666C"/>
    <w:rsid w:val="22252A31"/>
    <w:rsid w:val="223245CE"/>
    <w:rsid w:val="224D0023"/>
    <w:rsid w:val="22556C1E"/>
    <w:rsid w:val="22562009"/>
    <w:rsid w:val="2260738E"/>
    <w:rsid w:val="2265761B"/>
    <w:rsid w:val="227746B0"/>
    <w:rsid w:val="228C4BA7"/>
    <w:rsid w:val="229A2E6F"/>
    <w:rsid w:val="22A7378F"/>
    <w:rsid w:val="22AA3280"/>
    <w:rsid w:val="22B257B3"/>
    <w:rsid w:val="22BD7457"/>
    <w:rsid w:val="22E03145"/>
    <w:rsid w:val="22ED196E"/>
    <w:rsid w:val="22FA4207"/>
    <w:rsid w:val="22FF583D"/>
    <w:rsid w:val="231A3A67"/>
    <w:rsid w:val="233F1C1A"/>
    <w:rsid w:val="23452FA8"/>
    <w:rsid w:val="235D6544"/>
    <w:rsid w:val="235F406A"/>
    <w:rsid w:val="238910E7"/>
    <w:rsid w:val="23963804"/>
    <w:rsid w:val="23AE4FF1"/>
    <w:rsid w:val="23C30383"/>
    <w:rsid w:val="23E3324C"/>
    <w:rsid w:val="23E80503"/>
    <w:rsid w:val="23E9038C"/>
    <w:rsid w:val="23EB1DA2"/>
    <w:rsid w:val="240D7F6A"/>
    <w:rsid w:val="241C052D"/>
    <w:rsid w:val="241E5CD3"/>
    <w:rsid w:val="24390D5F"/>
    <w:rsid w:val="24392C26"/>
    <w:rsid w:val="243C084F"/>
    <w:rsid w:val="245D6D4B"/>
    <w:rsid w:val="24613E12"/>
    <w:rsid w:val="2461799E"/>
    <w:rsid w:val="247E2C16"/>
    <w:rsid w:val="24975A86"/>
    <w:rsid w:val="24C3687B"/>
    <w:rsid w:val="24C7636B"/>
    <w:rsid w:val="24E16D01"/>
    <w:rsid w:val="24E8430B"/>
    <w:rsid w:val="24FB6014"/>
    <w:rsid w:val="250F22D2"/>
    <w:rsid w:val="25180974"/>
    <w:rsid w:val="25184E18"/>
    <w:rsid w:val="251D7B6C"/>
    <w:rsid w:val="25277377"/>
    <w:rsid w:val="253F05F7"/>
    <w:rsid w:val="25640408"/>
    <w:rsid w:val="25867FD4"/>
    <w:rsid w:val="25A16BBC"/>
    <w:rsid w:val="25A33C5F"/>
    <w:rsid w:val="25AE5FF7"/>
    <w:rsid w:val="25BA1769"/>
    <w:rsid w:val="25DC22A7"/>
    <w:rsid w:val="25DF76E4"/>
    <w:rsid w:val="25FA62CC"/>
    <w:rsid w:val="26323CB8"/>
    <w:rsid w:val="26325A66"/>
    <w:rsid w:val="263C4B36"/>
    <w:rsid w:val="26461511"/>
    <w:rsid w:val="265F25D3"/>
    <w:rsid w:val="2674607E"/>
    <w:rsid w:val="26780CE3"/>
    <w:rsid w:val="268C786C"/>
    <w:rsid w:val="268D5392"/>
    <w:rsid w:val="26964247"/>
    <w:rsid w:val="26A12BEB"/>
    <w:rsid w:val="26B07FD0"/>
    <w:rsid w:val="26B26337"/>
    <w:rsid w:val="26BB3CAD"/>
    <w:rsid w:val="26CD49AD"/>
    <w:rsid w:val="26E069F5"/>
    <w:rsid w:val="26F96584"/>
    <w:rsid w:val="26FE22C7"/>
    <w:rsid w:val="27082C6B"/>
    <w:rsid w:val="270A69E3"/>
    <w:rsid w:val="2712017D"/>
    <w:rsid w:val="271D04C4"/>
    <w:rsid w:val="272A498F"/>
    <w:rsid w:val="273C0EE5"/>
    <w:rsid w:val="27524B9B"/>
    <w:rsid w:val="2769195B"/>
    <w:rsid w:val="27981047"/>
    <w:rsid w:val="27A42993"/>
    <w:rsid w:val="27B30E28"/>
    <w:rsid w:val="27B96845"/>
    <w:rsid w:val="27C2595C"/>
    <w:rsid w:val="27C6290A"/>
    <w:rsid w:val="27E24418"/>
    <w:rsid w:val="27EC7E96"/>
    <w:rsid w:val="280E2503"/>
    <w:rsid w:val="281C3059"/>
    <w:rsid w:val="283244AF"/>
    <w:rsid w:val="283A07F7"/>
    <w:rsid w:val="285048C9"/>
    <w:rsid w:val="28525C52"/>
    <w:rsid w:val="2863696F"/>
    <w:rsid w:val="287E4F92"/>
    <w:rsid w:val="28867DF5"/>
    <w:rsid w:val="28893FE8"/>
    <w:rsid w:val="28A075FF"/>
    <w:rsid w:val="28A724D2"/>
    <w:rsid w:val="28AD5878"/>
    <w:rsid w:val="28EF5E90"/>
    <w:rsid w:val="28F2772E"/>
    <w:rsid w:val="29086F52"/>
    <w:rsid w:val="29127DD1"/>
    <w:rsid w:val="295A45B7"/>
    <w:rsid w:val="299802D6"/>
    <w:rsid w:val="29A44ECD"/>
    <w:rsid w:val="29C235A5"/>
    <w:rsid w:val="29C4731D"/>
    <w:rsid w:val="29C72A75"/>
    <w:rsid w:val="29D308D1"/>
    <w:rsid w:val="29E45B93"/>
    <w:rsid w:val="29E96D83"/>
    <w:rsid w:val="29F25B5F"/>
    <w:rsid w:val="29FA689B"/>
    <w:rsid w:val="29FD638B"/>
    <w:rsid w:val="2A094D30"/>
    <w:rsid w:val="2A426494"/>
    <w:rsid w:val="2A5266D7"/>
    <w:rsid w:val="2A946CEF"/>
    <w:rsid w:val="2AAD6003"/>
    <w:rsid w:val="2AB63109"/>
    <w:rsid w:val="2ABC1DA2"/>
    <w:rsid w:val="2AC14512"/>
    <w:rsid w:val="2ADF3CE2"/>
    <w:rsid w:val="2AFF5914"/>
    <w:rsid w:val="2B02634F"/>
    <w:rsid w:val="2B033E75"/>
    <w:rsid w:val="2B1240B8"/>
    <w:rsid w:val="2B1B11BE"/>
    <w:rsid w:val="2B215775"/>
    <w:rsid w:val="2B2A1401"/>
    <w:rsid w:val="2B2D2CA0"/>
    <w:rsid w:val="2B2F0214"/>
    <w:rsid w:val="2B326508"/>
    <w:rsid w:val="2B3468C8"/>
    <w:rsid w:val="2B506558"/>
    <w:rsid w:val="2B565C56"/>
    <w:rsid w:val="2B595843"/>
    <w:rsid w:val="2B5D3585"/>
    <w:rsid w:val="2BB313F7"/>
    <w:rsid w:val="2BBA1890"/>
    <w:rsid w:val="2BCA04EF"/>
    <w:rsid w:val="2BD0109B"/>
    <w:rsid w:val="2BD96984"/>
    <w:rsid w:val="2BDB6BA0"/>
    <w:rsid w:val="2BE03BF1"/>
    <w:rsid w:val="2BE325A6"/>
    <w:rsid w:val="2BF37A45"/>
    <w:rsid w:val="2C0E13F4"/>
    <w:rsid w:val="2C0F23A5"/>
    <w:rsid w:val="2C1A208A"/>
    <w:rsid w:val="2C1F4CDE"/>
    <w:rsid w:val="2C2916B9"/>
    <w:rsid w:val="2C39262E"/>
    <w:rsid w:val="2C3A5674"/>
    <w:rsid w:val="2C4E2ECE"/>
    <w:rsid w:val="2C685C9A"/>
    <w:rsid w:val="2C9034E6"/>
    <w:rsid w:val="2C9B6ECE"/>
    <w:rsid w:val="2CA425F5"/>
    <w:rsid w:val="2CAB6572"/>
    <w:rsid w:val="2CB216AE"/>
    <w:rsid w:val="2CC66F08"/>
    <w:rsid w:val="2CD7193E"/>
    <w:rsid w:val="2D080339"/>
    <w:rsid w:val="2D0A3299"/>
    <w:rsid w:val="2D0F08AF"/>
    <w:rsid w:val="2D144117"/>
    <w:rsid w:val="2D3B5B48"/>
    <w:rsid w:val="2D3E41DC"/>
    <w:rsid w:val="2D4935A0"/>
    <w:rsid w:val="2D5428F8"/>
    <w:rsid w:val="2D5B3AF4"/>
    <w:rsid w:val="2D650892"/>
    <w:rsid w:val="2D713318"/>
    <w:rsid w:val="2D7921CC"/>
    <w:rsid w:val="2D7D7F0E"/>
    <w:rsid w:val="2D870D8D"/>
    <w:rsid w:val="2D9139BA"/>
    <w:rsid w:val="2DBB0A37"/>
    <w:rsid w:val="2DC01BA9"/>
    <w:rsid w:val="2DC21DC5"/>
    <w:rsid w:val="2DC45B3D"/>
    <w:rsid w:val="2DCC49F2"/>
    <w:rsid w:val="2DE01558"/>
    <w:rsid w:val="2DF357BC"/>
    <w:rsid w:val="2DF845BF"/>
    <w:rsid w:val="2DFA155F"/>
    <w:rsid w:val="2E05200C"/>
    <w:rsid w:val="2E0B376C"/>
    <w:rsid w:val="2E0E6DB8"/>
    <w:rsid w:val="2E141EF5"/>
    <w:rsid w:val="2E56075F"/>
    <w:rsid w:val="2E76495E"/>
    <w:rsid w:val="2E7D6405"/>
    <w:rsid w:val="2E894691"/>
    <w:rsid w:val="2E924AFA"/>
    <w:rsid w:val="2E9279E9"/>
    <w:rsid w:val="2E956961"/>
    <w:rsid w:val="2EBC239E"/>
    <w:rsid w:val="2EC1207D"/>
    <w:rsid w:val="2EC658E5"/>
    <w:rsid w:val="2ECD0A22"/>
    <w:rsid w:val="2ED2428A"/>
    <w:rsid w:val="2EF97A69"/>
    <w:rsid w:val="2EFF1B09"/>
    <w:rsid w:val="2F7B237E"/>
    <w:rsid w:val="2F7E3ACA"/>
    <w:rsid w:val="2F831690"/>
    <w:rsid w:val="2F854E58"/>
    <w:rsid w:val="2F8E3583"/>
    <w:rsid w:val="2F9432ED"/>
    <w:rsid w:val="2F974B8C"/>
    <w:rsid w:val="2FA63021"/>
    <w:rsid w:val="2FA8323D"/>
    <w:rsid w:val="2FC260AC"/>
    <w:rsid w:val="2FDA7C5A"/>
    <w:rsid w:val="2FEC0E7F"/>
    <w:rsid w:val="2FEF6212"/>
    <w:rsid w:val="2FFD0E93"/>
    <w:rsid w:val="301B37AA"/>
    <w:rsid w:val="30221A93"/>
    <w:rsid w:val="302802A3"/>
    <w:rsid w:val="306B6744"/>
    <w:rsid w:val="309E1BE5"/>
    <w:rsid w:val="30A43A04"/>
    <w:rsid w:val="30E16A06"/>
    <w:rsid w:val="30E42053"/>
    <w:rsid w:val="30EE0170"/>
    <w:rsid w:val="30F229C1"/>
    <w:rsid w:val="30F63FC7"/>
    <w:rsid w:val="30FA3624"/>
    <w:rsid w:val="31181974"/>
    <w:rsid w:val="311F40B1"/>
    <w:rsid w:val="314E571E"/>
    <w:rsid w:val="31626D0D"/>
    <w:rsid w:val="31723372"/>
    <w:rsid w:val="31913782"/>
    <w:rsid w:val="31973569"/>
    <w:rsid w:val="31C970ED"/>
    <w:rsid w:val="31CC3212"/>
    <w:rsid w:val="31D43E75"/>
    <w:rsid w:val="31D71BB7"/>
    <w:rsid w:val="31D74ED9"/>
    <w:rsid w:val="32060D00"/>
    <w:rsid w:val="320D7387"/>
    <w:rsid w:val="32400412"/>
    <w:rsid w:val="324C7EAF"/>
    <w:rsid w:val="32555EB0"/>
    <w:rsid w:val="32562ADC"/>
    <w:rsid w:val="326E3399"/>
    <w:rsid w:val="32737B32"/>
    <w:rsid w:val="32935ADE"/>
    <w:rsid w:val="32A575D1"/>
    <w:rsid w:val="32B606E3"/>
    <w:rsid w:val="32BC47BB"/>
    <w:rsid w:val="32BD006E"/>
    <w:rsid w:val="32C24615"/>
    <w:rsid w:val="32CC0FF0"/>
    <w:rsid w:val="32D00AE0"/>
    <w:rsid w:val="32DD144F"/>
    <w:rsid w:val="32F347CF"/>
    <w:rsid w:val="3301513E"/>
    <w:rsid w:val="3310712F"/>
    <w:rsid w:val="33226E62"/>
    <w:rsid w:val="33252886"/>
    <w:rsid w:val="3341378C"/>
    <w:rsid w:val="33593985"/>
    <w:rsid w:val="335A484E"/>
    <w:rsid w:val="3369683F"/>
    <w:rsid w:val="336B25B7"/>
    <w:rsid w:val="336F654B"/>
    <w:rsid w:val="337955D1"/>
    <w:rsid w:val="337C6572"/>
    <w:rsid w:val="338418CB"/>
    <w:rsid w:val="33941B0E"/>
    <w:rsid w:val="339921E7"/>
    <w:rsid w:val="339B493B"/>
    <w:rsid w:val="33A147DB"/>
    <w:rsid w:val="33AE06F6"/>
    <w:rsid w:val="33C127E6"/>
    <w:rsid w:val="33C566E9"/>
    <w:rsid w:val="33E67E90"/>
    <w:rsid w:val="33EF143A"/>
    <w:rsid w:val="33F151B2"/>
    <w:rsid w:val="33F32A63"/>
    <w:rsid w:val="340D067A"/>
    <w:rsid w:val="34245EBC"/>
    <w:rsid w:val="342D4B71"/>
    <w:rsid w:val="345E211C"/>
    <w:rsid w:val="34611A31"/>
    <w:rsid w:val="34873898"/>
    <w:rsid w:val="34977C79"/>
    <w:rsid w:val="34AF2977"/>
    <w:rsid w:val="34BC5799"/>
    <w:rsid w:val="34D67F04"/>
    <w:rsid w:val="34E723AF"/>
    <w:rsid w:val="34FA0097"/>
    <w:rsid w:val="34FB5BBD"/>
    <w:rsid w:val="350031D3"/>
    <w:rsid w:val="350E3B42"/>
    <w:rsid w:val="35283114"/>
    <w:rsid w:val="3529272A"/>
    <w:rsid w:val="353335A8"/>
    <w:rsid w:val="35357321"/>
    <w:rsid w:val="35492DCC"/>
    <w:rsid w:val="3566572C"/>
    <w:rsid w:val="3569521C"/>
    <w:rsid w:val="357F234A"/>
    <w:rsid w:val="3582049D"/>
    <w:rsid w:val="358838F4"/>
    <w:rsid w:val="358E07DF"/>
    <w:rsid w:val="35976FF3"/>
    <w:rsid w:val="359A53D6"/>
    <w:rsid w:val="359B0108"/>
    <w:rsid w:val="35B75F88"/>
    <w:rsid w:val="35D00DF7"/>
    <w:rsid w:val="35DE3514"/>
    <w:rsid w:val="35E93C67"/>
    <w:rsid w:val="35F5085E"/>
    <w:rsid w:val="35F66AB0"/>
    <w:rsid w:val="35F745D6"/>
    <w:rsid w:val="360A4FBF"/>
    <w:rsid w:val="363650FE"/>
    <w:rsid w:val="364C66D0"/>
    <w:rsid w:val="36560203"/>
    <w:rsid w:val="365E6403"/>
    <w:rsid w:val="366652D6"/>
    <w:rsid w:val="366F6A73"/>
    <w:rsid w:val="36731D39"/>
    <w:rsid w:val="367B74AA"/>
    <w:rsid w:val="368A3ACE"/>
    <w:rsid w:val="36932687"/>
    <w:rsid w:val="36965B9D"/>
    <w:rsid w:val="36A614CB"/>
    <w:rsid w:val="36AE7EFF"/>
    <w:rsid w:val="36B97ADD"/>
    <w:rsid w:val="36BC3397"/>
    <w:rsid w:val="36E7289C"/>
    <w:rsid w:val="36F40B16"/>
    <w:rsid w:val="36F62AE0"/>
    <w:rsid w:val="370F0E2A"/>
    <w:rsid w:val="37425D25"/>
    <w:rsid w:val="37585548"/>
    <w:rsid w:val="37797999"/>
    <w:rsid w:val="377D13C7"/>
    <w:rsid w:val="378B76CC"/>
    <w:rsid w:val="378C0D4E"/>
    <w:rsid w:val="378D2050"/>
    <w:rsid w:val="37AE6F16"/>
    <w:rsid w:val="37AF33BA"/>
    <w:rsid w:val="37B81B43"/>
    <w:rsid w:val="37C14E9C"/>
    <w:rsid w:val="37DA5F5D"/>
    <w:rsid w:val="38207E14"/>
    <w:rsid w:val="38457856"/>
    <w:rsid w:val="384B29B7"/>
    <w:rsid w:val="385C0C16"/>
    <w:rsid w:val="38647DD1"/>
    <w:rsid w:val="3867670F"/>
    <w:rsid w:val="386C26CE"/>
    <w:rsid w:val="386D5023"/>
    <w:rsid w:val="38795776"/>
    <w:rsid w:val="387C0DC3"/>
    <w:rsid w:val="387D6144"/>
    <w:rsid w:val="38897B4A"/>
    <w:rsid w:val="388B407E"/>
    <w:rsid w:val="388C36FB"/>
    <w:rsid w:val="389D6220"/>
    <w:rsid w:val="38A8605B"/>
    <w:rsid w:val="38B963EB"/>
    <w:rsid w:val="38BB5D8F"/>
    <w:rsid w:val="38CF35E8"/>
    <w:rsid w:val="38CF7268"/>
    <w:rsid w:val="38D34E86"/>
    <w:rsid w:val="38D61268"/>
    <w:rsid w:val="38DD7AB3"/>
    <w:rsid w:val="3936712F"/>
    <w:rsid w:val="393D2C48"/>
    <w:rsid w:val="39551D3F"/>
    <w:rsid w:val="395A1104"/>
    <w:rsid w:val="39842625"/>
    <w:rsid w:val="398B21CB"/>
    <w:rsid w:val="398C3287"/>
    <w:rsid w:val="398E6FFF"/>
    <w:rsid w:val="399F5A3C"/>
    <w:rsid w:val="39A44A75"/>
    <w:rsid w:val="39A95BE7"/>
    <w:rsid w:val="39AC56D7"/>
    <w:rsid w:val="39AE58CE"/>
    <w:rsid w:val="39B36A66"/>
    <w:rsid w:val="39E82BB3"/>
    <w:rsid w:val="39EF3F42"/>
    <w:rsid w:val="39F96B6F"/>
    <w:rsid w:val="3A0177D1"/>
    <w:rsid w:val="3A044DC2"/>
    <w:rsid w:val="3A045513"/>
    <w:rsid w:val="3A0E1EEE"/>
    <w:rsid w:val="3A217E73"/>
    <w:rsid w:val="3A242D03"/>
    <w:rsid w:val="3A2D4A6A"/>
    <w:rsid w:val="3A316EDF"/>
    <w:rsid w:val="3A325BDD"/>
    <w:rsid w:val="3A620B43"/>
    <w:rsid w:val="3A900B55"/>
    <w:rsid w:val="3AB94550"/>
    <w:rsid w:val="3ABE3914"/>
    <w:rsid w:val="3AD273C0"/>
    <w:rsid w:val="3AF47336"/>
    <w:rsid w:val="3B11613A"/>
    <w:rsid w:val="3B2C087E"/>
    <w:rsid w:val="3B337E5E"/>
    <w:rsid w:val="3B424545"/>
    <w:rsid w:val="3B557297"/>
    <w:rsid w:val="3B585B17"/>
    <w:rsid w:val="3B7A783B"/>
    <w:rsid w:val="3B7D732B"/>
    <w:rsid w:val="3B8E32E7"/>
    <w:rsid w:val="3BB2012B"/>
    <w:rsid w:val="3BB35890"/>
    <w:rsid w:val="3BC2474E"/>
    <w:rsid w:val="3BCF326F"/>
    <w:rsid w:val="3BD038FF"/>
    <w:rsid w:val="3BD06E58"/>
    <w:rsid w:val="3C0506E8"/>
    <w:rsid w:val="3C2679C3"/>
    <w:rsid w:val="3C300842"/>
    <w:rsid w:val="3C5A141B"/>
    <w:rsid w:val="3C7050E2"/>
    <w:rsid w:val="3C7F2F06"/>
    <w:rsid w:val="3CAC611A"/>
    <w:rsid w:val="3CB13731"/>
    <w:rsid w:val="3CB15DFB"/>
    <w:rsid w:val="3CB90837"/>
    <w:rsid w:val="3CBA0813"/>
    <w:rsid w:val="3CD4741F"/>
    <w:rsid w:val="3CE54EBA"/>
    <w:rsid w:val="3CFE624A"/>
    <w:rsid w:val="3D144975"/>
    <w:rsid w:val="3D23046B"/>
    <w:rsid w:val="3D233F03"/>
    <w:rsid w:val="3D3464E8"/>
    <w:rsid w:val="3D37429F"/>
    <w:rsid w:val="3D597924"/>
    <w:rsid w:val="3D74475E"/>
    <w:rsid w:val="3D826E7B"/>
    <w:rsid w:val="3D8B21D4"/>
    <w:rsid w:val="3DD916A5"/>
    <w:rsid w:val="3DE01B82"/>
    <w:rsid w:val="3DE43692"/>
    <w:rsid w:val="3DEC2546"/>
    <w:rsid w:val="3DF52310"/>
    <w:rsid w:val="3DF67475"/>
    <w:rsid w:val="3DF7FD5C"/>
    <w:rsid w:val="3E111FAD"/>
    <w:rsid w:val="3E1546C7"/>
    <w:rsid w:val="3E303B9C"/>
    <w:rsid w:val="3E4E6111"/>
    <w:rsid w:val="3E611186"/>
    <w:rsid w:val="3E7B0A1A"/>
    <w:rsid w:val="3E8D1F7B"/>
    <w:rsid w:val="3E8E35FE"/>
    <w:rsid w:val="3EAA6689"/>
    <w:rsid w:val="3ECA0ADA"/>
    <w:rsid w:val="3ED731F7"/>
    <w:rsid w:val="3EE52158"/>
    <w:rsid w:val="3EEA2F2A"/>
    <w:rsid w:val="3EEA5EE2"/>
    <w:rsid w:val="3EEC2DB2"/>
    <w:rsid w:val="3EF142B8"/>
    <w:rsid w:val="3EF45B57"/>
    <w:rsid w:val="3F0227F8"/>
    <w:rsid w:val="3F261A88"/>
    <w:rsid w:val="3F2F3033"/>
    <w:rsid w:val="3F3B5533"/>
    <w:rsid w:val="3F3F2E1B"/>
    <w:rsid w:val="3F4F5483"/>
    <w:rsid w:val="3F740A45"/>
    <w:rsid w:val="3F7E3672"/>
    <w:rsid w:val="3F892FBC"/>
    <w:rsid w:val="3FB6105E"/>
    <w:rsid w:val="3FD67C28"/>
    <w:rsid w:val="3FDF4AF7"/>
    <w:rsid w:val="3FE45BCB"/>
    <w:rsid w:val="3FE71217"/>
    <w:rsid w:val="400718BA"/>
    <w:rsid w:val="401D6DCD"/>
    <w:rsid w:val="401F289E"/>
    <w:rsid w:val="40287DC5"/>
    <w:rsid w:val="40436D96"/>
    <w:rsid w:val="40510A2D"/>
    <w:rsid w:val="406416DB"/>
    <w:rsid w:val="407C5E04"/>
    <w:rsid w:val="408E3D89"/>
    <w:rsid w:val="409018AF"/>
    <w:rsid w:val="409075E8"/>
    <w:rsid w:val="40953BB0"/>
    <w:rsid w:val="409969B6"/>
    <w:rsid w:val="409A0980"/>
    <w:rsid w:val="40AD06B3"/>
    <w:rsid w:val="40B6144D"/>
    <w:rsid w:val="40BE01CA"/>
    <w:rsid w:val="40CC4133"/>
    <w:rsid w:val="41377F7D"/>
    <w:rsid w:val="415B3C6B"/>
    <w:rsid w:val="4193340B"/>
    <w:rsid w:val="41AF7BAA"/>
    <w:rsid w:val="41B17BF3"/>
    <w:rsid w:val="41C430DD"/>
    <w:rsid w:val="42072F7D"/>
    <w:rsid w:val="42075E9B"/>
    <w:rsid w:val="42091919"/>
    <w:rsid w:val="421D3616"/>
    <w:rsid w:val="42246753"/>
    <w:rsid w:val="424122DA"/>
    <w:rsid w:val="42537038"/>
    <w:rsid w:val="426C3D93"/>
    <w:rsid w:val="42701859"/>
    <w:rsid w:val="427A2817"/>
    <w:rsid w:val="427F3F39"/>
    <w:rsid w:val="42AC04F6"/>
    <w:rsid w:val="42B524C5"/>
    <w:rsid w:val="42C245D4"/>
    <w:rsid w:val="42CD5108"/>
    <w:rsid w:val="43012E33"/>
    <w:rsid w:val="430B346F"/>
    <w:rsid w:val="43117E18"/>
    <w:rsid w:val="431467C7"/>
    <w:rsid w:val="431E0A8F"/>
    <w:rsid w:val="432033BE"/>
    <w:rsid w:val="43212C92"/>
    <w:rsid w:val="43266E38"/>
    <w:rsid w:val="4348021F"/>
    <w:rsid w:val="434F77FF"/>
    <w:rsid w:val="435B2648"/>
    <w:rsid w:val="43655275"/>
    <w:rsid w:val="438F5E4E"/>
    <w:rsid w:val="43931DE2"/>
    <w:rsid w:val="439671DC"/>
    <w:rsid w:val="43A33CCB"/>
    <w:rsid w:val="43AD0B79"/>
    <w:rsid w:val="43B753A5"/>
    <w:rsid w:val="43C56BED"/>
    <w:rsid w:val="43D03D38"/>
    <w:rsid w:val="44054362"/>
    <w:rsid w:val="441445A5"/>
    <w:rsid w:val="441B5933"/>
    <w:rsid w:val="44590F9F"/>
    <w:rsid w:val="44692B43"/>
    <w:rsid w:val="44912C43"/>
    <w:rsid w:val="449556E6"/>
    <w:rsid w:val="44A75419"/>
    <w:rsid w:val="44BE3908"/>
    <w:rsid w:val="44DC0B83"/>
    <w:rsid w:val="44E126D9"/>
    <w:rsid w:val="44E81F77"/>
    <w:rsid w:val="44EF756F"/>
    <w:rsid w:val="45085EB8"/>
    <w:rsid w:val="45291F17"/>
    <w:rsid w:val="45303661"/>
    <w:rsid w:val="453677FF"/>
    <w:rsid w:val="45462E84"/>
    <w:rsid w:val="454B049A"/>
    <w:rsid w:val="456D21BF"/>
    <w:rsid w:val="45942824"/>
    <w:rsid w:val="45992FB4"/>
    <w:rsid w:val="459B31D0"/>
    <w:rsid w:val="45A007E6"/>
    <w:rsid w:val="45CA7611"/>
    <w:rsid w:val="45CF2E79"/>
    <w:rsid w:val="45CF30C1"/>
    <w:rsid w:val="45D60A2D"/>
    <w:rsid w:val="45DE6011"/>
    <w:rsid w:val="46004DE1"/>
    <w:rsid w:val="460A5C60"/>
    <w:rsid w:val="460D100E"/>
    <w:rsid w:val="462E5DF2"/>
    <w:rsid w:val="462E7BA0"/>
    <w:rsid w:val="463A4797"/>
    <w:rsid w:val="463F7FFF"/>
    <w:rsid w:val="46723A98"/>
    <w:rsid w:val="46786FB3"/>
    <w:rsid w:val="467B4124"/>
    <w:rsid w:val="469A5235"/>
    <w:rsid w:val="469A6FE4"/>
    <w:rsid w:val="46A165C4"/>
    <w:rsid w:val="46A95479"/>
    <w:rsid w:val="46BB6140"/>
    <w:rsid w:val="46E110B6"/>
    <w:rsid w:val="46E46DC5"/>
    <w:rsid w:val="4705220F"/>
    <w:rsid w:val="471104BE"/>
    <w:rsid w:val="471C5C4A"/>
    <w:rsid w:val="472745EF"/>
    <w:rsid w:val="473C009B"/>
    <w:rsid w:val="47451645"/>
    <w:rsid w:val="474D04FA"/>
    <w:rsid w:val="47507FEA"/>
    <w:rsid w:val="47584820"/>
    <w:rsid w:val="4763746E"/>
    <w:rsid w:val="47685334"/>
    <w:rsid w:val="47737835"/>
    <w:rsid w:val="477560F0"/>
    <w:rsid w:val="479E2B03"/>
    <w:rsid w:val="47C702AC"/>
    <w:rsid w:val="47D209FF"/>
    <w:rsid w:val="47D865DB"/>
    <w:rsid w:val="47DB78B4"/>
    <w:rsid w:val="483671E0"/>
    <w:rsid w:val="48561630"/>
    <w:rsid w:val="487B4BF3"/>
    <w:rsid w:val="4884619D"/>
    <w:rsid w:val="489108BA"/>
    <w:rsid w:val="48943F06"/>
    <w:rsid w:val="48A44149"/>
    <w:rsid w:val="48B439FC"/>
    <w:rsid w:val="48B545A9"/>
    <w:rsid w:val="48C90054"/>
    <w:rsid w:val="48D662CD"/>
    <w:rsid w:val="48D97AD5"/>
    <w:rsid w:val="48E94252"/>
    <w:rsid w:val="48FA020D"/>
    <w:rsid w:val="48FF5824"/>
    <w:rsid w:val="490B41C9"/>
    <w:rsid w:val="491350FB"/>
    <w:rsid w:val="491D5CAA"/>
    <w:rsid w:val="492D05E3"/>
    <w:rsid w:val="493D00FA"/>
    <w:rsid w:val="49545147"/>
    <w:rsid w:val="4957464A"/>
    <w:rsid w:val="497955D6"/>
    <w:rsid w:val="49815947"/>
    <w:rsid w:val="49846E09"/>
    <w:rsid w:val="498B70B7"/>
    <w:rsid w:val="499046CE"/>
    <w:rsid w:val="499E7A09"/>
    <w:rsid w:val="49B54134"/>
    <w:rsid w:val="49BA799D"/>
    <w:rsid w:val="49CB3958"/>
    <w:rsid w:val="49CE0DBE"/>
    <w:rsid w:val="49D10717"/>
    <w:rsid w:val="49E50EBD"/>
    <w:rsid w:val="49EE2949"/>
    <w:rsid w:val="4A051CD0"/>
    <w:rsid w:val="4A203CA4"/>
    <w:rsid w:val="4A317C5F"/>
    <w:rsid w:val="4A5D4EF8"/>
    <w:rsid w:val="4A6242BC"/>
    <w:rsid w:val="4A6D6C6D"/>
    <w:rsid w:val="4A7270A0"/>
    <w:rsid w:val="4A7933B4"/>
    <w:rsid w:val="4A8B0DC3"/>
    <w:rsid w:val="4A8D3F36"/>
    <w:rsid w:val="4A927B18"/>
    <w:rsid w:val="4AB64608"/>
    <w:rsid w:val="4AC5484B"/>
    <w:rsid w:val="4AF64A04"/>
    <w:rsid w:val="4B074E64"/>
    <w:rsid w:val="4B0E1D4E"/>
    <w:rsid w:val="4B0E3212"/>
    <w:rsid w:val="4B117A90"/>
    <w:rsid w:val="4B133808"/>
    <w:rsid w:val="4B3C5387"/>
    <w:rsid w:val="4B3C5F5F"/>
    <w:rsid w:val="4B4B4D50"/>
    <w:rsid w:val="4B5160DF"/>
    <w:rsid w:val="4B5A4F93"/>
    <w:rsid w:val="4B814C16"/>
    <w:rsid w:val="4B83098E"/>
    <w:rsid w:val="4B9543B5"/>
    <w:rsid w:val="4B991F60"/>
    <w:rsid w:val="4B9D3A4B"/>
    <w:rsid w:val="4BA64597"/>
    <w:rsid w:val="4BCD1C09"/>
    <w:rsid w:val="4BD20FCE"/>
    <w:rsid w:val="4BD25472"/>
    <w:rsid w:val="4BDE7972"/>
    <w:rsid w:val="4BF058F8"/>
    <w:rsid w:val="4C211F55"/>
    <w:rsid w:val="4C2418C5"/>
    <w:rsid w:val="4C2832E3"/>
    <w:rsid w:val="4C2F6420"/>
    <w:rsid w:val="4C343A36"/>
    <w:rsid w:val="4C520CD8"/>
    <w:rsid w:val="4C547C35"/>
    <w:rsid w:val="4C742085"/>
    <w:rsid w:val="4C7958ED"/>
    <w:rsid w:val="4C9B15B0"/>
    <w:rsid w:val="4CA62684"/>
    <w:rsid w:val="4CB46925"/>
    <w:rsid w:val="4CD55219"/>
    <w:rsid w:val="4CE0771A"/>
    <w:rsid w:val="4D0553D3"/>
    <w:rsid w:val="4D063625"/>
    <w:rsid w:val="4D0D6D01"/>
    <w:rsid w:val="4D187B9C"/>
    <w:rsid w:val="4D1A0E7E"/>
    <w:rsid w:val="4D317F76"/>
    <w:rsid w:val="4D4B54DB"/>
    <w:rsid w:val="4D507461"/>
    <w:rsid w:val="4D5D0D6B"/>
    <w:rsid w:val="4D5F4A7C"/>
    <w:rsid w:val="4D7155B1"/>
    <w:rsid w:val="4D77007F"/>
    <w:rsid w:val="4D7A36CB"/>
    <w:rsid w:val="4D7D298E"/>
    <w:rsid w:val="4D87403A"/>
    <w:rsid w:val="4D950505"/>
    <w:rsid w:val="4DC859A2"/>
    <w:rsid w:val="4DC86B2C"/>
    <w:rsid w:val="4DCF5FFB"/>
    <w:rsid w:val="4DD0778F"/>
    <w:rsid w:val="4DEE5EDB"/>
    <w:rsid w:val="4DF0398D"/>
    <w:rsid w:val="4DFA480C"/>
    <w:rsid w:val="4E0062C6"/>
    <w:rsid w:val="4E165AE9"/>
    <w:rsid w:val="4E467A51"/>
    <w:rsid w:val="4E5E4D9B"/>
    <w:rsid w:val="4E630603"/>
    <w:rsid w:val="4EAD7AD0"/>
    <w:rsid w:val="4EB8319B"/>
    <w:rsid w:val="4EBB21ED"/>
    <w:rsid w:val="4ECD25C4"/>
    <w:rsid w:val="4EE554BC"/>
    <w:rsid w:val="4EFA24EA"/>
    <w:rsid w:val="4F0022F6"/>
    <w:rsid w:val="4F29184C"/>
    <w:rsid w:val="4F363F69"/>
    <w:rsid w:val="4F38383D"/>
    <w:rsid w:val="4F3A75B6"/>
    <w:rsid w:val="4F3C4353"/>
    <w:rsid w:val="4F3F4BCC"/>
    <w:rsid w:val="4F4F296F"/>
    <w:rsid w:val="4F5166AD"/>
    <w:rsid w:val="4F5F0DCA"/>
    <w:rsid w:val="4F807D78"/>
    <w:rsid w:val="4F9923B2"/>
    <w:rsid w:val="4FA03191"/>
    <w:rsid w:val="4FA47125"/>
    <w:rsid w:val="4FAA2095"/>
    <w:rsid w:val="4FB0677F"/>
    <w:rsid w:val="4FB54E8E"/>
    <w:rsid w:val="4FBBBF47"/>
    <w:rsid w:val="4FBE719A"/>
    <w:rsid w:val="4FC82E13"/>
    <w:rsid w:val="4FDA66A3"/>
    <w:rsid w:val="4FDF3AD5"/>
    <w:rsid w:val="4FF20A93"/>
    <w:rsid w:val="4FF5172F"/>
    <w:rsid w:val="50067498"/>
    <w:rsid w:val="500E1D85"/>
    <w:rsid w:val="501222E0"/>
    <w:rsid w:val="501C0EBC"/>
    <w:rsid w:val="50305F10"/>
    <w:rsid w:val="503E4E84"/>
    <w:rsid w:val="504F0E3F"/>
    <w:rsid w:val="504F7091"/>
    <w:rsid w:val="50656176"/>
    <w:rsid w:val="506B3980"/>
    <w:rsid w:val="5080004F"/>
    <w:rsid w:val="50940F47"/>
    <w:rsid w:val="50BB2978"/>
    <w:rsid w:val="50BB64D4"/>
    <w:rsid w:val="50CD1E89"/>
    <w:rsid w:val="50D47596"/>
    <w:rsid w:val="50D75016"/>
    <w:rsid w:val="51063CEB"/>
    <w:rsid w:val="510C4F82"/>
    <w:rsid w:val="511D2CEB"/>
    <w:rsid w:val="51352482"/>
    <w:rsid w:val="51484635"/>
    <w:rsid w:val="51497F84"/>
    <w:rsid w:val="5153495F"/>
    <w:rsid w:val="515E50B1"/>
    <w:rsid w:val="51600E2A"/>
    <w:rsid w:val="51627880"/>
    <w:rsid w:val="517A16BA"/>
    <w:rsid w:val="517C2D91"/>
    <w:rsid w:val="51826FF2"/>
    <w:rsid w:val="51851356"/>
    <w:rsid w:val="518A5EA7"/>
    <w:rsid w:val="519B00B4"/>
    <w:rsid w:val="51A90316"/>
    <w:rsid w:val="51B7313F"/>
    <w:rsid w:val="51BF5FF7"/>
    <w:rsid w:val="51C06B2B"/>
    <w:rsid w:val="51D36BF9"/>
    <w:rsid w:val="51DB6702"/>
    <w:rsid w:val="520203A1"/>
    <w:rsid w:val="52036385"/>
    <w:rsid w:val="5205336E"/>
    <w:rsid w:val="524349D3"/>
    <w:rsid w:val="525C07F9"/>
    <w:rsid w:val="526037D7"/>
    <w:rsid w:val="527728CF"/>
    <w:rsid w:val="527821A3"/>
    <w:rsid w:val="52923265"/>
    <w:rsid w:val="52A42F98"/>
    <w:rsid w:val="52B21B59"/>
    <w:rsid w:val="52BE22AC"/>
    <w:rsid w:val="52CB57D3"/>
    <w:rsid w:val="52D47D21"/>
    <w:rsid w:val="52F65EE9"/>
    <w:rsid w:val="52F67C97"/>
    <w:rsid w:val="52FC447C"/>
    <w:rsid w:val="530F48B5"/>
    <w:rsid w:val="53151685"/>
    <w:rsid w:val="531E0F9C"/>
    <w:rsid w:val="53234805"/>
    <w:rsid w:val="532365B3"/>
    <w:rsid w:val="534053B7"/>
    <w:rsid w:val="53446C55"/>
    <w:rsid w:val="53465CA5"/>
    <w:rsid w:val="53620E89"/>
    <w:rsid w:val="53760DD8"/>
    <w:rsid w:val="53794425"/>
    <w:rsid w:val="53876B42"/>
    <w:rsid w:val="538D2768"/>
    <w:rsid w:val="53997292"/>
    <w:rsid w:val="53A45945"/>
    <w:rsid w:val="53AE0572"/>
    <w:rsid w:val="53B35B89"/>
    <w:rsid w:val="53D2020A"/>
    <w:rsid w:val="53E709D1"/>
    <w:rsid w:val="53E915AA"/>
    <w:rsid w:val="54244390"/>
    <w:rsid w:val="543B00DA"/>
    <w:rsid w:val="545A5837"/>
    <w:rsid w:val="545C1D7C"/>
    <w:rsid w:val="545F361A"/>
    <w:rsid w:val="549E05E7"/>
    <w:rsid w:val="549E2395"/>
    <w:rsid w:val="54AB4AB2"/>
    <w:rsid w:val="54CE480A"/>
    <w:rsid w:val="54D062C6"/>
    <w:rsid w:val="550C37A2"/>
    <w:rsid w:val="552705DC"/>
    <w:rsid w:val="55287DCD"/>
    <w:rsid w:val="554747DA"/>
    <w:rsid w:val="55482300"/>
    <w:rsid w:val="556709D9"/>
    <w:rsid w:val="556A04C9"/>
    <w:rsid w:val="556F6CD4"/>
    <w:rsid w:val="558E2409"/>
    <w:rsid w:val="55943798"/>
    <w:rsid w:val="559612BE"/>
    <w:rsid w:val="55E12E67"/>
    <w:rsid w:val="55EE4C56"/>
    <w:rsid w:val="56051FA0"/>
    <w:rsid w:val="56073F6A"/>
    <w:rsid w:val="56076140"/>
    <w:rsid w:val="56203BC7"/>
    <w:rsid w:val="56220DA3"/>
    <w:rsid w:val="566070E8"/>
    <w:rsid w:val="566273F2"/>
    <w:rsid w:val="567D5FDA"/>
    <w:rsid w:val="568807DB"/>
    <w:rsid w:val="56951FFF"/>
    <w:rsid w:val="56A90876"/>
    <w:rsid w:val="56B01DE6"/>
    <w:rsid w:val="56C97471"/>
    <w:rsid w:val="56D46542"/>
    <w:rsid w:val="56E57FF1"/>
    <w:rsid w:val="56F3629C"/>
    <w:rsid w:val="56F95FA8"/>
    <w:rsid w:val="56FD6FD2"/>
    <w:rsid w:val="571C1C97"/>
    <w:rsid w:val="575A09F5"/>
    <w:rsid w:val="5765363E"/>
    <w:rsid w:val="576A0C54"/>
    <w:rsid w:val="57897141"/>
    <w:rsid w:val="578A30A4"/>
    <w:rsid w:val="57B10631"/>
    <w:rsid w:val="57B971A8"/>
    <w:rsid w:val="57C70FC9"/>
    <w:rsid w:val="57D2100B"/>
    <w:rsid w:val="57D3074D"/>
    <w:rsid w:val="57E36310"/>
    <w:rsid w:val="580B49CF"/>
    <w:rsid w:val="580E5A83"/>
    <w:rsid w:val="580F4197"/>
    <w:rsid w:val="582351DE"/>
    <w:rsid w:val="582C415B"/>
    <w:rsid w:val="583A0626"/>
    <w:rsid w:val="5843000D"/>
    <w:rsid w:val="58445001"/>
    <w:rsid w:val="585C67EF"/>
    <w:rsid w:val="58607961"/>
    <w:rsid w:val="58692CBA"/>
    <w:rsid w:val="587753D7"/>
    <w:rsid w:val="58816255"/>
    <w:rsid w:val="58A35D45"/>
    <w:rsid w:val="58A81A34"/>
    <w:rsid w:val="58B06B3A"/>
    <w:rsid w:val="58B47348"/>
    <w:rsid w:val="58C83E84"/>
    <w:rsid w:val="58CB5722"/>
    <w:rsid w:val="58CB60C9"/>
    <w:rsid w:val="58D75E75"/>
    <w:rsid w:val="58F317BE"/>
    <w:rsid w:val="58F46A27"/>
    <w:rsid w:val="58F76517"/>
    <w:rsid w:val="58FD7D40"/>
    <w:rsid w:val="590824D3"/>
    <w:rsid w:val="590B5B1F"/>
    <w:rsid w:val="590F1AB3"/>
    <w:rsid w:val="593D68CB"/>
    <w:rsid w:val="5955323E"/>
    <w:rsid w:val="59676172"/>
    <w:rsid w:val="596A4F3B"/>
    <w:rsid w:val="5987789B"/>
    <w:rsid w:val="59965D30"/>
    <w:rsid w:val="5999137D"/>
    <w:rsid w:val="59A10231"/>
    <w:rsid w:val="59A73A9A"/>
    <w:rsid w:val="59B63CDD"/>
    <w:rsid w:val="59C75EEA"/>
    <w:rsid w:val="59C962F5"/>
    <w:rsid w:val="59CA7286"/>
    <w:rsid w:val="59E70592"/>
    <w:rsid w:val="59F12F67"/>
    <w:rsid w:val="59FF38D6"/>
    <w:rsid w:val="5A512369"/>
    <w:rsid w:val="5A871B1D"/>
    <w:rsid w:val="5A942E60"/>
    <w:rsid w:val="5AC468CD"/>
    <w:rsid w:val="5AC708F2"/>
    <w:rsid w:val="5ACA2414"/>
    <w:rsid w:val="5AD703AE"/>
    <w:rsid w:val="5AD76600"/>
    <w:rsid w:val="5AE64A95"/>
    <w:rsid w:val="5AF30F60"/>
    <w:rsid w:val="5AF80325"/>
    <w:rsid w:val="5AFA5E4B"/>
    <w:rsid w:val="5AFA72D3"/>
    <w:rsid w:val="5B01542B"/>
    <w:rsid w:val="5B2555BE"/>
    <w:rsid w:val="5B295638"/>
    <w:rsid w:val="5B2E4A9F"/>
    <w:rsid w:val="5B343F91"/>
    <w:rsid w:val="5B3F43CD"/>
    <w:rsid w:val="5B5023F1"/>
    <w:rsid w:val="5B6B0AF7"/>
    <w:rsid w:val="5B8F0C89"/>
    <w:rsid w:val="5BC00E43"/>
    <w:rsid w:val="5BC14BBB"/>
    <w:rsid w:val="5BC8419B"/>
    <w:rsid w:val="5BD81B13"/>
    <w:rsid w:val="5BEF3DC3"/>
    <w:rsid w:val="5BF97FD2"/>
    <w:rsid w:val="5C1D0043"/>
    <w:rsid w:val="5C1F025F"/>
    <w:rsid w:val="5C480E38"/>
    <w:rsid w:val="5C5872CD"/>
    <w:rsid w:val="5C592673"/>
    <w:rsid w:val="5C7C0C62"/>
    <w:rsid w:val="5C974299"/>
    <w:rsid w:val="5CA249EC"/>
    <w:rsid w:val="5CAB38A1"/>
    <w:rsid w:val="5CAE430D"/>
    <w:rsid w:val="5CB0535B"/>
    <w:rsid w:val="5CC47CC0"/>
    <w:rsid w:val="5CC52489"/>
    <w:rsid w:val="5CE2303B"/>
    <w:rsid w:val="5CE40B61"/>
    <w:rsid w:val="5CFF3BED"/>
    <w:rsid w:val="5D1A6C78"/>
    <w:rsid w:val="5D2D075A"/>
    <w:rsid w:val="5D5850AB"/>
    <w:rsid w:val="5D9D3F5A"/>
    <w:rsid w:val="5DB34682"/>
    <w:rsid w:val="5DC2528C"/>
    <w:rsid w:val="5DC7295C"/>
    <w:rsid w:val="5DC76AF1"/>
    <w:rsid w:val="5DDE3802"/>
    <w:rsid w:val="5DE80B25"/>
    <w:rsid w:val="5DFB4F58"/>
    <w:rsid w:val="5DFC27D4"/>
    <w:rsid w:val="5E0603E1"/>
    <w:rsid w:val="5E0B036F"/>
    <w:rsid w:val="5E162F9C"/>
    <w:rsid w:val="5E2A2EEB"/>
    <w:rsid w:val="5E3653EC"/>
    <w:rsid w:val="5E4C2E61"/>
    <w:rsid w:val="5E512226"/>
    <w:rsid w:val="5E68756F"/>
    <w:rsid w:val="5EB36A3D"/>
    <w:rsid w:val="5EE57ED7"/>
    <w:rsid w:val="5EE96902"/>
    <w:rsid w:val="5EF78199"/>
    <w:rsid w:val="5EFD5F0A"/>
    <w:rsid w:val="5F090D52"/>
    <w:rsid w:val="5F137966"/>
    <w:rsid w:val="5F30008D"/>
    <w:rsid w:val="5F350389"/>
    <w:rsid w:val="5F401526"/>
    <w:rsid w:val="5F490741"/>
    <w:rsid w:val="5F6D3BFF"/>
    <w:rsid w:val="5F700DD2"/>
    <w:rsid w:val="5F7F1015"/>
    <w:rsid w:val="5F807CEB"/>
    <w:rsid w:val="5F824661"/>
    <w:rsid w:val="5F864151"/>
    <w:rsid w:val="5F8655B8"/>
    <w:rsid w:val="5F8B5C0B"/>
    <w:rsid w:val="5F906D7E"/>
    <w:rsid w:val="5F922AF6"/>
    <w:rsid w:val="5FE33352"/>
    <w:rsid w:val="5FF13CC0"/>
    <w:rsid w:val="5FF61656"/>
    <w:rsid w:val="60076492"/>
    <w:rsid w:val="600A4D82"/>
    <w:rsid w:val="60194FC5"/>
    <w:rsid w:val="601B0D3D"/>
    <w:rsid w:val="601D2D07"/>
    <w:rsid w:val="60400521"/>
    <w:rsid w:val="60430294"/>
    <w:rsid w:val="604A1623"/>
    <w:rsid w:val="605E0C2A"/>
    <w:rsid w:val="60787F3E"/>
    <w:rsid w:val="607C7DEE"/>
    <w:rsid w:val="60912DAE"/>
    <w:rsid w:val="60956D42"/>
    <w:rsid w:val="60BB607C"/>
    <w:rsid w:val="60CC64DC"/>
    <w:rsid w:val="60D97595"/>
    <w:rsid w:val="60DF7FBD"/>
    <w:rsid w:val="60F31CBA"/>
    <w:rsid w:val="60F577E0"/>
    <w:rsid w:val="61154C74"/>
    <w:rsid w:val="61212F9E"/>
    <w:rsid w:val="6124725C"/>
    <w:rsid w:val="6138591F"/>
    <w:rsid w:val="613A1697"/>
    <w:rsid w:val="614E6EF1"/>
    <w:rsid w:val="6160500B"/>
    <w:rsid w:val="61730705"/>
    <w:rsid w:val="61761FA3"/>
    <w:rsid w:val="619A0388"/>
    <w:rsid w:val="619C410F"/>
    <w:rsid w:val="61A15272"/>
    <w:rsid w:val="61BB5801"/>
    <w:rsid w:val="61BE5E24"/>
    <w:rsid w:val="61DD1805"/>
    <w:rsid w:val="61E22AA6"/>
    <w:rsid w:val="61E635CD"/>
    <w:rsid w:val="61E75488"/>
    <w:rsid w:val="61F01D56"/>
    <w:rsid w:val="61F25ACE"/>
    <w:rsid w:val="61F6456E"/>
    <w:rsid w:val="61F71336"/>
    <w:rsid w:val="620121B5"/>
    <w:rsid w:val="62031A89"/>
    <w:rsid w:val="620D0B5A"/>
    <w:rsid w:val="621A6DD3"/>
    <w:rsid w:val="621F4188"/>
    <w:rsid w:val="622C10F6"/>
    <w:rsid w:val="622D2FAA"/>
    <w:rsid w:val="622D6B06"/>
    <w:rsid w:val="62377985"/>
    <w:rsid w:val="6244289D"/>
    <w:rsid w:val="62465E1A"/>
    <w:rsid w:val="626970D8"/>
    <w:rsid w:val="62710E5F"/>
    <w:rsid w:val="628250A4"/>
    <w:rsid w:val="62843025"/>
    <w:rsid w:val="6294694F"/>
    <w:rsid w:val="62B47227"/>
    <w:rsid w:val="62B611F1"/>
    <w:rsid w:val="62BD4585"/>
    <w:rsid w:val="63181564"/>
    <w:rsid w:val="63456403"/>
    <w:rsid w:val="6349426B"/>
    <w:rsid w:val="63495BC1"/>
    <w:rsid w:val="63524352"/>
    <w:rsid w:val="6372336A"/>
    <w:rsid w:val="63A4729C"/>
    <w:rsid w:val="63A66B70"/>
    <w:rsid w:val="63B868A3"/>
    <w:rsid w:val="63BD210C"/>
    <w:rsid w:val="63D81BFD"/>
    <w:rsid w:val="63FC2C34"/>
    <w:rsid w:val="640D3093"/>
    <w:rsid w:val="640D6BEF"/>
    <w:rsid w:val="640E26C8"/>
    <w:rsid w:val="64177A6E"/>
    <w:rsid w:val="641A130C"/>
    <w:rsid w:val="642B52C7"/>
    <w:rsid w:val="643E4FFA"/>
    <w:rsid w:val="647C12FB"/>
    <w:rsid w:val="64882719"/>
    <w:rsid w:val="64B41760"/>
    <w:rsid w:val="64C80C97"/>
    <w:rsid w:val="64C80D68"/>
    <w:rsid w:val="64D0253C"/>
    <w:rsid w:val="64DD334F"/>
    <w:rsid w:val="64E475E5"/>
    <w:rsid w:val="64F16511"/>
    <w:rsid w:val="65052950"/>
    <w:rsid w:val="65222FC4"/>
    <w:rsid w:val="655E0B15"/>
    <w:rsid w:val="6567132D"/>
    <w:rsid w:val="656B0071"/>
    <w:rsid w:val="656F16F0"/>
    <w:rsid w:val="657A02B4"/>
    <w:rsid w:val="65841133"/>
    <w:rsid w:val="65953340"/>
    <w:rsid w:val="65956E9C"/>
    <w:rsid w:val="65B71508"/>
    <w:rsid w:val="65DC4ACB"/>
    <w:rsid w:val="65EB7404"/>
    <w:rsid w:val="65F04A1A"/>
    <w:rsid w:val="660D1128"/>
    <w:rsid w:val="661C136B"/>
    <w:rsid w:val="662446C4"/>
    <w:rsid w:val="662761BA"/>
    <w:rsid w:val="666A657B"/>
    <w:rsid w:val="66723681"/>
    <w:rsid w:val="6672542F"/>
    <w:rsid w:val="668D6CDE"/>
    <w:rsid w:val="66BB5028"/>
    <w:rsid w:val="66C0263F"/>
    <w:rsid w:val="66DE592A"/>
    <w:rsid w:val="66F684F4"/>
    <w:rsid w:val="671B7875"/>
    <w:rsid w:val="671D539B"/>
    <w:rsid w:val="67226E55"/>
    <w:rsid w:val="67354B19"/>
    <w:rsid w:val="674548F2"/>
    <w:rsid w:val="674644E8"/>
    <w:rsid w:val="674F5770"/>
    <w:rsid w:val="67654F94"/>
    <w:rsid w:val="676C6322"/>
    <w:rsid w:val="67846B86"/>
    <w:rsid w:val="67894337"/>
    <w:rsid w:val="679715F1"/>
    <w:rsid w:val="679D028A"/>
    <w:rsid w:val="67AC4971"/>
    <w:rsid w:val="67C5345F"/>
    <w:rsid w:val="67D6379C"/>
    <w:rsid w:val="67DF7076"/>
    <w:rsid w:val="67E20393"/>
    <w:rsid w:val="67E265E5"/>
    <w:rsid w:val="67E91721"/>
    <w:rsid w:val="67EE266A"/>
    <w:rsid w:val="67F23B1E"/>
    <w:rsid w:val="68093B71"/>
    <w:rsid w:val="68103152"/>
    <w:rsid w:val="681D13CB"/>
    <w:rsid w:val="682664D1"/>
    <w:rsid w:val="6848469A"/>
    <w:rsid w:val="68527954"/>
    <w:rsid w:val="685748DD"/>
    <w:rsid w:val="68692862"/>
    <w:rsid w:val="686B0388"/>
    <w:rsid w:val="6881195A"/>
    <w:rsid w:val="6884144A"/>
    <w:rsid w:val="688D6550"/>
    <w:rsid w:val="688E4077"/>
    <w:rsid w:val="68D26136"/>
    <w:rsid w:val="68E24AEE"/>
    <w:rsid w:val="68F23B23"/>
    <w:rsid w:val="69194A71"/>
    <w:rsid w:val="692534D8"/>
    <w:rsid w:val="693E3CEF"/>
    <w:rsid w:val="69413D68"/>
    <w:rsid w:val="6949691B"/>
    <w:rsid w:val="695353FB"/>
    <w:rsid w:val="69562DE6"/>
    <w:rsid w:val="69636720"/>
    <w:rsid w:val="698E5D07"/>
    <w:rsid w:val="699E02E9"/>
    <w:rsid w:val="699F478D"/>
    <w:rsid w:val="69A43B52"/>
    <w:rsid w:val="69A91168"/>
    <w:rsid w:val="69B94A93"/>
    <w:rsid w:val="69BA3375"/>
    <w:rsid w:val="69BF5C51"/>
    <w:rsid w:val="69CB4873"/>
    <w:rsid w:val="69D106BF"/>
    <w:rsid w:val="69D63F27"/>
    <w:rsid w:val="69EE1271"/>
    <w:rsid w:val="6A0D73FB"/>
    <w:rsid w:val="6A350C4E"/>
    <w:rsid w:val="6A3D3FA6"/>
    <w:rsid w:val="6A4D60B6"/>
    <w:rsid w:val="6A5437CA"/>
    <w:rsid w:val="6A687EB0"/>
    <w:rsid w:val="6A7376C3"/>
    <w:rsid w:val="6A986E26"/>
    <w:rsid w:val="6A9C6F1F"/>
    <w:rsid w:val="6AA20962"/>
    <w:rsid w:val="6AC975E8"/>
    <w:rsid w:val="6AE92551"/>
    <w:rsid w:val="6AFC79BD"/>
    <w:rsid w:val="6B0845B4"/>
    <w:rsid w:val="6B161735"/>
    <w:rsid w:val="6B2A0087"/>
    <w:rsid w:val="6B2C2051"/>
    <w:rsid w:val="6B3929BF"/>
    <w:rsid w:val="6B3B04E6"/>
    <w:rsid w:val="6B454371"/>
    <w:rsid w:val="6B560E7C"/>
    <w:rsid w:val="6B6219A6"/>
    <w:rsid w:val="6B855C05"/>
    <w:rsid w:val="6B9320D0"/>
    <w:rsid w:val="6B981494"/>
    <w:rsid w:val="6BBD0EFB"/>
    <w:rsid w:val="6BBD539F"/>
    <w:rsid w:val="6BC229B5"/>
    <w:rsid w:val="6BC62B46"/>
    <w:rsid w:val="6BC8789F"/>
    <w:rsid w:val="6BE02E3B"/>
    <w:rsid w:val="6BE03BBA"/>
    <w:rsid w:val="6BE04BE9"/>
    <w:rsid w:val="6BE40B7D"/>
    <w:rsid w:val="6BEA1E52"/>
    <w:rsid w:val="6BFC352B"/>
    <w:rsid w:val="6C054650"/>
    <w:rsid w:val="6C0D7EBA"/>
    <w:rsid w:val="6C0E1756"/>
    <w:rsid w:val="6C0E5BFA"/>
    <w:rsid w:val="6C2947E2"/>
    <w:rsid w:val="6C501814"/>
    <w:rsid w:val="6C566E2D"/>
    <w:rsid w:val="6C64581A"/>
    <w:rsid w:val="6C7517D5"/>
    <w:rsid w:val="6C7C0DB6"/>
    <w:rsid w:val="6CCC72AA"/>
    <w:rsid w:val="6CF546C4"/>
    <w:rsid w:val="6D007B08"/>
    <w:rsid w:val="6D0F39D8"/>
    <w:rsid w:val="6D2D20B0"/>
    <w:rsid w:val="6D480C98"/>
    <w:rsid w:val="6D4F64CA"/>
    <w:rsid w:val="6D54763D"/>
    <w:rsid w:val="6D5B6C1D"/>
    <w:rsid w:val="6D635AD2"/>
    <w:rsid w:val="6D6655C2"/>
    <w:rsid w:val="6D685C2B"/>
    <w:rsid w:val="6D9419BE"/>
    <w:rsid w:val="6DA46816"/>
    <w:rsid w:val="6DA524C2"/>
    <w:rsid w:val="6DB12CE1"/>
    <w:rsid w:val="6DC5334B"/>
    <w:rsid w:val="6DCC3677"/>
    <w:rsid w:val="6DD93FE6"/>
    <w:rsid w:val="6DE035C6"/>
    <w:rsid w:val="6DEB7D25"/>
    <w:rsid w:val="6DFBB659"/>
    <w:rsid w:val="6E072901"/>
    <w:rsid w:val="6E184B0E"/>
    <w:rsid w:val="6E1B015A"/>
    <w:rsid w:val="6E2536C2"/>
    <w:rsid w:val="6E2B2A93"/>
    <w:rsid w:val="6E3F209B"/>
    <w:rsid w:val="6E6D0800"/>
    <w:rsid w:val="6E7B6E4B"/>
    <w:rsid w:val="6E946B8C"/>
    <w:rsid w:val="6E9B0653"/>
    <w:rsid w:val="6EAD16FA"/>
    <w:rsid w:val="6EB011EB"/>
    <w:rsid w:val="6EB116E2"/>
    <w:rsid w:val="6EBD7464"/>
    <w:rsid w:val="6ED30A35"/>
    <w:rsid w:val="6F047A27"/>
    <w:rsid w:val="6F125A01"/>
    <w:rsid w:val="6F1916D0"/>
    <w:rsid w:val="6F375468"/>
    <w:rsid w:val="6F4B2B0C"/>
    <w:rsid w:val="6F6D3884"/>
    <w:rsid w:val="6FBF3137"/>
    <w:rsid w:val="6FC860C0"/>
    <w:rsid w:val="6FD35191"/>
    <w:rsid w:val="6FE729EA"/>
    <w:rsid w:val="6FE949B4"/>
    <w:rsid w:val="6FEFC17E"/>
    <w:rsid w:val="6FF71DF4"/>
    <w:rsid w:val="7000520C"/>
    <w:rsid w:val="701D640C"/>
    <w:rsid w:val="703F2826"/>
    <w:rsid w:val="704D5607"/>
    <w:rsid w:val="706E4EB9"/>
    <w:rsid w:val="70CA3376"/>
    <w:rsid w:val="70CD6084"/>
    <w:rsid w:val="70E17439"/>
    <w:rsid w:val="70F353BF"/>
    <w:rsid w:val="70F40206"/>
    <w:rsid w:val="71123A97"/>
    <w:rsid w:val="71145A61"/>
    <w:rsid w:val="711B18BD"/>
    <w:rsid w:val="71256553"/>
    <w:rsid w:val="712E4649"/>
    <w:rsid w:val="71324139"/>
    <w:rsid w:val="714427E7"/>
    <w:rsid w:val="71573B9F"/>
    <w:rsid w:val="715916C6"/>
    <w:rsid w:val="71706A0F"/>
    <w:rsid w:val="718F3339"/>
    <w:rsid w:val="7193315C"/>
    <w:rsid w:val="71AF7537"/>
    <w:rsid w:val="71C07997"/>
    <w:rsid w:val="71C31235"/>
    <w:rsid w:val="71DA3698"/>
    <w:rsid w:val="71E371E1"/>
    <w:rsid w:val="71E37AAC"/>
    <w:rsid w:val="71E724CD"/>
    <w:rsid w:val="71EA35DF"/>
    <w:rsid w:val="71EC253A"/>
    <w:rsid w:val="71ED0060"/>
    <w:rsid w:val="72035AD5"/>
    <w:rsid w:val="720553A9"/>
    <w:rsid w:val="720D24B0"/>
    <w:rsid w:val="721162B3"/>
    <w:rsid w:val="72330169"/>
    <w:rsid w:val="726958C5"/>
    <w:rsid w:val="726F79A2"/>
    <w:rsid w:val="727918F3"/>
    <w:rsid w:val="727D63C7"/>
    <w:rsid w:val="72846232"/>
    <w:rsid w:val="728F1117"/>
    <w:rsid w:val="729B22F4"/>
    <w:rsid w:val="729D3834"/>
    <w:rsid w:val="729D6627"/>
    <w:rsid w:val="72B5493F"/>
    <w:rsid w:val="72C54B39"/>
    <w:rsid w:val="72C60FDD"/>
    <w:rsid w:val="72E01AF4"/>
    <w:rsid w:val="72F773E8"/>
    <w:rsid w:val="72FE5F45"/>
    <w:rsid w:val="730B2E93"/>
    <w:rsid w:val="73124222"/>
    <w:rsid w:val="731735E6"/>
    <w:rsid w:val="73353A6C"/>
    <w:rsid w:val="733E5017"/>
    <w:rsid w:val="7366095C"/>
    <w:rsid w:val="736E6F7E"/>
    <w:rsid w:val="738549F4"/>
    <w:rsid w:val="73922C6D"/>
    <w:rsid w:val="739E7864"/>
    <w:rsid w:val="73A0182E"/>
    <w:rsid w:val="73BD72EC"/>
    <w:rsid w:val="73C372CA"/>
    <w:rsid w:val="73CF2113"/>
    <w:rsid w:val="73DD468A"/>
    <w:rsid w:val="73E07E7C"/>
    <w:rsid w:val="73ED07EB"/>
    <w:rsid w:val="73F6144E"/>
    <w:rsid w:val="74277859"/>
    <w:rsid w:val="74281823"/>
    <w:rsid w:val="74301C3A"/>
    <w:rsid w:val="744503A4"/>
    <w:rsid w:val="744A3547"/>
    <w:rsid w:val="744D3038"/>
    <w:rsid w:val="74634609"/>
    <w:rsid w:val="7487654A"/>
    <w:rsid w:val="748E1A13"/>
    <w:rsid w:val="74962C31"/>
    <w:rsid w:val="74A113FB"/>
    <w:rsid w:val="74BD17FB"/>
    <w:rsid w:val="74BF5CE3"/>
    <w:rsid w:val="751A5610"/>
    <w:rsid w:val="754211E6"/>
    <w:rsid w:val="754D3D81"/>
    <w:rsid w:val="755431B6"/>
    <w:rsid w:val="75553FB1"/>
    <w:rsid w:val="756036A9"/>
    <w:rsid w:val="75630D65"/>
    <w:rsid w:val="758D193E"/>
    <w:rsid w:val="75A77A0B"/>
    <w:rsid w:val="75A924F0"/>
    <w:rsid w:val="75D358C5"/>
    <w:rsid w:val="75DE488F"/>
    <w:rsid w:val="75E17EDC"/>
    <w:rsid w:val="75E55C1E"/>
    <w:rsid w:val="75EA6D90"/>
    <w:rsid w:val="75F47C0F"/>
    <w:rsid w:val="762229CE"/>
    <w:rsid w:val="76236746"/>
    <w:rsid w:val="762E48F4"/>
    <w:rsid w:val="7650514C"/>
    <w:rsid w:val="765B5EE0"/>
    <w:rsid w:val="766034F6"/>
    <w:rsid w:val="767218C8"/>
    <w:rsid w:val="76796366"/>
    <w:rsid w:val="767E1BCE"/>
    <w:rsid w:val="768076F4"/>
    <w:rsid w:val="769413F2"/>
    <w:rsid w:val="76941E85"/>
    <w:rsid w:val="76967998"/>
    <w:rsid w:val="769767EC"/>
    <w:rsid w:val="76B123F1"/>
    <w:rsid w:val="76D161A2"/>
    <w:rsid w:val="76F3776C"/>
    <w:rsid w:val="76F679B7"/>
    <w:rsid w:val="7702635B"/>
    <w:rsid w:val="772A2886"/>
    <w:rsid w:val="77471FC0"/>
    <w:rsid w:val="774A385E"/>
    <w:rsid w:val="774F66A4"/>
    <w:rsid w:val="774F6963"/>
    <w:rsid w:val="775759EF"/>
    <w:rsid w:val="776963DA"/>
    <w:rsid w:val="776D5947"/>
    <w:rsid w:val="77754D7F"/>
    <w:rsid w:val="7783749C"/>
    <w:rsid w:val="779D7E32"/>
    <w:rsid w:val="77AD276B"/>
    <w:rsid w:val="77BF1657"/>
    <w:rsid w:val="77C57888"/>
    <w:rsid w:val="77C6382D"/>
    <w:rsid w:val="77D01FB6"/>
    <w:rsid w:val="77DE46D3"/>
    <w:rsid w:val="77E141C3"/>
    <w:rsid w:val="77E8253F"/>
    <w:rsid w:val="77FE2FC7"/>
    <w:rsid w:val="78347A3A"/>
    <w:rsid w:val="78376817"/>
    <w:rsid w:val="7840713B"/>
    <w:rsid w:val="785726D7"/>
    <w:rsid w:val="788D60F9"/>
    <w:rsid w:val="788F1E71"/>
    <w:rsid w:val="78A74CC3"/>
    <w:rsid w:val="78AE679B"/>
    <w:rsid w:val="78CE3B62"/>
    <w:rsid w:val="78DC3F71"/>
    <w:rsid w:val="790A599B"/>
    <w:rsid w:val="791B3704"/>
    <w:rsid w:val="79281EDF"/>
    <w:rsid w:val="793622EC"/>
    <w:rsid w:val="794744F9"/>
    <w:rsid w:val="797E782C"/>
    <w:rsid w:val="79823784"/>
    <w:rsid w:val="79911640"/>
    <w:rsid w:val="79C3609E"/>
    <w:rsid w:val="79CD0EA3"/>
    <w:rsid w:val="7A0D49F5"/>
    <w:rsid w:val="7A0D74F1"/>
    <w:rsid w:val="7A1F7224"/>
    <w:rsid w:val="7A2605B3"/>
    <w:rsid w:val="7A440A39"/>
    <w:rsid w:val="7A462A03"/>
    <w:rsid w:val="7A6115EB"/>
    <w:rsid w:val="7A717E58"/>
    <w:rsid w:val="7A7C01D3"/>
    <w:rsid w:val="7A8A28F0"/>
    <w:rsid w:val="7AD641FA"/>
    <w:rsid w:val="7ADC2E5E"/>
    <w:rsid w:val="7B05641A"/>
    <w:rsid w:val="7B083B70"/>
    <w:rsid w:val="7B226FCC"/>
    <w:rsid w:val="7B242558"/>
    <w:rsid w:val="7B2C39A7"/>
    <w:rsid w:val="7B3479B5"/>
    <w:rsid w:val="7B3960C4"/>
    <w:rsid w:val="7B5B24DE"/>
    <w:rsid w:val="7B7D3104"/>
    <w:rsid w:val="7B7F8D75"/>
    <w:rsid w:val="7B8437E3"/>
    <w:rsid w:val="7BA774D1"/>
    <w:rsid w:val="7BB10350"/>
    <w:rsid w:val="7BBFCB63"/>
    <w:rsid w:val="7BD9715F"/>
    <w:rsid w:val="7BFA2DF0"/>
    <w:rsid w:val="7C2F0CCB"/>
    <w:rsid w:val="7C423E53"/>
    <w:rsid w:val="7C465161"/>
    <w:rsid w:val="7C4B2553"/>
    <w:rsid w:val="7C5C650E"/>
    <w:rsid w:val="7C7C44BA"/>
    <w:rsid w:val="7C7F6459"/>
    <w:rsid w:val="7C9A0DE4"/>
    <w:rsid w:val="7C9E21A9"/>
    <w:rsid w:val="7CC85951"/>
    <w:rsid w:val="7CD10CAA"/>
    <w:rsid w:val="7CD271E4"/>
    <w:rsid w:val="7CDF0283"/>
    <w:rsid w:val="7CE3278B"/>
    <w:rsid w:val="7D034BDB"/>
    <w:rsid w:val="7D2C4132"/>
    <w:rsid w:val="7D3E79C1"/>
    <w:rsid w:val="7D3F4512"/>
    <w:rsid w:val="7D6E474B"/>
    <w:rsid w:val="7D711B45"/>
    <w:rsid w:val="7D715FE9"/>
    <w:rsid w:val="7D7F0706"/>
    <w:rsid w:val="7D836555"/>
    <w:rsid w:val="7D957F29"/>
    <w:rsid w:val="7D9D0B8C"/>
    <w:rsid w:val="7DA61F6B"/>
    <w:rsid w:val="7DB55ED6"/>
    <w:rsid w:val="7DBE373E"/>
    <w:rsid w:val="7DC66335"/>
    <w:rsid w:val="7DCE51E9"/>
    <w:rsid w:val="7DE47DC2"/>
    <w:rsid w:val="7DFFE5B4"/>
    <w:rsid w:val="7E0D5D12"/>
    <w:rsid w:val="7E307DA0"/>
    <w:rsid w:val="7E394D59"/>
    <w:rsid w:val="7E461224"/>
    <w:rsid w:val="7E491B82"/>
    <w:rsid w:val="7E5C45A3"/>
    <w:rsid w:val="7E655B4E"/>
    <w:rsid w:val="7E7318ED"/>
    <w:rsid w:val="7E7713DD"/>
    <w:rsid w:val="7E9815D8"/>
    <w:rsid w:val="7EB02B41"/>
    <w:rsid w:val="7EB7622D"/>
    <w:rsid w:val="7EC82B31"/>
    <w:rsid w:val="7ECD54A1"/>
    <w:rsid w:val="7EDA0DAE"/>
    <w:rsid w:val="7EDC56E4"/>
    <w:rsid w:val="7EDC64B8"/>
    <w:rsid w:val="7EF96296"/>
    <w:rsid w:val="7F030D5D"/>
    <w:rsid w:val="7F047711"/>
    <w:rsid w:val="7F1C2780"/>
    <w:rsid w:val="7F606315"/>
    <w:rsid w:val="7F7C078B"/>
    <w:rsid w:val="7F963AE5"/>
    <w:rsid w:val="7FAC50B6"/>
    <w:rsid w:val="7FB92CCB"/>
    <w:rsid w:val="7FC76394"/>
    <w:rsid w:val="7FCE327F"/>
    <w:rsid w:val="7FD10FC1"/>
    <w:rsid w:val="7FF802FC"/>
    <w:rsid w:val="7FFBCDD5"/>
    <w:rsid w:val="7FFEBB31"/>
    <w:rsid w:val="7FFF0C3A"/>
    <w:rsid w:val="B3DF6972"/>
    <w:rsid w:val="B3FD59D8"/>
    <w:rsid w:val="BBDE648B"/>
    <w:rsid w:val="BEDD6E30"/>
    <w:rsid w:val="BEFACB2B"/>
    <w:rsid w:val="BF7DA8A0"/>
    <w:rsid w:val="BF7DD737"/>
    <w:rsid w:val="BFFFD5C1"/>
    <w:rsid w:val="CEAC6741"/>
    <w:rsid w:val="D99F8366"/>
    <w:rsid w:val="DBF7C255"/>
    <w:rsid w:val="DEFA835E"/>
    <w:rsid w:val="DFBFB3BF"/>
    <w:rsid w:val="F09CF0E9"/>
    <w:rsid w:val="F3E3CC1F"/>
    <w:rsid w:val="F5ABE7A4"/>
    <w:rsid w:val="F9FDFFB7"/>
    <w:rsid w:val="FBBFDF64"/>
    <w:rsid w:val="FBDB7554"/>
    <w:rsid w:val="FFB78E62"/>
    <w:rsid w:val="FFCF6893"/>
    <w:rsid w:val="FFE7C981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qFormat="1" w:uiPriority="99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qFormat="1" w:unhideWhenUsed="0" w:uiPriority="0" w:semiHidden="0" w:name="page number"/>
    <w:lsdException w:uiPriority="0" w:name="endnote reference"/>
    <w:lsdException w:uiPriority="0" w:name="endnote text"/>
    <w:lsdException w:unhideWhenUsed="0" w:uiPriority="0" w:semiHidden="0" w:name="table of authorities"/>
    <w:lsdException w:uiPriority="0" w:name="macro"/>
    <w:lsdException w:uiPriority="0" w:name="toa heading"/>
    <w:lsdException w:unhideWhenUsed="0" w:uiPriority="0" w:semiHidden="0" w:name="List"/>
    <w:lsdException w:unhideWhenUsed="0" w:uiPriority="0" w:semiHidden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name="Default Paragraph Font"/>
    <w:lsdException w:uiPriority="0" w:name="Body Text"/>
    <w:lsdException w:uiPriority="0" w:name="Body Text Indent"/>
    <w:lsdException w:uiPriority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iPriority="0" w:name="Message Header"/>
    <w:lsdException w:qFormat="1" w:unhideWhenUsed="0" w:uiPriority="0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qFormat="1" w:uiPriority="99" w:semiHidden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autoRedefine/>
    <w:semiHidden/>
    <w:unhideWhenUsed/>
    <w:qFormat/>
    <w:uiPriority w:val="1"/>
  </w:style>
  <w:style w:type="table" w:default="1" w:styleId="7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autoRedefine/>
    <w:unhideWhenUsed/>
    <w:qFormat/>
    <w:uiPriority w:val="99"/>
    <w:pPr>
      <w:jc w:val="left"/>
    </w:pPr>
  </w:style>
  <w:style w:type="paragraph" w:styleId="3">
    <w:name w:val="Balloon Text"/>
    <w:basedOn w:val="1"/>
    <w:link w:val="12"/>
    <w:autoRedefine/>
    <w:qFormat/>
    <w:uiPriority w:val="0"/>
    <w:rPr>
      <w:sz w:val="18"/>
      <w:szCs w:val="18"/>
    </w:rPr>
  </w:style>
  <w:style w:type="paragraph" w:styleId="4">
    <w:name w:val="footer"/>
    <w:basedOn w:val="1"/>
    <w:link w:val="11"/>
    <w:autoRedefine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0"/>
    <w:autoRedefine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autoRedefine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</w:rPr>
  </w:style>
  <w:style w:type="character" w:styleId="9">
    <w:name w:val="page number"/>
    <w:basedOn w:val="8"/>
    <w:autoRedefine/>
    <w:qFormat/>
    <w:uiPriority w:val="0"/>
  </w:style>
  <w:style w:type="character" w:customStyle="1" w:styleId="10">
    <w:name w:val="页眉 Char"/>
    <w:basedOn w:val="8"/>
    <w:link w:val="5"/>
    <w:autoRedefine/>
    <w:qFormat/>
    <w:uiPriority w:val="0"/>
    <w:rPr>
      <w:kern w:val="2"/>
      <w:sz w:val="18"/>
      <w:szCs w:val="18"/>
    </w:rPr>
  </w:style>
  <w:style w:type="character" w:customStyle="1" w:styleId="11">
    <w:name w:val="页脚 Char"/>
    <w:basedOn w:val="8"/>
    <w:link w:val="4"/>
    <w:autoRedefine/>
    <w:qFormat/>
    <w:uiPriority w:val="99"/>
    <w:rPr>
      <w:kern w:val="2"/>
      <w:sz w:val="18"/>
      <w:szCs w:val="18"/>
    </w:rPr>
  </w:style>
  <w:style w:type="character" w:customStyle="1" w:styleId="12">
    <w:name w:val="批注框文本 Char"/>
    <w:basedOn w:val="8"/>
    <w:link w:val="3"/>
    <w:autoRedefine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国家统计局</Company>
  <Pages>9</Pages>
  <Words>3997</Words>
  <Characters>4876</Characters>
  <Lines>47</Lines>
  <Paragraphs>13</Paragraphs>
  <TotalTime>197</TotalTime>
  <ScaleCrop>false</ScaleCrop>
  <LinksUpToDate>false</LinksUpToDate>
  <CharactersWithSpaces>4923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2023-03-31T08:09:00Z</dcterms:created>
  <dc:creator>Administrator</dc:creator>
  <cp:lastModifiedBy>小茹</cp:lastModifiedBy>
  <cp:lastPrinted>2025-04-17T08:29:59Z</cp:lastPrinted>
  <dcterms:modified xsi:type="dcterms:W3CDTF">2025-04-17T08:41:17Z</dcterms:modified>
  <cp:revision>21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3450933BB10F4D0999ABCD679B01CD37_12</vt:lpwstr>
  </property>
  <property fmtid="{D5CDD505-2E9C-101B-9397-08002B2CF9AE}" pid="4" name="KSOTemplateDocerSaveRecord">
    <vt:lpwstr>eyJoZGlkIjoiYWI2ZjA3ZTUyYWQwOTEzYjUyMzY3YjhkZDE4ODlhMDMiLCJ1c2VySWQiOiIyMjU5NzI5MDkifQ==</vt:lpwstr>
  </property>
</Properties>
</file>