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left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WDDR-2023-0010005</w:t>
      </w:r>
      <w:bookmarkStart w:id="0" w:name="_GoBack"/>
      <w:bookmarkEnd w:id="0"/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center"/>
        <w:textAlignment w:val="baseline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center"/>
        <w:textAlignment w:val="baseline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文登市人民政府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center"/>
        <w:textAlignment w:val="baseline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关于公布国有土地上房屋征收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center"/>
        <w:textAlignment w:val="baseline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补偿和补助标准的通知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center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文政发〔2011〕27号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各镇人民政府，各街道办事处，开发区、南海新区、埠口港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管委，市政府各部门、单位：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为规范房屋征收工作，切实维护被征收人的合法权益，根据 《国有土地上房屋征收与补偿条例》等法律法规规定，市政府决 定对文登市国有土地上房屋征收补偿补助标准进行调整。现将调整后的标准公布如下：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firstLine="648" w:firstLineChars="200"/>
        <w:textAlignment w:val="baseline"/>
        <w:outlineLvl w:val="0"/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 w:val="0"/>
          <w:spacing w:val="2"/>
          <w:sz w:val="32"/>
          <w:szCs w:val="32"/>
        </w:rPr>
        <w:t>一、搬迁补助费标准</w:t>
      </w:r>
    </w:p>
    <w:p>
      <w:pPr>
        <w:spacing w:line="134" w:lineRule="exact"/>
        <w:rPr>
          <w:rFonts w:hint="default" w:ascii="Times New Roman" w:hAnsi="Times New Roman" w:cs="Times New Roman"/>
        </w:rPr>
      </w:pPr>
    </w:p>
    <w:tbl>
      <w:tblPr>
        <w:tblStyle w:val="4"/>
        <w:tblW w:w="8950" w:type="dxa"/>
        <w:tblInd w:w="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12"/>
        <w:gridCol w:w="2058"/>
        <w:gridCol w:w="2487"/>
        <w:gridCol w:w="219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2212" w:type="dxa"/>
            <w:vAlign w:val="top"/>
          </w:tcPr>
          <w:p>
            <w:pPr>
              <w:spacing w:before="96" w:line="219" w:lineRule="auto"/>
              <w:ind w:left="805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spacing w:val="11"/>
                <w:sz w:val="28"/>
                <w:szCs w:val="28"/>
              </w:rPr>
              <w:t>类别</w:t>
            </w:r>
          </w:p>
        </w:tc>
        <w:tc>
          <w:tcPr>
            <w:tcW w:w="2058" w:type="dxa"/>
            <w:vAlign w:val="top"/>
          </w:tcPr>
          <w:p>
            <w:pPr>
              <w:spacing w:before="97" w:line="220" w:lineRule="auto"/>
              <w:ind w:left="733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spacing w:val="5"/>
                <w:sz w:val="28"/>
                <w:szCs w:val="28"/>
              </w:rPr>
              <w:t>单位</w:t>
            </w:r>
          </w:p>
        </w:tc>
        <w:tc>
          <w:tcPr>
            <w:tcW w:w="2487" w:type="dxa"/>
            <w:vAlign w:val="top"/>
          </w:tcPr>
          <w:p>
            <w:pPr>
              <w:spacing w:before="97" w:line="220" w:lineRule="auto"/>
              <w:ind w:left="365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spacing w:val="9"/>
                <w:sz w:val="28"/>
                <w:szCs w:val="28"/>
              </w:rPr>
              <w:t>补助标准(元)</w:t>
            </w:r>
          </w:p>
        </w:tc>
        <w:tc>
          <w:tcPr>
            <w:tcW w:w="2193" w:type="dxa"/>
            <w:vAlign w:val="top"/>
          </w:tcPr>
          <w:p>
            <w:pPr>
              <w:spacing w:before="98" w:line="221" w:lineRule="auto"/>
              <w:ind w:left="798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spacing w:val="7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</w:trPr>
        <w:tc>
          <w:tcPr>
            <w:tcW w:w="2212" w:type="dxa"/>
            <w:vAlign w:val="top"/>
          </w:tcPr>
          <w:p>
            <w:pPr>
              <w:spacing w:before="96" w:line="220" w:lineRule="auto"/>
              <w:ind w:left="515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28"/>
                <w:szCs w:val="28"/>
              </w:rPr>
              <w:t>住宅房屋</w:t>
            </w:r>
          </w:p>
        </w:tc>
        <w:tc>
          <w:tcPr>
            <w:tcW w:w="2058" w:type="dxa"/>
            <w:vAlign w:val="top"/>
          </w:tcPr>
          <w:p>
            <w:pPr>
              <w:spacing w:before="96" w:line="220" w:lineRule="auto"/>
              <w:ind w:left="872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套</w:t>
            </w:r>
          </w:p>
        </w:tc>
        <w:tc>
          <w:tcPr>
            <w:tcW w:w="2487" w:type="dxa"/>
            <w:vAlign w:val="top"/>
          </w:tcPr>
          <w:p>
            <w:pPr>
              <w:spacing w:before="170" w:line="182" w:lineRule="auto"/>
              <w:ind w:left="945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7"/>
                <w:sz w:val="28"/>
                <w:szCs w:val="28"/>
              </w:rPr>
              <w:t>1200</w:t>
            </w:r>
          </w:p>
        </w:tc>
        <w:tc>
          <w:tcPr>
            <w:tcW w:w="2193" w:type="dxa"/>
            <w:vAlign w:val="top"/>
          </w:tcPr>
          <w:p>
            <w:pPr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atLeast"/>
        </w:trPr>
        <w:tc>
          <w:tcPr>
            <w:tcW w:w="2212" w:type="dxa"/>
            <w:vAlign w:val="top"/>
          </w:tcPr>
          <w:p>
            <w:pPr>
              <w:spacing w:before="90" w:line="220" w:lineRule="auto"/>
              <w:ind w:left="375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2"/>
                <w:sz w:val="28"/>
                <w:szCs w:val="28"/>
              </w:rPr>
              <w:t>非住宅房屋</w:t>
            </w:r>
          </w:p>
        </w:tc>
        <w:tc>
          <w:tcPr>
            <w:tcW w:w="2058" w:type="dxa"/>
            <w:vAlign w:val="top"/>
          </w:tcPr>
          <w:p>
            <w:pPr>
              <w:spacing w:before="90" w:line="219" w:lineRule="auto"/>
              <w:ind w:left="582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4"/>
                <w:sz w:val="28"/>
                <w:szCs w:val="28"/>
              </w:rPr>
              <w:t>平方米</w:t>
            </w:r>
          </w:p>
        </w:tc>
        <w:tc>
          <w:tcPr>
            <w:tcW w:w="2487" w:type="dxa"/>
            <w:vAlign w:val="top"/>
          </w:tcPr>
          <w:p>
            <w:pPr>
              <w:spacing w:before="182" w:line="165" w:lineRule="auto"/>
              <w:ind w:left="1094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9"/>
                <w:sz w:val="28"/>
                <w:szCs w:val="28"/>
              </w:rPr>
              <w:t>15</w:t>
            </w:r>
          </w:p>
        </w:tc>
        <w:tc>
          <w:tcPr>
            <w:tcW w:w="2193" w:type="dxa"/>
            <w:vAlign w:val="top"/>
          </w:tcPr>
          <w:p>
            <w:pPr>
              <w:spacing w:before="90" w:line="220" w:lineRule="auto"/>
              <w:ind w:left="508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4"/>
                <w:sz w:val="28"/>
                <w:szCs w:val="28"/>
              </w:rPr>
              <w:t>建筑面积</w:t>
            </w:r>
          </w:p>
        </w:tc>
      </w:tr>
    </w:tbl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firstLine="608" w:firstLineChars="200"/>
        <w:textAlignment w:val="baseline"/>
        <w:outlineLvl w:val="0"/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 w:val="0"/>
          <w:spacing w:val="-8"/>
          <w:sz w:val="32"/>
          <w:szCs w:val="32"/>
        </w:rPr>
        <w:t>二、</w:t>
      </w:r>
      <w:r>
        <w:rPr>
          <w:rFonts w:hint="default" w:ascii="Times New Roman" w:hAnsi="Times New Roman" w:eastAsia="黑体" w:cs="Times New Roman"/>
          <w:b w:val="0"/>
          <w:bCs w:val="0"/>
          <w:spacing w:val="-80"/>
          <w:sz w:val="32"/>
          <w:szCs w:val="32"/>
        </w:rPr>
        <w:t xml:space="preserve"> </w:t>
      </w:r>
      <w:r>
        <w:rPr>
          <w:rFonts w:hint="default" w:ascii="Times New Roman" w:hAnsi="Times New Roman" w:eastAsia="黑体" w:cs="Times New Roman"/>
          <w:b w:val="0"/>
          <w:bCs w:val="0"/>
          <w:spacing w:val="-8"/>
          <w:sz w:val="32"/>
          <w:szCs w:val="32"/>
        </w:rPr>
        <w:t>临时安置补助费</w:t>
      </w:r>
    </w:p>
    <w:p>
      <w:pPr>
        <w:spacing w:line="116" w:lineRule="exact"/>
        <w:rPr>
          <w:rFonts w:hint="default" w:ascii="Times New Roman" w:hAnsi="Times New Roman" w:cs="Times New Roman"/>
        </w:rPr>
      </w:pPr>
    </w:p>
    <w:tbl>
      <w:tblPr>
        <w:tblStyle w:val="4"/>
        <w:tblW w:w="8889" w:type="dxa"/>
        <w:tblInd w:w="1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13"/>
        <w:gridCol w:w="1948"/>
        <w:gridCol w:w="2297"/>
        <w:gridCol w:w="283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8" w:hRule="atLeast"/>
        </w:trPr>
        <w:tc>
          <w:tcPr>
            <w:tcW w:w="1813" w:type="dxa"/>
            <w:vMerge w:val="restart"/>
            <w:tcBorders>
              <w:bottom w:val="nil"/>
            </w:tcBorders>
            <w:vAlign w:val="center"/>
          </w:tcPr>
          <w:p>
            <w:pPr>
              <w:spacing w:before="91" w:line="219" w:lineRule="auto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spacing w:val="11"/>
                <w:sz w:val="28"/>
                <w:szCs w:val="28"/>
              </w:rPr>
              <w:t>类别</w:t>
            </w:r>
          </w:p>
        </w:tc>
        <w:tc>
          <w:tcPr>
            <w:tcW w:w="424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/>
              <w:jc w:val="center"/>
              <w:textAlignment w:val="baseline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spacing w:val="4"/>
                <w:sz w:val="28"/>
                <w:szCs w:val="28"/>
              </w:rPr>
              <w:t>补助标准(元/月、平方米)</w:t>
            </w:r>
          </w:p>
        </w:tc>
        <w:tc>
          <w:tcPr>
            <w:tcW w:w="2831" w:type="dxa"/>
            <w:vMerge w:val="restart"/>
            <w:tcBorders>
              <w:bottom w:val="nil"/>
            </w:tcBorders>
            <w:vAlign w:val="center"/>
          </w:tcPr>
          <w:p>
            <w:pPr>
              <w:spacing w:before="91" w:line="221" w:lineRule="auto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</w:trPr>
        <w:tc>
          <w:tcPr>
            <w:tcW w:w="1813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/>
              <w:jc w:val="center"/>
              <w:textAlignment w:val="baseline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spacing w:val="9"/>
                <w:sz w:val="28"/>
                <w:szCs w:val="28"/>
              </w:rPr>
              <w:t>过渡期内</w:t>
            </w:r>
          </w:p>
        </w:tc>
        <w:tc>
          <w:tcPr>
            <w:tcW w:w="229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/>
              <w:jc w:val="center"/>
              <w:textAlignment w:val="baseline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spacing w:val="9"/>
                <w:sz w:val="28"/>
                <w:szCs w:val="28"/>
              </w:rPr>
              <w:t>逾期</w:t>
            </w:r>
          </w:p>
        </w:tc>
        <w:tc>
          <w:tcPr>
            <w:tcW w:w="2831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7" w:hRule="atLeast"/>
        </w:trPr>
        <w:tc>
          <w:tcPr>
            <w:tcW w:w="1813" w:type="dxa"/>
            <w:vAlign w:val="center"/>
          </w:tcPr>
          <w:p>
            <w:pPr>
              <w:spacing w:before="235" w:line="219" w:lineRule="auto"/>
              <w:ind w:left="54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2"/>
                <w:sz w:val="28"/>
                <w:szCs w:val="28"/>
              </w:rPr>
              <w:t>自行解决住处</w:t>
            </w:r>
          </w:p>
        </w:tc>
        <w:tc>
          <w:tcPr>
            <w:tcW w:w="1948" w:type="dxa"/>
            <w:vAlign w:val="center"/>
          </w:tcPr>
          <w:p>
            <w:pPr>
              <w:spacing w:before="307" w:line="183" w:lineRule="auto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6</w:t>
            </w:r>
          </w:p>
        </w:tc>
        <w:tc>
          <w:tcPr>
            <w:tcW w:w="2297" w:type="dxa"/>
            <w:vAlign w:val="center"/>
          </w:tcPr>
          <w:p>
            <w:pPr>
              <w:spacing w:before="306" w:line="184" w:lineRule="auto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8"/>
                <w:sz w:val="28"/>
                <w:szCs w:val="28"/>
              </w:rPr>
              <w:t>10</w:t>
            </w:r>
          </w:p>
        </w:tc>
        <w:tc>
          <w:tcPr>
            <w:tcW w:w="2831" w:type="dxa"/>
            <w:vMerge w:val="restart"/>
            <w:tcBorders>
              <w:bottom w:val="nil"/>
            </w:tcBorders>
            <w:vAlign w:val="center"/>
          </w:tcPr>
          <w:p>
            <w:pPr>
              <w:spacing w:before="145" w:line="238" w:lineRule="auto"/>
              <w:ind w:left="67" w:right="485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2"/>
                <w:sz w:val="28"/>
                <w:szCs w:val="28"/>
              </w:rPr>
              <w:t>1.不足1个月的按1</w:t>
            </w:r>
            <w:r>
              <w:rPr>
                <w:rFonts w:hint="default" w:ascii="Times New Roman" w:hAnsi="Times New Roman" w:eastAsia="仿宋_GB2312" w:cs="Times New Roman"/>
                <w:spacing w:val="7"/>
                <w:sz w:val="28"/>
                <w:szCs w:val="28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spacing w:val="27"/>
                <w:sz w:val="28"/>
                <w:szCs w:val="28"/>
              </w:rPr>
              <w:t>个月计算；</w:t>
            </w:r>
          </w:p>
          <w:p>
            <w:pPr>
              <w:spacing w:before="47" w:line="235" w:lineRule="auto"/>
              <w:ind w:left="67" w:right="94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13"/>
                <w:sz w:val="28"/>
                <w:szCs w:val="28"/>
              </w:rPr>
              <w:t>2.按建筑面积计算；</w:t>
            </w:r>
            <w:r>
              <w:rPr>
                <w:rFonts w:hint="default" w:ascii="Times New Roman" w:hAnsi="Times New Roman" w:eastAsia="仿宋_GB2312" w:cs="Times New Roman"/>
                <w:spacing w:val="8"/>
                <w:sz w:val="28"/>
                <w:szCs w:val="28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spacing w:val="1"/>
                <w:sz w:val="28"/>
                <w:szCs w:val="28"/>
              </w:rPr>
              <w:t>3.最低补助标准为</w:t>
            </w:r>
          </w:p>
          <w:p>
            <w:pPr>
              <w:spacing w:before="67" w:line="219" w:lineRule="auto"/>
              <w:ind w:left="67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15"/>
                <w:sz w:val="28"/>
                <w:szCs w:val="28"/>
              </w:rPr>
              <w:t>600元/月、户。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21" w:hRule="atLeast"/>
        </w:trPr>
        <w:tc>
          <w:tcPr>
            <w:tcW w:w="1813" w:type="dxa"/>
            <w:vAlign w:val="center"/>
          </w:tcPr>
          <w:p>
            <w:pPr>
              <w:spacing w:before="91" w:line="219" w:lineRule="auto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28"/>
                <w:szCs w:val="28"/>
              </w:rPr>
              <w:t>使用周转房</w:t>
            </w:r>
          </w:p>
        </w:tc>
        <w:tc>
          <w:tcPr>
            <w:tcW w:w="1948" w:type="dxa"/>
            <w:vAlign w:val="center"/>
          </w:tcPr>
          <w:p>
            <w:pPr>
              <w:spacing w:before="91" w:line="183" w:lineRule="auto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0</w:t>
            </w:r>
          </w:p>
        </w:tc>
        <w:tc>
          <w:tcPr>
            <w:tcW w:w="2297" w:type="dxa"/>
            <w:vAlign w:val="center"/>
          </w:tcPr>
          <w:p>
            <w:pPr>
              <w:spacing w:before="91" w:line="183" w:lineRule="auto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6</w:t>
            </w:r>
          </w:p>
        </w:tc>
        <w:tc>
          <w:tcPr>
            <w:tcW w:w="2831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hint="default" w:ascii="Times New Roman" w:hAnsi="Times New Roman" w:cs="Times New Roman"/>
                <w:sz w:val="21"/>
              </w:rPr>
            </w:pPr>
          </w:p>
        </w:tc>
      </w:tr>
    </w:tbl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604" w:firstLineChars="200"/>
        <w:textAlignment w:val="baseline"/>
        <w:outlineLvl w:val="0"/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 w:val="0"/>
          <w:spacing w:val="-9"/>
          <w:sz w:val="32"/>
          <w:szCs w:val="32"/>
        </w:rPr>
        <w:t>三、</w:t>
      </w:r>
      <w:r>
        <w:rPr>
          <w:rFonts w:hint="default" w:ascii="Times New Roman" w:hAnsi="Times New Roman" w:eastAsia="黑体" w:cs="Times New Roman"/>
          <w:b w:val="0"/>
          <w:bCs w:val="0"/>
          <w:spacing w:val="-48"/>
          <w:sz w:val="32"/>
          <w:szCs w:val="32"/>
        </w:rPr>
        <w:t xml:space="preserve"> </w:t>
      </w:r>
      <w:r>
        <w:rPr>
          <w:rFonts w:hint="default" w:ascii="Times New Roman" w:hAnsi="Times New Roman" w:eastAsia="黑体" w:cs="Times New Roman"/>
          <w:b w:val="0"/>
          <w:bCs w:val="0"/>
          <w:spacing w:val="-9"/>
          <w:sz w:val="32"/>
          <w:szCs w:val="32"/>
        </w:rPr>
        <w:t>因征收非住宅房屋造成的停产停业损失的补偿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636" w:firstLineChars="200"/>
        <w:jc w:val="both"/>
        <w:textAlignment w:val="baseline"/>
        <w:rPr>
          <w:rFonts w:hint="default" w:ascii="Times New Roman" w:hAnsi="Times New Roman" w:eastAsia="宋体" w:cs="Times New Roman"/>
          <w:sz w:val="32"/>
          <w:szCs w:val="32"/>
        </w:rPr>
      </w:pPr>
      <w:r>
        <w:rPr>
          <w:rFonts w:hint="default" w:ascii="Times New Roman" w:hAnsi="Times New Roman" w:eastAsia="宋体" w:cs="Times New Roman"/>
          <w:spacing w:val="-1"/>
          <w:sz w:val="32"/>
          <w:szCs w:val="32"/>
        </w:rPr>
        <w:t>对因征收房屋造成停产停业损失的补偿，由具有资质的价格</w:t>
      </w:r>
      <w:r>
        <w:rPr>
          <w:rFonts w:hint="default" w:ascii="Times New Roman" w:hAnsi="Times New Roman" w:eastAsia="宋体" w:cs="Times New Roman"/>
          <w:spacing w:val="13"/>
          <w:sz w:val="32"/>
          <w:szCs w:val="32"/>
        </w:rPr>
        <w:t xml:space="preserve"> </w:t>
      </w:r>
      <w:r>
        <w:rPr>
          <w:rFonts w:hint="default" w:ascii="Times New Roman" w:hAnsi="Times New Roman" w:eastAsia="宋体" w:cs="Times New Roman"/>
          <w:spacing w:val="-1"/>
          <w:sz w:val="32"/>
          <w:szCs w:val="32"/>
        </w:rPr>
        <w:t>认证机构根据房屋被征收前的效益、停产停业期限</w:t>
      </w:r>
      <w:r>
        <w:rPr>
          <w:rFonts w:hint="default" w:ascii="Times New Roman" w:hAnsi="Times New Roman" w:eastAsia="宋体" w:cs="Times New Roman"/>
          <w:spacing w:val="-2"/>
          <w:sz w:val="32"/>
          <w:szCs w:val="32"/>
        </w:rPr>
        <w:t>等因素进行认</w:t>
      </w:r>
      <w:r>
        <w:rPr>
          <w:rFonts w:hint="default" w:ascii="Times New Roman" w:hAnsi="Times New Roman" w:eastAsia="宋体" w:cs="Times New Roman"/>
          <w:spacing w:val="-5"/>
          <w:sz w:val="32"/>
          <w:szCs w:val="32"/>
        </w:rPr>
        <w:t>证，按认证标准进行补偿。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592" w:firstLineChars="200"/>
        <w:textAlignment w:val="baseline"/>
        <w:outlineLvl w:val="0"/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 w:val="0"/>
          <w:spacing w:val="-12"/>
          <w:sz w:val="32"/>
          <w:szCs w:val="32"/>
        </w:rPr>
        <w:t>四、</w:t>
      </w:r>
      <w:r>
        <w:rPr>
          <w:rFonts w:hint="default" w:ascii="Times New Roman" w:hAnsi="Times New Roman" w:eastAsia="黑体" w:cs="Times New Roman"/>
          <w:b w:val="0"/>
          <w:bCs w:val="0"/>
          <w:spacing w:val="-59"/>
          <w:sz w:val="32"/>
          <w:szCs w:val="32"/>
        </w:rPr>
        <w:t xml:space="preserve"> </w:t>
      </w:r>
      <w:r>
        <w:rPr>
          <w:rFonts w:hint="default" w:ascii="Times New Roman" w:hAnsi="Times New Roman" w:eastAsia="黑体" w:cs="Times New Roman"/>
          <w:b w:val="0"/>
          <w:bCs w:val="0"/>
          <w:spacing w:val="-12"/>
          <w:sz w:val="32"/>
          <w:szCs w:val="32"/>
        </w:rPr>
        <w:t>征收房屋附属物补偿标准</w:t>
      </w:r>
    </w:p>
    <w:p>
      <w:pPr>
        <w:spacing w:line="199" w:lineRule="exact"/>
        <w:rPr>
          <w:rFonts w:hint="default" w:ascii="Times New Roman" w:hAnsi="Times New Roman" w:cs="Times New Roman"/>
        </w:rPr>
      </w:pPr>
    </w:p>
    <w:tbl>
      <w:tblPr>
        <w:tblStyle w:val="4"/>
        <w:tblW w:w="895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2"/>
        <w:gridCol w:w="979"/>
        <w:gridCol w:w="3266"/>
        <w:gridCol w:w="228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4" w:hRule="atLeast"/>
        </w:trPr>
        <w:tc>
          <w:tcPr>
            <w:tcW w:w="2432" w:type="dxa"/>
            <w:vAlign w:val="center"/>
          </w:tcPr>
          <w:p>
            <w:pPr>
              <w:spacing w:before="61" w:line="186" w:lineRule="auto"/>
              <w:jc w:val="center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pacing w:val="4"/>
                <w:sz w:val="28"/>
                <w:szCs w:val="28"/>
              </w:rPr>
              <w:t>类别</w:t>
            </w:r>
          </w:p>
        </w:tc>
        <w:tc>
          <w:tcPr>
            <w:tcW w:w="979" w:type="dxa"/>
            <w:vAlign w:val="center"/>
          </w:tcPr>
          <w:p>
            <w:pPr>
              <w:spacing w:before="37" w:line="202" w:lineRule="auto"/>
              <w:ind w:left="43"/>
              <w:jc w:val="center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pacing w:val="5"/>
                <w:sz w:val="28"/>
                <w:szCs w:val="28"/>
              </w:rPr>
              <w:t>单位</w:t>
            </w:r>
          </w:p>
        </w:tc>
        <w:tc>
          <w:tcPr>
            <w:tcW w:w="3266" w:type="dxa"/>
            <w:vAlign w:val="center"/>
          </w:tcPr>
          <w:p>
            <w:pPr>
              <w:spacing w:before="37" w:line="202" w:lineRule="auto"/>
              <w:jc w:val="center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pacing w:val="8"/>
                <w:sz w:val="28"/>
                <w:szCs w:val="28"/>
              </w:rPr>
              <w:t>补助标准(元)</w:t>
            </w:r>
          </w:p>
        </w:tc>
        <w:tc>
          <w:tcPr>
            <w:tcW w:w="2282" w:type="dxa"/>
            <w:vAlign w:val="center"/>
          </w:tcPr>
          <w:p>
            <w:pPr>
              <w:spacing w:before="69" w:line="188" w:lineRule="auto"/>
              <w:jc w:val="center"/>
              <w:rPr>
                <w:rFonts w:hint="default" w:ascii="Times New Roman" w:hAnsi="Times New Roman" w:eastAsia="黑体" w:cs="Times New Roman"/>
                <w:b w:val="0"/>
                <w:bCs w:val="0"/>
                <w:sz w:val="27"/>
                <w:szCs w:val="27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pacing w:val="17"/>
                <w:sz w:val="27"/>
                <w:szCs w:val="27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243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  <w:t>偏坡</w:t>
            </w:r>
          </w:p>
        </w:tc>
        <w:tc>
          <w:tcPr>
            <w:tcW w:w="97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28"/>
                <w:szCs w:val="28"/>
              </w:rPr>
              <w:t>平方米</w:t>
            </w:r>
          </w:p>
        </w:tc>
        <w:tc>
          <w:tcPr>
            <w:tcW w:w="32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1"/>
                <w:sz w:val="28"/>
                <w:szCs w:val="28"/>
              </w:rPr>
              <w:t>50-160</w:t>
            </w:r>
          </w:p>
        </w:tc>
        <w:tc>
          <w:tcPr>
            <w:tcW w:w="228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</w:trPr>
        <w:tc>
          <w:tcPr>
            <w:tcW w:w="243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16"/>
                <w:sz w:val="28"/>
                <w:szCs w:val="28"/>
              </w:rPr>
              <w:t>门楼</w:t>
            </w:r>
          </w:p>
        </w:tc>
        <w:tc>
          <w:tcPr>
            <w:tcW w:w="97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座</w:t>
            </w:r>
          </w:p>
        </w:tc>
        <w:tc>
          <w:tcPr>
            <w:tcW w:w="32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2"/>
                <w:position w:val="-4"/>
                <w:sz w:val="28"/>
                <w:szCs w:val="28"/>
              </w:rPr>
              <w:t>300-500</w:t>
            </w:r>
          </w:p>
        </w:tc>
        <w:tc>
          <w:tcPr>
            <w:tcW w:w="228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9" w:hRule="atLeast"/>
        </w:trPr>
        <w:tc>
          <w:tcPr>
            <w:tcW w:w="243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4"/>
                <w:sz w:val="28"/>
                <w:szCs w:val="28"/>
              </w:rPr>
              <w:t>厕所</w:t>
            </w:r>
          </w:p>
        </w:tc>
        <w:tc>
          <w:tcPr>
            <w:tcW w:w="97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座</w:t>
            </w:r>
          </w:p>
        </w:tc>
        <w:tc>
          <w:tcPr>
            <w:tcW w:w="32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3"/>
                <w:sz w:val="28"/>
                <w:szCs w:val="28"/>
              </w:rPr>
              <w:t>400</w:t>
            </w:r>
          </w:p>
        </w:tc>
        <w:tc>
          <w:tcPr>
            <w:tcW w:w="228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14" w:hanging="28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29"/>
                <w:sz w:val="28"/>
                <w:szCs w:val="28"/>
              </w:rPr>
              <w:t>指室外旱厕所</w:t>
            </w:r>
            <w:r>
              <w:rPr>
                <w:rFonts w:hint="default" w:ascii="Times New Roman" w:hAnsi="Times New Roman" w:eastAsia="仿宋_GB2312" w:cs="Times New Roman"/>
                <w:spacing w:val="29"/>
                <w:sz w:val="28"/>
                <w:szCs w:val="28"/>
                <w:lang w:eastAsia="zh-CN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spacing w:val="12"/>
                <w:sz w:val="28"/>
                <w:szCs w:val="28"/>
              </w:rPr>
              <w:t>水冲式加倍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243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  <w:t>院墙</w:t>
            </w:r>
          </w:p>
        </w:tc>
        <w:tc>
          <w:tcPr>
            <w:tcW w:w="97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28"/>
                <w:szCs w:val="28"/>
              </w:rPr>
              <w:t>立方米</w:t>
            </w:r>
          </w:p>
        </w:tc>
        <w:tc>
          <w:tcPr>
            <w:tcW w:w="32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2"/>
                <w:sz w:val="28"/>
                <w:szCs w:val="28"/>
              </w:rPr>
              <w:t>200-300</w:t>
            </w:r>
          </w:p>
        </w:tc>
        <w:tc>
          <w:tcPr>
            <w:tcW w:w="228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</w:trPr>
        <w:tc>
          <w:tcPr>
            <w:tcW w:w="243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4"/>
                <w:sz w:val="28"/>
                <w:szCs w:val="28"/>
              </w:rPr>
              <w:t>院地面</w:t>
            </w:r>
          </w:p>
        </w:tc>
        <w:tc>
          <w:tcPr>
            <w:tcW w:w="97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28"/>
                <w:szCs w:val="28"/>
              </w:rPr>
              <w:t>平方米</w:t>
            </w:r>
          </w:p>
        </w:tc>
        <w:tc>
          <w:tcPr>
            <w:tcW w:w="32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1"/>
                <w:sz w:val="28"/>
                <w:szCs w:val="28"/>
              </w:rPr>
              <w:t>石、砖20,混凝土40-45</w:t>
            </w:r>
          </w:p>
        </w:tc>
        <w:tc>
          <w:tcPr>
            <w:tcW w:w="228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</w:trPr>
        <w:tc>
          <w:tcPr>
            <w:tcW w:w="243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13"/>
                <w:sz w:val="28"/>
                <w:szCs w:val="28"/>
              </w:rPr>
              <w:t>院内机井</w:t>
            </w:r>
          </w:p>
        </w:tc>
        <w:tc>
          <w:tcPr>
            <w:tcW w:w="97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眼</w:t>
            </w:r>
          </w:p>
        </w:tc>
        <w:tc>
          <w:tcPr>
            <w:tcW w:w="32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3"/>
                <w:position w:val="-3"/>
                <w:sz w:val="28"/>
                <w:szCs w:val="28"/>
              </w:rPr>
              <w:t>600</w:t>
            </w:r>
          </w:p>
        </w:tc>
        <w:tc>
          <w:tcPr>
            <w:tcW w:w="228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 w:hRule="atLeast"/>
        </w:trPr>
        <w:tc>
          <w:tcPr>
            <w:tcW w:w="243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  <w:t>地窖</w:t>
            </w:r>
          </w:p>
        </w:tc>
        <w:tc>
          <w:tcPr>
            <w:tcW w:w="97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28"/>
                <w:szCs w:val="28"/>
              </w:rPr>
              <w:t>立方米</w:t>
            </w:r>
          </w:p>
        </w:tc>
        <w:tc>
          <w:tcPr>
            <w:tcW w:w="32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4"/>
                <w:sz w:val="28"/>
                <w:szCs w:val="28"/>
              </w:rPr>
              <w:t>60</w:t>
            </w:r>
          </w:p>
        </w:tc>
        <w:tc>
          <w:tcPr>
            <w:tcW w:w="228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</w:trPr>
        <w:tc>
          <w:tcPr>
            <w:tcW w:w="243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2"/>
                <w:sz w:val="28"/>
                <w:szCs w:val="28"/>
              </w:rPr>
              <w:t>自装暖气安装费</w:t>
            </w:r>
          </w:p>
        </w:tc>
        <w:tc>
          <w:tcPr>
            <w:tcW w:w="97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户</w:t>
            </w:r>
          </w:p>
        </w:tc>
        <w:tc>
          <w:tcPr>
            <w:tcW w:w="32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3"/>
                <w:position w:val="-3"/>
                <w:sz w:val="28"/>
                <w:szCs w:val="28"/>
              </w:rPr>
              <w:t>400</w:t>
            </w:r>
          </w:p>
        </w:tc>
        <w:tc>
          <w:tcPr>
            <w:tcW w:w="228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9" w:hRule="atLeast"/>
        </w:trPr>
        <w:tc>
          <w:tcPr>
            <w:tcW w:w="243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22"/>
                <w:sz w:val="28"/>
                <w:szCs w:val="28"/>
              </w:rPr>
              <w:t>空调移机</w:t>
            </w:r>
          </w:p>
        </w:tc>
        <w:tc>
          <w:tcPr>
            <w:tcW w:w="97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台</w:t>
            </w:r>
          </w:p>
        </w:tc>
        <w:tc>
          <w:tcPr>
            <w:tcW w:w="32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3"/>
                <w:position w:val="-3"/>
                <w:sz w:val="28"/>
                <w:szCs w:val="28"/>
              </w:rPr>
              <w:t>400</w:t>
            </w:r>
          </w:p>
        </w:tc>
        <w:tc>
          <w:tcPr>
            <w:tcW w:w="228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243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2"/>
                <w:sz w:val="28"/>
                <w:szCs w:val="28"/>
              </w:rPr>
              <w:t>热水器移机</w:t>
            </w:r>
          </w:p>
        </w:tc>
        <w:tc>
          <w:tcPr>
            <w:tcW w:w="97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台</w:t>
            </w:r>
          </w:p>
        </w:tc>
        <w:tc>
          <w:tcPr>
            <w:tcW w:w="32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1"/>
                <w:position w:val="-4"/>
                <w:sz w:val="28"/>
                <w:szCs w:val="28"/>
              </w:rPr>
              <w:t>100</w:t>
            </w:r>
          </w:p>
        </w:tc>
        <w:tc>
          <w:tcPr>
            <w:tcW w:w="228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</w:trPr>
        <w:tc>
          <w:tcPr>
            <w:tcW w:w="243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2"/>
                <w:sz w:val="28"/>
                <w:szCs w:val="28"/>
              </w:rPr>
              <w:t>电话、宽带移机费</w:t>
            </w:r>
          </w:p>
        </w:tc>
        <w:tc>
          <w:tcPr>
            <w:tcW w:w="6527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1"/>
                <w:sz w:val="28"/>
                <w:szCs w:val="28"/>
              </w:rPr>
              <w:t>按有关部门规定的标准执行</w:t>
            </w:r>
          </w:p>
        </w:tc>
      </w:tr>
    </w:tbl>
    <w:p>
      <w:pPr>
        <w:rPr>
          <w:rFonts w:hint="default" w:ascii="Times New Roman" w:hAnsi="Times New Roman" w:cs="Times New Roman"/>
          <w:sz w:val="21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688" w:firstLineChars="200"/>
        <w:jc w:val="both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12"/>
          <w:sz w:val="32"/>
          <w:szCs w:val="32"/>
        </w:rPr>
        <w:t>表中未列出的附属物，参照表中相近情况进行补偿，不能参</w:t>
      </w:r>
      <w:r>
        <w:rPr>
          <w:rFonts w:hint="default" w:ascii="Times New Roman" w:hAnsi="Times New Roman" w:eastAsia="仿宋_GB2312" w:cs="Times New Roman"/>
          <w:spacing w:val="1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pacing w:val="11"/>
          <w:sz w:val="32"/>
          <w:szCs w:val="32"/>
        </w:rPr>
        <w:t>照的或在征收过程中遇到特殊情况的，可委托有资质</w:t>
      </w:r>
      <w:r>
        <w:rPr>
          <w:rFonts w:hint="default" w:ascii="Times New Roman" w:hAnsi="Times New Roman" w:eastAsia="仿宋_GB2312" w:cs="Times New Roman"/>
          <w:spacing w:val="10"/>
          <w:sz w:val="32"/>
          <w:szCs w:val="32"/>
        </w:rPr>
        <w:t>的价格认证</w:t>
      </w:r>
      <w:r>
        <w:rPr>
          <w:rFonts w:hint="default" w:ascii="Times New Roman" w:hAnsi="Times New Roman" w:eastAsia="仿宋_GB2312" w:cs="Times New Roman"/>
          <w:spacing w:val="6"/>
          <w:sz w:val="32"/>
          <w:szCs w:val="32"/>
        </w:rPr>
        <w:t>机构进行认证，按认证标准进行补偿。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656" w:firstLineChars="200"/>
        <w:textAlignment w:val="baseline"/>
        <w:outlineLvl w:val="0"/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 w:val="0"/>
          <w:spacing w:val="4"/>
          <w:sz w:val="32"/>
          <w:szCs w:val="32"/>
        </w:rPr>
        <w:t>五</w:t>
      </w:r>
      <w:r>
        <w:rPr>
          <w:rFonts w:hint="default" w:ascii="Times New Roman" w:hAnsi="Times New Roman" w:eastAsia="黑体" w:cs="Times New Roman"/>
          <w:b w:val="0"/>
          <w:bCs w:val="0"/>
          <w:spacing w:val="-70"/>
          <w:sz w:val="32"/>
          <w:szCs w:val="32"/>
        </w:rPr>
        <w:t xml:space="preserve"> </w:t>
      </w:r>
      <w:r>
        <w:rPr>
          <w:rFonts w:hint="default" w:ascii="Times New Roman" w:hAnsi="Times New Roman" w:eastAsia="黑体" w:cs="Times New Roman"/>
          <w:b w:val="0"/>
          <w:bCs w:val="0"/>
          <w:spacing w:val="4"/>
          <w:sz w:val="32"/>
          <w:szCs w:val="32"/>
        </w:rPr>
        <w:t>、征收房屋院内树木补偿标准</w:t>
      </w:r>
    </w:p>
    <w:p>
      <w:pPr>
        <w:spacing w:line="190" w:lineRule="exact"/>
        <w:rPr>
          <w:rFonts w:hint="default" w:ascii="Times New Roman" w:hAnsi="Times New Roman" w:cs="Times New Roman"/>
        </w:rPr>
      </w:pPr>
    </w:p>
    <w:tbl>
      <w:tblPr>
        <w:tblStyle w:val="4"/>
        <w:tblW w:w="8960" w:type="dxa"/>
        <w:tblInd w:w="5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33"/>
        <w:gridCol w:w="3766"/>
        <w:gridCol w:w="326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3" w:hRule="atLeast"/>
        </w:trPr>
        <w:tc>
          <w:tcPr>
            <w:tcW w:w="1933" w:type="dxa"/>
            <w:vAlign w:val="top"/>
          </w:tcPr>
          <w:p>
            <w:pPr>
              <w:spacing w:before="103" w:line="219" w:lineRule="auto"/>
              <w:ind w:left="659"/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pacing w:val="-7"/>
                <w:sz w:val="30"/>
                <w:szCs w:val="30"/>
              </w:rPr>
              <w:t>树类</w:t>
            </w:r>
          </w:p>
        </w:tc>
        <w:tc>
          <w:tcPr>
            <w:tcW w:w="3766" w:type="dxa"/>
            <w:vAlign w:val="top"/>
          </w:tcPr>
          <w:p>
            <w:pPr>
              <w:spacing w:before="103" w:line="219" w:lineRule="auto"/>
              <w:ind w:left="1576"/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pacing w:val="-6"/>
                <w:sz w:val="30"/>
                <w:szCs w:val="30"/>
              </w:rPr>
              <w:t>胸径</w:t>
            </w:r>
          </w:p>
        </w:tc>
        <w:tc>
          <w:tcPr>
            <w:tcW w:w="3261" w:type="dxa"/>
            <w:vAlign w:val="top"/>
          </w:tcPr>
          <w:p>
            <w:pPr>
              <w:spacing w:before="103" w:line="219" w:lineRule="auto"/>
              <w:ind w:left="500"/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pacing w:val="3"/>
                <w:sz w:val="30"/>
                <w:szCs w:val="30"/>
              </w:rPr>
              <w:t>补偿标准(元/棵)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1933" w:type="dxa"/>
            <w:vMerge w:val="restart"/>
            <w:tcBorders>
              <w:bottom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  <w:t>果树</w:t>
            </w:r>
          </w:p>
        </w:tc>
        <w:tc>
          <w:tcPr>
            <w:tcW w:w="3766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  <w:t>10厘米以上</w:t>
            </w:r>
          </w:p>
        </w:tc>
        <w:tc>
          <w:tcPr>
            <w:tcW w:w="3261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  <w:t>360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1933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</w:pPr>
          </w:p>
        </w:tc>
        <w:tc>
          <w:tcPr>
            <w:tcW w:w="3766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  <w:t>5厘米以上不足10厘米</w:t>
            </w:r>
          </w:p>
        </w:tc>
        <w:tc>
          <w:tcPr>
            <w:tcW w:w="3261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  <w:t>280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1933" w:type="dxa"/>
            <w:vMerge w:val="continue"/>
            <w:tcBorders>
              <w:top w:val="nil"/>
              <w:bottom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</w:pPr>
          </w:p>
        </w:tc>
        <w:tc>
          <w:tcPr>
            <w:tcW w:w="3766" w:type="dxa"/>
            <w:tcBorders>
              <w:bottom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  <w:t>2厘米以上不足5厘米</w:t>
            </w:r>
          </w:p>
        </w:tc>
        <w:tc>
          <w:tcPr>
            <w:tcW w:w="3261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  <w:t>120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1933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  <w:t>用材树</w:t>
            </w:r>
          </w:p>
        </w:tc>
        <w:tc>
          <w:tcPr>
            <w:tcW w:w="3766" w:type="dxa"/>
            <w:tcBorders>
              <w:top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  <w:t>20厘米以上</w:t>
            </w:r>
          </w:p>
        </w:tc>
        <w:tc>
          <w:tcPr>
            <w:tcW w:w="3261" w:type="dxa"/>
            <w:tcBorders>
              <w:lef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  <w:t>80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</w:trPr>
        <w:tc>
          <w:tcPr>
            <w:tcW w:w="1933" w:type="dxa"/>
            <w:vMerge w:val="continue"/>
            <w:tcBorders>
              <w:top w:val="nil"/>
              <w:left w:val="single" w:color="auto" w:sz="4" w:space="0"/>
              <w:bottom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</w:pPr>
          </w:p>
        </w:tc>
        <w:tc>
          <w:tcPr>
            <w:tcW w:w="3766" w:type="dxa"/>
            <w:tcBorders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  <w:t>10厘米以上不足20厘米</w:t>
            </w:r>
          </w:p>
        </w:tc>
        <w:tc>
          <w:tcPr>
            <w:tcW w:w="3261" w:type="dxa"/>
            <w:tcBorders>
              <w:lef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  <w:t>60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3" w:hRule="atLeast"/>
        </w:trPr>
        <w:tc>
          <w:tcPr>
            <w:tcW w:w="193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</w:pPr>
          </w:p>
        </w:tc>
        <w:tc>
          <w:tcPr>
            <w:tcW w:w="3766" w:type="dxa"/>
            <w:tcBorders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  <w:t>5厘米以上不足10厘米</w:t>
            </w:r>
          </w:p>
        </w:tc>
        <w:tc>
          <w:tcPr>
            <w:tcW w:w="3261" w:type="dxa"/>
            <w:tcBorders>
              <w:lef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  <w:t>40</w:t>
            </w:r>
          </w:p>
        </w:tc>
      </w:tr>
    </w:tbl>
    <w:p>
      <w:pPr>
        <w:spacing w:before="189" w:line="220" w:lineRule="auto"/>
        <w:ind w:left="634"/>
        <w:outlineLvl w:val="0"/>
        <w:rPr>
          <w:rFonts w:hint="default" w:ascii="Times New Roman" w:hAnsi="Times New Roman" w:eastAsia="黑体" w:cs="Times New Roman"/>
          <w:sz w:val="31"/>
          <w:szCs w:val="31"/>
        </w:rPr>
      </w:pPr>
      <w:r>
        <w:rPr>
          <w:rFonts w:hint="default" w:ascii="Times New Roman" w:hAnsi="Times New Roman" w:eastAsia="黑体" w:cs="Times New Roman"/>
          <w:b/>
          <w:bCs/>
          <w:spacing w:val="3"/>
          <w:sz w:val="31"/>
          <w:szCs w:val="31"/>
        </w:rPr>
        <w:t>六</w:t>
      </w:r>
      <w:r>
        <w:rPr>
          <w:rFonts w:hint="default" w:ascii="Times New Roman" w:hAnsi="Times New Roman" w:eastAsia="黑体" w:cs="Times New Roman"/>
          <w:spacing w:val="-75"/>
          <w:sz w:val="31"/>
          <w:szCs w:val="31"/>
        </w:rPr>
        <w:t xml:space="preserve"> </w:t>
      </w:r>
      <w:r>
        <w:rPr>
          <w:rFonts w:hint="default" w:ascii="Times New Roman" w:hAnsi="Times New Roman" w:eastAsia="黑体" w:cs="Times New Roman"/>
          <w:b/>
          <w:bCs/>
          <w:spacing w:val="3"/>
          <w:sz w:val="31"/>
          <w:szCs w:val="31"/>
        </w:rPr>
        <w:t>、征收房屋楼层价格调整系数</w:t>
      </w:r>
    </w:p>
    <w:p>
      <w:pPr>
        <w:rPr>
          <w:rFonts w:hint="default" w:ascii="Times New Roman" w:hAnsi="Times New Roman" w:cs="Times New Roman"/>
        </w:rPr>
      </w:pPr>
    </w:p>
    <w:p>
      <w:pPr>
        <w:spacing w:line="129" w:lineRule="exact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z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13970</wp:posOffset>
                </wp:positionH>
                <wp:positionV relativeFrom="paragraph">
                  <wp:posOffset>76200</wp:posOffset>
                </wp:positionV>
                <wp:extent cx="523875" cy="666750"/>
                <wp:effectExtent l="3810" t="3175" r="5715" b="15875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986155" y="4639945"/>
                          <a:ext cx="523875" cy="6667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.1pt;margin-top:6pt;height:52.5pt;width:41.25pt;z-index:251659264;mso-width-relative:page;mso-height-relative:page;" filled="f" stroked="t" coordsize="21600,21600" o:gfxdata="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APdzHF1AAAAAcBAAAPAAAAAAAAAAEAIAAAACIAAABkcnMvZG93bnJl&#10;di54bWxQSwECFAAUAAAACACHTuJAvdFrpgECAADiAwAADgAAAAAAAAABACAAAAAjAQAAZHJzL2Uy&#10;b0RvYy54bWxQSwUGAAAAAAYABgBZAQAAlgUAAAAA&#10;">
                <v:fill on="f" focussize="0,0"/>
                <v:stroke color="#000000 [3200]" joinstyle="round"/>
                <v:imagedata o:title=""/>
                <o:lock v:ext="edit" aspectratio="f"/>
              </v:line>
            </w:pict>
          </mc:Fallback>
        </mc:AlternateContent>
      </w:r>
    </w:p>
    <w:tbl>
      <w:tblPr>
        <w:tblStyle w:val="4"/>
        <w:tblW w:w="9010" w:type="dxa"/>
        <w:tblInd w:w="3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83"/>
        <w:gridCol w:w="1419"/>
        <w:gridCol w:w="1398"/>
        <w:gridCol w:w="1388"/>
        <w:gridCol w:w="1428"/>
        <w:gridCol w:w="139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4" w:hRule="atLeast"/>
        </w:trPr>
        <w:tc>
          <w:tcPr>
            <w:tcW w:w="1983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Times New Roman" w:hAnsi="Times New Roman" w:eastAsia="宋体" w:cs="Times New Roman"/>
                <w:spacing w:val="6"/>
                <w:sz w:val="40"/>
                <w:szCs w:val="40"/>
                <w:vertAlign w:val="subscript"/>
              </w:rPr>
            </w:pPr>
            <w:r>
              <w:rPr>
                <w:rFonts w:hint="default" w:ascii="Times New Roman" w:hAnsi="Times New Roman" w:cs="Times New Roman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20320</wp:posOffset>
                      </wp:positionH>
                      <wp:positionV relativeFrom="paragraph">
                        <wp:posOffset>13970</wp:posOffset>
                      </wp:positionV>
                      <wp:extent cx="1238250" cy="485775"/>
                      <wp:effectExtent l="1905" t="4445" r="17145" b="5080"/>
                      <wp:wrapNone/>
                      <wp:docPr id="6" name="直接连接符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1024255" y="4668520"/>
                                <a:ext cx="1238250" cy="48577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1.6pt;margin-top:1.1pt;height:38.25pt;width:97.5pt;z-index:251660288;mso-width-relative:page;mso-height-relative:page;" filled="f" stroked="t" coordsize="21600,21600" o:gfxdata="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DbJI/21AAAAAYBAAAPAAAAAAAAAAEAIAAAACIAAABkcnMvZG93bnJl&#10;di54bWxQSwECFAAUAAAACACHTuJA0cdiwgECAADkAwAADgAAAAAAAAABACAAAAAjAQAAZHJzL2Uy&#10;b0RvYy54bWxQSwUGAAAAAAYABgBZAQAAlgUAAAAA&#10;">
                      <v:fill on="f" focussize="0,0"/>
                      <v:stroke color="#000000 [3200]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default" w:ascii="Times New Roman" w:hAnsi="Times New Roman" w:eastAsia="宋体" w:cs="Times New Roman"/>
                <w:spacing w:val="6"/>
                <w:sz w:val="40"/>
                <w:szCs w:val="40"/>
                <w:vertAlign w:val="subscript"/>
                <w:lang w:val="en-US" w:eastAsia="zh-CN"/>
              </w:rPr>
              <w:t xml:space="preserve">          </w:t>
            </w:r>
            <w:r>
              <w:rPr>
                <w:rFonts w:hint="default" w:ascii="Times New Roman" w:hAnsi="Times New Roman" w:eastAsia="黑体" w:cs="Times New Roman"/>
                <w:spacing w:val="6"/>
                <w:sz w:val="40"/>
                <w:szCs w:val="40"/>
                <w:vertAlign w:val="subscript"/>
                <w:lang w:val="en-US" w:eastAsia="zh-CN"/>
              </w:rPr>
              <w:t>总楼层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both"/>
              <w:textAlignment w:val="baseline"/>
              <w:rPr>
                <w:rFonts w:hint="default" w:ascii="Times New Roman" w:hAnsi="Times New Roman" w:eastAsia="宋体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spacing w:val="6"/>
                <w:sz w:val="40"/>
                <w:szCs w:val="40"/>
                <w:vertAlign w:val="subscript"/>
              </w:rPr>
              <w:t>楼层</w:t>
            </w:r>
            <w:r>
              <w:rPr>
                <w:rFonts w:hint="default" w:ascii="Times New Roman" w:hAnsi="Times New Roman" w:eastAsia="宋体" w:cs="Times New Roman"/>
                <w:spacing w:val="6"/>
                <w:sz w:val="40"/>
                <w:szCs w:val="40"/>
                <w:vertAlign w:val="subscript"/>
                <w:lang w:val="en-US" w:eastAsia="zh-CN"/>
              </w:rPr>
              <w:t xml:space="preserve">    </w:t>
            </w:r>
            <w:r>
              <w:rPr>
                <w:rFonts w:hint="default" w:ascii="Times New Roman" w:hAnsi="Times New Roman" w:eastAsia="黑体" w:cs="Times New Roman"/>
                <w:spacing w:val="6"/>
                <w:sz w:val="40"/>
                <w:szCs w:val="40"/>
                <w:vertAlign w:val="subscript"/>
                <w:lang w:val="en-US" w:eastAsia="zh-CN"/>
              </w:rPr>
              <w:t>调整系数</w:t>
            </w:r>
            <w:r>
              <w:rPr>
                <w:rFonts w:hint="default" w:ascii="Times New Roman" w:hAnsi="Times New Roman" w:eastAsia="黑体" w:cs="Times New Roman"/>
                <w:spacing w:val="6"/>
                <w:sz w:val="40"/>
                <w:szCs w:val="40"/>
                <w:vertAlign w:val="subscript"/>
              </w:rPr>
              <w:t>%</w:t>
            </w:r>
          </w:p>
        </w:tc>
        <w:tc>
          <w:tcPr>
            <w:tcW w:w="1419" w:type="dxa"/>
            <w:vAlign w:val="top"/>
          </w:tcPr>
          <w:p>
            <w:pPr>
              <w:spacing w:line="317" w:lineRule="auto"/>
              <w:rPr>
                <w:rFonts w:hint="default" w:ascii="Times New Roman" w:hAnsi="Times New Roman" w:eastAsia="黑体" w:cs="Times New Roman"/>
                <w:b w:val="0"/>
                <w:bCs w:val="0"/>
                <w:sz w:val="21"/>
              </w:rPr>
            </w:pPr>
          </w:p>
          <w:p>
            <w:pPr>
              <w:spacing w:before="72" w:line="219" w:lineRule="auto"/>
              <w:ind w:left="485"/>
              <w:rPr>
                <w:rFonts w:hint="default" w:ascii="Times New Roman" w:hAnsi="Times New Roman" w:eastAsia="黑体" w:cs="Times New Roman"/>
                <w:b w:val="0"/>
                <w:bCs w:val="0"/>
                <w:sz w:val="22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pacing w:val="-5"/>
                <w:sz w:val="22"/>
                <w:szCs w:val="22"/>
              </w:rPr>
              <w:t>三层</w:t>
            </w:r>
          </w:p>
        </w:tc>
        <w:tc>
          <w:tcPr>
            <w:tcW w:w="1398" w:type="dxa"/>
            <w:vAlign w:val="top"/>
          </w:tcPr>
          <w:p>
            <w:pPr>
              <w:spacing w:line="320" w:lineRule="auto"/>
              <w:rPr>
                <w:rFonts w:hint="default" w:ascii="Times New Roman" w:hAnsi="Times New Roman" w:eastAsia="黑体" w:cs="Times New Roman"/>
                <w:b w:val="0"/>
                <w:bCs w:val="0"/>
                <w:sz w:val="21"/>
              </w:rPr>
            </w:pPr>
          </w:p>
          <w:p>
            <w:pPr>
              <w:spacing w:before="72" w:line="219" w:lineRule="auto"/>
              <w:ind w:left="473"/>
              <w:rPr>
                <w:rFonts w:hint="default" w:ascii="Times New Roman" w:hAnsi="Times New Roman" w:eastAsia="黑体" w:cs="Times New Roman"/>
                <w:b w:val="0"/>
                <w:bCs w:val="0"/>
                <w:sz w:val="22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pacing w:val="6"/>
                <w:sz w:val="22"/>
                <w:szCs w:val="22"/>
              </w:rPr>
              <w:t>四层</w:t>
            </w:r>
          </w:p>
        </w:tc>
        <w:tc>
          <w:tcPr>
            <w:tcW w:w="1388" w:type="dxa"/>
            <w:vAlign w:val="top"/>
          </w:tcPr>
          <w:p>
            <w:pPr>
              <w:spacing w:line="320" w:lineRule="auto"/>
              <w:rPr>
                <w:rFonts w:hint="default" w:ascii="Times New Roman" w:hAnsi="Times New Roman" w:eastAsia="黑体" w:cs="Times New Roman"/>
                <w:b w:val="0"/>
                <w:bCs w:val="0"/>
                <w:sz w:val="21"/>
              </w:rPr>
            </w:pPr>
          </w:p>
          <w:p>
            <w:pPr>
              <w:spacing w:before="72" w:line="219" w:lineRule="auto"/>
              <w:ind w:left="464"/>
              <w:rPr>
                <w:rFonts w:hint="default" w:ascii="Times New Roman" w:hAnsi="Times New Roman" w:eastAsia="黑体" w:cs="Times New Roman"/>
                <w:b w:val="0"/>
                <w:bCs w:val="0"/>
                <w:sz w:val="22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pacing w:val="6"/>
                <w:sz w:val="22"/>
                <w:szCs w:val="22"/>
              </w:rPr>
              <w:t>五层</w:t>
            </w:r>
          </w:p>
        </w:tc>
        <w:tc>
          <w:tcPr>
            <w:tcW w:w="1428" w:type="dxa"/>
            <w:vAlign w:val="top"/>
          </w:tcPr>
          <w:p>
            <w:pPr>
              <w:spacing w:line="320" w:lineRule="auto"/>
              <w:rPr>
                <w:rFonts w:hint="default" w:ascii="Times New Roman" w:hAnsi="Times New Roman" w:eastAsia="黑体" w:cs="Times New Roman"/>
                <w:b w:val="0"/>
                <w:bCs w:val="0"/>
                <w:sz w:val="21"/>
              </w:rPr>
            </w:pPr>
          </w:p>
          <w:p>
            <w:pPr>
              <w:spacing w:before="72" w:line="219" w:lineRule="auto"/>
              <w:ind w:left="487"/>
              <w:rPr>
                <w:rFonts w:hint="default" w:ascii="Times New Roman" w:hAnsi="Times New Roman" w:eastAsia="黑体" w:cs="Times New Roman"/>
                <w:b w:val="0"/>
                <w:bCs w:val="0"/>
                <w:sz w:val="22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pacing w:val="6"/>
                <w:sz w:val="22"/>
                <w:szCs w:val="22"/>
              </w:rPr>
              <w:t>六层</w:t>
            </w:r>
          </w:p>
        </w:tc>
        <w:tc>
          <w:tcPr>
            <w:tcW w:w="1394" w:type="dxa"/>
            <w:vAlign w:val="top"/>
          </w:tcPr>
          <w:p>
            <w:pPr>
              <w:spacing w:line="320" w:lineRule="auto"/>
              <w:rPr>
                <w:rFonts w:hint="default" w:ascii="Times New Roman" w:hAnsi="Times New Roman" w:eastAsia="黑体" w:cs="Times New Roman"/>
                <w:b w:val="0"/>
                <w:bCs w:val="0"/>
                <w:sz w:val="21"/>
              </w:rPr>
            </w:pPr>
          </w:p>
          <w:p>
            <w:pPr>
              <w:spacing w:before="72" w:line="219" w:lineRule="auto"/>
              <w:ind w:left="469"/>
              <w:rPr>
                <w:rFonts w:hint="default" w:ascii="Times New Roman" w:hAnsi="Times New Roman" w:eastAsia="黑体" w:cs="Times New Roman"/>
                <w:b w:val="0"/>
                <w:bCs w:val="0"/>
                <w:sz w:val="22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pacing w:val="6"/>
                <w:sz w:val="22"/>
                <w:szCs w:val="22"/>
              </w:rPr>
              <w:t>七层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9" w:hRule="atLeast"/>
        </w:trPr>
        <w:tc>
          <w:tcPr>
            <w:tcW w:w="1983" w:type="dxa"/>
            <w:vAlign w:val="top"/>
          </w:tcPr>
          <w:p>
            <w:pPr>
              <w:spacing w:before="90" w:line="219" w:lineRule="auto"/>
              <w:ind w:left="764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  <w:t>七层</w:t>
            </w:r>
          </w:p>
        </w:tc>
        <w:tc>
          <w:tcPr>
            <w:tcW w:w="1419" w:type="dxa"/>
            <w:vAlign w:val="top"/>
          </w:tcPr>
          <w:p>
            <w:pPr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398" w:type="dxa"/>
            <w:vAlign w:val="top"/>
          </w:tcPr>
          <w:p>
            <w:pPr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388" w:type="dxa"/>
            <w:vAlign w:val="top"/>
          </w:tcPr>
          <w:p>
            <w:pPr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428" w:type="dxa"/>
            <w:vAlign w:val="top"/>
          </w:tcPr>
          <w:p>
            <w:pPr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394" w:type="dxa"/>
            <w:vAlign w:val="top"/>
          </w:tcPr>
          <w:p>
            <w:pPr>
              <w:spacing w:before="146" w:line="183" w:lineRule="auto"/>
              <w:ind w:left="579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4"/>
                <w:sz w:val="28"/>
                <w:szCs w:val="28"/>
              </w:rPr>
              <w:t>-8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</w:trPr>
        <w:tc>
          <w:tcPr>
            <w:tcW w:w="1983" w:type="dxa"/>
            <w:vAlign w:val="top"/>
          </w:tcPr>
          <w:p>
            <w:pPr>
              <w:spacing w:before="131" w:line="219" w:lineRule="auto"/>
              <w:ind w:left="764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  <w:t>六层</w:t>
            </w:r>
          </w:p>
        </w:tc>
        <w:tc>
          <w:tcPr>
            <w:tcW w:w="1419" w:type="dxa"/>
            <w:vAlign w:val="top"/>
          </w:tcPr>
          <w:p>
            <w:pPr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398" w:type="dxa"/>
            <w:vAlign w:val="top"/>
          </w:tcPr>
          <w:p>
            <w:pPr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388" w:type="dxa"/>
            <w:vAlign w:val="top"/>
          </w:tcPr>
          <w:p>
            <w:pPr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428" w:type="dxa"/>
            <w:vAlign w:val="top"/>
          </w:tcPr>
          <w:p>
            <w:pPr>
              <w:spacing w:before="189" w:line="182" w:lineRule="auto"/>
              <w:ind w:left="597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4"/>
                <w:sz w:val="28"/>
                <w:szCs w:val="28"/>
              </w:rPr>
              <w:t>-7</w:t>
            </w:r>
          </w:p>
        </w:tc>
        <w:tc>
          <w:tcPr>
            <w:tcW w:w="1394" w:type="dxa"/>
            <w:vAlign w:val="top"/>
          </w:tcPr>
          <w:p>
            <w:pPr>
              <w:spacing w:before="189" w:line="182" w:lineRule="auto"/>
              <w:ind w:left="489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3"/>
                <w:sz w:val="28"/>
                <w:szCs w:val="28"/>
              </w:rPr>
              <w:t>+5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1983" w:type="dxa"/>
            <w:vAlign w:val="top"/>
          </w:tcPr>
          <w:p>
            <w:pPr>
              <w:spacing w:before="142" w:line="219" w:lineRule="auto"/>
              <w:ind w:left="764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  <w:t>五层</w:t>
            </w:r>
          </w:p>
        </w:tc>
        <w:tc>
          <w:tcPr>
            <w:tcW w:w="1419" w:type="dxa"/>
            <w:vAlign w:val="top"/>
          </w:tcPr>
          <w:p>
            <w:pPr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398" w:type="dxa"/>
            <w:vAlign w:val="top"/>
          </w:tcPr>
          <w:p>
            <w:pPr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388" w:type="dxa"/>
            <w:vAlign w:val="top"/>
          </w:tcPr>
          <w:p>
            <w:pPr>
              <w:spacing w:before="200" w:line="182" w:lineRule="auto"/>
              <w:ind w:left="574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4"/>
                <w:sz w:val="28"/>
                <w:szCs w:val="28"/>
              </w:rPr>
              <w:t>-5</w:t>
            </w:r>
          </w:p>
        </w:tc>
        <w:tc>
          <w:tcPr>
            <w:tcW w:w="1428" w:type="dxa"/>
            <w:vAlign w:val="top"/>
          </w:tcPr>
          <w:p>
            <w:pPr>
              <w:spacing w:before="200" w:line="182" w:lineRule="auto"/>
              <w:ind w:left="506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3"/>
                <w:sz w:val="28"/>
                <w:szCs w:val="28"/>
              </w:rPr>
              <w:t>+7</w:t>
            </w:r>
          </w:p>
        </w:tc>
        <w:tc>
          <w:tcPr>
            <w:tcW w:w="1394" w:type="dxa"/>
            <w:vAlign w:val="top"/>
          </w:tcPr>
          <w:p>
            <w:pPr>
              <w:spacing w:before="197" w:line="184" w:lineRule="auto"/>
              <w:ind w:left="529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3"/>
                <w:sz w:val="28"/>
                <w:szCs w:val="28"/>
              </w:rPr>
              <w:t>+10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1983" w:type="dxa"/>
            <w:vAlign w:val="top"/>
          </w:tcPr>
          <w:p>
            <w:pPr>
              <w:spacing w:before="83" w:line="219" w:lineRule="auto"/>
              <w:ind w:left="764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  <w:t>四层</w:t>
            </w:r>
          </w:p>
        </w:tc>
        <w:tc>
          <w:tcPr>
            <w:tcW w:w="1419" w:type="dxa"/>
            <w:vAlign w:val="top"/>
          </w:tcPr>
          <w:p>
            <w:pPr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398" w:type="dxa"/>
            <w:vAlign w:val="top"/>
          </w:tcPr>
          <w:p>
            <w:pPr>
              <w:spacing w:before="151" w:line="182" w:lineRule="auto"/>
              <w:ind w:left="583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4"/>
                <w:sz w:val="28"/>
                <w:szCs w:val="28"/>
              </w:rPr>
              <w:t>-5</w:t>
            </w:r>
          </w:p>
        </w:tc>
        <w:tc>
          <w:tcPr>
            <w:tcW w:w="1388" w:type="dxa"/>
            <w:vAlign w:val="top"/>
          </w:tcPr>
          <w:p>
            <w:pPr>
              <w:spacing w:before="138" w:line="184" w:lineRule="auto"/>
              <w:ind w:left="524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3"/>
                <w:sz w:val="28"/>
                <w:szCs w:val="28"/>
              </w:rPr>
              <w:t>+10</w:t>
            </w:r>
          </w:p>
        </w:tc>
        <w:tc>
          <w:tcPr>
            <w:tcW w:w="1428" w:type="dxa"/>
            <w:vAlign w:val="top"/>
          </w:tcPr>
          <w:p>
            <w:pPr>
              <w:spacing w:before="138" w:line="184" w:lineRule="auto"/>
              <w:ind w:left="546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3"/>
                <w:sz w:val="28"/>
                <w:szCs w:val="28"/>
              </w:rPr>
              <w:t>+10</w:t>
            </w:r>
          </w:p>
        </w:tc>
        <w:tc>
          <w:tcPr>
            <w:tcW w:w="1394" w:type="dxa"/>
            <w:vAlign w:val="top"/>
          </w:tcPr>
          <w:p>
            <w:pPr>
              <w:spacing w:before="138" w:line="184" w:lineRule="auto"/>
              <w:ind w:left="529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3"/>
                <w:sz w:val="28"/>
                <w:szCs w:val="28"/>
              </w:rPr>
              <w:t>+12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1983" w:type="dxa"/>
            <w:vAlign w:val="top"/>
          </w:tcPr>
          <w:p>
            <w:pPr>
              <w:spacing w:before="143" w:line="219" w:lineRule="auto"/>
              <w:ind w:left="764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  <w:t>三层</w:t>
            </w:r>
          </w:p>
        </w:tc>
        <w:tc>
          <w:tcPr>
            <w:tcW w:w="1419" w:type="dxa"/>
            <w:vAlign w:val="top"/>
          </w:tcPr>
          <w:p>
            <w:pPr>
              <w:spacing w:before="200" w:line="182" w:lineRule="auto"/>
              <w:ind w:left="591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4"/>
                <w:sz w:val="28"/>
                <w:szCs w:val="28"/>
              </w:rPr>
              <w:t>-5</w:t>
            </w:r>
          </w:p>
        </w:tc>
        <w:tc>
          <w:tcPr>
            <w:tcW w:w="1398" w:type="dxa"/>
            <w:vAlign w:val="top"/>
          </w:tcPr>
          <w:p>
            <w:pPr>
              <w:spacing w:before="199" w:line="183" w:lineRule="auto"/>
              <w:ind w:left="492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3"/>
                <w:sz w:val="28"/>
                <w:szCs w:val="28"/>
              </w:rPr>
              <w:t>+8</w:t>
            </w:r>
          </w:p>
        </w:tc>
        <w:tc>
          <w:tcPr>
            <w:tcW w:w="1388" w:type="dxa"/>
            <w:vAlign w:val="top"/>
          </w:tcPr>
          <w:p>
            <w:pPr>
              <w:spacing w:before="199" w:line="183" w:lineRule="auto"/>
              <w:ind w:left="485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3"/>
                <w:sz w:val="28"/>
                <w:szCs w:val="28"/>
              </w:rPr>
              <w:t>+8</w:t>
            </w:r>
          </w:p>
        </w:tc>
        <w:tc>
          <w:tcPr>
            <w:tcW w:w="1428" w:type="dxa"/>
            <w:vAlign w:val="top"/>
          </w:tcPr>
          <w:p>
            <w:pPr>
              <w:spacing w:before="199" w:line="183" w:lineRule="auto"/>
              <w:ind w:left="506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3"/>
                <w:sz w:val="28"/>
                <w:szCs w:val="28"/>
              </w:rPr>
              <w:t>+8</w:t>
            </w:r>
          </w:p>
        </w:tc>
        <w:tc>
          <w:tcPr>
            <w:tcW w:w="1394" w:type="dxa"/>
            <w:vAlign w:val="top"/>
          </w:tcPr>
          <w:p>
            <w:pPr>
              <w:spacing w:before="199" w:line="183" w:lineRule="auto"/>
              <w:ind w:left="498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3"/>
                <w:sz w:val="28"/>
                <w:szCs w:val="28"/>
              </w:rPr>
              <w:t>+8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</w:trPr>
        <w:tc>
          <w:tcPr>
            <w:tcW w:w="1983" w:type="dxa"/>
            <w:vAlign w:val="top"/>
          </w:tcPr>
          <w:p>
            <w:pPr>
              <w:spacing w:before="94" w:line="219" w:lineRule="auto"/>
              <w:ind w:left="764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6"/>
                <w:sz w:val="28"/>
                <w:szCs w:val="28"/>
              </w:rPr>
              <w:t>二层</w:t>
            </w:r>
          </w:p>
        </w:tc>
        <w:tc>
          <w:tcPr>
            <w:tcW w:w="1419" w:type="dxa"/>
            <w:vAlign w:val="top"/>
          </w:tcPr>
          <w:p>
            <w:pPr>
              <w:spacing w:before="149" w:line="184" w:lineRule="auto"/>
              <w:ind w:left="531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3"/>
                <w:sz w:val="28"/>
                <w:szCs w:val="28"/>
              </w:rPr>
              <w:t>+10</w:t>
            </w:r>
          </w:p>
        </w:tc>
        <w:tc>
          <w:tcPr>
            <w:tcW w:w="1398" w:type="dxa"/>
            <w:vAlign w:val="top"/>
          </w:tcPr>
          <w:p>
            <w:pPr>
              <w:spacing w:before="152" w:line="182" w:lineRule="auto"/>
              <w:ind w:left="502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3"/>
                <w:sz w:val="28"/>
                <w:szCs w:val="28"/>
              </w:rPr>
              <w:t>+5</w:t>
            </w:r>
          </w:p>
        </w:tc>
        <w:tc>
          <w:tcPr>
            <w:tcW w:w="1388" w:type="dxa"/>
            <w:vAlign w:val="top"/>
          </w:tcPr>
          <w:p>
            <w:pPr>
              <w:spacing w:before="152" w:line="182" w:lineRule="auto"/>
              <w:ind w:left="495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3"/>
                <w:sz w:val="28"/>
                <w:szCs w:val="28"/>
              </w:rPr>
              <w:t>+5</w:t>
            </w:r>
          </w:p>
        </w:tc>
        <w:tc>
          <w:tcPr>
            <w:tcW w:w="1428" w:type="dxa"/>
            <w:vAlign w:val="top"/>
          </w:tcPr>
          <w:p>
            <w:pPr>
              <w:spacing w:before="152" w:line="182" w:lineRule="auto"/>
              <w:ind w:left="506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3"/>
                <w:sz w:val="28"/>
                <w:szCs w:val="28"/>
              </w:rPr>
              <w:t>+5</w:t>
            </w:r>
          </w:p>
        </w:tc>
        <w:tc>
          <w:tcPr>
            <w:tcW w:w="1394" w:type="dxa"/>
            <w:vAlign w:val="top"/>
          </w:tcPr>
          <w:p>
            <w:pPr>
              <w:spacing w:before="152" w:line="182" w:lineRule="auto"/>
              <w:ind w:left="498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-3"/>
                <w:sz w:val="28"/>
                <w:szCs w:val="28"/>
              </w:rPr>
              <w:t>+5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983" w:type="dxa"/>
            <w:vAlign w:val="top"/>
          </w:tcPr>
          <w:p>
            <w:pPr>
              <w:spacing w:before="105" w:line="219" w:lineRule="auto"/>
              <w:ind w:left="764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10"/>
                <w:sz w:val="28"/>
                <w:szCs w:val="28"/>
              </w:rPr>
              <w:t>一层</w:t>
            </w:r>
          </w:p>
        </w:tc>
        <w:tc>
          <w:tcPr>
            <w:tcW w:w="1419" w:type="dxa"/>
            <w:vAlign w:val="top"/>
          </w:tcPr>
          <w:p>
            <w:pPr>
              <w:spacing w:before="161" w:line="183" w:lineRule="auto"/>
              <w:ind w:left="641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0</w:t>
            </w:r>
          </w:p>
        </w:tc>
        <w:tc>
          <w:tcPr>
            <w:tcW w:w="1398" w:type="dxa"/>
            <w:vAlign w:val="top"/>
          </w:tcPr>
          <w:p>
            <w:pPr>
              <w:spacing w:before="161" w:line="183" w:lineRule="auto"/>
              <w:ind w:left="633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0</w:t>
            </w:r>
          </w:p>
        </w:tc>
        <w:tc>
          <w:tcPr>
            <w:tcW w:w="1388" w:type="dxa"/>
            <w:vAlign w:val="top"/>
          </w:tcPr>
          <w:p>
            <w:pPr>
              <w:spacing w:before="161" w:line="183" w:lineRule="auto"/>
              <w:ind w:left="634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0</w:t>
            </w:r>
          </w:p>
        </w:tc>
        <w:tc>
          <w:tcPr>
            <w:tcW w:w="1428" w:type="dxa"/>
            <w:vAlign w:val="top"/>
          </w:tcPr>
          <w:p>
            <w:pPr>
              <w:spacing w:before="161" w:line="183" w:lineRule="auto"/>
              <w:ind w:left="657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0</w:t>
            </w:r>
          </w:p>
        </w:tc>
        <w:tc>
          <w:tcPr>
            <w:tcW w:w="1394" w:type="dxa"/>
            <w:vAlign w:val="top"/>
          </w:tcPr>
          <w:p>
            <w:pPr>
              <w:spacing w:before="161" w:line="183" w:lineRule="auto"/>
              <w:ind w:left="639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2" w:hRule="atLeast"/>
        </w:trPr>
        <w:tc>
          <w:tcPr>
            <w:tcW w:w="9010" w:type="dxa"/>
            <w:gridSpan w:val="6"/>
            <w:vAlign w:val="top"/>
          </w:tcPr>
          <w:p>
            <w:pPr>
              <w:spacing w:line="263" w:lineRule="auto"/>
              <w:rPr>
                <w:rFonts w:hint="default" w:ascii="Times New Roman" w:hAnsi="Times New Roman" w:cs="Times New Roman"/>
                <w:sz w:val="21"/>
              </w:rPr>
            </w:pPr>
          </w:p>
          <w:p>
            <w:pPr>
              <w:spacing w:before="71" w:line="219" w:lineRule="auto"/>
              <w:ind w:left="45"/>
              <w:rPr>
                <w:rFonts w:hint="default"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pacing w:val="7"/>
                <w:sz w:val="22"/>
                <w:szCs w:val="22"/>
              </w:rPr>
              <w:t>备注：1、楼内草厦计自然层；</w:t>
            </w:r>
          </w:p>
          <w:p>
            <w:pPr>
              <w:spacing w:before="68" w:line="219" w:lineRule="auto"/>
              <w:ind w:left="675"/>
              <w:rPr>
                <w:rFonts w:hint="default"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pacing w:val="2"/>
                <w:sz w:val="22"/>
                <w:szCs w:val="22"/>
              </w:rPr>
              <w:t>2、平房、两层小楼的调整系数为0;</w:t>
            </w:r>
          </w:p>
          <w:p>
            <w:pPr>
              <w:spacing w:before="47" w:line="219" w:lineRule="auto"/>
              <w:ind w:left="655"/>
              <w:rPr>
                <w:rFonts w:hint="default"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pacing w:val="1"/>
                <w:sz w:val="22"/>
                <w:szCs w:val="22"/>
              </w:rPr>
              <w:t>3、平顶、起半脊的顶楼按上述楼层调整系数调整；带阁楼、现浇的调整系数为0;</w:t>
            </w:r>
          </w:p>
          <w:p>
            <w:pPr>
              <w:spacing w:before="80" w:line="219" w:lineRule="auto"/>
              <w:ind w:left="675"/>
              <w:rPr>
                <w:rFonts w:hint="default" w:ascii="Times New Roman" w:hAnsi="Times New Roman" w:eastAsia="宋体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pacing w:val="7"/>
                <w:sz w:val="22"/>
                <w:szCs w:val="22"/>
              </w:rPr>
              <w:t>4、安置房屋参照上述标准执行。</w:t>
            </w:r>
          </w:p>
        </w:tc>
      </w:tr>
    </w:tbl>
    <w:p>
      <w:pPr>
        <w:spacing w:line="234" w:lineRule="exact"/>
        <w:rPr>
          <w:rFonts w:hint="default" w:ascii="Times New Roman" w:hAnsi="Times New Roman" w:cs="Times New Roman"/>
          <w:sz w:val="20"/>
        </w:rPr>
      </w:pPr>
    </w:p>
    <w:p>
      <w:pPr>
        <w:spacing w:line="268" w:lineRule="auto"/>
        <w:rPr>
          <w:rFonts w:hint="default" w:ascii="Times New Roman" w:hAnsi="Times New Roman" w:cs="Times New Roman"/>
          <w:sz w:val="21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firstLine="668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7"/>
          <w:position w:val="19"/>
          <w:sz w:val="32"/>
          <w:szCs w:val="32"/>
        </w:rPr>
        <w:t>本通知自发布之日起执行。市政府《关于公布文登市城市</w:t>
      </w:r>
      <w:r>
        <w:rPr>
          <w:rFonts w:hint="default" w:ascii="Times New Roman" w:hAnsi="Times New Roman" w:eastAsia="仿宋_GB2312" w:cs="Times New Roman"/>
          <w:spacing w:val="7"/>
          <w:position w:val="19"/>
          <w:sz w:val="32"/>
          <w:szCs w:val="32"/>
          <w:lang w:val="en-US" w:eastAsia="zh-CN"/>
        </w:rPr>
        <w:t>房屋拆迁补助标准的通知》（文政发</w:t>
      </w:r>
      <w:r>
        <w:rPr>
          <w:rFonts w:hint="default" w:ascii="Times New Roman" w:hAnsi="Times New Roman" w:eastAsia="仿宋_GB2312" w:cs="Times New Roman"/>
          <w:spacing w:val="7"/>
          <w:position w:val="19"/>
          <w:sz w:val="32"/>
          <w:szCs w:val="32"/>
        </w:rPr>
        <w:t>〔20</w:t>
      </w:r>
      <w:r>
        <w:rPr>
          <w:rFonts w:hint="default" w:ascii="Times New Roman" w:hAnsi="Times New Roman" w:eastAsia="仿宋_GB2312" w:cs="Times New Roman"/>
          <w:spacing w:val="7"/>
          <w:position w:val="19"/>
          <w:sz w:val="32"/>
          <w:szCs w:val="32"/>
          <w:lang w:val="en-US" w:eastAsia="zh-CN"/>
        </w:rPr>
        <w:t>04</w:t>
      </w:r>
      <w:r>
        <w:rPr>
          <w:rFonts w:hint="default" w:ascii="Times New Roman" w:hAnsi="Times New Roman" w:eastAsia="仿宋_GB2312" w:cs="Times New Roman"/>
          <w:spacing w:val="7"/>
          <w:position w:val="19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spacing w:val="7"/>
          <w:position w:val="19"/>
          <w:sz w:val="32"/>
          <w:szCs w:val="32"/>
          <w:lang w:val="en-US" w:eastAsia="zh-CN"/>
        </w:rPr>
        <w:t>30号）同时废止。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/>
        <w:jc w:val="right"/>
        <w:textAlignment w:val="baseline"/>
        <w:rPr>
          <w:rFonts w:hint="default" w:ascii="Times New Roman" w:hAnsi="Times New Roman" w:eastAsia="仿宋_GB2312" w:cs="Times New Roman"/>
          <w:spacing w:val="3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/>
        <w:jc w:val="right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3"/>
          <w:sz w:val="32"/>
          <w:szCs w:val="32"/>
        </w:rPr>
        <w:t>二〇一一年七月十二日</w:t>
      </w:r>
    </w:p>
    <w:p>
      <w:pPr>
        <w:spacing w:line="244" w:lineRule="auto"/>
        <w:rPr>
          <w:rFonts w:hint="default" w:ascii="Times New Roman" w:hAnsi="Times New Roman" w:cs="Times New Roman"/>
          <w:sz w:val="21"/>
        </w:rPr>
      </w:pPr>
    </w:p>
    <w:p>
      <w:pPr>
        <w:spacing w:line="244" w:lineRule="auto"/>
        <w:rPr>
          <w:rFonts w:hint="default" w:ascii="Times New Roman" w:hAnsi="Times New Roman" w:cs="Times New Roman"/>
          <w:sz w:val="21"/>
        </w:rPr>
      </w:pPr>
    </w:p>
    <w:p>
      <w:pPr>
        <w:spacing w:line="244" w:lineRule="auto"/>
        <w:rPr>
          <w:rFonts w:hint="default" w:ascii="Times New Roman" w:hAnsi="Times New Roman" w:cs="Times New Roman"/>
          <w:sz w:val="21"/>
        </w:rPr>
      </w:pPr>
    </w:p>
    <w:p>
      <w:pPr>
        <w:spacing w:line="244" w:lineRule="auto"/>
        <w:rPr>
          <w:rFonts w:hint="default" w:ascii="Times New Roman" w:hAnsi="Times New Roman" w:cs="Times New Roman"/>
          <w:sz w:val="21"/>
        </w:rPr>
      </w:pPr>
    </w:p>
    <w:p>
      <w:pPr>
        <w:spacing w:line="140" w:lineRule="exact"/>
        <w:rPr>
          <w:rFonts w:hint="default" w:ascii="Times New Roman" w:hAnsi="Times New Roman" w:cs="Times New Roman"/>
          <w:sz w:val="12"/>
        </w:rPr>
      </w:pPr>
    </w:p>
    <w:sectPr>
      <w:headerReference r:id="rId5" w:type="default"/>
      <w:footerReference r:id="rId6" w:type="default"/>
      <w:pgSz w:w="11880" w:h="16670"/>
      <w:pgMar w:top="2098" w:right="1531" w:bottom="2098" w:left="1531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NzRhMGEwZjY4MjZjN2NhODcyOGZiY2IwODVlZjc4NzcifQ=="/>
  </w:docVars>
  <w:rsids>
    <w:rsidRoot w:val="00000000"/>
    <w:rsid w:val="13652D1D"/>
    <w:rsid w:val="16E169E8"/>
    <w:rsid w:val="17D0726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884</Words>
  <Characters>978</Characters>
  <TotalTime>12</TotalTime>
  <ScaleCrop>false</ScaleCrop>
  <LinksUpToDate>false</LinksUpToDate>
  <CharactersWithSpaces>1005</CharactersWithSpaces>
  <Application>WPS Office_12.1.0.15120_F1E327BC-269C-435d-A152-05C5408002CA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2022-11-06T10:51:00Z</dcterms:created>
  <dc:creator>Kingsoft-PDF</dc:creator>
  <cp:keywords>6367210a2ba2c400155f912d</cp:keywords>
  <cp:lastModifiedBy>小菲宝</cp:lastModifiedBy>
  <dcterms:modified xsi:type="dcterms:W3CDTF">2023-09-12T05:52:22Z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wqlLaW5nc29mdCBQREYgdG8gV1BTIDg1</vt:lpwstr>
  </property>
  <property fmtid="{D5CDD505-2E9C-101B-9397-08002B2CF9AE}" pid="3" name="Created">
    <vt:filetime>2022-11-06T10:51:01Z</vt:filetime>
  </property>
  <property fmtid="{D5CDD505-2E9C-101B-9397-08002B2CF9AE}" pid="4" name="KSOProductBuildVer">
    <vt:lpwstr>2052-12.1.0.15120</vt:lpwstr>
  </property>
  <property fmtid="{D5CDD505-2E9C-101B-9397-08002B2CF9AE}" pid="5" name="ICV">
    <vt:lpwstr>B195290F33744CA197F1140320BC04B8</vt:lpwstr>
  </property>
</Properties>
</file>