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E761C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ascii="方正小标宋简体" w:eastAsia="方正小标宋简体"/>
          <w:b/>
          <w:bCs/>
          <w:color w:val="333333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3"/>
          <w:szCs w:val="43"/>
        </w:rPr>
        <w:t> </w:t>
      </w:r>
      <w:r>
        <w:rPr>
          <w:rFonts w:hint="eastAsia" w:ascii="方正小标宋简体" w:eastAsia="方正小标宋简体"/>
          <w:b/>
          <w:bCs/>
          <w:color w:val="333333"/>
          <w:kern w:val="0"/>
          <w:sz w:val="44"/>
          <w:szCs w:val="44"/>
          <w:lang w:val="en-US" w:eastAsia="zh-CN"/>
        </w:rPr>
        <w:t>威海市</w:t>
      </w:r>
      <w:r>
        <w:rPr>
          <w:rFonts w:hint="eastAsia" w:ascii="方正小标宋简体" w:eastAsia="方正小标宋简体"/>
          <w:b/>
          <w:bCs/>
          <w:color w:val="333333"/>
          <w:kern w:val="0"/>
          <w:sz w:val="44"/>
          <w:szCs w:val="44"/>
        </w:rPr>
        <w:t>文登区</w:t>
      </w:r>
      <w:r>
        <w:rPr>
          <w:rFonts w:hint="eastAsia" w:ascii="方正小标宋简体" w:eastAsia="方正小标宋简体"/>
          <w:b/>
          <w:bCs/>
          <w:color w:val="333333"/>
          <w:kern w:val="0"/>
          <w:sz w:val="44"/>
          <w:szCs w:val="44"/>
          <w:lang w:eastAsia="zh-CN"/>
        </w:rPr>
        <w:t>行政审批服务</w:t>
      </w:r>
      <w:r>
        <w:rPr>
          <w:rFonts w:hint="eastAsia" w:ascii="方正小标宋简体" w:eastAsia="方正小标宋简体"/>
          <w:b/>
          <w:bCs/>
          <w:color w:val="333333"/>
          <w:kern w:val="0"/>
          <w:sz w:val="44"/>
          <w:szCs w:val="44"/>
        </w:rPr>
        <w:t>局</w:t>
      </w:r>
    </w:p>
    <w:p w14:paraId="6E2C8BD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eastAsia="方正小标宋简体"/>
          <w:b/>
          <w:bCs/>
          <w:color w:val="333333"/>
          <w:kern w:val="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color w:val="333333"/>
          <w:kern w:val="0"/>
          <w:sz w:val="44"/>
          <w:szCs w:val="44"/>
          <w:lang w:val="en-US" w:eastAsia="zh-CN"/>
        </w:rPr>
        <w:t>2019</w:t>
      </w:r>
      <w:r>
        <w:rPr>
          <w:rFonts w:hint="eastAsia" w:ascii="方正小标宋简体" w:eastAsia="方正小标宋简体"/>
          <w:b/>
          <w:bCs/>
          <w:color w:val="333333"/>
          <w:kern w:val="0"/>
          <w:sz w:val="44"/>
          <w:szCs w:val="44"/>
        </w:rPr>
        <w:t>年度政府信息公开工作报告</w:t>
      </w:r>
    </w:p>
    <w:p w14:paraId="38A0BF64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atLeast"/>
        <w:ind w:left="0" w:right="0" w:firstLine="0"/>
        <w:rPr>
          <w:rFonts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方正小标宋简体" w:eastAsia="方正小标宋简体"/>
          <w:b/>
          <w:bCs/>
          <w:color w:val="333333"/>
          <w:kern w:val="0"/>
          <w:sz w:val="44"/>
          <w:szCs w:val="44"/>
          <w:lang w:val="en-US" w:eastAsia="zh-CN"/>
        </w:rPr>
        <w:t xml:space="preserve">   </w:t>
      </w: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31"/>
          <w:szCs w:val="31"/>
        </w:rPr>
        <w:t>一、总体情况</w:t>
      </w:r>
    </w:p>
    <w:p w14:paraId="441B49D6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645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仿宋_GB2312" w:hAnsi="sans-serif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2019年，威海市文登区行政审批服务局根据《中华人民共和国政府信息公开条例》和国务院办公厅政府信息与政务公开办公室下发的《关于政府信息公开工作年度报告有关事项的通知》，认真开展政府信息公开工作。在政府信息公开渠道拓展上，依托互联网、文登政府网、山东政务服务网（文登站点）、简报以及中心设置的智能服务终端机、自助受理机、电子显示屏等，建立和完善了信息发布与政府信息公开一体的服务平台；在政府信息公开方面，主动公开与群众咨询公开相结合，不断提高政务服务中心的工作透明度和服务水平、办事效率；在制度建设上，继续完善各种制度规章，依法、按时公开各种政府信息，促进行政审批服务局履行职责，全面接受社会监督。全年，通过“中国.文登”网政府信息公开专栏、山东政务服务网（文登站点）以及新闻媒体、公告栏、电子显示屏等多种形式，发布各类法律法规、办事指南等服务信息4710条（政务服务网信息数），及时、全面、有效地主动公开政府信息，积极受理和恢复政府信息公开申请，为公众提供了比较好的政府信息公开服务。</w:t>
      </w:r>
    </w:p>
    <w:p w14:paraId="741681C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240" w:afterAutospacing="0" w:line="420" w:lineRule="atLeast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</w:p>
    <w:p w14:paraId="42EC8E9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240" w:afterAutospacing="0" w:line="420" w:lineRule="atLeast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二、主动公开政府信息情况</w:t>
      </w:r>
    </w:p>
    <w:tbl>
      <w:tblPr>
        <w:tblStyle w:val="3"/>
        <w:tblW w:w="814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20"/>
        <w:gridCol w:w="1875"/>
        <w:gridCol w:w="1275"/>
        <w:gridCol w:w="1875"/>
      </w:tblGrid>
      <w:tr w14:paraId="5A68C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81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8CC5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第二十条第（一）项</w:t>
            </w:r>
          </w:p>
        </w:tc>
      </w:tr>
      <w:tr w14:paraId="42D02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5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95AA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信息内容</w:t>
            </w:r>
          </w:p>
        </w:tc>
        <w:tc>
          <w:tcPr>
            <w:tcW w:w="18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F070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本年新</w:t>
            </w:r>
          </w:p>
          <w:p w14:paraId="4BB9A0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制作数量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581E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本年新</w:t>
            </w:r>
          </w:p>
          <w:p w14:paraId="226CE7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公开数量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11AD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对外公开总数量</w:t>
            </w:r>
          </w:p>
        </w:tc>
      </w:tr>
      <w:tr w14:paraId="3BB34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90D9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规章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320F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1B4A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 0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161B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0</w:t>
            </w:r>
          </w:p>
        </w:tc>
      </w:tr>
      <w:tr w14:paraId="28103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D01B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规范性文件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9C5D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DFE6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 </w:t>
            </w: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0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3B1A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0</w:t>
            </w:r>
          </w:p>
        </w:tc>
      </w:tr>
      <w:tr w14:paraId="2A8A4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814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8E89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第二十条第（五）项</w:t>
            </w:r>
          </w:p>
        </w:tc>
      </w:tr>
      <w:tr w14:paraId="2512C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1EE0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信息内容</w:t>
            </w:r>
          </w:p>
        </w:tc>
        <w:tc>
          <w:tcPr>
            <w:tcW w:w="18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588E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上一年项目数量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2CA6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本年增</w:t>
            </w: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/</w:t>
            </w: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减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646D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处理决定数量</w:t>
            </w:r>
          </w:p>
        </w:tc>
      </w:tr>
      <w:tr w14:paraId="774B80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4A99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行政许可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FC12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48F1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  <w:t>139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2830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　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20046</w:t>
            </w:r>
          </w:p>
        </w:tc>
      </w:tr>
      <w:tr w14:paraId="43DA4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F3D0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其他对外管理服务事项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008F1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90AB36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C80853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</w:tr>
      <w:tr w14:paraId="35AF9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814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A6FC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第二十条第（六）项</w:t>
            </w:r>
          </w:p>
        </w:tc>
      </w:tr>
      <w:tr w14:paraId="0933F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8DF5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信息内容</w:t>
            </w:r>
          </w:p>
        </w:tc>
        <w:tc>
          <w:tcPr>
            <w:tcW w:w="18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9279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上一年项目数量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6F1B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本年增</w:t>
            </w: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/</w:t>
            </w: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减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2E11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处理决定数量</w:t>
            </w:r>
          </w:p>
        </w:tc>
      </w:tr>
      <w:tr w14:paraId="37D9E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F22A3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行政处罚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0586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4D18BF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F9A4DF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</w:tr>
      <w:tr w14:paraId="69116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1D4D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行政强制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D5AA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 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D0B582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C22E91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</w:tr>
      <w:tr w14:paraId="1D0C5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814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9E54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第二十条第（八）项</w:t>
            </w:r>
          </w:p>
        </w:tc>
      </w:tr>
      <w:tr w14:paraId="3058B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D10B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信息内容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E46A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上一年项目数量</w:t>
            </w:r>
          </w:p>
        </w:tc>
        <w:tc>
          <w:tcPr>
            <w:tcW w:w="315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33D70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本年增</w:t>
            </w: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/</w:t>
            </w: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减</w:t>
            </w:r>
          </w:p>
        </w:tc>
      </w:tr>
      <w:tr w14:paraId="3C80D4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9FE0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行政事业性收费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844F0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　</w:t>
            </w:r>
            <w:r>
              <w:rPr>
                <w:rFonts w:hint="default" w:ascii="Times New Roman" w:hAnsi="Times New Roman" w:eastAsia="宋体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A29BF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增加</w:t>
            </w:r>
            <w:r>
              <w:rPr>
                <w:rFonts w:hint="default" w:ascii="Times New Roman" w:hAnsi="Times New Roman" w:eastAsia="宋体" w:cs="Times New Roman"/>
                <w:color w:val="000000"/>
                <w:sz w:val="19"/>
                <w:szCs w:val="19"/>
              </w:rPr>
              <w:t>5</w:t>
            </w:r>
            <w:r>
              <w:rPr>
                <w:rFonts w:hint="default" w:ascii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</w:tr>
      <w:tr w14:paraId="534CD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814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E5F5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第二十条第（九）项</w:t>
            </w:r>
          </w:p>
        </w:tc>
      </w:tr>
      <w:tr w14:paraId="587F8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9A5C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信息内容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C4C1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采购项目数量</w:t>
            </w:r>
          </w:p>
        </w:tc>
        <w:tc>
          <w:tcPr>
            <w:tcW w:w="315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A9147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采购总金额</w:t>
            </w:r>
          </w:p>
        </w:tc>
      </w:tr>
      <w:tr w14:paraId="501E4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47FE1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政府集中采购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745C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　</w:t>
            </w:r>
            <w:r>
              <w:rPr>
                <w:rFonts w:hint="default" w:ascii="Times New Roman" w:hAnsi="Times New Roman" w:eastAsia="宋体" w:cs="Times New Roman"/>
                <w:color w:val="000000"/>
                <w:sz w:val="19"/>
                <w:szCs w:val="19"/>
              </w:rPr>
              <w:t>22</w:t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E6B27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102600元</w:t>
            </w:r>
          </w:p>
        </w:tc>
      </w:tr>
    </w:tbl>
    <w:p w14:paraId="7A7B301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20" w:lineRule="atLeast"/>
        <w:ind w:left="0" w:right="0" w:firstLine="0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</w:pPr>
    </w:p>
    <w:p w14:paraId="31D5EF3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20" w:lineRule="atLeast"/>
        <w:ind w:left="0" w:right="0" w:firstLine="0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</w:pPr>
    </w:p>
    <w:p w14:paraId="3F251C3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20" w:lineRule="atLeast"/>
        <w:ind w:left="0" w:right="0" w:firstLine="0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</w:pPr>
    </w:p>
    <w:p w14:paraId="34D6ABE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20" w:lineRule="atLeast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三、收到和处理政府信息公开申请情况</w:t>
      </w:r>
    </w:p>
    <w:tbl>
      <w:tblPr>
        <w:tblStyle w:val="3"/>
        <w:tblW w:w="907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15"/>
        <w:gridCol w:w="855"/>
        <w:gridCol w:w="2040"/>
        <w:gridCol w:w="810"/>
        <w:gridCol w:w="765"/>
        <w:gridCol w:w="750"/>
        <w:gridCol w:w="810"/>
        <w:gridCol w:w="960"/>
        <w:gridCol w:w="705"/>
        <w:gridCol w:w="765"/>
      </w:tblGrid>
      <w:tr w14:paraId="3BF03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jc w:val="center"/>
        </w:trPr>
        <w:tc>
          <w:tcPr>
            <w:tcW w:w="3510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7A04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（本列数据的勾稽关系为：第一项加第二项之和，等于第三项加第四项之和）</w:t>
            </w:r>
          </w:p>
        </w:tc>
        <w:tc>
          <w:tcPr>
            <w:tcW w:w="5565" w:type="dxa"/>
            <w:gridSpan w:val="7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A7B6D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申请人情况</w:t>
            </w:r>
          </w:p>
        </w:tc>
      </w:tr>
      <w:tr w14:paraId="76717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510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C5522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97C23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自然人</w:t>
            </w:r>
          </w:p>
        </w:tc>
        <w:tc>
          <w:tcPr>
            <w:tcW w:w="3975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1EEB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法人或其他组织</w:t>
            </w:r>
          </w:p>
        </w:tc>
        <w:tc>
          <w:tcPr>
            <w:tcW w:w="76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4222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总计</w:t>
            </w:r>
          </w:p>
        </w:tc>
      </w:tr>
      <w:tr w14:paraId="499FC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510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60C76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1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729A8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6ECFE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E778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科研机构</w:t>
            </w:r>
          </w:p>
        </w:tc>
        <w:tc>
          <w:tcPr>
            <w:tcW w:w="81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DE8B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社会公益组织</w:t>
            </w:r>
          </w:p>
        </w:tc>
        <w:tc>
          <w:tcPr>
            <w:tcW w:w="96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06C5D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法律服务机构</w:t>
            </w:r>
          </w:p>
        </w:tc>
        <w:tc>
          <w:tcPr>
            <w:tcW w:w="70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F8FD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其他</w:t>
            </w:r>
          </w:p>
        </w:tc>
        <w:tc>
          <w:tcPr>
            <w:tcW w:w="76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63D43C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DB50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51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A4A2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一、本年新收政府信息公开申请数量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A300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B1FE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 </w:t>
            </w: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DDC4D9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D60D30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C39DF8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0A54BF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046B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 </w:t>
            </w: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0</w:t>
            </w:r>
          </w:p>
        </w:tc>
      </w:tr>
      <w:tr w14:paraId="3144C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51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14950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二、上年结转政府信息公开申请数量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D81DCA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A5D60E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42B6CE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68537A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23D1DC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92F303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F0BC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 0</w:t>
            </w:r>
          </w:p>
        </w:tc>
      </w:tr>
      <w:tr w14:paraId="5FF96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37E2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三、本年度办理结果</w:t>
            </w:r>
          </w:p>
        </w:tc>
        <w:tc>
          <w:tcPr>
            <w:tcW w:w="289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01AC0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ascii="楷体" w:hAnsi="楷体" w:eastAsia="楷体" w:cs="楷体"/>
                <w:sz w:val="19"/>
                <w:szCs w:val="19"/>
              </w:rPr>
              <w:t>（一）予以公开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CCB7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7998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 </w:t>
            </w: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5050AB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893F28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FD6AEE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1BF0BF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E38C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0</w:t>
            </w:r>
          </w:p>
        </w:tc>
      </w:tr>
      <w:tr w14:paraId="49BAC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F509A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9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EE59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（二）部分公开（区分处理的，只计这一情形，不计其他情形）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945188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0BFFA0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A44A1E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5B4323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89979A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8D8565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7842AB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</w:tr>
      <w:tr w14:paraId="057FD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AB5AE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CE40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（三）不予公开</w:t>
            </w:r>
          </w:p>
        </w:tc>
        <w:tc>
          <w:tcPr>
            <w:tcW w:w="20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0966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1.</w:t>
            </w:r>
            <w:r>
              <w:rPr>
                <w:rFonts w:hint="eastAsia" w:ascii="楷体" w:hAnsi="楷体" w:eastAsia="楷体" w:cs="楷体"/>
                <w:sz w:val="19"/>
                <w:szCs w:val="19"/>
              </w:rPr>
              <w:t>属于国家秘密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3BD3A8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4575B9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81CF7B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2FC9A3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DE6C8F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4AF0DD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2793ED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</w:tr>
      <w:tr w14:paraId="4537D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B734A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33077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B73F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2.</w:t>
            </w:r>
            <w:r>
              <w:rPr>
                <w:rFonts w:hint="eastAsia" w:ascii="楷体" w:hAnsi="楷体" w:eastAsia="楷体" w:cs="楷体"/>
                <w:sz w:val="19"/>
                <w:szCs w:val="19"/>
              </w:rPr>
              <w:t>其他法律行政法规禁止公开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CC9B19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6BF791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FE5860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F121BB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19A507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9F18D1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1A95A5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</w:tr>
      <w:tr w14:paraId="533FE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28036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B6EB2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48D3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3.</w:t>
            </w:r>
            <w:r>
              <w:rPr>
                <w:rFonts w:hint="eastAsia" w:ascii="楷体" w:hAnsi="楷体" w:eastAsia="楷体" w:cs="楷体"/>
                <w:sz w:val="19"/>
                <w:szCs w:val="19"/>
              </w:rPr>
              <w:t>危及</w:t>
            </w:r>
            <w:r>
              <w:rPr>
                <w:rFonts w:hint="default" w:ascii="Times New Roman" w:hAnsi="Times New Roman" w:cs="Times New Roman"/>
                <w:sz w:val="19"/>
                <w:szCs w:val="19"/>
              </w:rPr>
              <w:t>“</w:t>
            </w:r>
            <w:r>
              <w:rPr>
                <w:rFonts w:hint="eastAsia" w:ascii="楷体" w:hAnsi="楷体" w:eastAsia="楷体" w:cs="楷体"/>
                <w:sz w:val="19"/>
                <w:szCs w:val="19"/>
              </w:rPr>
              <w:t>三安全一稳定</w:t>
            </w:r>
            <w:r>
              <w:rPr>
                <w:rFonts w:hint="default" w:ascii="Times New Roman" w:hAnsi="Times New Roman" w:cs="Times New Roman"/>
                <w:sz w:val="19"/>
                <w:szCs w:val="19"/>
              </w:rPr>
              <w:t>”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F0D0B1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CC1F58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99B1FD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220C38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B5EBC2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0BAF9A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989D7F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</w:tr>
      <w:tr w14:paraId="2F615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84AFF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AE308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06CBE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4.</w:t>
            </w:r>
            <w:r>
              <w:rPr>
                <w:rFonts w:hint="eastAsia" w:ascii="楷体" w:hAnsi="楷体" w:eastAsia="楷体" w:cs="楷体"/>
                <w:sz w:val="19"/>
                <w:szCs w:val="19"/>
              </w:rPr>
              <w:t>保护第三方合法权益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FF6A30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0B1D5E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E32CD4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6C3DDB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06596B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2C3614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496FB8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</w:tr>
      <w:tr w14:paraId="560DD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6424D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9F47B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1987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5.</w:t>
            </w:r>
            <w:r>
              <w:rPr>
                <w:rFonts w:hint="eastAsia" w:ascii="楷体" w:hAnsi="楷体" w:eastAsia="楷体" w:cs="楷体"/>
                <w:sz w:val="19"/>
                <w:szCs w:val="19"/>
              </w:rPr>
              <w:t>属于三类内部事务信息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F206BC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E3F2B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ACF18E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DD4BCF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2AD120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C5DA1B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538598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</w:tr>
      <w:tr w14:paraId="09D97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765FF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BEEA8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DD98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6.</w:t>
            </w:r>
            <w:r>
              <w:rPr>
                <w:rFonts w:hint="eastAsia" w:ascii="楷体" w:hAnsi="楷体" w:eastAsia="楷体" w:cs="楷体"/>
                <w:sz w:val="19"/>
                <w:szCs w:val="19"/>
              </w:rPr>
              <w:t>属于四类过程性信息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9E850D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20E774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4A381A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E84E83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4BABBA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30FCC4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CB2F67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</w:tr>
      <w:tr w14:paraId="67C45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6A354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C097E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979B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7.</w:t>
            </w:r>
            <w:r>
              <w:rPr>
                <w:rFonts w:hint="eastAsia" w:ascii="楷体" w:hAnsi="楷体" w:eastAsia="楷体" w:cs="楷体"/>
                <w:sz w:val="19"/>
                <w:szCs w:val="19"/>
              </w:rPr>
              <w:t>属于行政执法案卷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F35B04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6C2E21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C8B935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1C00BC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92B978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E90818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6EDDD5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</w:tr>
      <w:tr w14:paraId="718B7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5235E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9FC97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0E3F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8.</w:t>
            </w:r>
            <w:r>
              <w:rPr>
                <w:rFonts w:hint="eastAsia" w:ascii="楷体" w:hAnsi="楷体" w:eastAsia="楷体" w:cs="楷体"/>
                <w:sz w:val="19"/>
                <w:szCs w:val="19"/>
              </w:rPr>
              <w:t>属于行政查询事项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014CD5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0D41DF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E652CD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C72F15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7255B2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901BF1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93FF70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</w:tr>
      <w:tr w14:paraId="3199A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4717D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CF09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（四）无法提供</w:t>
            </w:r>
          </w:p>
        </w:tc>
        <w:tc>
          <w:tcPr>
            <w:tcW w:w="20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FC96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1.</w:t>
            </w:r>
            <w:r>
              <w:rPr>
                <w:rFonts w:hint="eastAsia" w:ascii="楷体" w:hAnsi="楷体" w:eastAsia="楷体" w:cs="楷体"/>
                <w:sz w:val="19"/>
                <w:szCs w:val="19"/>
              </w:rPr>
              <w:t>本机关不掌握相关政府信息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C7D0DE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12E960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5ABB78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7C0084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1D8948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A57667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BD0832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</w:tr>
      <w:tr w14:paraId="618DE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7D48C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1147D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AD7D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2.</w:t>
            </w:r>
            <w:r>
              <w:rPr>
                <w:rFonts w:hint="eastAsia" w:ascii="楷体" w:hAnsi="楷体" w:eastAsia="楷体" w:cs="楷体"/>
                <w:sz w:val="19"/>
                <w:szCs w:val="19"/>
              </w:rPr>
              <w:t>没有现成信息需要另行制作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9224F3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686030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7E31EA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9BE4D5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265347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3D6989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D60564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</w:tr>
      <w:tr w14:paraId="01166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01F70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D1599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7997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3.</w:t>
            </w:r>
            <w:r>
              <w:rPr>
                <w:rFonts w:hint="eastAsia" w:ascii="楷体" w:hAnsi="楷体" w:eastAsia="楷体" w:cs="楷体"/>
                <w:sz w:val="19"/>
                <w:szCs w:val="19"/>
              </w:rPr>
              <w:t>补正后申请内容仍不明确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787B10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A6904D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14928C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BE2023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38EC3E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527A47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49B3D3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</w:tr>
      <w:tr w14:paraId="4B97E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AADE7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4471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（五）不予处理</w:t>
            </w:r>
          </w:p>
        </w:tc>
        <w:tc>
          <w:tcPr>
            <w:tcW w:w="20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F502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1.</w:t>
            </w:r>
            <w:r>
              <w:rPr>
                <w:rFonts w:hint="eastAsia" w:ascii="楷体" w:hAnsi="楷体" w:eastAsia="楷体" w:cs="楷体"/>
                <w:sz w:val="19"/>
                <w:szCs w:val="19"/>
              </w:rPr>
              <w:t>信访举报投诉类申请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76749F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62FC99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90C201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1CFED9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60B183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4CB4A5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C3E32B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</w:tr>
      <w:tr w14:paraId="5A578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92F57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9D5BF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D04C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2.</w:t>
            </w:r>
            <w:r>
              <w:rPr>
                <w:rFonts w:hint="eastAsia" w:ascii="楷体" w:hAnsi="楷体" w:eastAsia="楷体" w:cs="楷体"/>
                <w:sz w:val="19"/>
                <w:szCs w:val="19"/>
              </w:rPr>
              <w:t>重复申请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D00504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B4A9B9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0E45CE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F10775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585922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5D94E7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A300F7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</w:tr>
      <w:tr w14:paraId="06F90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67338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42D19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B55F3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3.</w:t>
            </w:r>
            <w:r>
              <w:rPr>
                <w:rFonts w:hint="eastAsia" w:ascii="楷体" w:hAnsi="楷体" w:eastAsia="楷体" w:cs="楷体"/>
                <w:sz w:val="19"/>
                <w:szCs w:val="19"/>
              </w:rPr>
              <w:t>要求提供公开出版物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E00FB6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B71220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17AD46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97549A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9FC79E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513077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226F5B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</w:tr>
      <w:tr w14:paraId="4228D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FEEFC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1133C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1FE3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4.</w:t>
            </w:r>
            <w:r>
              <w:rPr>
                <w:rFonts w:hint="eastAsia" w:ascii="楷体" w:hAnsi="楷体" w:eastAsia="楷体" w:cs="楷体"/>
                <w:sz w:val="19"/>
                <w:szCs w:val="19"/>
              </w:rPr>
              <w:t>无正当理由大量反复申请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510F0F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6DF2E5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9FFF28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57F80F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9F4665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E86D8A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B60720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</w:tr>
      <w:tr w14:paraId="26E65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14356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46FB0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B0493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5.</w:t>
            </w:r>
            <w:r>
              <w:rPr>
                <w:rFonts w:hint="eastAsia" w:ascii="楷体" w:hAnsi="楷体" w:eastAsia="楷体" w:cs="楷体"/>
                <w:sz w:val="19"/>
                <w:szCs w:val="19"/>
              </w:rPr>
              <w:t>要求行政机关确认或重新出具已获取信息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2AD354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71CD26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CF979E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C27663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5650D6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2C4EF7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5CC503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</w:tr>
      <w:tr w14:paraId="1A149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7D907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9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E3B3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（六）其他处理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9D084B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6DA5FC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389CC9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95E6D9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9C3254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49EEE2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CAF283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</w:tr>
      <w:tr w14:paraId="40EA9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CAAC7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89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6D2C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19"/>
                <w:szCs w:val="19"/>
              </w:rPr>
              <w:t>（七）总计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FC650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9"/>
                <w:szCs w:val="19"/>
                <w:lang w:val="en-US" w:eastAsia="zh-CN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F049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</w:rPr>
              <w:t> </w:t>
            </w: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0A6C85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B6FD36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6356F4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8F4E77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1FE4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14:paraId="6EB6D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51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C1AF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left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四、结转下年度继续办理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E67CEB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A509CC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91F6C6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70BB8A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FD7F8D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915C79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072C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14:paraId="3063819B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</w:p>
    <w:p w14:paraId="4AB8B999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1"/>
          <w:szCs w:val="31"/>
        </w:rPr>
        <w:t>四、政府信息公开行政复议、行政诉讼情况</w:t>
      </w:r>
    </w:p>
    <w:p w14:paraId="230ABDC6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  <w:t> </w:t>
      </w:r>
    </w:p>
    <w:tbl>
      <w:tblPr>
        <w:tblStyle w:val="3"/>
        <w:tblW w:w="907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0"/>
        <w:gridCol w:w="600"/>
        <w:gridCol w:w="600"/>
        <w:gridCol w:w="600"/>
        <w:gridCol w:w="675"/>
        <w:gridCol w:w="555"/>
        <w:gridCol w:w="600"/>
        <w:gridCol w:w="600"/>
        <w:gridCol w:w="600"/>
        <w:gridCol w:w="615"/>
        <w:gridCol w:w="600"/>
        <w:gridCol w:w="600"/>
        <w:gridCol w:w="600"/>
        <w:gridCol w:w="600"/>
        <w:gridCol w:w="630"/>
      </w:tblGrid>
      <w:tr w14:paraId="20C07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307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FE07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行政复议</w:t>
            </w:r>
          </w:p>
        </w:tc>
        <w:tc>
          <w:tcPr>
            <w:tcW w:w="6000" w:type="dxa"/>
            <w:gridSpan w:val="10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CB6F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行政诉讼</w:t>
            </w:r>
          </w:p>
        </w:tc>
      </w:tr>
      <w:tr w14:paraId="7688A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00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67359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结果维持</w:t>
            </w: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FF7D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结果纠正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8662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其他结果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FF31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尚未审结</w:t>
            </w:r>
          </w:p>
        </w:tc>
        <w:tc>
          <w:tcPr>
            <w:tcW w:w="67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6564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9168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未经复议直接起诉</w:t>
            </w:r>
          </w:p>
        </w:tc>
        <w:tc>
          <w:tcPr>
            <w:tcW w:w="303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F59E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复议后起诉</w:t>
            </w:r>
          </w:p>
        </w:tc>
      </w:tr>
      <w:tr w14:paraId="12E0D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0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8AE42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5699B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C9266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C4F5D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7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1194A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76FB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结果维持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C9209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结果纠正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89CD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其他结果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4A15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尚未审结</w:t>
            </w:r>
          </w:p>
        </w:tc>
        <w:tc>
          <w:tcPr>
            <w:tcW w:w="61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D7A4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总计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8CC7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结果维持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DA23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结果纠正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13710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其他结果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B4EC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尚未审结</w:t>
            </w:r>
          </w:p>
        </w:tc>
        <w:tc>
          <w:tcPr>
            <w:tcW w:w="63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5A4E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总计</w:t>
            </w:r>
          </w:p>
        </w:tc>
      </w:tr>
      <w:tr w14:paraId="25ADD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ADCA21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60780B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392129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2F5740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60CC02">
            <w:pPr>
              <w:keepNext w:val="0"/>
              <w:keepLines w:val="0"/>
              <w:widowControl/>
              <w:suppressLineNumbers w:val="0"/>
              <w:jc w:val="center"/>
              <w:rPr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88E2DC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587AF8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D72013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2EB4BA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F90C42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5FC754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5A16FD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F71BF9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1559D5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5B93AF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14:paraId="4A492D31">
      <w:pPr>
        <w:pStyle w:val="2"/>
        <w:keepNext w:val="0"/>
        <w:keepLines w:val="0"/>
        <w:widowControl/>
        <w:suppressLineNumbers w:val="0"/>
        <w:spacing w:before="105" w:beforeAutospacing="0" w:after="105" w:afterAutospacing="0" w:line="660" w:lineRule="atLeast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0B4BEC8A">
      <w:pPr>
        <w:pStyle w:val="2"/>
        <w:keepNext w:val="0"/>
        <w:keepLines w:val="0"/>
        <w:widowControl/>
        <w:suppressLineNumbers w:val="0"/>
        <w:spacing w:before="105" w:beforeAutospacing="0" w:after="105" w:afterAutospacing="0" w:line="660" w:lineRule="atLeast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0C73555D">
      <w:pPr>
        <w:pStyle w:val="2"/>
        <w:keepNext w:val="0"/>
        <w:keepLines w:val="0"/>
        <w:widowControl/>
        <w:suppressLineNumbers w:val="0"/>
        <w:spacing w:before="105" w:beforeAutospacing="0" w:after="105" w:afterAutospacing="0" w:line="660" w:lineRule="atLeast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5D55DA26">
      <w:pPr>
        <w:pStyle w:val="2"/>
        <w:keepNext w:val="0"/>
        <w:keepLines w:val="0"/>
        <w:widowControl/>
        <w:suppressLineNumbers w:val="0"/>
        <w:spacing w:before="105" w:beforeAutospacing="0" w:after="105" w:afterAutospacing="0" w:line="660" w:lineRule="atLeast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1"/>
          <w:szCs w:val="31"/>
        </w:rPr>
        <w:t>五、存在的主要问题及改进情况</w:t>
      </w:r>
    </w:p>
    <w:p w14:paraId="42964C23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55" w:lineRule="atLeast"/>
        <w:ind w:left="0" w:right="0" w:firstLine="645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_GB2312" w:hAnsi="sans-serif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1、信息公开范围窄。当前，政府公开的信息大部分是在文登政府网或山东政务服务网（文登站点），目前，除企业使用山东政务服务网（文登站点）办事了解此网站的信息，其余公众了解得少，造成了主动阅览面不宽。建议通过更多媒体的宣传，拓宽公开信息的受众范围，让广大企业和群众方便知晓政府的政策和信息。</w:t>
      </w:r>
    </w:p>
    <w:p w14:paraId="5D59F14E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55" w:lineRule="atLeast"/>
        <w:ind w:left="0" w:right="0" w:firstLine="645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_GB2312" w:hAnsi="sans-serif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2、管理部门缺乏统一与协调。山东政务服务网（文登站点）信息公开职能涵盖了区直所有行政部门，缺乏相应的管理部门以及统一的规划和部署，行政部门之间在信息公开方面大多处于各自为政的状态，缺少统一性和协调性，公开形式及范围存在较大的差别。建议进一步明确山东政务服务网（文登站点）信息公开的管理部门及职责，便于有效协调调度各行政部门之间的信息公开工作，实现政府信息资源的全面共享。</w:t>
      </w:r>
      <w:bookmarkStart w:id="0" w:name="_GoBack"/>
      <w:bookmarkEnd w:id="0"/>
    </w:p>
    <w:p w14:paraId="5131855E">
      <w:pPr>
        <w:pStyle w:val="2"/>
        <w:keepNext w:val="0"/>
        <w:keepLines w:val="0"/>
        <w:widowControl/>
        <w:suppressLineNumbers w:val="0"/>
        <w:spacing w:before="105" w:beforeAutospacing="0" w:after="105" w:afterAutospacing="0" w:line="660" w:lineRule="atLeast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570EF679">
      <w:pPr>
        <w:pStyle w:val="2"/>
        <w:keepNext w:val="0"/>
        <w:keepLines w:val="0"/>
        <w:widowControl/>
        <w:suppressLineNumbers w:val="0"/>
        <w:spacing w:before="105" w:beforeAutospacing="0" w:after="105" w:afterAutospacing="0" w:line="660" w:lineRule="atLeast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1"/>
          <w:szCs w:val="31"/>
        </w:rPr>
        <w:t>六、其他需要报告的事项</w:t>
      </w:r>
    </w:p>
    <w:p w14:paraId="5149530D">
      <w:pPr>
        <w:pStyle w:val="2"/>
        <w:keepNext w:val="0"/>
        <w:keepLines w:val="0"/>
        <w:widowControl/>
        <w:suppressLineNumbers w:val="0"/>
        <w:spacing w:before="105" w:beforeAutospacing="0" w:after="105" w:afterAutospacing="0" w:line="660" w:lineRule="atLeast"/>
        <w:ind w:left="0" w:right="0" w:firstLine="645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_GB2312" w:hAnsi="sans-serif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无</w:t>
      </w:r>
    </w:p>
    <w:p w14:paraId="0C9FE7D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eastAsia="仿宋_GB2312"/>
          <w:color w:val="333333"/>
          <w:kern w:val="0"/>
          <w:sz w:val="32"/>
          <w:szCs w:val="32"/>
          <w:lang w:val="en-US" w:eastAsia="zh-CN"/>
        </w:rPr>
      </w:pPr>
    </w:p>
    <w:p w14:paraId="5F50C07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eastAsia="仿宋_GB2312"/>
          <w:color w:val="333333"/>
          <w:kern w:val="0"/>
          <w:sz w:val="32"/>
          <w:szCs w:val="32"/>
          <w:lang w:val="en-US" w:eastAsia="zh-CN"/>
        </w:rPr>
      </w:pPr>
    </w:p>
    <w:p w14:paraId="378969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2154" w:right="1531" w:bottom="192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hMDAwYTMyMmU1NzEzNTZmZGQ2YjgxMjBmZjE2ZjYifQ=="/>
  </w:docVars>
  <w:rsids>
    <w:rsidRoot w:val="009F6D1F"/>
    <w:rsid w:val="009F6D1F"/>
    <w:rsid w:val="00D50B69"/>
    <w:rsid w:val="03C7620C"/>
    <w:rsid w:val="042868A4"/>
    <w:rsid w:val="068C00C8"/>
    <w:rsid w:val="06FF0394"/>
    <w:rsid w:val="07623682"/>
    <w:rsid w:val="08945B0F"/>
    <w:rsid w:val="0949476C"/>
    <w:rsid w:val="0A2A15FB"/>
    <w:rsid w:val="0C385E2E"/>
    <w:rsid w:val="12CA415F"/>
    <w:rsid w:val="13ED3F32"/>
    <w:rsid w:val="148A4AFB"/>
    <w:rsid w:val="160549BD"/>
    <w:rsid w:val="17FC2718"/>
    <w:rsid w:val="1A507064"/>
    <w:rsid w:val="1C7B1DAB"/>
    <w:rsid w:val="1CBC4184"/>
    <w:rsid w:val="206C17DB"/>
    <w:rsid w:val="212473D6"/>
    <w:rsid w:val="217D0A67"/>
    <w:rsid w:val="24642861"/>
    <w:rsid w:val="26D76009"/>
    <w:rsid w:val="26E8101C"/>
    <w:rsid w:val="28E20871"/>
    <w:rsid w:val="2CCA5136"/>
    <w:rsid w:val="2CE17935"/>
    <w:rsid w:val="2E1F017B"/>
    <w:rsid w:val="2E232047"/>
    <w:rsid w:val="2E7E2E7E"/>
    <w:rsid w:val="2E8002CF"/>
    <w:rsid w:val="30875E6D"/>
    <w:rsid w:val="3349545D"/>
    <w:rsid w:val="384A46F1"/>
    <w:rsid w:val="39A031F3"/>
    <w:rsid w:val="3A58259D"/>
    <w:rsid w:val="40571533"/>
    <w:rsid w:val="430B79A5"/>
    <w:rsid w:val="45B1702D"/>
    <w:rsid w:val="478C5F3C"/>
    <w:rsid w:val="49842268"/>
    <w:rsid w:val="4E185FD4"/>
    <w:rsid w:val="4E966009"/>
    <w:rsid w:val="52B33FE5"/>
    <w:rsid w:val="5606739D"/>
    <w:rsid w:val="56741C62"/>
    <w:rsid w:val="59B17B7E"/>
    <w:rsid w:val="5AA04687"/>
    <w:rsid w:val="5ADB2E24"/>
    <w:rsid w:val="5F770251"/>
    <w:rsid w:val="63300B14"/>
    <w:rsid w:val="68FA70E4"/>
    <w:rsid w:val="693E5017"/>
    <w:rsid w:val="6B3842A6"/>
    <w:rsid w:val="73C4448C"/>
    <w:rsid w:val="760576F8"/>
    <w:rsid w:val="78B06E9A"/>
    <w:rsid w:val="7BF03F0D"/>
    <w:rsid w:val="7E3B1E0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line="420" w:lineRule="atLeast"/>
      <w:jc w:val="left"/>
    </w:pPr>
    <w:rPr>
      <w:rFonts w:cs="Times New Roman"/>
      <w:kern w:val="0"/>
      <w:sz w:val="24"/>
    </w:rPr>
  </w:style>
  <w:style w:type="character" w:styleId="5">
    <w:name w:val="FollowedHyperlink"/>
    <w:basedOn w:val="4"/>
    <w:qFormat/>
    <w:uiPriority w:val="0"/>
    <w:rPr>
      <w:rFonts w:hint="eastAsia" w:ascii="微软雅黑" w:hAnsi="微软雅黑" w:eastAsia="微软雅黑" w:cs="微软雅黑"/>
      <w:color w:val="3D3D3D"/>
      <w:sz w:val="22"/>
      <w:szCs w:val="22"/>
      <w:u w:val="none"/>
    </w:rPr>
  </w:style>
  <w:style w:type="character" w:styleId="6">
    <w:name w:val="Emphasis"/>
    <w:basedOn w:val="4"/>
    <w:qFormat/>
    <w:uiPriority w:val="0"/>
  </w:style>
  <w:style w:type="character" w:styleId="7">
    <w:name w:val="HTML Definition"/>
    <w:basedOn w:val="4"/>
    <w:qFormat/>
    <w:uiPriority w:val="0"/>
  </w:style>
  <w:style w:type="character" w:styleId="8">
    <w:name w:val="HTML Acronym"/>
    <w:basedOn w:val="4"/>
    <w:qFormat/>
    <w:uiPriority w:val="0"/>
  </w:style>
  <w:style w:type="character" w:styleId="9">
    <w:name w:val="HTML Variable"/>
    <w:basedOn w:val="4"/>
    <w:qFormat/>
    <w:uiPriority w:val="0"/>
  </w:style>
  <w:style w:type="character" w:styleId="10">
    <w:name w:val="Hyperlink"/>
    <w:basedOn w:val="4"/>
    <w:qFormat/>
    <w:uiPriority w:val="0"/>
    <w:rPr>
      <w:rFonts w:hint="eastAsia" w:ascii="微软雅黑" w:hAnsi="微软雅黑" w:eastAsia="微软雅黑" w:cs="微软雅黑"/>
      <w:color w:val="3D3D3D"/>
      <w:sz w:val="22"/>
      <w:szCs w:val="22"/>
      <w:u w:val="none"/>
    </w:rPr>
  </w:style>
  <w:style w:type="character" w:styleId="11">
    <w:name w:val="HTML Code"/>
    <w:basedOn w:val="4"/>
    <w:qFormat/>
    <w:uiPriority w:val="0"/>
    <w:rPr>
      <w:rFonts w:ascii="Courier New" w:hAnsi="Courier New"/>
      <w:sz w:val="20"/>
    </w:rPr>
  </w:style>
  <w:style w:type="character" w:styleId="12">
    <w:name w:val="HTML Cite"/>
    <w:basedOn w:val="4"/>
    <w:qFormat/>
    <w:uiPriority w:val="0"/>
  </w:style>
  <w:style w:type="character" w:customStyle="1" w:styleId="13">
    <w:name w:val="bsharetext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805</Words>
  <Characters>828</Characters>
  <Lines>5</Lines>
  <Paragraphs>1</Paragraphs>
  <TotalTime>14</TotalTime>
  <ScaleCrop>false</ScaleCrop>
  <LinksUpToDate>false</LinksUpToDate>
  <CharactersWithSpaces>843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2021-01-27T02:21:00Z</dcterms:created>
  <dc:creator>Administrator</dc:creator>
  <cp:lastModifiedBy>嘉婧</cp:lastModifiedBy>
  <dcterms:modified xsi:type="dcterms:W3CDTF">2026-06-02T01:31:14Z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8A56572A691A4DD09AB1601F038DC528</vt:lpwstr>
  </property>
  <property fmtid="{D5CDD505-2E9C-101B-9397-08002B2CF9AE}" pid="4" name="KSOTemplateDocerSaveRecord">
    <vt:lpwstr>eyJoZGlkIjoiMDdhZTY4ZmU1OWQ4ZGE0M2E4N2JmZTg2NmM2ZGM1NTIiLCJ1c2VySWQiOiI3MjYxMTYyMjIifQ==</vt:lpwstr>
  </property>
</Properties>
</file>