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1571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03"/>
        <w:gridCol w:w="1411"/>
        <w:gridCol w:w="1473"/>
        <w:gridCol w:w="3845"/>
        <w:gridCol w:w="1195"/>
        <w:gridCol w:w="775"/>
        <w:gridCol w:w="851"/>
        <w:gridCol w:w="1354"/>
        <w:gridCol w:w="975"/>
        <w:gridCol w:w="3428"/>
      </w:tblGrid>
      <w:tr w14:paraId="205543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403" w:type="dxa"/>
            <w:vAlign w:val="top"/>
          </w:tcPr>
          <w:p w14:paraId="33AC4E1C">
            <w:pPr>
              <w:spacing w:before="26" w:line="201" w:lineRule="auto"/>
              <w:ind w:left="26"/>
              <w:rPr>
                <w:rFonts w:ascii="黑体" w:hAnsi="黑体" w:eastAsia="黑体" w:cs="黑体"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黑体" w:hAnsi="黑体" w:eastAsia="黑体" w:cs="黑体"/>
                <w:spacing w:val="-4"/>
                <w:sz w:val="18"/>
                <w:szCs w:val="18"/>
              </w:rPr>
              <w:t>序号</w:t>
            </w:r>
          </w:p>
        </w:tc>
        <w:tc>
          <w:tcPr>
            <w:tcW w:w="1411" w:type="dxa"/>
            <w:vAlign w:val="top"/>
          </w:tcPr>
          <w:p w14:paraId="5A0B193D">
            <w:pPr>
              <w:spacing w:before="26" w:line="201" w:lineRule="auto"/>
              <w:ind w:left="165"/>
              <w:rPr>
                <w:rFonts w:ascii="黑体" w:hAnsi="黑体" w:eastAsia="黑体" w:cs="黑体"/>
                <w:sz w:val="18"/>
                <w:szCs w:val="18"/>
              </w:rPr>
            </w:pPr>
            <w:r>
              <w:rPr>
                <w:rFonts w:ascii="黑体" w:hAnsi="黑体" w:eastAsia="黑体" w:cs="黑体"/>
                <w:spacing w:val="-1"/>
                <w:sz w:val="18"/>
                <w:szCs w:val="18"/>
              </w:rPr>
              <w:t>权责清单事项</w:t>
            </w:r>
          </w:p>
        </w:tc>
        <w:tc>
          <w:tcPr>
            <w:tcW w:w="1473" w:type="dxa"/>
            <w:vAlign w:val="top"/>
          </w:tcPr>
          <w:p w14:paraId="2819F900">
            <w:pPr>
              <w:spacing w:before="26" w:line="201" w:lineRule="auto"/>
              <w:ind w:left="381"/>
              <w:rPr>
                <w:rFonts w:ascii="黑体" w:hAnsi="黑体" w:eastAsia="黑体" w:cs="黑体"/>
                <w:sz w:val="18"/>
                <w:szCs w:val="18"/>
              </w:rPr>
            </w:pPr>
            <w:r>
              <w:rPr>
                <w:rFonts w:ascii="黑体" w:hAnsi="黑体" w:eastAsia="黑体" w:cs="黑体"/>
                <w:spacing w:val="-2"/>
                <w:sz w:val="18"/>
                <w:szCs w:val="18"/>
              </w:rPr>
              <w:t>抽查事项</w:t>
            </w:r>
          </w:p>
        </w:tc>
        <w:tc>
          <w:tcPr>
            <w:tcW w:w="3845" w:type="dxa"/>
            <w:vAlign w:val="top"/>
          </w:tcPr>
          <w:p w14:paraId="4E99A378">
            <w:pPr>
              <w:spacing w:before="26" w:line="201" w:lineRule="auto"/>
              <w:ind w:left="1567"/>
              <w:rPr>
                <w:rFonts w:ascii="黑体" w:hAnsi="黑体" w:eastAsia="黑体" w:cs="黑体"/>
                <w:sz w:val="18"/>
                <w:szCs w:val="18"/>
              </w:rPr>
            </w:pPr>
            <w:r>
              <w:rPr>
                <w:rFonts w:ascii="黑体" w:hAnsi="黑体" w:eastAsia="黑体" w:cs="黑体"/>
                <w:spacing w:val="-2"/>
                <w:sz w:val="18"/>
                <w:szCs w:val="18"/>
              </w:rPr>
              <w:t>抽查内容</w:t>
            </w:r>
          </w:p>
        </w:tc>
        <w:tc>
          <w:tcPr>
            <w:tcW w:w="1195" w:type="dxa"/>
            <w:vAlign w:val="top"/>
          </w:tcPr>
          <w:p w14:paraId="352C0197">
            <w:pPr>
              <w:spacing w:before="26" w:line="201" w:lineRule="auto"/>
              <w:ind w:left="239"/>
              <w:rPr>
                <w:rFonts w:ascii="黑体" w:hAnsi="黑体" w:eastAsia="黑体" w:cs="黑体"/>
                <w:sz w:val="18"/>
                <w:szCs w:val="18"/>
              </w:rPr>
            </w:pPr>
            <w:r>
              <w:rPr>
                <w:rFonts w:ascii="黑体" w:hAnsi="黑体" w:eastAsia="黑体" w:cs="黑体"/>
                <w:spacing w:val="-2"/>
                <w:sz w:val="18"/>
                <w:szCs w:val="18"/>
              </w:rPr>
              <w:t>检查对象</w:t>
            </w:r>
          </w:p>
        </w:tc>
        <w:tc>
          <w:tcPr>
            <w:tcW w:w="775" w:type="dxa"/>
            <w:vAlign w:val="top"/>
          </w:tcPr>
          <w:p w14:paraId="5125DA82">
            <w:pPr>
              <w:spacing w:before="26" w:line="201" w:lineRule="auto"/>
              <w:ind w:left="38"/>
              <w:rPr>
                <w:rFonts w:ascii="黑体" w:hAnsi="黑体" w:eastAsia="黑体" w:cs="黑体"/>
                <w:sz w:val="18"/>
                <w:szCs w:val="18"/>
              </w:rPr>
            </w:pPr>
            <w:r>
              <w:rPr>
                <w:rFonts w:ascii="黑体" w:hAnsi="黑体" w:eastAsia="黑体" w:cs="黑体"/>
                <w:spacing w:val="-3"/>
                <w:sz w:val="18"/>
                <w:szCs w:val="18"/>
              </w:rPr>
              <w:t>事项类别</w:t>
            </w:r>
          </w:p>
        </w:tc>
        <w:tc>
          <w:tcPr>
            <w:tcW w:w="851" w:type="dxa"/>
            <w:vAlign w:val="top"/>
          </w:tcPr>
          <w:p w14:paraId="12380A05">
            <w:pPr>
              <w:spacing w:before="26" w:line="201" w:lineRule="auto"/>
              <w:ind w:left="69"/>
              <w:rPr>
                <w:rFonts w:ascii="黑体" w:hAnsi="黑体" w:eastAsia="黑体" w:cs="黑体"/>
                <w:sz w:val="18"/>
                <w:szCs w:val="18"/>
              </w:rPr>
            </w:pPr>
            <w:r>
              <w:rPr>
                <w:rFonts w:ascii="黑体" w:hAnsi="黑体" w:eastAsia="黑体" w:cs="黑体"/>
                <w:spacing w:val="-2"/>
                <w:sz w:val="18"/>
                <w:szCs w:val="18"/>
              </w:rPr>
              <w:t>检查方式</w:t>
            </w:r>
          </w:p>
        </w:tc>
        <w:tc>
          <w:tcPr>
            <w:tcW w:w="1354" w:type="dxa"/>
            <w:vAlign w:val="top"/>
          </w:tcPr>
          <w:p w14:paraId="000EDC23">
            <w:pPr>
              <w:spacing w:before="26" w:line="201" w:lineRule="auto"/>
              <w:ind w:left="54"/>
              <w:rPr>
                <w:rFonts w:ascii="黑体" w:hAnsi="黑体" w:eastAsia="黑体" w:cs="黑体"/>
                <w:sz w:val="18"/>
                <w:szCs w:val="18"/>
              </w:rPr>
            </w:pPr>
            <w:r>
              <w:rPr>
                <w:rFonts w:ascii="黑体" w:hAnsi="黑体" w:eastAsia="黑体" w:cs="黑体"/>
                <w:spacing w:val="-2"/>
                <w:sz w:val="18"/>
                <w:szCs w:val="18"/>
              </w:rPr>
              <w:t>抽查比例及频次</w:t>
            </w:r>
          </w:p>
        </w:tc>
        <w:tc>
          <w:tcPr>
            <w:tcW w:w="975" w:type="dxa"/>
            <w:vAlign w:val="top"/>
          </w:tcPr>
          <w:p w14:paraId="2571BFCA">
            <w:pPr>
              <w:spacing w:before="26" w:line="201" w:lineRule="auto"/>
              <w:ind w:left="132"/>
              <w:rPr>
                <w:rFonts w:ascii="黑体" w:hAnsi="黑体" w:eastAsia="黑体" w:cs="黑体"/>
                <w:sz w:val="18"/>
                <w:szCs w:val="18"/>
              </w:rPr>
            </w:pPr>
            <w:r>
              <w:rPr>
                <w:rFonts w:ascii="黑体" w:hAnsi="黑体" w:eastAsia="黑体" w:cs="黑体"/>
                <w:spacing w:val="-2"/>
                <w:sz w:val="18"/>
                <w:szCs w:val="18"/>
              </w:rPr>
              <w:t>检查主体</w:t>
            </w:r>
          </w:p>
        </w:tc>
        <w:tc>
          <w:tcPr>
            <w:tcW w:w="3428" w:type="dxa"/>
            <w:vAlign w:val="top"/>
          </w:tcPr>
          <w:p w14:paraId="7768DD05">
            <w:pPr>
              <w:spacing w:before="26" w:line="201" w:lineRule="auto"/>
              <w:ind w:left="1356"/>
              <w:rPr>
                <w:rFonts w:ascii="黑体" w:hAnsi="黑体" w:eastAsia="黑体" w:cs="黑体"/>
                <w:sz w:val="18"/>
                <w:szCs w:val="18"/>
              </w:rPr>
            </w:pPr>
            <w:r>
              <w:rPr>
                <w:rFonts w:ascii="黑体" w:hAnsi="黑体" w:eastAsia="黑体" w:cs="黑体"/>
                <w:spacing w:val="-2"/>
                <w:sz w:val="18"/>
                <w:szCs w:val="18"/>
              </w:rPr>
              <w:t>检查依据</w:t>
            </w:r>
          </w:p>
        </w:tc>
      </w:tr>
      <w:tr w14:paraId="3FE0B4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4" w:hRule="atLeast"/>
        </w:trPr>
        <w:tc>
          <w:tcPr>
            <w:tcW w:w="403" w:type="dxa"/>
            <w:vAlign w:val="top"/>
          </w:tcPr>
          <w:p w14:paraId="19567C43">
            <w:pPr>
              <w:spacing w:line="409" w:lineRule="auto"/>
              <w:rPr>
                <w:rFonts w:ascii="Arial"/>
                <w:sz w:val="21"/>
              </w:rPr>
            </w:pPr>
          </w:p>
          <w:p w14:paraId="185B8B8B">
            <w:pPr>
              <w:pStyle w:val="7"/>
              <w:spacing w:before="59" w:line="181" w:lineRule="auto"/>
              <w:ind w:left="124"/>
              <w:rPr>
                <w:rFonts w:hint="eastAsia" w:eastAsia="仿宋"/>
                <w:lang w:eastAsia="zh-CN"/>
              </w:rPr>
            </w:pPr>
            <w:r>
              <w:rPr>
                <w:rFonts w:hint="eastAsia"/>
                <w:spacing w:val="-8"/>
                <w:lang w:val="en-US" w:eastAsia="zh-CN"/>
              </w:rPr>
              <w:t>1</w:t>
            </w:r>
          </w:p>
        </w:tc>
        <w:tc>
          <w:tcPr>
            <w:tcW w:w="1411" w:type="dxa"/>
            <w:vAlign w:val="top"/>
          </w:tcPr>
          <w:p w14:paraId="14A6FC8C">
            <w:pPr>
              <w:pStyle w:val="7"/>
              <w:spacing w:before="238" w:line="216" w:lineRule="auto"/>
              <w:ind w:left="15" w:right="15" w:firstLine="3"/>
            </w:pPr>
            <w:r>
              <w:rPr>
                <w:spacing w:val="-2"/>
              </w:rPr>
              <w:t>对社会团体的监</w:t>
            </w:r>
            <w:r>
              <w:rPr>
                <w:spacing w:val="1"/>
              </w:rPr>
              <w:t xml:space="preserve">  </w:t>
            </w:r>
            <w:r>
              <w:rPr>
                <w:spacing w:val="-9"/>
              </w:rPr>
              <w:t>督检查（包含慈善</w:t>
            </w:r>
            <w:r>
              <w:rPr>
                <w:spacing w:val="6"/>
              </w:rPr>
              <w:t xml:space="preserve"> </w:t>
            </w:r>
            <w:r>
              <w:rPr>
                <w:spacing w:val="-3"/>
              </w:rPr>
              <w:t>组织）</w:t>
            </w:r>
          </w:p>
        </w:tc>
        <w:tc>
          <w:tcPr>
            <w:tcW w:w="1473" w:type="dxa"/>
            <w:vAlign w:val="top"/>
          </w:tcPr>
          <w:p w14:paraId="74986E6D">
            <w:pPr>
              <w:pStyle w:val="7"/>
              <w:spacing w:before="30" w:line="212" w:lineRule="auto"/>
              <w:ind w:left="16" w:right="16" w:firstLine="5"/>
              <w:jc w:val="both"/>
            </w:pPr>
            <w:r>
              <w:rPr>
                <w:spacing w:val="-2"/>
              </w:rPr>
              <w:t>对社会团体报送年</w:t>
            </w:r>
            <w:r>
              <w:rPr>
                <w:spacing w:val="4"/>
              </w:rPr>
              <w:t xml:space="preserve"> </w:t>
            </w:r>
            <w:r>
              <w:rPr>
                <w:spacing w:val="-1"/>
              </w:rPr>
              <w:t>度工作报告及违反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《社会团体登记管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理条例》的问题进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行监督检查</w:t>
            </w:r>
          </w:p>
        </w:tc>
        <w:tc>
          <w:tcPr>
            <w:tcW w:w="3845" w:type="dxa"/>
            <w:vAlign w:val="top"/>
          </w:tcPr>
          <w:p w14:paraId="05C5E543">
            <w:pPr>
              <w:pStyle w:val="7"/>
              <w:spacing w:before="237" w:line="214" w:lineRule="auto"/>
              <w:ind w:left="25" w:right="48" w:firstLine="4"/>
            </w:pPr>
            <w:r>
              <w:rPr>
                <w:spacing w:val="-1"/>
              </w:rPr>
              <w:t>1.对社会团体年度工作报告报送情况进行检查；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2.对社会团体违反《社会团体登记管理条例》的</w:t>
            </w:r>
            <w:r>
              <w:rPr>
                <w:spacing w:val="6"/>
              </w:rPr>
              <w:t xml:space="preserve"> </w:t>
            </w:r>
            <w:r>
              <w:rPr>
                <w:spacing w:val="-3"/>
              </w:rPr>
              <w:t>问题进行检查</w:t>
            </w:r>
          </w:p>
        </w:tc>
        <w:tc>
          <w:tcPr>
            <w:tcW w:w="1195" w:type="dxa"/>
            <w:vAlign w:val="top"/>
          </w:tcPr>
          <w:p w14:paraId="2F1E1040">
            <w:pPr>
              <w:pStyle w:val="7"/>
              <w:spacing w:before="239" w:line="214" w:lineRule="auto"/>
              <w:ind w:left="14" w:right="98" w:firstLine="4"/>
              <w:jc w:val="both"/>
            </w:pPr>
            <w:r>
              <w:rPr>
                <w:spacing w:val="-2"/>
              </w:rPr>
              <w:t>本机关或本级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登记的社会团</w:t>
            </w:r>
            <w:r>
              <w:rPr>
                <w:spacing w:val="2"/>
              </w:rPr>
              <w:t xml:space="preserve"> </w:t>
            </w:r>
            <w:r>
              <w:t>体</w:t>
            </w:r>
          </w:p>
        </w:tc>
        <w:tc>
          <w:tcPr>
            <w:tcW w:w="775" w:type="dxa"/>
            <w:vAlign w:val="top"/>
          </w:tcPr>
          <w:p w14:paraId="712A95BA">
            <w:pPr>
              <w:spacing w:line="281" w:lineRule="auto"/>
              <w:rPr>
                <w:rFonts w:ascii="Arial"/>
                <w:sz w:val="21"/>
              </w:rPr>
            </w:pPr>
          </w:p>
          <w:p w14:paraId="471C65CA">
            <w:pPr>
              <w:pStyle w:val="7"/>
              <w:spacing w:before="59" w:line="216" w:lineRule="auto"/>
              <w:ind w:left="218" w:right="23" w:hanging="174"/>
            </w:pPr>
            <w:r>
              <w:rPr>
                <w:spacing w:val="-5"/>
              </w:rPr>
              <w:t>一般检查</w:t>
            </w:r>
            <w:r>
              <w:t xml:space="preserve"> </w:t>
            </w:r>
            <w:r>
              <w:rPr>
                <w:spacing w:val="-7"/>
              </w:rPr>
              <w:t>事项</w:t>
            </w:r>
          </w:p>
        </w:tc>
        <w:tc>
          <w:tcPr>
            <w:tcW w:w="851" w:type="dxa"/>
            <w:vAlign w:val="top"/>
          </w:tcPr>
          <w:p w14:paraId="3A3E6EDF">
            <w:pPr>
              <w:pStyle w:val="7"/>
              <w:spacing w:before="238" w:line="215" w:lineRule="auto"/>
              <w:ind w:left="27" w:firstLine="4"/>
              <w:jc w:val="both"/>
            </w:pPr>
            <w:r>
              <w:rPr>
                <w:spacing w:val="-18"/>
              </w:rPr>
              <w:t>书面检查、</w:t>
            </w:r>
            <w:r>
              <w:rPr>
                <w:spacing w:val="3"/>
              </w:rPr>
              <w:t xml:space="preserve"> </w:t>
            </w:r>
            <w:r>
              <w:rPr>
                <w:spacing w:val="-10"/>
              </w:rPr>
              <w:t>现场检查</w:t>
            </w:r>
            <w:r>
              <w:t xml:space="preserve">  等</w:t>
            </w:r>
          </w:p>
        </w:tc>
        <w:tc>
          <w:tcPr>
            <w:tcW w:w="1354" w:type="dxa"/>
            <w:vAlign w:val="top"/>
          </w:tcPr>
          <w:p w14:paraId="1D38E376">
            <w:pPr>
              <w:pStyle w:val="7"/>
              <w:spacing w:before="237" w:line="215" w:lineRule="auto"/>
              <w:ind w:left="18" w:right="30"/>
              <w:jc w:val="both"/>
            </w:pPr>
            <w:r>
              <w:rPr>
                <w:spacing w:val="-1"/>
              </w:rPr>
              <w:t>全年抽查比例不</w:t>
            </w:r>
            <w:r>
              <w:t xml:space="preserve"> </w:t>
            </w:r>
            <w:r>
              <w:rPr>
                <w:spacing w:val="-3"/>
              </w:rPr>
              <w:t>低于</w:t>
            </w:r>
            <w:r>
              <w:rPr>
                <w:spacing w:val="-27"/>
              </w:rPr>
              <w:t xml:space="preserve"> </w:t>
            </w:r>
            <w:r>
              <w:rPr>
                <w:spacing w:val="-3"/>
              </w:rPr>
              <w:t>5%，每年抽</w:t>
            </w:r>
            <w:r>
              <w:t xml:space="preserve"> </w:t>
            </w:r>
            <w:r>
              <w:rPr>
                <w:spacing w:val="-8"/>
              </w:rPr>
              <w:t>查</w:t>
            </w:r>
            <w:r>
              <w:rPr>
                <w:spacing w:val="-27"/>
              </w:rPr>
              <w:t xml:space="preserve"> </w:t>
            </w:r>
            <w:r>
              <w:rPr>
                <w:spacing w:val="-8"/>
              </w:rPr>
              <w:t>1</w:t>
            </w:r>
            <w:r>
              <w:rPr>
                <w:spacing w:val="-33"/>
              </w:rPr>
              <w:t xml:space="preserve"> </w:t>
            </w:r>
            <w:r>
              <w:rPr>
                <w:spacing w:val="-8"/>
              </w:rPr>
              <w:t>次</w:t>
            </w:r>
          </w:p>
        </w:tc>
        <w:tc>
          <w:tcPr>
            <w:tcW w:w="975" w:type="dxa"/>
            <w:vAlign w:val="top"/>
          </w:tcPr>
          <w:p w14:paraId="5CA1EDA9">
            <w:pPr>
              <w:spacing w:line="282" w:lineRule="auto"/>
              <w:rPr>
                <w:rFonts w:ascii="Arial"/>
                <w:sz w:val="21"/>
              </w:rPr>
            </w:pPr>
          </w:p>
          <w:p w14:paraId="4C5B3D7F">
            <w:pPr>
              <w:pStyle w:val="7"/>
              <w:spacing w:before="58" w:line="215" w:lineRule="auto"/>
              <w:ind w:left="29" w:right="55" w:hanging="2"/>
              <w:rPr>
                <w:rFonts w:hint="eastAsia" w:eastAsia="仿宋"/>
                <w:lang w:eastAsia="zh-CN"/>
              </w:rPr>
            </w:pPr>
            <w:r>
              <w:rPr>
                <w:rFonts w:hint="eastAsia"/>
                <w:spacing w:val="-3"/>
                <w:lang w:eastAsia="zh-CN"/>
              </w:rPr>
              <w:t>区</w:t>
            </w:r>
            <w:r>
              <w:rPr>
                <w:spacing w:val="-3"/>
              </w:rPr>
              <w:t>民政</w:t>
            </w:r>
            <w:r>
              <w:rPr>
                <w:rFonts w:hint="eastAsia"/>
                <w:spacing w:val="-3"/>
                <w:lang w:eastAsia="zh-CN"/>
              </w:rPr>
              <w:t>局</w:t>
            </w:r>
          </w:p>
        </w:tc>
        <w:tc>
          <w:tcPr>
            <w:tcW w:w="3428" w:type="dxa"/>
            <w:vAlign w:val="top"/>
          </w:tcPr>
          <w:p w14:paraId="1D22D3FA">
            <w:pPr>
              <w:pStyle w:val="7"/>
              <w:spacing w:before="30" w:line="214" w:lineRule="auto"/>
              <w:ind w:left="28" w:right="15" w:firstLine="4"/>
            </w:pPr>
            <w:r>
              <w:rPr>
                <w:spacing w:val="-3"/>
              </w:rPr>
              <w:t>1.《社会团体登记管理条例》（国务院令第</w:t>
            </w:r>
            <w:r>
              <w:rPr>
                <w:spacing w:val="14"/>
              </w:rPr>
              <w:t xml:space="preserve"> </w:t>
            </w:r>
            <w:r>
              <w:rPr>
                <w:spacing w:val="-3"/>
              </w:rPr>
              <w:t>250</w:t>
            </w:r>
            <w:r>
              <w:rPr>
                <w:spacing w:val="-19"/>
              </w:rPr>
              <w:t xml:space="preserve"> </w:t>
            </w:r>
            <w:r>
              <w:rPr>
                <w:spacing w:val="-3"/>
              </w:rPr>
              <w:t>号）第六条、第二十七条</w:t>
            </w:r>
          </w:p>
          <w:p w14:paraId="42D6CEA7">
            <w:pPr>
              <w:pStyle w:val="7"/>
              <w:spacing w:before="2" w:line="210" w:lineRule="auto"/>
              <w:ind w:left="20" w:right="15" w:firstLine="7"/>
              <w:jc w:val="both"/>
            </w:pPr>
            <w:r>
              <w:rPr>
                <w:spacing w:val="-6"/>
              </w:rPr>
              <w:t>2.《慈善法》（2016</w:t>
            </w:r>
            <w:r>
              <w:rPr>
                <w:spacing w:val="-24"/>
              </w:rPr>
              <w:t xml:space="preserve"> </w:t>
            </w:r>
            <w:r>
              <w:rPr>
                <w:spacing w:val="-6"/>
              </w:rPr>
              <w:t>年</w:t>
            </w:r>
            <w:r>
              <w:rPr>
                <w:spacing w:val="-24"/>
              </w:rPr>
              <w:t xml:space="preserve"> </w:t>
            </w:r>
            <w:r>
              <w:rPr>
                <w:spacing w:val="-6"/>
              </w:rPr>
              <w:t>3</w:t>
            </w:r>
            <w:r>
              <w:rPr>
                <w:spacing w:val="-29"/>
              </w:rPr>
              <w:t xml:space="preserve"> </w:t>
            </w:r>
            <w:r>
              <w:rPr>
                <w:spacing w:val="-6"/>
              </w:rPr>
              <w:t>月</w:t>
            </w:r>
            <w:r>
              <w:rPr>
                <w:spacing w:val="-26"/>
              </w:rPr>
              <w:t xml:space="preserve"> </w:t>
            </w:r>
            <w:r>
              <w:rPr>
                <w:spacing w:val="-6"/>
              </w:rPr>
              <w:t>16 日第十二届</w:t>
            </w:r>
            <w:r>
              <w:t xml:space="preserve"> </w:t>
            </w:r>
            <w:r>
              <w:rPr>
                <w:spacing w:val="-2"/>
              </w:rPr>
              <w:t>全国人民代表大会第四次会议通过）第十三</w:t>
            </w:r>
            <w:r>
              <w:rPr>
                <w:spacing w:val="4"/>
              </w:rPr>
              <w:t xml:space="preserve"> </w:t>
            </w:r>
            <w:r>
              <w:rPr>
                <w:spacing w:val="-1"/>
              </w:rPr>
              <w:t>条、第九十二条</w:t>
            </w:r>
          </w:p>
        </w:tc>
      </w:tr>
      <w:tr w14:paraId="7A1778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0" w:hRule="atLeast"/>
        </w:trPr>
        <w:tc>
          <w:tcPr>
            <w:tcW w:w="403" w:type="dxa"/>
            <w:vAlign w:val="top"/>
          </w:tcPr>
          <w:p w14:paraId="11D1F050">
            <w:pPr>
              <w:spacing w:line="308" w:lineRule="auto"/>
              <w:rPr>
                <w:rFonts w:ascii="Arial"/>
                <w:sz w:val="21"/>
              </w:rPr>
            </w:pPr>
          </w:p>
          <w:p w14:paraId="32BD4C13">
            <w:pPr>
              <w:spacing w:line="308" w:lineRule="auto"/>
              <w:rPr>
                <w:rFonts w:ascii="Arial"/>
                <w:sz w:val="21"/>
              </w:rPr>
            </w:pPr>
          </w:p>
          <w:p w14:paraId="6827E533">
            <w:pPr>
              <w:pStyle w:val="7"/>
              <w:spacing w:before="58" w:line="181" w:lineRule="auto"/>
              <w:ind w:left="124"/>
              <w:rPr>
                <w:rFonts w:hint="eastAsia" w:eastAsia="仿宋"/>
                <w:lang w:eastAsia="zh-CN"/>
              </w:rPr>
            </w:pPr>
            <w:r>
              <w:rPr>
                <w:rFonts w:hint="eastAsia"/>
                <w:spacing w:val="-8"/>
                <w:lang w:val="en-US" w:eastAsia="zh-CN"/>
              </w:rPr>
              <w:t>2</w:t>
            </w:r>
          </w:p>
        </w:tc>
        <w:tc>
          <w:tcPr>
            <w:tcW w:w="1411" w:type="dxa"/>
            <w:vAlign w:val="top"/>
          </w:tcPr>
          <w:p w14:paraId="1BF2A2B9">
            <w:pPr>
              <w:spacing w:line="387" w:lineRule="auto"/>
              <w:rPr>
                <w:rFonts w:ascii="Arial"/>
                <w:sz w:val="21"/>
              </w:rPr>
            </w:pPr>
          </w:p>
          <w:p w14:paraId="0D309D33">
            <w:pPr>
              <w:pStyle w:val="7"/>
              <w:spacing w:before="58" w:line="215" w:lineRule="auto"/>
              <w:ind w:left="12" w:right="15" w:firstLine="6"/>
            </w:pPr>
            <w:r>
              <w:rPr>
                <w:spacing w:val="-2"/>
              </w:rPr>
              <w:t>对民办非企业单</w:t>
            </w:r>
            <w:r>
              <w:rPr>
                <w:spacing w:val="1"/>
              </w:rPr>
              <w:t xml:space="preserve">  </w:t>
            </w:r>
            <w:r>
              <w:rPr>
                <w:spacing w:val="-8"/>
              </w:rPr>
              <w:t>位的监督检查（包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含慈善组织）</w:t>
            </w:r>
          </w:p>
        </w:tc>
        <w:tc>
          <w:tcPr>
            <w:tcW w:w="1473" w:type="dxa"/>
            <w:vAlign w:val="top"/>
          </w:tcPr>
          <w:p w14:paraId="2B693DC7">
            <w:pPr>
              <w:pStyle w:val="7"/>
              <w:spacing w:before="31" w:line="214" w:lineRule="auto"/>
              <w:ind w:left="22" w:right="16" w:hanging="1"/>
            </w:pPr>
            <w:r>
              <w:rPr>
                <w:spacing w:val="-2"/>
              </w:rPr>
              <w:t>对民办非企业单位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报送年度工作报</w:t>
            </w:r>
          </w:p>
          <w:p w14:paraId="219577B3">
            <w:pPr>
              <w:pStyle w:val="7"/>
              <w:spacing w:before="2" w:line="211" w:lineRule="auto"/>
              <w:ind w:left="15" w:right="16" w:firstLine="8"/>
            </w:pPr>
            <w:r>
              <w:rPr>
                <w:spacing w:val="-2"/>
              </w:rPr>
              <w:t>告、名称使用及违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反《民办非企业单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位登记管理暂行条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例》的问题进行监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督检查</w:t>
            </w:r>
          </w:p>
        </w:tc>
        <w:tc>
          <w:tcPr>
            <w:tcW w:w="3845" w:type="dxa"/>
            <w:vAlign w:val="top"/>
          </w:tcPr>
          <w:p w14:paraId="090C5D44">
            <w:pPr>
              <w:spacing w:line="282" w:lineRule="auto"/>
              <w:rPr>
                <w:rFonts w:ascii="Arial"/>
                <w:sz w:val="21"/>
              </w:rPr>
            </w:pPr>
          </w:p>
          <w:p w14:paraId="08E6ABA4">
            <w:pPr>
              <w:pStyle w:val="7"/>
              <w:spacing w:before="58" w:line="216" w:lineRule="auto"/>
              <w:ind w:left="16" w:right="48" w:firstLine="13"/>
              <w:jc w:val="both"/>
            </w:pPr>
            <w:r>
              <w:rPr>
                <w:spacing w:val="-1"/>
              </w:rPr>
              <w:t>1.对民办非企业单位年度工作报告报送情况进行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检查；2.对民办非企业单位名称使用及违反《民</w:t>
            </w:r>
            <w:r>
              <w:rPr>
                <w:spacing w:val="16"/>
              </w:rPr>
              <w:t xml:space="preserve"> </w:t>
            </w:r>
            <w:r>
              <w:rPr>
                <w:spacing w:val="-1"/>
              </w:rPr>
              <w:t>办非企业单位登记管理暂行条例》的问题进行检</w:t>
            </w:r>
            <w:r>
              <w:rPr>
                <w:spacing w:val="15"/>
              </w:rPr>
              <w:t xml:space="preserve"> </w:t>
            </w:r>
            <w:r>
              <w:t>查</w:t>
            </w:r>
          </w:p>
        </w:tc>
        <w:tc>
          <w:tcPr>
            <w:tcW w:w="1195" w:type="dxa"/>
            <w:vAlign w:val="top"/>
          </w:tcPr>
          <w:p w14:paraId="42D497DA">
            <w:pPr>
              <w:spacing w:line="387" w:lineRule="auto"/>
              <w:rPr>
                <w:rFonts w:ascii="Arial"/>
                <w:sz w:val="21"/>
              </w:rPr>
            </w:pPr>
          </w:p>
          <w:p w14:paraId="5F43CE56">
            <w:pPr>
              <w:pStyle w:val="7"/>
              <w:spacing w:before="58" w:line="214" w:lineRule="auto"/>
              <w:ind w:left="19" w:right="98" w:hanging="1"/>
              <w:jc w:val="both"/>
            </w:pPr>
            <w:r>
              <w:rPr>
                <w:spacing w:val="-2"/>
              </w:rPr>
              <w:t>本机关或本级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登记的民办非</w:t>
            </w:r>
            <w:r>
              <w:rPr>
                <w:spacing w:val="2"/>
              </w:rPr>
              <w:t xml:space="preserve"> </w:t>
            </w:r>
            <w:r>
              <w:rPr>
                <w:spacing w:val="-3"/>
              </w:rPr>
              <w:t>企业单位</w:t>
            </w:r>
          </w:p>
        </w:tc>
        <w:tc>
          <w:tcPr>
            <w:tcW w:w="775" w:type="dxa"/>
            <w:vAlign w:val="top"/>
          </w:tcPr>
          <w:p w14:paraId="4BF972BC">
            <w:pPr>
              <w:spacing w:line="245" w:lineRule="auto"/>
              <w:rPr>
                <w:rFonts w:ascii="Arial"/>
                <w:sz w:val="21"/>
              </w:rPr>
            </w:pPr>
          </w:p>
          <w:p w14:paraId="7263C94C">
            <w:pPr>
              <w:spacing w:line="245" w:lineRule="auto"/>
              <w:rPr>
                <w:rFonts w:ascii="Arial"/>
                <w:sz w:val="21"/>
              </w:rPr>
            </w:pPr>
          </w:p>
          <w:p w14:paraId="67ED3500">
            <w:pPr>
              <w:pStyle w:val="7"/>
              <w:spacing w:before="58" w:line="216" w:lineRule="auto"/>
              <w:ind w:left="218" w:right="23" w:hanging="174"/>
            </w:pPr>
            <w:r>
              <w:rPr>
                <w:spacing w:val="-5"/>
              </w:rPr>
              <w:t>一般检查</w:t>
            </w:r>
            <w:r>
              <w:t xml:space="preserve"> </w:t>
            </w:r>
            <w:r>
              <w:rPr>
                <w:spacing w:val="-7"/>
              </w:rPr>
              <w:t>事项</w:t>
            </w:r>
          </w:p>
        </w:tc>
        <w:tc>
          <w:tcPr>
            <w:tcW w:w="851" w:type="dxa"/>
            <w:vAlign w:val="top"/>
          </w:tcPr>
          <w:p w14:paraId="05199CF2">
            <w:pPr>
              <w:spacing w:line="387" w:lineRule="auto"/>
              <w:rPr>
                <w:rFonts w:ascii="Arial"/>
                <w:sz w:val="21"/>
              </w:rPr>
            </w:pPr>
          </w:p>
          <w:p w14:paraId="0CD5FC1B">
            <w:pPr>
              <w:pStyle w:val="7"/>
              <w:spacing w:before="58" w:line="215" w:lineRule="auto"/>
              <w:ind w:left="27" w:firstLine="4"/>
              <w:jc w:val="both"/>
            </w:pPr>
            <w:r>
              <w:rPr>
                <w:spacing w:val="-18"/>
              </w:rPr>
              <w:t>书面检查、</w:t>
            </w:r>
            <w:r>
              <w:rPr>
                <w:spacing w:val="3"/>
              </w:rPr>
              <w:t xml:space="preserve"> </w:t>
            </w:r>
            <w:r>
              <w:rPr>
                <w:spacing w:val="-10"/>
              </w:rPr>
              <w:t>现场检查</w:t>
            </w:r>
            <w:r>
              <w:t xml:space="preserve">  等</w:t>
            </w:r>
          </w:p>
        </w:tc>
        <w:tc>
          <w:tcPr>
            <w:tcW w:w="1354" w:type="dxa"/>
            <w:vAlign w:val="top"/>
          </w:tcPr>
          <w:p w14:paraId="0052DE84">
            <w:pPr>
              <w:spacing w:line="386" w:lineRule="auto"/>
              <w:rPr>
                <w:rFonts w:ascii="Arial"/>
                <w:sz w:val="21"/>
              </w:rPr>
            </w:pPr>
          </w:p>
          <w:p w14:paraId="52119809">
            <w:pPr>
              <w:pStyle w:val="7"/>
              <w:spacing w:before="58" w:line="215" w:lineRule="auto"/>
              <w:ind w:left="18" w:right="30"/>
              <w:jc w:val="both"/>
            </w:pPr>
            <w:r>
              <w:rPr>
                <w:spacing w:val="-1"/>
              </w:rPr>
              <w:t>全年抽查比例不</w:t>
            </w:r>
            <w:r>
              <w:t xml:space="preserve"> </w:t>
            </w:r>
            <w:r>
              <w:rPr>
                <w:spacing w:val="-3"/>
              </w:rPr>
              <w:t>低于</w:t>
            </w:r>
            <w:r>
              <w:rPr>
                <w:spacing w:val="-27"/>
              </w:rPr>
              <w:t xml:space="preserve"> </w:t>
            </w:r>
            <w:r>
              <w:rPr>
                <w:spacing w:val="-3"/>
              </w:rPr>
              <w:t>5%，每年抽</w:t>
            </w:r>
            <w:r>
              <w:t xml:space="preserve"> </w:t>
            </w:r>
            <w:r>
              <w:rPr>
                <w:spacing w:val="-8"/>
              </w:rPr>
              <w:t>查</w:t>
            </w:r>
            <w:r>
              <w:rPr>
                <w:spacing w:val="-27"/>
              </w:rPr>
              <w:t xml:space="preserve"> </w:t>
            </w:r>
            <w:r>
              <w:rPr>
                <w:spacing w:val="-8"/>
              </w:rPr>
              <w:t>1</w:t>
            </w:r>
            <w:r>
              <w:rPr>
                <w:spacing w:val="-33"/>
              </w:rPr>
              <w:t xml:space="preserve"> </w:t>
            </w:r>
            <w:r>
              <w:rPr>
                <w:spacing w:val="-8"/>
              </w:rPr>
              <w:t>次</w:t>
            </w:r>
          </w:p>
        </w:tc>
        <w:tc>
          <w:tcPr>
            <w:tcW w:w="975" w:type="dxa"/>
            <w:vAlign w:val="top"/>
          </w:tcPr>
          <w:p w14:paraId="08A4FC34">
            <w:pPr>
              <w:spacing w:line="245" w:lineRule="auto"/>
              <w:rPr>
                <w:rFonts w:ascii="Arial"/>
                <w:sz w:val="21"/>
              </w:rPr>
            </w:pPr>
          </w:p>
          <w:p w14:paraId="133F471E">
            <w:pPr>
              <w:spacing w:line="245" w:lineRule="auto"/>
              <w:rPr>
                <w:rFonts w:ascii="Arial"/>
                <w:sz w:val="21"/>
              </w:rPr>
            </w:pPr>
          </w:p>
          <w:p w14:paraId="27A10225">
            <w:pPr>
              <w:pStyle w:val="7"/>
              <w:spacing w:before="59" w:line="215" w:lineRule="auto"/>
              <w:ind w:left="29" w:right="55" w:hanging="2"/>
              <w:rPr>
                <w:rFonts w:hint="eastAsia" w:eastAsia="仿宋"/>
                <w:lang w:eastAsia="zh-CN"/>
              </w:rPr>
            </w:pPr>
            <w:r>
              <w:rPr>
                <w:rFonts w:hint="eastAsia"/>
                <w:spacing w:val="-3"/>
                <w:lang w:eastAsia="zh-CN"/>
              </w:rPr>
              <w:t>区</w:t>
            </w:r>
            <w:r>
              <w:rPr>
                <w:spacing w:val="-3"/>
              </w:rPr>
              <w:t>民政</w:t>
            </w:r>
            <w:r>
              <w:rPr>
                <w:rFonts w:hint="eastAsia"/>
                <w:spacing w:val="-3"/>
                <w:lang w:eastAsia="zh-CN"/>
              </w:rPr>
              <w:t>局</w:t>
            </w:r>
          </w:p>
        </w:tc>
        <w:tc>
          <w:tcPr>
            <w:tcW w:w="3428" w:type="dxa"/>
            <w:vAlign w:val="top"/>
          </w:tcPr>
          <w:p w14:paraId="2535CF14">
            <w:pPr>
              <w:pStyle w:val="7"/>
              <w:spacing w:before="31" w:line="214" w:lineRule="auto"/>
              <w:ind w:left="25" w:right="15" w:firstLine="7"/>
            </w:pPr>
            <w:r>
              <w:rPr>
                <w:spacing w:val="-11"/>
              </w:rPr>
              <w:t>1.《民办非企业单位登记管理暂行条例》（国</w:t>
            </w:r>
            <w:r>
              <w:rPr>
                <w:spacing w:val="5"/>
              </w:rPr>
              <w:t xml:space="preserve"> </w:t>
            </w:r>
            <w:r>
              <w:rPr>
                <w:spacing w:val="-3"/>
              </w:rPr>
              <w:t>务院令第</w:t>
            </w:r>
            <w:r>
              <w:rPr>
                <w:spacing w:val="-20"/>
              </w:rPr>
              <w:t xml:space="preserve"> </w:t>
            </w:r>
            <w:r>
              <w:rPr>
                <w:spacing w:val="-3"/>
              </w:rPr>
              <w:t>251</w:t>
            </w:r>
            <w:r>
              <w:rPr>
                <w:spacing w:val="-31"/>
              </w:rPr>
              <w:t xml:space="preserve"> </w:t>
            </w:r>
            <w:r>
              <w:rPr>
                <w:spacing w:val="-3"/>
              </w:rPr>
              <w:t>号）第五条、第十九条</w:t>
            </w:r>
          </w:p>
          <w:p w14:paraId="4C01E2B3">
            <w:pPr>
              <w:pStyle w:val="7"/>
              <w:spacing w:before="1" w:line="212" w:lineRule="auto"/>
              <w:ind w:left="21" w:right="15" w:firstLine="7"/>
            </w:pPr>
            <w:r>
              <w:rPr>
                <w:spacing w:val="-11"/>
              </w:rPr>
              <w:t>2.《民办非企业单位名称管理暂行规定》（民</w:t>
            </w:r>
            <w:r>
              <w:rPr>
                <w:spacing w:val="9"/>
              </w:rPr>
              <w:t xml:space="preserve"> </w:t>
            </w:r>
            <w:r>
              <w:rPr>
                <w:spacing w:val="-1"/>
              </w:rPr>
              <w:t>发〔1999〕129</w:t>
            </w:r>
            <w:r>
              <w:rPr>
                <w:spacing w:val="-28"/>
              </w:rPr>
              <w:t xml:space="preserve"> </w:t>
            </w:r>
            <w:r>
              <w:rPr>
                <w:spacing w:val="-1"/>
              </w:rPr>
              <w:t>号）第二条第一款</w:t>
            </w:r>
          </w:p>
          <w:p w14:paraId="7A170725">
            <w:pPr>
              <w:pStyle w:val="7"/>
              <w:spacing w:before="2" w:line="210" w:lineRule="auto"/>
              <w:ind w:left="20" w:right="15" w:firstLine="14"/>
              <w:jc w:val="both"/>
            </w:pPr>
            <w:r>
              <w:rPr>
                <w:spacing w:val="-6"/>
              </w:rPr>
              <w:t>3.《慈善法》（2016</w:t>
            </w:r>
            <w:r>
              <w:rPr>
                <w:spacing w:val="-31"/>
              </w:rPr>
              <w:t xml:space="preserve"> </w:t>
            </w:r>
            <w:r>
              <w:rPr>
                <w:spacing w:val="-6"/>
              </w:rPr>
              <w:t>年</w:t>
            </w:r>
            <w:r>
              <w:rPr>
                <w:spacing w:val="-24"/>
              </w:rPr>
              <w:t xml:space="preserve"> </w:t>
            </w:r>
            <w:r>
              <w:rPr>
                <w:spacing w:val="-6"/>
              </w:rPr>
              <w:t>3</w:t>
            </w:r>
            <w:r>
              <w:rPr>
                <w:spacing w:val="-29"/>
              </w:rPr>
              <w:t xml:space="preserve"> </w:t>
            </w:r>
            <w:r>
              <w:rPr>
                <w:spacing w:val="-6"/>
              </w:rPr>
              <w:t>月</w:t>
            </w:r>
            <w:r>
              <w:rPr>
                <w:spacing w:val="-26"/>
              </w:rPr>
              <w:t xml:space="preserve"> </w:t>
            </w:r>
            <w:r>
              <w:rPr>
                <w:spacing w:val="-6"/>
              </w:rPr>
              <w:t>16 日第十二届</w:t>
            </w:r>
            <w:r>
              <w:t xml:space="preserve"> </w:t>
            </w:r>
            <w:r>
              <w:rPr>
                <w:spacing w:val="-2"/>
              </w:rPr>
              <w:t>全国人民代表大会第四次会议通过）第十三</w:t>
            </w:r>
            <w:r>
              <w:rPr>
                <w:spacing w:val="4"/>
              </w:rPr>
              <w:t xml:space="preserve"> </w:t>
            </w:r>
            <w:r>
              <w:rPr>
                <w:spacing w:val="-1"/>
              </w:rPr>
              <w:t>条、第九十二条</w:t>
            </w:r>
          </w:p>
        </w:tc>
      </w:tr>
      <w:tr w14:paraId="694C44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0" w:hRule="atLeast"/>
        </w:trPr>
        <w:tc>
          <w:tcPr>
            <w:tcW w:w="403" w:type="dxa"/>
            <w:vAlign w:val="top"/>
          </w:tcPr>
          <w:p w14:paraId="58EE9B96">
            <w:pPr>
              <w:spacing w:line="309" w:lineRule="auto"/>
              <w:rPr>
                <w:rFonts w:ascii="Arial"/>
                <w:sz w:val="21"/>
              </w:rPr>
            </w:pPr>
          </w:p>
          <w:p w14:paraId="45AE9154">
            <w:pPr>
              <w:spacing w:line="309" w:lineRule="auto"/>
              <w:rPr>
                <w:rFonts w:ascii="Arial"/>
                <w:sz w:val="21"/>
              </w:rPr>
            </w:pPr>
          </w:p>
          <w:p w14:paraId="331C5DE7">
            <w:pPr>
              <w:pStyle w:val="7"/>
              <w:spacing w:before="59" w:line="181" w:lineRule="auto"/>
              <w:ind w:left="124"/>
              <w:rPr>
                <w:rFonts w:hint="default" w:eastAsia="仿宋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411" w:type="dxa"/>
            <w:vAlign w:val="top"/>
          </w:tcPr>
          <w:p w14:paraId="3EC19F59">
            <w:pPr>
              <w:spacing w:line="387" w:lineRule="auto"/>
              <w:rPr>
                <w:rFonts w:ascii="Arial"/>
                <w:sz w:val="21"/>
              </w:rPr>
            </w:pPr>
          </w:p>
          <w:p w14:paraId="0AE99D01">
            <w:pPr>
              <w:pStyle w:val="7"/>
              <w:spacing w:before="58" w:line="216" w:lineRule="auto"/>
              <w:ind w:left="13" w:right="15" w:firstLine="5"/>
            </w:pPr>
            <w:r>
              <w:rPr>
                <w:spacing w:val="-2"/>
              </w:rPr>
              <w:t>对基金会的监督</w:t>
            </w:r>
            <w:r>
              <w:rPr>
                <w:spacing w:val="1"/>
              </w:rPr>
              <w:t xml:space="preserve">  </w:t>
            </w:r>
            <w:r>
              <w:rPr>
                <w:spacing w:val="-8"/>
              </w:rPr>
              <w:t>检查（包含慈善组</w:t>
            </w:r>
            <w:r>
              <w:t xml:space="preserve"> </w:t>
            </w:r>
            <w:r>
              <w:rPr>
                <w:spacing w:val="-3"/>
              </w:rPr>
              <w:t>织）</w:t>
            </w:r>
          </w:p>
        </w:tc>
        <w:tc>
          <w:tcPr>
            <w:tcW w:w="1473" w:type="dxa"/>
            <w:vAlign w:val="top"/>
          </w:tcPr>
          <w:p w14:paraId="5194E50A">
            <w:pPr>
              <w:pStyle w:val="7"/>
              <w:spacing w:before="33" w:line="213" w:lineRule="auto"/>
              <w:ind w:left="19" w:right="14" w:firstLine="2"/>
            </w:pPr>
            <w:r>
              <w:rPr>
                <w:spacing w:val="-2"/>
              </w:rPr>
              <w:t>对基金会报送年度</w:t>
            </w:r>
            <w:r>
              <w:rPr>
                <w:spacing w:val="4"/>
              </w:rPr>
              <w:t xml:space="preserve"> </w:t>
            </w:r>
            <w:r>
              <w:rPr>
                <w:spacing w:val="-21"/>
              </w:rPr>
              <w:t>工作报告、依照《基</w:t>
            </w:r>
            <w:r>
              <w:rPr>
                <w:spacing w:val="1"/>
              </w:rPr>
              <w:t xml:space="preserve"> </w:t>
            </w:r>
            <w:r>
              <w:rPr>
                <w:spacing w:val="-21"/>
              </w:rPr>
              <w:t>金会管理条例》《基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金会信息公布办</w:t>
            </w:r>
          </w:p>
          <w:p w14:paraId="0C03F916">
            <w:pPr>
              <w:pStyle w:val="7"/>
              <w:spacing w:before="1" w:line="210" w:lineRule="auto"/>
              <w:ind w:left="18" w:right="16" w:firstLine="6"/>
            </w:pPr>
            <w:r>
              <w:rPr>
                <w:spacing w:val="-2"/>
              </w:rPr>
              <w:t>法》及其章程开展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活动的情况进行监</w:t>
            </w:r>
            <w:r>
              <w:t xml:space="preserve"> </w:t>
            </w:r>
            <w:r>
              <w:rPr>
                <w:spacing w:val="-3"/>
              </w:rPr>
              <w:t>督检查</w:t>
            </w:r>
          </w:p>
        </w:tc>
        <w:tc>
          <w:tcPr>
            <w:tcW w:w="3845" w:type="dxa"/>
            <w:vAlign w:val="top"/>
          </w:tcPr>
          <w:p w14:paraId="5B743C9A">
            <w:pPr>
              <w:spacing w:line="284" w:lineRule="auto"/>
              <w:rPr>
                <w:rFonts w:ascii="Arial"/>
                <w:sz w:val="21"/>
              </w:rPr>
            </w:pPr>
          </w:p>
          <w:p w14:paraId="4E37D12F">
            <w:pPr>
              <w:pStyle w:val="7"/>
              <w:spacing w:before="58" w:line="214" w:lineRule="auto"/>
              <w:ind w:left="22" w:right="47" w:firstLine="7"/>
              <w:jc w:val="both"/>
            </w:pPr>
            <w:r>
              <w:rPr>
                <w:spacing w:val="-1"/>
              </w:rPr>
              <w:t>1.对基金会年度工作报告报送情况进行检查；2.</w:t>
            </w:r>
            <w:r>
              <w:rPr>
                <w:spacing w:val="4"/>
              </w:rPr>
              <w:t xml:space="preserve"> </w:t>
            </w:r>
            <w:r>
              <w:rPr>
                <w:spacing w:val="-1"/>
              </w:rPr>
              <w:t>对基金会依照《基金会管理条例》及其章程开展</w:t>
            </w:r>
            <w:r>
              <w:rPr>
                <w:spacing w:val="9"/>
              </w:rPr>
              <w:t xml:space="preserve"> </w:t>
            </w:r>
            <w:r>
              <w:rPr>
                <w:spacing w:val="-1"/>
              </w:rPr>
              <w:t>活动的情况进行检查；3.对基金会信息公布活动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</w:rPr>
              <w:t>的情况进行检查</w:t>
            </w:r>
          </w:p>
        </w:tc>
        <w:tc>
          <w:tcPr>
            <w:tcW w:w="1195" w:type="dxa"/>
            <w:vAlign w:val="top"/>
          </w:tcPr>
          <w:p w14:paraId="6F89C475">
            <w:pPr>
              <w:spacing w:line="245" w:lineRule="auto"/>
              <w:rPr>
                <w:rFonts w:ascii="Arial"/>
                <w:sz w:val="21"/>
              </w:rPr>
            </w:pPr>
          </w:p>
          <w:p w14:paraId="43C14DD6">
            <w:pPr>
              <w:spacing w:line="245" w:lineRule="auto"/>
              <w:rPr>
                <w:rFonts w:ascii="Arial"/>
                <w:sz w:val="21"/>
              </w:rPr>
            </w:pPr>
          </w:p>
          <w:p w14:paraId="091CD389">
            <w:pPr>
              <w:pStyle w:val="7"/>
              <w:spacing w:before="58" w:line="218" w:lineRule="auto"/>
              <w:ind w:left="20" w:right="98" w:hanging="2"/>
            </w:pPr>
            <w:r>
              <w:rPr>
                <w:spacing w:val="-2"/>
              </w:rPr>
              <w:t>本机关或本级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登记的基金会</w:t>
            </w:r>
          </w:p>
        </w:tc>
        <w:tc>
          <w:tcPr>
            <w:tcW w:w="775" w:type="dxa"/>
            <w:vAlign w:val="top"/>
          </w:tcPr>
          <w:p w14:paraId="7AD1176A">
            <w:pPr>
              <w:spacing w:line="245" w:lineRule="auto"/>
              <w:rPr>
                <w:rFonts w:ascii="Arial"/>
                <w:sz w:val="21"/>
              </w:rPr>
            </w:pPr>
          </w:p>
          <w:p w14:paraId="5BE56CC6">
            <w:pPr>
              <w:spacing w:line="245" w:lineRule="auto"/>
              <w:rPr>
                <w:rFonts w:ascii="Arial"/>
                <w:sz w:val="21"/>
              </w:rPr>
            </w:pPr>
          </w:p>
          <w:p w14:paraId="440E3598">
            <w:pPr>
              <w:pStyle w:val="7"/>
              <w:spacing w:before="58" w:line="216" w:lineRule="auto"/>
              <w:ind w:left="218" w:right="23" w:hanging="174"/>
            </w:pPr>
            <w:r>
              <w:rPr>
                <w:spacing w:val="-5"/>
              </w:rPr>
              <w:t>一般检查</w:t>
            </w:r>
            <w:r>
              <w:t xml:space="preserve"> </w:t>
            </w:r>
            <w:r>
              <w:rPr>
                <w:spacing w:val="-7"/>
              </w:rPr>
              <w:t>事项</w:t>
            </w:r>
          </w:p>
        </w:tc>
        <w:tc>
          <w:tcPr>
            <w:tcW w:w="851" w:type="dxa"/>
            <w:vAlign w:val="top"/>
          </w:tcPr>
          <w:p w14:paraId="2DF268CC">
            <w:pPr>
              <w:spacing w:line="387" w:lineRule="auto"/>
              <w:rPr>
                <w:rFonts w:ascii="Arial"/>
                <w:sz w:val="21"/>
              </w:rPr>
            </w:pPr>
          </w:p>
          <w:p w14:paraId="45AFC5CD">
            <w:pPr>
              <w:pStyle w:val="7"/>
              <w:spacing w:before="58" w:line="215" w:lineRule="auto"/>
              <w:ind w:left="27" w:firstLine="4"/>
              <w:jc w:val="both"/>
            </w:pPr>
            <w:r>
              <w:rPr>
                <w:spacing w:val="-18"/>
              </w:rPr>
              <w:t>书面检查、</w:t>
            </w:r>
            <w:r>
              <w:rPr>
                <w:spacing w:val="3"/>
              </w:rPr>
              <w:t xml:space="preserve"> </w:t>
            </w:r>
            <w:r>
              <w:rPr>
                <w:spacing w:val="-10"/>
              </w:rPr>
              <w:t>现场检查</w:t>
            </w:r>
            <w:r>
              <w:t xml:space="preserve">  等</w:t>
            </w:r>
          </w:p>
        </w:tc>
        <w:tc>
          <w:tcPr>
            <w:tcW w:w="1354" w:type="dxa"/>
            <w:vAlign w:val="top"/>
          </w:tcPr>
          <w:p w14:paraId="4B97FAC9">
            <w:pPr>
              <w:spacing w:line="386" w:lineRule="auto"/>
              <w:rPr>
                <w:rFonts w:ascii="Arial"/>
                <w:sz w:val="21"/>
              </w:rPr>
            </w:pPr>
          </w:p>
          <w:p w14:paraId="650555E1">
            <w:pPr>
              <w:pStyle w:val="7"/>
              <w:spacing w:before="59" w:line="215" w:lineRule="auto"/>
              <w:ind w:left="18" w:right="30"/>
              <w:jc w:val="both"/>
            </w:pPr>
            <w:r>
              <w:rPr>
                <w:spacing w:val="-1"/>
              </w:rPr>
              <w:t>全年抽查比例不</w:t>
            </w:r>
            <w:r>
              <w:t xml:space="preserve"> </w:t>
            </w:r>
            <w:r>
              <w:rPr>
                <w:spacing w:val="-3"/>
              </w:rPr>
              <w:t>低于</w:t>
            </w:r>
            <w:r>
              <w:rPr>
                <w:spacing w:val="-27"/>
              </w:rPr>
              <w:t xml:space="preserve"> </w:t>
            </w:r>
            <w:r>
              <w:rPr>
                <w:spacing w:val="-3"/>
              </w:rPr>
              <w:t>5%，每年抽</w:t>
            </w:r>
            <w:r>
              <w:t xml:space="preserve"> </w:t>
            </w:r>
            <w:r>
              <w:rPr>
                <w:spacing w:val="-8"/>
              </w:rPr>
              <w:t>查</w:t>
            </w:r>
            <w:r>
              <w:rPr>
                <w:spacing w:val="-27"/>
              </w:rPr>
              <w:t xml:space="preserve"> </w:t>
            </w:r>
            <w:r>
              <w:rPr>
                <w:spacing w:val="-8"/>
              </w:rPr>
              <w:t>1</w:t>
            </w:r>
            <w:r>
              <w:rPr>
                <w:spacing w:val="-33"/>
              </w:rPr>
              <w:t xml:space="preserve"> </w:t>
            </w:r>
            <w:r>
              <w:rPr>
                <w:spacing w:val="-8"/>
              </w:rPr>
              <w:t>次</w:t>
            </w:r>
          </w:p>
        </w:tc>
        <w:tc>
          <w:tcPr>
            <w:tcW w:w="975" w:type="dxa"/>
            <w:vAlign w:val="top"/>
          </w:tcPr>
          <w:p w14:paraId="08E58520">
            <w:pPr>
              <w:spacing w:line="245" w:lineRule="auto"/>
              <w:rPr>
                <w:rFonts w:ascii="Arial"/>
                <w:sz w:val="21"/>
              </w:rPr>
            </w:pPr>
          </w:p>
          <w:p w14:paraId="7745DCFB">
            <w:pPr>
              <w:spacing w:line="245" w:lineRule="auto"/>
              <w:rPr>
                <w:rFonts w:ascii="Arial"/>
                <w:sz w:val="21"/>
              </w:rPr>
            </w:pPr>
          </w:p>
          <w:p w14:paraId="27CDF690">
            <w:pPr>
              <w:pStyle w:val="7"/>
              <w:spacing w:before="59" w:line="215" w:lineRule="auto"/>
              <w:ind w:left="29" w:right="55" w:hanging="2"/>
              <w:rPr>
                <w:rFonts w:hint="eastAsia" w:eastAsia="仿宋"/>
                <w:lang w:eastAsia="zh-CN"/>
              </w:rPr>
            </w:pPr>
            <w:r>
              <w:rPr>
                <w:rFonts w:hint="eastAsia"/>
                <w:spacing w:val="-3"/>
                <w:lang w:eastAsia="zh-CN"/>
              </w:rPr>
              <w:t>区民政局</w:t>
            </w:r>
          </w:p>
        </w:tc>
        <w:tc>
          <w:tcPr>
            <w:tcW w:w="3428" w:type="dxa"/>
            <w:vAlign w:val="top"/>
          </w:tcPr>
          <w:p w14:paraId="4837788F">
            <w:pPr>
              <w:pStyle w:val="7"/>
              <w:spacing w:before="33" w:line="213" w:lineRule="auto"/>
              <w:ind w:left="30" w:firstLine="2"/>
            </w:pPr>
            <w:r>
              <w:rPr>
                <w:spacing w:val="-11"/>
              </w:rPr>
              <w:t>1.《基金会管理条例》（国务院令第</w:t>
            </w:r>
            <w:r>
              <w:rPr>
                <w:spacing w:val="-27"/>
              </w:rPr>
              <w:t xml:space="preserve"> </w:t>
            </w:r>
            <w:r>
              <w:rPr>
                <w:spacing w:val="-11"/>
              </w:rPr>
              <w:t>400</w:t>
            </w:r>
            <w:r>
              <w:rPr>
                <w:spacing w:val="-32"/>
              </w:rPr>
              <w:t xml:space="preserve"> </w:t>
            </w:r>
            <w:r>
              <w:rPr>
                <w:spacing w:val="-11"/>
              </w:rPr>
              <w:t>号）</w:t>
            </w:r>
            <w:r>
              <w:t xml:space="preserve"> </w:t>
            </w:r>
            <w:r>
              <w:rPr>
                <w:spacing w:val="-6"/>
              </w:rPr>
              <w:t>第六条、第三十四条</w:t>
            </w:r>
          </w:p>
          <w:p w14:paraId="256570E3">
            <w:pPr>
              <w:pStyle w:val="7"/>
              <w:spacing w:before="1" w:line="212" w:lineRule="auto"/>
              <w:ind w:left="28" w:right="13"/>
            </w:pPr>
            <w:r>
              <w:rPr>
                <w:spacing w:val="-5"/>
              </w:rPr>
              <w:t>2.《基金会信息公布办法》（民政部令第</w:t>
            </w:r>
            <w:r>
              <w:rPr>
                <w:spacing w:val="-24"/>
              </w:rPr>
              <w:t xml:space="preserve"> </w:t>
            </w:r>
            <w:r>
              <w:rPr>
                <w:spacing w:val="-6"/>
              </w:rPr>
              <w:t>31</w:t>
            </w:r>
            <w:r>
              <w:t xml:space="preserve"> </w:t>
            </w:r>
            <w:r>
              <w:rPr>
                <w:spacing w:val="-7"/>
              </w:rPr>
              <w:t>号，2006</w:t>
            </w:r>
            <w:r>
              <w:rPr>
                <w:spacing w:val="-20"/>
              </w:rPr>
              <w:t xml:space="preserve"> </w:t>
            </w:r>
            <w:r>
              <w:rPr>
                <w:spacing w:val="-7"/>
              </w:rPr>
              <w:t>年</w:t>
            </w:r>
            <w:r>
              <w:rPr>
                <w:spacing w:val="-26"/>
              </w:rPr>
              <w:t xml:space="preserve"> </w:t>
            </w:r>
            <w:r>
              <w:rPr>
                <w:spacing w:val="-7"/>
              </w:rPr>
              <w:t>1</w:t>
            </w:r>
            <w:r>
              <w:rPr>
                <w:spacing w:val="-30"/>
              </w:rPr>
              <w:t xml:space="preserve"> </w:t>
            </w:r>
            <w:r>
              <w:rPr>
                <w:spacing w:val="-7"/>
              </w:rPr>
              <w:t>月</w:t>
            </w:r>
            <w:r>
              <w:rPr>
                <w:spacing w:val="-26"/>
              </w:rPr>
              <w:t xml:space="preserve"> </w:t>
            </w:r>
            <w:r>
              <w:rPr>
                <w:spacing w:val="-7"/>
              </w:rPr>
              <w:t>12 日实施）第十四条</w:t>
            </w:r>
          </w:p>
          <w:p w14:paraId="75068DE6">
            <w:pPr>
              <w:pStyle w:val="7"/>
              <w:spacing w:before="1" w:line="210" w:lineRule="auto"/>
              <w:ind w:left="20" w:right="15" w:firstLine="14"/>
              <w:jc w:val="both"/>
            </w:pPr>
            <w:r>
              <w:rPr>
                <w:spacing w:val="-6"/>
              </w:rPr>
              <w:t>3.《慈善法》（2016</w:t>
            </w:r>
            <w:r>
              <w:rPr>
                <w:spacing w:val="-31"/>
              </w:rPr>
              <w:t xml:space="preserve"> </w:t>
            </w:r>
            <w:r>
              <w:rPr>
                <w:spacing w:val="-6"/>
              </w:rPr>
              <w:t>年</w:t>
            </w:r>
            <w:r>
              <w:rPr>
                <w:spacing w:val="-24"/>
              </w:rPr>
              <w:t xml:space="preserve"> </w:t>
            </w:r>
            <w:r>
              <w:rPr>
                <w:spacing w:val="-6"/>
              </w:rPr>
              <w:t>3</w:t>
            </w:r>
            <w:r>
              <w:rPr>
                <w:spacing w:val="-29"/>
              </w:rPr>
              <w:t xml:space="preserve"> </w:t>
            </w:r>
            <w:r>
              <w:rPr>
                <w:spacing w:val="-6"/>
              </w:rPr>
              <w:t>月</w:t>
            </w:r>
            <w:r>
              <w:rPr>
                <w:spacing w:val="-26"/>
              </w:rPr>
              <w:t xml:space="preserve"> </w:t>
            </w:r>
            <w:r>
              <w:rPr>
                <w:spacing w:val="-6"/>
              </w:rPr>
              <w:t>16 日第十二届</w:t>
            </w:r>
            <w:r>
              <w:t xml:space="preserve"> </w:t>
            </w:r>
            <w:r>
              <w:rPr>
                <w:spacing w:val="-2"/>
              </w:rPr>
              <w:t>全国人民代表大会第四次会议通过）第十三</w:t>
            </w:r>
            <w:r>
              <w:rPr>
                <w:spacing w:val="4"/>
              </w:rPr>
              <w:t xml:space="preserve"> </w:t>
            </w:r>
            <w:r>
              <w:rPr>
                <w:spacing w:val="-1"/>
              </w:rPr>
              <w:t>条、第九十二条</w:t>
            </w:r>
          </w:p>
        </w:tc>
      </w:tr>
      <w:tr w14:paraId="747910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</w:trPr>
        <w:tc>
          <w:tcPr>
            <w:tcW w:w="403" w:type="dxa"/>
            <w:vAlign w:val="top"/>
          </w:tcPr>
          <w:p w14:paraId="094C0549">
            <w:pPr>
              <w:spacing w:line="309" w:lineRule="auto"/>
              <w:rPr>
                <w:rFonts w:ascii="Arial"/>
                <w:sz w:val="21"/>
              </w:rPr>
            </w:pPr>
          </w:p>
          <w:p w14:paraId="3BFC72E3">
            <w:pPr>
              <w:pStyle w:val="7"/>
              <w:spacing w:before="59" w:line="181" w:lineRule="auto"/>
              <w:ind w:left="124"/>
            </w:pPr>
            <w:r>
              <w:rPr>
                <w:spacing w:val="-8"/>
              </w:rPr>
              <w:t>4</w:t>
            </w:r>
          </w:p>
        </w:tc>
        <w:tc>
          <w:tcPr>
            <w:tcW w:w="1411" w:type="dxa"/>
            <w:vAlign w:val="top"/>
          </w:tcPr>
          <w:p w14:paraId="3676CE1E">
            <w:pPr>
              <w:pStyle w:val="7"/>
              <w:spacing w:before="244" w:line="213" w:lineRule="auto"/>
              <w:ind w:left="15" w:right="137" w:firstLine="3"/>
            </w:pPr>
            <w:r>
              <w:rPr>
                <w:spacing w:val="-2"/>
              </w:rPr>
              <w:t>对养老机构的监</w:t>
            </w:r>
            <w:r>
              <w:rPr>
                <w:spacing w:val="2"/>
              </w:rPr>
              <w:t xml:space="preserve"> </w:t>
            </w:r>
            <w:r>
              <w:rPr>
                <w:spacing w:val="-3"/>
              </w:rPr>
              <w:t>督检查</w:t>
            </w:r>
          </w:p>
        </w:tc>
        <w:tc>
          <w:tcPr>
            <w:tcW w:w="1473" w:type="dxa"/>
            <w:vAlign w:val="top"/>
          </w:tcPr>
          <w:p w14:paraId="6ED138A2">
            <w:pPr>
              <w:pStyle w:val="7"/>
              <w:spacing w:before="137" w:line="215" w:lineRule="auto"/>
              <w:ind w:left="12" w:firstLine="6"/>
            </w:pPr>
            <w:r>
              <w:rPr>
                <w:spacing w:val="-3"/>
              </w:rPr>
              <w:t>养老机构的人员、</w:t>
            </w:r>
            <w:r>
              <w:rPr>
                <w:spacing w:val="3"/>
              </w:rPr>
              <w:t xml:space="preserve"> </w:t>
            </w:r>
            <w:r>
              <w:rPr>
                <w:spacing w:val="-19"/>
              </w:rPr>
              <w:t>设施、服务、管理、</w:t>
            </w:r>
            <w:r>
              <w:rPr>
                <w:spacing w:val="5"/>
              </w:rPr>
              <w:t xml:space="preserve"> </w:t>
            </w:r>
            <w:r>
              <w:rPr>
                <w:spacing w:val="-4"/>
              </w:rPr>
              <w:t>信誉情况</w:t>
            </w:r>
          </w:p>
        </w:tc>
        <w:tc>
          <w:tcPr>
            <w:tcW w:w="3845" w:type="dxa"/>
            <w:vAlign w:val="top"/>
          </w:tcPr>
          <w:p w14:paraId="6E5FAE82">
            <w:pPr>
              <w:pStyle w:val="7"/>
              <w:spacing w:before="34" w:line="211" w:lineRule="auto"/>
              <w:ind w:left="17" w:right="48" w:firstLine="12"/>
              <w:jc w:val="both"/>
            </w:pPr>
            <w:r>
              <w:rPr>
                <w:spacing w:val="-1"/>
              </w:rPr>
              <w:t>1.养老机构从业人员的检查；2.养老机构设施安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全的检查；3.养老机构服务质量的检查；4.养老</w:t>
            </w:r>
            <w:r>
              <w:rPr>
                <w:spacing w:val="16"/>
              </w:rPr>
              <w:t xml:space="preserve"> </w:t>
            </w:r>
            <w:r>
              <w:rPr>
                <w:spacing w:val="-1"/>
              </w:rPr>
              <w:t>机构管理制度的检查；5.养老机构信誉水平的检</w:t>
            </w:r>
            <w:r>
              <w:rPr>
                <w:spacing w:val="15"/>
              </w:rPr>
              <w:t xml:space="preserve"> </w:t>
            </w:r>
            <w:r>
              <w:t>查</w:t>
            </w:r>
          </w:p>
        </w:tc>
        <w:tc>
          <w:tcPr>
            <w:tcW w:w="1195" w:type="dxa"/>
            <w:vAlign w:val="top"/>
          </w:tcPr>
          <w:p w14:paraId="40370C68">
            <w:pPr>
              <w:spacing w:line="286" w:lineRule="auto"/>
              <w:rPr>
                <w:rFonts w:ascii="Arial"/>
                <w:sz w:val="21"/>
              </w:rPr>
            </w:pPr>
          </w:p>
          <w:p w14:paraId="4DB01BD7">
            <w:pPr>
              <w:pStyle w:val="7"/>
              <w:spacing w:before="58" w:line="216" w:lineRule="auto"/>
              <w:ind w:left="20"/>
            </w:pPr>
            <w:r>
              <w:rPr>
                <w:spacing w:val="-3"/>
              </w:rPr>
              <w:t>养老机构</w:t>
            </w:r>
          </w:p>
        </w:tc>
        <w:tc>
          <w:tcPr>
            <w:tcW w:w="775" w:type="dxa"/>
            <w:vAlign w:val="top"/>
          </w:tcPr>
          <w:p w14:paraId="6CBC6478">
            <w:pPr>
              <w:pStyle w:val="7"/>
              <w:spacing w:before="243" w:line="215" w:lineRule="auto"/>
              <w:ind w:left="218" w:right="23" w:hanging="174"/>
            </w:pPr>
            <w:r>
              <w:rPr>
                <w:spacing w:val="-5"/>
              </w:rPr>
              <w:t>一般检查</w:t>
            </w:r>
            <w:r>
              <w:t xml:space="preserve"> </w:t>
            </w:r>
            <w:r>
              <w:rPr>
                <w:spacing w:val="-7"/>
              </w:rPr>
              <w:t>事项</w:t>
            </w:r>
          </w:p>
        </w:tc>
        <w:tc>
          <w:tcPr>
            <w:tcW w:w="851" w:type="dxa"/>
            <w:vAlign w:val="top"/>
          </w:tcPr>
          <w:p w14:paraId="2B69F432">
            <w:pPr>
              <w:pStyle w:val="7"/>
              <w:spacing w:before="136" w:line="216" w:lineRule="auto"/>
              <w:ind w:left="27" w:firstLine="4"/>
              <w:jc w:val="both"/>
            </w:pPr>
            <w:r>
              <w:rPr>
                <w:spacing w:val="-18"/>
              </w:rPr>
              <w:t>书面检查、</w:t>
            </w:r>
            <w:r>
              <w:rPr>
                <w:spacing w:val="3"/>
              </w:rPr>
              <w:t xml:space="preserve"> </w:t>
            </w:r>
            <w:r>
              <w:rPr>
                <w:spacing w:val="-10"/>
              </w:rPr>
              <w:t>现场检查</w:t>
            </w:r>
            <w:r>
              <w:t xml:space="preserve">  等</w:t>
            </w:r>
          </w:p>
        </w:tc>
        <w:tc>
          <w:tcPr>
            <w:tcW w:w="1354" w:type="dxa"/>
            <w:vAlign w:val="top"/>
          </w:tcPr>
          <w:p w14:paraId="6A6887C3">
            <w:pPr>
              <w:pStyle w:val="7"/>
              <w:spacing w:before="139" w:line="215" w:lineRule="auto"/>
              <w:ind w:left="25" w:right="11" w:hanging="6"/>
              <w:jc w:val="both"/>
            </w:pPr>
            <w:r>
              <w:rPr>
                <w:spacing w:val="-2"/>
              </w:rPr>
              <w:t xml:space="preserve">全年抽查比例为 </w:t>
            </w:r>
            <w:r>
              <w:rPr>
                <w:spacing w:val="-5"/>
              </w:rPr>
              <w:t>10%，根据监管需</w:t>
            </w:r>
            <w:r>
              <w:rPr>
                <w:spacing w:val="6"/>
              </w:rPr>
              <w:t xml:space="preserve"> </w:t>
            </w:r>
            <w:r>
              <w:rPr>
                <w:spacing w:val="-3"/>
              </w:rPr>
              <w:t>要确定频次</w:t>
            </w:r>
          </w:p>
        </w:tc>
        <w:tc>
          <w:tcPr>
            <w:tcW w:w="975" w:type="dxa"/>
            <w:vAlign w:val="top"/>
          </w:tcPr>
          <w:p w14:paraId="33120045">
            <w:pPr>
              <w:pStyle w:val="7"/>
              <w:spacing w:before="243" w:line="214" w:lineRule="auto"/>
              <w:ind w:left="25" w:right="55" w:firstLine="4"/>
              <w:rPr>
                <w:rFonts w:hint="eastAsia" w:eastAsia="仿宋"/>
                <w:lang w:eastAsia="zh-CN"/>
              </w:rPr>
            </w:pPr>
            <w:r>
              <w:rPr>
                <w:rFonts w:hint="eastAsia"/>
                <w:lang w:eastAsia="zh-CN"/>
              </w:rPr>
              <w:t>区民政局</w:t>
            </w:r>
          </w:p>
        </w:tc>
        <w:tc>
          <w:tcPr>
            <w:tcW w:w="3428" w:type="dxa"/>
            <w:vAlign w:val="top"/>
          </w:tcPr>
          <w:p w14:paraId="1FE89275">
            <w:pPr>
              <w:pStyle w:val="7"/>
              <w:spacing w:before="138" w:line="215" w:lineRule="auto"/>
              <w:ind w:left="24" w:hanging="5"/>
              <w:jc w:val="both"/>
            </w:pPr>
            <w:r>
              <w:rPr>
                <w:spacing w:val="-10"/>
              </w:rPr>
              <w:t>《养老机构管理办法》（2020</w:t>
            </w:r>
            <w:r>
              <w:rPr>
                <w:spacing w:val="-40"/>
              </w:rPr>
              <w:t xml:space="preserve"> </w:t>
            </w:r>
            <w:r>
              <w:rPr>
                <w:spacing w:val="-10"/>
              </w:rPr>
              <w:t>年</w:t>
            </w:r>
            <w:r>
              <w:rPr>
                <w:spacing w:val="-29"/>
              </w:rPr>
              <w:t xml:space="preserve"> </w:t>
            </w:r>
            <w:r>
              <w:rPr>
                <w:spacing w:val="-10"/>
              </w:rPr>
              <w:t>9</w:t>
            </w:r>
            <w:r>
              <w:rPr>
                <w:spacing w:val="-30"/>
              </w:rPr>
              <w:t xml:space="preserve"> </w:t>
            </w:r>
            <w:r>
              <w:rPr>
                <w:spacing w:val="-10"/>
              </w:rPr>
              <w:t>月</w:t>
            </w:r>
            <w:r>
              <w:rPr>
                <w:spacing w:val="-27"/>
              </w:rPr>
              <w:t xml:space="preserve"> </w:t>
            </w:r>
            <w:r>
              <w:rPr>
                <w:spacing w:val="-10"/>
              </w:rPr>
              <w:t>1 日</w:t>
            </w:r>
            <w:r>
              <w:rPr>
                <w:spacing w:val="-11"/>
              </w:rPr>
              <w:t xml:space="preserve">民 </w:t>
            </w:r>
            <w:r>
              <w:rPr>
                <w:spacing w:val="-8"/>
              </w:rPr>
              <w:t>政部令第</w:t>
            </w:r>
            <w:r>
              <w:rPr>
                <w:spacing w:val="-12"/>
              </w:rPr>
              <w:t xml:space="preserve"> </w:t>
            </w:r>
            <w:r>
              <w:rPr>
                <w:spacing w:val="-8"/>
              </w:rPr>
              <w:t>66</w:t>
            </w:r>
            <w:r>
              <w:rPr>
                <w:spacing w:val="-31"/>
              </w:rPr>
              <w:t xml:space="preserve"> </w:t>
            </w:r>
            <w:r>
              <w:rPr>
                <w:spacing w:val="-8"/>
              </w:rPr>
              <w:t>号）第三十六条、第三十七条、</w:t>
            </w:r>
            <w:r>
              <w:t xml:space="preserve"> </w:t>
            </w:r>
            <w:r>
              <w:rPr>
                <w:spacing w:val="-3"/>
              </w:rPr>
              <w:t>第三十八条、第三十九条</w:t>
            </w:r>
          </w:p>
        </w:tc>
      </w:tr>
      <w:tr w14:paraId="29AC37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03" w:type="dxa"/>
            <w:vAlign w:val="top"/>
          </w:tcPr>
          <w:p w14:paraId="7D8D01CD">
            <w:pPr>
              <w:rPr>
                <w:rFonts w:ascii="Arial"/>
                <w:sz w:val="21"/>
              </w:rPr>
            </w:pPr>
          </w:p>
          <w:p w14:paraId="7D26109B">
            <w:pPr>
              <w:pStyle w:val="7"/>
              <w:spacing w:before="58" w:line="178" w:lineRule="auto"/>
              <w:ind w:left="124"/>
            </w:pPr>
            <w:r>
              <w:rPr>
                <w:spacing w:val="-8"/>
              </w:rPr>
              <w:t>5</w:t>
            </w:r>
          </w:p>
        </w:tc>
        <w:tc>
          <w:tcPr>
            <w:tcW w:w="1411" w:type="dxa"/>
            <w:vAlign w:val="top"/>
          </w:tcPr>
          <w:p w14:paraId="36BC7DEC">
            <w:pPr>
              <w:pStyle w:val="7"/>
              <w:spacing w:before="167" w:line="215" w:lineRule="auto"/>
              <w:ind w:left="19"/>
            </w:pPr>
            <w:r>
              <w:rPr>
                <w:spacing w:val="-7"/>
              </w:rPr>
              <w:t>对殡葬用品生产、</w:t>
            </w:r>
            <w:r>
              <w:rPr>
                <w:spacing w:val="1"/>
              </w:rPr>
              <w:t xml:space="preserve"> </w:t>
            </w:r>
            <w:r>
              <w:rPr>
                <w:spacing w:val="-3"/>
              </w:rPr>
              <w:t>经营单位检查</w:t>
            </w:r>
          </w:p>
        </w:tc>
        <w:tc>
          <w:tcPr>
            <w:tcW w:w="1473" w:type="dxa"/>
            <w:vAlign w:val="top"/>
          </w:tcPr>
          <w:p w14:paraId="651EAD8F">
            <w:pPr>
              <w:pStyle w:val="7"/>
              <w:spacing w:before="66" w:line="216" w:lineRule="auto"/>
              <w:ind w:left="18" w:right="16" w:firstLine="3"/>
            </w:pPr>
            <w:r>
              <w:rPr>
                <w:spacing w:val="-2"/>
              </w:rPr>
              <w:t>对殡葬用品生产、</w:t>
            </w:r>
            <w:r>
              <w:rPr>
                <w:spacing w:val="4"/>
              </w:rPr>
              <w:t xml:space="preserve"> </w:t>
            </w:r>
            <w:r>
              <w:rPr>
                <w:spacing w:val="-1"/>
              </w:rPr>
              <w:t>经营等情况进行检</w:t>
            </w:r>
            <w:r>
              <w:t xml:space="preserve"> 查</w:t>
            </w:r>
          </w:p>
        </w:tc>
        <w:tc>
          <w:tcPr>
            <w:tcW w:w="3845" w:type="dxa"/>
            <w:vAlign w:val="top"/>
          </w:tcPr>
          <w:p w14:paraId="0AC58BFA">
            <w:pPr>
              <w:pStyle w:val="7"/>
              <w:spacing w:before="66" w:line="213" w:lineRule="auto"/>
              <w:ind w:left="15" w:right="47" w:firstLine="14"/>
              <w:jc w:val="both"/>
            </w:pPr>
            <w:r>
              <w:rPr>
                <w:spacing w:val="-1"/>
              </w:rPr>
              <w:t>1.是否制造、销售封建迷信的丧葬用品；2.是否</w:t>
            </w:r>
            <w:r>
              <w:rPr>
                <w:spacing w:val="3"/>
              </w:rPr>
              <w:t xml:space="preserve"> </w:t>
            </w:r>
            <w:r>
              <w:rPr>
                <w:spacing w:val="-1"/>
              </w:rPr>
              <w:t>制造、销售不符合国家技术标准的殡葬设备；3.</w:t>
            </w:r>
            <w:r>
              <w:rPr>
                <w:spacing w:val="18"/>
              </w:rPr>
              <w:t xml:space="preserve"> </w:t>
            </w:r>
            <w:r>
              <w:rPr>
                <w:spacing w:val="-1"/>
              </w:rPr>
              <w:t>是否存在不明码标价、存在价格欺诈等行为</w:t>
            </w:r>
          </w:p>
        </w:tc>
        <w:tc>
          <w:tcPr>
            <w:tcW w:w="1195" w:type="dxa"/>
            <w:vAlign w:val="top"/>
          </w:tcPr>
          <w:p w14:paraId="605A45AF">
            <w:pPr>
              <w:pStyle w:val="7"/>
              <w:spacing w:before="167" w:line="214" w:lineRule="auto"/>
              <w:ind w:left="24"/>
            </w:pPr>
            <w:r>
              <w:rPr>
                <w:spacing w:val="-3"/>
              </w:rPr>
              <w:t>殡葬用品生</w:t>
            </w:r>
          </w:p>
          <w:p w14:paraId="3C8C85E1">
            <w:pPr>
              <w:pStyle w:val="7"/>
              <w:spacing w:line="216" w:lineRule="auto"/>
              <w:ind w:left="18"/>
            </w:pPr>
            <w:r>
              <w:rPr>
                <w:spacing w:val="-2"/>
              </w:rPr>
              <w:t>产、经营单位</w:t>
            </w:r>
          </w:p>
        </w:tc>
        <w:tc>
          <w:tcPr>
            <w:tcW w:w="775" w:type="dxa"/>
            <w:vAlign w:val="top"/>
          </w:tcPr>
          <w:p w14:paraId="2B1600C8">
            <w:pPr>
              <w:pStyle w:val="7"/>
              <w:spacing w:before="168" w:line="216" w:lineRule="auto"/>
              <w:ind w:left="218" w:right="23" w:hanging="174"/>
            </w:pPr>
            <w:r>
              <w:rPr>
                <w:spacing w:val="-5"/>
              </w:rPr>
              <w:t>一般检查</w:t>
            </w:r>
            <w:r>
              <w:t xml:space="preserve"> </w:t>
            </w:r>
            <w:r>
              <w:rPr>
                <w:spacing w:val="-7"/>
              </w:rPr>
              <w:t>事项</w:t>
            </w:r>
          </w:p>
        </w:tc>
        <w:tc>
          <w:tcPr>
            <w:tcW w:w="851" w:type="dxa"/>
            <w:vAlign w:val="top"/>
          </w:tcPr>
          <w:p w14:paraId="21E9AC2C">
            <w:pPr>
              <w:pStyle w:val="7"/>
              <w:spacing w:before="64" w:line="215" w:lineRule="auto"/>
              <w:ind w:left="27" w:firstLine="4"/>
              <w:jc w:val="both"/>
            </w:pPr>
            <w:r>
              <w:rPr>
                <w:spacing w:val="-18"/>
              </w:rPr>
              <w:t>书面检查、</w:t>
            </w:r>
            <w:r>
              <w:rPr>
                <w:spacing w:val="3"/>
              </w:rPr>
              <w:t xml:space="preserve"> </w:t>
            </w:r>
            <w:r>
              <w:rPr>
                <w:spacing w:val="-10"/>
              </w:rPr>
              <w:t>现场检查</w:t>
            </w:r>
            <w:r>
              <w:t xml:space="preserve">  等</w:t>
            </w:r>
          </w:p>
        </w:tc>
        <w:tc>
          <w:tcPr>
            <w:tcW w:w="1354" w:type="dxa"/>
            <w:vAlign w:val="top"/>
          </w:tcPr>
          <w:p w14:paraId="1C1AC7F3">
            <w:pPr>
              <w:pStyle w:val="7"/>
              <w:spacing w:before="167" w:line="216" w:lineRule="auto"/>
              <w:ind w:left="20"/>
            </w:pPr>
            <w:r>
              <w:rPr>
                <w:spacing w:val="-9"/>
              </w:rPr>
              <w:t>抽查比例为</w:t>
            </w:r>
            <w:r>
              <w:rPr>
                <w:spacing w:val="-31"/>
              </w:rPr>
              <w:t xml:space="preserve"> </w:t>
            </w:r>
            <w:r>
              <w:rPr>
                <w:spacing w:val="-9"/>
              </w:rPr>
              <w:t>40%，</w:t>
            </w:r>
            <w:r>
              <w:t xml:space="preserve"> </w:t>
            </w:r>
            <w:r>
              <w:rPr>
                <w:spacing w:val="-6"/>
              </w:rPr>
              <w:t>每年抽查</w:t>
            </w:r>
            <w:r>
              <w:rPr>
                <w:spacing w:val="-26"/>
              </w:rPr>
              <w:t xml:space="preserve"> </w:t>
            </w:r>
            <w:r>
              <w:rPr>
                <w:spacing w:val="-6"/>
              </w:rPr>
              <w:t>1</w:t>
            </w:r>
            <w:r>
              <w:rPr>
                <w:spacing w:val="-34"/>
              </w:rPr>
              <w:t xml:space="preserve"> </w:t>
            </w:r>
            <w:r>
              <w:rPr>
                <w:spacing w:val="-6"/>
              </w:rPr>
              <w:t>次</w:t>
            </w:r>
          </w:p>
        </w:tc>
        <w:tc>
          <w:tcPr>
            <w:tcW w:w="975" w:type="dxa"/>
            <w:vAlign w:val="top"/>
          </w:tcPr>
          <w:p w14:paraId="5D6C3AF9">
            <w:pPr>
              <w:pStyle w:val="7"/>
              <w:spacing w:before="65" w:line="214" w:lineRule="auto"/>
              <w:ind w:left="22" w:right="55" w:firstLine="7"/>
              <w:jc w:val="both"/>
            </w:pPr>
            <w:r>
              <w:rPr>
                <w:rFonts w:hint="eastAsia"/>
                <w:spacing w:val="-3"/>
                <w:lang w:eastAsia="zh-CN"/>
              </w:rPr>
              <w:t>区</w:t>
            </w:r>
            <w:r>
              <w:rPr>
                <w:spacing w:val="-3"/>
              </w:rPr>
              <w:t>民</w:t>
            </w:r>
            <w:r>
              <w:rPr>
                <w:spacing w:val="-2"/>
              </w:rPr>
              <w:t>政、市场监</w:t>
            </w:r>
            <w:r>
              <w:rPr>
                <w:spacing w:val="-3"/>
              </w:rPr>
              <w:t>管部门</w:t>
            </w:r>
          </w:p>
        </w:tc>
        <w:tc>
          <w:tcPr>
            <w:tcW w:w="3428" w:type="dxa"/>
            <w:vAlign w:val="top"/>
          </w:tcPr>
          <w:p w14:paraId="21D87D6C">
            <w:pPr>
              <w:pStyle w:val="7"/>
              <w:spacing w:before="167" w:line="216" w:lineRule="auto"/>
              <w:ind w:left="28" w:right="15" w:hanging="9"/>
            </w:pPr>
            <w:r>
              <w:rPr>
                <w:spacing w:val="-4"/>
              </w:rPr>
              <w:t>《殡葬管理条例》（国务院令第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628</w:t>
            </w:r>
            <w:r>
              <w:rPr>
                <w:spacing w:val="-29"/>
              </w:rPr>
              <w:t xml:space="preserve"> </w:t>
            </w:r>
            <w:r>
              <w:rPr>
                <w:spacing w:val="-4"/>
              </w:rPr>
              <w:t>号）第</w:t>
            </w:r>
            <w:r>
              <w:t xml:space="preserve"> </w:t>
            </w:r>
            <w:r>
              <w:rPr>
                <w:spacing w:val="-2"/>
              </w:rPr>
              <w:t>十六条、第十七条、第二十二条</w:t>
            </w:r>
          </w:p>
        </w:tc>
      </w:tr>
      <w:tr w14:paraId="4D00F3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4" w:hRule="atLeast"/>
        </w:trPr>
        <w:tc>
          <w:tcPr>
            <w:tcW w:w="403" w:type="dxa"/>
            <w:vMerge w:val="restart"/>
            <w:tcBorders>
              <w:bottom w:val="nil"/>
            </w:tcBorders>
            <w:vAlign w:val="top"/>
          </w:tcPr>
          <w:p w14:paraId="59E4A245">
            <w:pPr>
              <w:spacing w:line="248" w:lineRule="auto"/>
              <w:rPr>
                <w:rFonts w:ascii="Arial"/>
                <w:sz w:val="21"/>
              </w:rPr>
            </w:pPr>
          </w:p>
          <w:p w14:paraId="34A50FE6">
            <w:pPr>
              <w:spacing w:line="248" w:lineRule="auto"/>
              <w:rPr>
                <w:rFonts w:ascii="Arial"/>
                <w:sz w:val="21"/>
              </w:rPr>
            </w:pPr>
          </w:p>
          <w:p w14:paraId="0E0C4748">
            <w:pPr>
              <w:spacing w:line="248" w:lineRule="auto"/>
              <w:rPr>
                <w:rFonts w:ascii="Arial"/>
                <w:sz w:val="21"/>
              </w:rPr>
            </w:pPr>
          </w:p>
          <w:p w14:paraId="1577A160">
            <w:pPr>
              <w:spacing w:line="248" w:lineRule="auto"/>
              <w:rPr>
                <w:rFonts w:ascii="Arial"/>
                <w:sz w:val="21"/>
              </w:rPr>
            </w:pPr>
          </w:p>
          <w:p w14:paraId="2C9CD926">
            <w:pPr>
              <w:spacing w:line="249" w:lineRule="auto"/>
              <w:rPr>
                <w:rFonts w:ascii="Arial"/>
                <w:sz w:val="21"/>
              </w:rPr>
            </w:pPr>
          </w:p>
          <w:p w14:paraId="2B27C13A">
            <w:pPr>
              <w:pStyle w:val="7"/>
              <w:spacing w:before="58" w:line="181" w:lineRule="auto"/>
              <w:ind w:left="124"/>
            </w:pPr>
            <w:r>
              <w:rPr>
                <w:spacing w:val="-8"/>
              </w:rPr>
              <w:t>6</w:t>
            </w:r>
          </w:p>
        </w:tc>
        <w:tc>
          <w:tcPr>
            <w:tcW w:w="1411" w:type="dxa"/>
            <w:vMerge w:val="restart"/>
            <w:tcBorders>
              <w:bottom w:val="nil"/>
            </w:tcBorders>
            <w:vAlign w:val="top"/>
          </w:tcPr>
          <w:p w14:paraId="35A76674">
            <w:pPr>
              <w:spacing w:line="278" w:lineRule="auto"/>
              <w:rPr>
                <w:rFonts w:ascii="Arial"/>
                <w:sz w:val="21"/>
              </w:rPr>
            </w:pPr>
          </w:p>
          <w:p w14:paraId="477A173A">
            <w:pPr>
              <w:spacing w:line="278" w:lineRule="auto"/>
              <w:rPr>
                <w:rFonts w:ascii="Arial"/>
                <w:sz w:val="21"/>
              </w:rPr>
            </w:pPr>
          </w:p>
          <w:p w14:paraId="757CB03F">
            <w:pPr>
              <w:spacing w:line="279" w:lineRule="auto"/>
              <w:rPr>
                <w:rFonts w:ascii="Arial"/>
                <w:sz w:val="21"/>
              </w:rPr>
            </w:pPr>
          </w:p>
          <w:p w14:paraId="739D3C66">
            <w:pPr>
              <w:spacing w:line="279" w:lineRule="auto"/>
              <w:rPr>
                <w:rFonts w:ascii="Arial"/>
                <w:sz w:val="21"/>
              </w:rPr>
            </w:pPr>
          </w:p>
          <w:p w14:paraId="4687FD34">
            <w:pPr>
              <w:pStyle w:val="7"/>
              <w:spacing w:before="59" w:line="215" w:lineRule="auto"/>
              <w:ind w:left="13" w:right="137" w:firstLine="5"/>
            </w:pPr>
            <w:r>
              <w:rPr>
                <w:spacing w:val="-2"/>
              </w:rPr>
              <w:t>对殡葬服务单位</w:t>
            </w:r>
            <w:r>
              <w:rPr>
                <w:spacing w:val="2"/>
              </w:rPr>
              <w:t xml:space="preserve"> </w:t>
            </w:r>
            <w:r>
              <w:rPr>
                <w:spacing w:val="-3"/>
              </w:rPr>
              <w:t>检查</w:t>
            </w:r>
          </w:p>
        </w:tc>
        <w:tc>
          <w:tcPr>
            <w:tcW w:w="1473" w:type="dxa"/>
            <w:vAlign w:val="top"/>
          </w:tcPr>
          <w:p w14:paraId="4524FADF">
            <w:pPr>
              <w:pStyle w:val="7"/>
              <w:spacing w:before="35" w:line="211" w:lineRule="auto"/>
              <w:ind w:left="17" w:right="16" w:firstLine="7"/>
            </w:pPr>
            <w:r>
              <w:rPr>
                <w:spacing w:val="-2"/>
              </w:rPr>
              <w:t>殡葬服务单位服务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公开、收费管理、</w:t>
            </w:r>
            <w:r>
              <w:t xml:space="preserve"> </w:t>
            </w:r>
            <w:r>
              <w:rPr>
                <w:spacing w:val="-1"/>
              </w:rPr>
              <w:t>制度建设、优质服</w:t>
            </w:r>
            <w:r>
              <w:t xml:space="preserve"> </w:t>
            </w:r>
            <w:r>
              <w:rPr>
                <w:spacing w:val="-1"/>
              </w:rPr>
              <w:t>务、行业建设等情</w:t>
            </w:r>
            <w:r>
              <w:t xml:space="preserve"> </w:t>
            </w:r>
            <w:r>
              <w:rPr>
                <w:spacing w:val="-3"/>
              </w:rPr>
              <w:t>况检查</w:t>
            </w:r>
          </w:p>
        </w:tc>
        <w:tc>
          <w:tcPr>
            <w:tcW w:w="3845" w:type="dxa"/>
            <w:vAlign w:val="top"/>
          </w:tcPr>
          <w:p w14:paraId="12033CCE">
            <w:pPr>
              <w:pStyle w:val="7"/>
              <w:spacing w:before="138" w:line="214" w:lineRule="auto"/>
              <w:ind w:left="18" w:right="48" w:firstLine="7"/>
              <w:jc w:val="both"/>
            </w:pPr>
            <w:r>
              <w:rPr>
                <w:spacing w:val="-1"/>
              </w:rPr>
              <w:t>殡仪馆提供遗体整容、遗体防腐、吊唁设施、设</w:t>
            </w:r>
            <w:r>
              <w:rPr>
                <w:spacing w:val="6"/>
              </w:rPr>
              <w:t xml:space="preserve"> </w:t>
            </w:r>
            <w:r>
              <w:rPr>
                <w:spacing w:val="-1"/>
              </w:rPr>
              <w:t>备租赁以及销售殡葬用品是否存在未在明显位置</w:t>
            </w:r>
            <w:r>
              <w:rPr>
                <w:spacing w:val="13"/>
              </w:rPr>
              <w:t xml:space="preserve"> </w:t>
            </w:r>
            <w:r>
              <w:rPr>
                <w:spacing w:val="-1"/>
              </w:rPr>
              <w:t>公示、未按规定明码标价、价格欺诈的违规收费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行为</w:t>
            </w:r>
          </w:p>
        </w:tc>
        <w:tc>
          <w:tcPr>
            <w:tcW w:w="1195" w:type="dxa"/>
            <w:vAlign w:val="top"/>
          </w:tcPr>
          <w:p w14:paraId="5A48A2F1">
            <w:pPr>
              <w:spacing w:line="390" w:lineRule="auto"/>
              <w:rPr>
                <w:rFonts w:ascii="Arial"/>
                <w:sz w:val="21"/>
              </w:rPr>
            </w:pPr>
          </w:p>
          <w:p w14:paraId="50519150">
            <w:pPr>
              <w:pStyle w:val="7"/>
              <w:spacing w:before="59" w:line="217" w:lineRule="auto"/>
              <w:ind w:left="24"/>
            </w:pPr>
            <w:r>
              <w:rPr>
                <w:spacing w:val="-5"/>
              </w:rPr>
              <w:t>殡仪馆</w:t>
            </w:r>
          </w:p>
        </w:tc>
        <w:tc>
          <w:tcPr>
            <w:tcW w:w="775" w:type="dxa"/>
            <w:vAlign w:val="top"/>
          </w:tcPr>
          <w:p w14:paraId="09FC9F0E">
            <w:pPr>
              <w:spacing w:line="287" w:lineRule="auto"/>
              <w:rPr>
                <w:rFonts w:ascii="Arial"/>
                <w:sz w:val="21"/>
              </w:rPr>
            </w:pPr>
          </w:p>
          <w:p w14:paraId="70320575">
            <w:pPr>
              <w:pStyle w:val="7"/>
              <w:spacing w:before="58" w:line="215" w:lineRule="auto"/>
              <w:ind w:left="218" w:right="23" w:hanging="174"/>
            </w:pPr>
            <w:r>
              <w:rPr>
                <w:spacing w:val="-5"/>
              </w:rPr>
              <w:t>一般检查</w:t>
            </w:r>
            <w:r>
              <w:t xml:space="preserve"> </w:t>
            </w:r>
            <w:r>
              <w:rPr>
                <w:spacing w:val="-7"/>
              </w:rPr>
              <w:t>事项</w:t>
            </w:r>
          </w:p>
        </w:tc>
        <w:tc>
          <w:tcPr>
            <w:tcW w:w="851" w:type="dxa"/>
            <w:vAlign w:val="top"/>
          </w:tcPr>
          <w:p w14:paraId="3943985A">
            <w:pPr>
              <w:pStyle w:val="7"/>
              <w:spacing w:before="241" w:line="216" w:lineRule="auto"/>
              <w:ind w:left="27" w:firstLine="4"/>
              <w:jc w:val="both"/>
            </w:pPr>
            <w:r>
              <w:rPr>
                <w:spacing w:val="-18"/>
              </w:rPr>
              <w:t>书面检查、</w:t>
            </w:r>
            <w:r>
              <w:rPr>
                <w:spacing w:val="3"/>
              </w:rPr>
              <w:t xml:space="preserve"> </w:t>
            </w:r>
            <w:r>
              <w:rPr>
                <w:spacing w:val="-10"/>
              </w:rPr>
              <w:t>现场检查</w:t>
            </w:r>
            <w:r>
              <w:t xml:space="preserve">  等</w:t>
            </w:r>
          </w:p>
        </w:tc>
        <w:tc>
          <w:tcPr>
            <w:tcW w:w="1354" w:type="dxa"/>
            <w:vAlign w:val="top"/>
          </w:tcPr>
          <w:p w14:paraId="39643580">
            <w:pPr>
              <w:spacing w:line="288" w:lineRule="auto"/>
              <w:rPr>
                <w:rFonts w:ascii="Arial"/>
                <w:sz w:val="21"/>
              </w:rPr>
            </w:pPr>
          </w:p>
          <w:p w14:paraId="3251CCDE">
            <w:pPr>
              <w:pStyle w:val="7"/>
              <w:spacing w:before="59" w:line="214" w:lineRule="auto"/>
              <w:ind w:left="20"/>
            </w:pPr>
            <w:r>
              <w:rPr>
                <w:spacing w:val="-9"/>
              </w:rPr>
              <w:t>抽查比例为</w:t>
            </w:r>
            <w:r>
              <w:rPr>
                <w:spacing w:val="-31"/>
              </w:rPr>
              <w:t xml:space="preserve"> </w:t>
            </w:r>
            <w:r>
              <w:rPr>
                <w:spacing w:val="-9"/>
              </w:rPr>
              <w:t>40%，</w:t>
            </w:r>
            <w:r>
              <w:t xml:space="preserve"> </w:t>
            </w:r>
            <w:r>
              <w:rPr>
                <w:spacing w:val="-6"/>
              </w:rPr>
              <w:t>每年抽查</w:t>
            </w:r>
            <w:r>
              <w:rPr>
                <w:spacing w:val="-26"/>
              </w:rPr>
              <w:t xml:space="preserve"> </w:t>
            </w:r>
            <w:r>
              <w:rPr>
                <w:spacing w:val="-6"/>
              </w:rPr>
              <w:t>1</w:t>
            </w:r>
            <w:r>
              <w:rPr>
                <w:spacing w:val="-34"/>
              </w:rPr>
              <w:t xml:space="preserve"> </w:t>
            </w:r>
            <w:r>
              <w:rPr>
                <w:spacing w:val="-6"/>
              </w:rPr>
              <w:t>次</w:t>
            </w:r>
          </w:p>
        </w:tc>
        <w:tc>
          <w:tcPr>
            <w:tcW w:w="975" w:type="dxa"/>
            <w:vAlign w:val="top"/>
          </w:tcPr>
          <w:p w14:paraId="264083DA">
            <w:pPr>
              <w:pStyle w:val="7"/>
              <w:spacing w:before="242" w:line="215" w:lineRule="auto"/>
              <w:ind w:left="22" w:right="55" w:firstLine="7"/>
              <w:jc w:val="both"/>
            </w:pPr>
            <w:r>
              <w:rPr>
                <w:rFonts w:hint="eastAsia"/>
                <w:spacing w:val="-3"/>
                <w:lang w:eastAsia="zh-CN"/>
              </w:rPr>
              <w:t>区</w:t>
            </w:r>
            <w:r>
              <w:rPr>
                <w:spacing w:val="-3"/>
              </w:rPr>
              <w:t>民</w:t>
            </w:r>
            <w:r>
              <w:rPr>
                <w:spacing w:val="-2"/>
              </w:rPr>
              <w:t>政、市场监</w:t>
            </w:r>
            <w:r>
              <w:rPr>
                <w:spacing w:val="-3"/>
              </w:rPr>
              <w:t>管部门</w:t>
            </w:r>
          </w:p>
        </w:tc>
        <w:tc>
          <w:tcPr>
            <w:tcW w:w="3428" w:type="dxa"/>
            <w:vAlign w:val="top"/>
          </w:tcPr>
          <w:p w14:paraId="3E0C8247">
            <w:pPr>
              <w:spacing w:line="288" w:lineRule="auto"/>
              <w:rPr>
                <w:rFonts w:ascii="Arial"/>
                <w:sz w:val="21"/>
              </w:rPr>
            </w:pPr>
          </w:p>
          <w:p w14:paraId="35131549">
            <w:pPr>
              <w:pStyle w:val="7"/>
              <w:spacing w:before="58" w:line="215" w:lineRule="auto"/>
              <w:ind w:left="30" w:right="15" w:hanging="11"/>
            </w:pPr>
            <w:r>
              <w:rPr>
                <w:spacing w:val="-2"/>
              </w:rPr>
              <w:t>《山东省殡仪馆管理服务工作规范》第三十</w:t>
            </w:r>
            <w:r>
              <w:rPr>
                <w:spacing w:val="5"/>
              </w:rPr>
              <w:t xml:space="preserve"> </w:t>
            </w:r>
            <w:r>
              <w:rPr>
                <w:spacing w:val="-9"/>
              </w:rPr>
              <w:t>二条</w:t>
            </w:r>
          </w:p>
        </w:tc>
      </w:tr>
      <w:tr w14:paraId="282EE9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</w:trPr>
        <w:tc>
          <w:tcPr>
            <w:tcW w:w="403" w:type="dxa"/>
            <w:vMerge w:val="continue"/>
            <w:tcBorders>
              <w:top w:val="nil"/>
              <w:bottom w:val="nil"/>
            </w:tcBorders>
            <w:vAlign w:val="top"/>
          </w:tcPr>
          <w:p w14:paraId="1706A6D7">
            <w:pPr>
              <w:rPr>
                <w:rFonts w:ascii="Arial"/>
                <w:sz w:val="21"/>
              </w:rPr>
            </w:pPr>
          </w:p>
        </w:tc>
        <w:tc>
          <w:tcPr>
            <w:tcW w:w="1411" w:type="dxa"/>
            <w:vMerge w:val="continue"/>
            <w:tcBorders>
              <w:top w:val="nil"/>
              <w:bottom w:val="nil"/>
            </w:tcBorders>
            <w:vAlign w:val="top"/>
          </w:tcPr>
          <w:p w14:paraId="4D9D89E2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Merge w:val="restart"/>
            <w:tcBorders>
              <w:bottom w:val="nil"/>
            </w:tcBorders>
            <w:vAlign w:val="top"/>
          </w:tcPr>
          <w:p w14:paraId="106E4D01">
            <w:pPr>
              <w:spacing w:line="478" w:lineRule="auto"/>
              <w:rPr>
                <w:rFonts w:ascii="Arial"/>
                <w:sz w:val="21"/>
              </w:rPr>
            </w:pPr>
          </w:p>
          <w:p w14:paraId="1693B7C9">
            <w:pPr>
              <w:pStyle w:val="7"/>
              <w:spacing w:before="58" w:line="214" w:lineRule="auto"/>
              <w:ind w:left="16" w:firstLine="7"/>
              <w:jc w:val="both"/>
            </w:pPr>
            <w:r>
              <w:rPr>
                <w:spacing w:val="-11"/>
              </w:rPr>
              <w:t>殡葬服务单位（经</w:t>
            </w:r>
            <w:r>
              <w:rPr>
                <w:spacing w:val="3"/>
              </w:rPr>
              <w:t xml:space="preserve">  </w:t>
            </w:r>
            <w:r>
              <w:rPr>
                <w:spacing w:val="-19"/>
              </w:rPr>
              <w:t>营性、公益性公墓）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建设经营情况</w:t>
            </w:r>
          </w:p>
        </w:tc>
        <w:tc>
          <w:tcPr>
            <w:tcW w:w="3845" w:type="dxa"/>
            <w:vAlign w:val="top"/>
          </w:tcPr>
          <w:p w14:paraId="708042CE">
            <w:pPr>
              <w:pStyle w:val="7"/>
              <w:spacing w:before="141" w:line="213" w:lineRule="auto"/>
              <w:ind w:left="25" w:right="48" w:firstLine="4"/>
            </w:pPr>
            <w:r>
              <w:rPr>
                <w:spacing w:val="-2"/>
              </w:rPr>
              <w:t>1.是否存在未经批准擅自建设或</w:t>
            </w:r>
            <w:r>
              <w:rPr>
                <w:spacing w:val="-64"/>
              </w:rPr>
              <w:t xml:space="preserve"> </w:t>
            </w:r>
            <w:r>
              <w:rPr>
                <w:spacing w:val="-2"/>
              </w:rPr>
              <w:t>“批少建多</w:t>
            </w:r>
            <w:r>
              <w:rPr>
                <w:spacing w:val="-3"/>
              </w:rPr>
              <w:t>”；</w:t>
            </w:r>
            <w:r>
              <w:t xml:space="preserve"> </w:t>
            </w:r>
            <w:r>
              <w:rPr>
                <w:spacing w:val="-1"/>
              </w:rPr>
              <w:t>2.是否存在建设超标准墓等问题；3.是否存在不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明码标价、存在价格欺诈行为</w:t>
            </w:r>
          </w:p>
        </w:tc>
        <w:tc>
          <w:tcPr>
            <w:tcW w:w="1195" w:type="dxa"/>
            <w:vAlign w:val="top"/>
          </w:tcPr>
          <w:p w14:paraId="4064E22F">
            <w:pPr>
              <w:spacing w:line="288" w:lineRule="auto"/>
              <w:rPr>
                <w:rFonts w:ascii="Arial"/>
                <w:sz w:val="21"/>
              </w:rPr>
            </w:pPr>
          </w:p>
          <w:p w14:paraId="6093E908">
            <w:pPr>
              <w:pStyle w:val="7"/>
              <w:spacing w:before="59" w:line="215" w:lineRule="auto"/>
              <w:ind w:left="22"/>
            </w:pPr>
            <w:r>
              <w:rPr>
                <w:spacing w:val="-3"/>
              </w:rPr>
              <w:t>经营性公墓</w:t>
            </w:r>
          </w:p>
        </w:tc>
        <w:tc>
          <w:tcPr>
            <w:tcW w:w="775" w:type="dxa"/>
            <w:vAlign w:val="top"/>
          </w:tcPr>
          <w:p w14:paraId="1E48AB5E">
            <w:pPr>
              <w:pStyle w:val="7"/>
              <w:spacing w:before="243" w:line="216" w:lineRule="auto"/>
              <w:ind w:left="218" w:right="23" w:hanging="174"/>
            </w:pPr>
            <w:r>
              <w:rPr>
                <w:spacing w:val="-5"/>
              </w:rPr>
              <w:t>一般检查</w:t>
            </w:r>
            <w:r>
              <w:t xml:space="preserve"> </w:t>
            </w:r>
            <w:r>
              <w:rPr>
                <w:spacing w:val="-7"/>
              </w:rPr>
              <w:t>事项</w:t>
            </w:r>
          </w:p>
        </w:tc>
        <w:tc>
          <w:tcPr>
            <w:tcW w:w="851" w:type="dxa"/>
            <w:vAlign w:val="top"/>
          </w:tcPr>
          <w:p w14:paraId="4984EFD3">
            <w:pPr>
              <w:pStyle w:val="7"/>
              <w:spacing w:before="139" w:line="215" w:lineRule="auto"/>
              <w:ind w:left="27" w:firstLine="4"/>
              <w:jc w:val="both"/>
            </w:pPr>
            <w:r>
              <w:rPr>
                <w:spacing w:val="-18"/>
              </w:rPr>
              <w:t>书面检查、</w:t>
            </w:r>
            <w:r>
              <w:rPr>
                <w:spacing w:val="3"/>
              </w:rPr>
              <w:t xml:space="preserve"> </w:t>
            </w:r>
            <w:r>
              <w:rPr>
                <w:spacing w:val="-10"/>
              </w:rPr>
              <w:t>现场检查</w:t>
            </w:r>
            <w:r>
              <w:t xml:space="preserve">  等</w:t>
            </w:r>
          </w:p>
        </w:tc>
        <w:tc>
          <w:tcPr>
            <w:tcW w:w="1354" w:type="dxa"/>
            <w:vAlign w:val="top"/>
          </w:tcPr>
          <w:p w14:paraId="7B065EC7">
            <w:pPr>
              <w:pStyle w:val="7"/>
              <w:spacing w:before="242" w:line="216" w:lineRule="auto"/>
              <w:ind w:left="20"/>
            </w:pPr>
            <w:r>
              <w:rPr>
                <w:spacing w:val="-9"/>
              </w:rPr>
              <w:t>抽查比例为</w:t>
            </w:r>
            <w:r>
              <w:rPr>
                <w:spacing w:val="-31"/>
              </w:rPr>
              <w:t xml:space="preserve"> </w:t>
            </w:r>
            <w:r>
              <w:rPr>
                <w:spacing w:val="-9"/>
              </w:rPr>
              <w:t>40%，</w:t>
            </w:r>
            <w:r>
              <w:t xml:space="preserve"> </w:t>
            </w:r>
            <w:r>
              <w:rPr>
                <w:spacing w:val="-6"/>
              </w:rPr>
              <w:t>每年抽查</w:t>
            </w:r>
            <w:r>
              <w:rPr>
                <w:spacing w:val="-26"/>
              </w:rPr>
              <w:t xml:space="preserve"> </w:t>
            </w:r>
            <w:r>
              <w:rPr>
                <w:spacing w:val="-6"/>
              </w:rPr>
              <w:t>1</w:t>
            </w:r>
            <w:r>
              <w:rPr>
                <w:spacing w:val="-34"/>
              </w:rPr>
              <w:t xml:space="preserve"> </w:t>
            </w:r>
            <w:r>
              <w:rPr>
                <w:spacing w:val="-6"/>
              </w:rPr>
              <w:t>次</w:t>
            </w:r>
          </w:p>
        </w:tc>
        <w:tc>
          <w:tcPr>
            <w:tcW w:w="975" w:type="dxa"/>
            <w:vAlign w:val="top"/>
          </w:tcPr>
          <w:p w14:paraId="552C0CA9">
            <w:pPr>
              <w:pStyle w:val="7"/>
              <w:spacing w:before="37" w:line="210" w:lineRule="auto"/>
              <w:ind w:left="22" w:right="55" w:firstLine="7"/>
              <w:jc w:val="both"/>
            </w:pPr>
            <w:r>
              <w:rPr>
                <w:rFonts w:hint="eastAsia"/>
                <w:spacing w:val="-3"/>
                <w:lang w:eastAsia="zh-CN"/>
              </w:rPr>
              <w:t>区</w:t>
            </w:r>
            <w:r>
              <w:rPr>
                <w:spacing w:val="-3"/>
              </w:rPr>
              <w:t>民</w:t>
            </w:r>
            <w:r>
              <w:rPr>
                <w:spacing w:val="-11"/>
              </w:rPr>
              <w:t>政、</w:t>
            </w:r>
            <w:r>
              <w:rPr>
                <w:spacing w:val="-44"/>
              </w:rPr>
              <w:t xml:space="preserve"> </w:t>
            </w:r>
            <w:r>
              <w:rPr>
                <w:spacing w:val="-11"/>
              </w:rPr>
              <w:t>自然资</w:t>
            </w:r>
            <w:r>
              <w:rPr>
                <w:spacing w:val="-2"/>
              </w:rPr>
              <w:t>源、市场监</w:t>
            </w:r>
            <w:r>
              <w:rPr>
                <w:spacing w:val="-3"/>
              </w:rPr>
              <w:t>管部门</w:t>
            </w:r>
          </w:p>
        </w:tc>
        <w:tc>
          <w:tcPr>
            <w:tcW w:w="3428" w:type="dxa"/>
            <w:vAlign w:val="top"/>
          </w:tcPr>
          <w:p w14:paraId="34299D6C">
            <w:pPr>
              <w:pStyle w:val="7"/>
              <w:spacing w:before="36" w:line="213" w:lineRule="auto"/>
              <w:ind w:left="30" w:firstLine="2"/>
            </w:pPr>
            <w:r>
              <w:rPr>
                <w:spacing w:val="-3"/>
              </w:rPr>
              <w:t>1.《殡葬管理条例》（国务院令第</w:t>
            </w:r>
            <w:r>
              <w:rPr>
                <w:spacing w:val="-27"/>
              </w:rPr>
              <w:t xml:space="preserve"> </w:t>
            </w:r>
            <w:r>
              <w:rPr>
                <w:spacing w:val="-3"/>
              </w:rPr>
              <w:t>628</w:t>
            </w:r>
            <w:r>
              <w:rPr>
                <w:spacing w:val="-31"/>
              </w:rPr>
              <w:t xml:space="preserve"> </w:t>
            </w:r>
            <w:r>
              <w:rPr>
                <w:spacing w:val="-3"/>
              </w:rPr>
              <w:t>号）</w:t>
            </w:r>
            <w:r>
              <w:t xml:space="preserve"> </w:t>
            </w:r>
            <w:r>
              <w:rPr>
                <w:spacing w:val="-3"/>
              </w:rPr>
              <w:t>第十八条、第十九条</w:t>
            </w:r>
          </w:p>
          <w:p w14:paraId="2920111E">
            <w:pPr>
              <w:pStyle w:val="7"/>
              <w:spacing w:before="1" w:line="207" w:lineRule="auto"/>
              <w:ind w:left="42" w:right="15" w:hanging="14"/>
            </w:pPr>
            <w:r>
              <w:rPr>
                <w:spacing w:val="-3"/>
              </w:rPr>
              <w:t>2.《山东省公墓管理办法》第四十一条、第</w:t>
            </w:r>
            <w:r>
              <w:rPr>
                <w:spacing w:val="18"/>
              </w:rPr>
              <w:t xml:space="preserve"> </w:t>
            </w:r>
            <w:r>
              <w:rPr>
                <w:spacing w:val="-8"/>
              </w:rPr>
              <w:t>四十二条</w:t>
            </w:r>
          </w:p>
        </w:tc>
      </w:tr>
      <w:tr w14:paraId="7D753C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403" w:type="dxa"/>
            <w:vMerge w:val="continue"/>
            <w:tcBorders>
              <w:top w:val="nil"/>
            </w:tcBorders>
            <w:vAlign w:val="top"/>
          </w:tcPr>
          <w:p w14:paraId="6EA02C74">
            <w:pPr>
              <w:rPr>
                <w:rFonts w:ascii="Arial"/>
                <w:sz w:val="21"/>
              </w:rPr>
            </w:pPr>
          </w:p>
        </w:tc>
        <w:tc>
          <w:tcPr>
            <w:tcW w:w="1411" w:type="dxa"/>
            <w:vMerge w:val="continue"/>
            <w:tcBorders>
              <w:top w:val="nil"/>
            </w:tcBorders>
            <w:vAlign w:val="top"/>
          </w:tcPr>
          <w:p w14:paraId="3AD95CA4">
            <w:pPr>
              <w:rPr>
                <w:rFonts w:ascii="Arial"/>
                <w:sz w:val="21"/>
              </w:rPr>
            </w:pPr>
          </w:p>
        </w:tc>
        <w:tc>
          <w:tcPr>
            <w:tcW w:w="1473" w:type="dxa"/>
            <w:vMerge w:val="continue"/>
            <w:tcBorders>
              <w:top w:val="nil"/>
            </w:tcBorders>
            <w:vAlign w:val="top"/>
          </w:tcPr>
          <w:p w14:paraId="1556F7B6">
            <w:pPr>
              <w:rPr>
                <w:rFonts w:ascii="Arial"/>
                <w:sz w:val="21"/>
              </w:rPr>
            </w:pPr>
          </w:p>
        </w:tc>
        <w:tc>
          <w:tcPr>
            <w:tcW w:w="3845" w:type="dxa"/>
            <w:vAlign w:val="top"/>
          </w:tcPr>
          <w:p w14:paraId="3A4B0CD9">
            <w:pPr>
              <w:pStyle w:val="7"/>
              <w:spacing w:before="206" w:line="214" w:lineRule="auto"/>
              <w:ind w:left="23" w:right="48" w:hanging="8"/>
            </w:pPr>
            <w:r>
              <w:rPr>
                <w:spacing w:val="-1"/>
              </w:rPr>
              <w:t>是否不执行政府定价，超标准、超范围收费，从</w:t>
            </w:r>
            <w:r>
              <w:rPr>
                <w:spacing w:val="15"/>
              </w:rPr>
              <w:t xml:space="preserve"> </w:t>
            </w:r>
            <w:r>
              <w:rPr>
                <w:spacing w:val="-2"/>
              </w:rPr>
              <w:t>事违法经营活动行为</w:t>
            </w:r>
          </w:p>
        </w:tc>
        <w:tc>
          <w:tcPr>
            <w:tcW w:w="1195" w:type="dxa"/>
            <w:vAlign w:val="top"/>
          </w:tcPr>
          <w:p w14:paraId="4EA32A46">
            <w:pPr>
              <w:pStyle w:val="7"/>
              <w:spacing w:before="206" w:line="212" w:lineRule="auto"/>
              <w:ind w:left="17"/>
            </w:pPr>
            <w:r>
              <w:rPr>
                <w:spacing w:val="-2"/>
              </w:rPr>
              <w:t>公益性安葬</w:t>
            </w:r>
          </w:p>
          <w:p w14:paraId="0C14B98B">
            <w:pPr>
              <w:pStyle w:val="7"/>
              <w:spacing w:line="218" w:lineRule="auto"/>
              <w:ind w:left="16"/>
            </w:pPr>
            <w:r>
              <w:rPr>
                <w:spacing w:val="-1"/>
              </w:rPr>
              <w:t>（放）设施</w:t>
            </w:r>
          </w:p>
        </w:tc>
        <w:tc>
          <w:tcPr>
            <w:tcW w:w="775" w:type="dxa"/>
            <w:vAlign w:val="top"/>
          </w:tcPr>
          <w:p w14:paraId="0D6BBE20">
            <w:pPr>
              <w:pStyle w:val="7"/>
              <w:spacing w:before="206" w:line="215" w:lineRule="auto"/>
              <w:ind w:left="218" w:right="23" w:hanging="174"/>
            </w:pPr>
            <w:r>
              <w:rPr>
                <w:spacing w:val="-5"/>
              </w:rPr>
              <w:t>一般检查</w:t>
            </w:r>
            <w:r>
              <w:t xml:space="preserve"> </w:t>
            </w:r>
            <w:r>
              <w:rPr>
                <w:spacing w:val="-7"/>
              </w:rPr>
              <w:t>事项</w:t>
            </w:r>
          </w:p>
        </w:tc>
        <w:tc>
          <w:tcPr>
            <w:tcW w:w="851" w:type="dxa"/>
            <w:vAlign w:val="top"/>
          </w:tcPr>
          <w:p w14:paraId="353516E6">
            <w:pPr>
              <w:pStyle w:val="7"/>
              <w:spacing w:before="100" w:line="216" w:lineRule="auto"/>
              <w:ind w:left="27" w:firstLine="4"/>
              <w:jc w:val="both"/>
            </w:pPr>
            <w:r>
              <w:rPr>
                <w:spacing w:val="-18"/>
              </w:rPr>
              <w:t>书面检查、</w:t>
            </w:r>
            <w:r>
              <w:rPr>
                <w:spacing w:val="3"/>
              </w:rPr>
              <w:t xml:space="preserve"> </w:t>
            </w:r>
            <w:r>
              <w:rPr>
                <w:spacing w:val="-10"/>
              </w:rPr>
              <w:t>现场检查</w:t>
            </w:r>
            <w:r>
              <w:t xml:space="preserve">  等</w:t>
            </w:r>
          </w:p>
        </w:tc>
        <w:tc>
          <w:tcPr>
            <w:tcW w:w="1354" w:type="dxa"/>
            <w:vAlign w:val="top"/>
          </w:tcPr>
          <w:p w14:paraId="3F5BABD9">
            <w:pPr>
              <w:pStyle w:val="7"/>
              <w:spacing w:before="207" w:line="214" w:lineRule="auto"/>
              <w:ind w:left="20"/>
            </w:pPr>
            <w:r>
              <w:rPr>
                <w:spacing w:val="-9"/>
              </w:rPr>
              <w:t>抽查比例为</w:t>
            </w:r>
            <w:r>
              <w:rPr>
                <w:spacing w:val="-31"/>
              </w:rPr>
              <w:t xml:space="preserve"> </w:t>
            </w:r>
            <w:r>
              <w:rPr>
                <w:spacing w:val="-9"/>
              </w:rPr>
              <w:t>40%，</w:t>
            </w:r>
            <w:r>
              <w:t xml:space="preserve"> </w:t>
            </w:r>
            <w:r>
              <w:rPr>
                <w:spacing w:val="-6"/>
              </w:rPr>
              <w:t>每年抽查</w:t>
            </w:r>
            <w:r>
              <w:rPr>
                <w:spacing w:val="-26"/>
              </w:rPr>
              <w:t xml:space="preserve"> </w:t>
            </w:r>
            <w:r>
              <w:rPr>
                <w:spacing w:val="-6"/>
              </w:rPr>
              <w:t>1</w:t>
            </w:r>
            <w:r>
              <w:rPr>
                <w:spacing w:val="-34"/>
              </w:rPr>
              <w:t xml:space="preserve"> </w:t>
            </w:r>
            <w:r>
              <w:rPr>
                <w:spacing w:val="-6"/>
              </w:rPr>
              <w:t>次</w:t>
            </w:r>
          </w:p>
        </w:tc>
        <w:tc>
          <w:tcPr>
            <w:tcW w:w="975" w:type="dxa"/>
            <w:vAlign w:val="top"/>
          </w:tcPr>
          <w:p w14:paraId="32ED0C6C">
            <w:pPr>
              <w:pStyle w:val="7"/>
              <w:spacing w:before="100" w:line="215" w:lineRule="auto"/>
              <w:ind w:left="22" w:right="55" w:firstLine="7"/>
              <w:jc w:val="both"/>
            </w:pPr>
            <w:r>
              <w:rPr>
                <w:spacing w:val="-3"/>
              </w:rPr>
              <w:t>市、县级民</w:t>
            </w:r>
            <w:r>
              <w:t xml:space="preserve"> </w:t>
            </w:r>
            <w:r>
              <w:rPr>
                <w:spacing w:val="-2"/>
              </w:rPr>
              <w:t>政、市场监</w:t>
            </w:r>
            <w:r>
              <w:rPr>
                <w:spacing w:val="1"/>
              </w:rPr>
              <w:t xml:space="preserve"> </w:t>
            </w:r>
            <w:r>
              <w:rPr>
                <w:spacing w:val="-3"/>
              </w:rPr>
              <w:t>管部门</w:t>
            </w:r>
          </w:p>
        </w:tc>
        <w:tc>
          <w:tcPr>
            <w:tcW w:w="3428" w:type="dxa"/>
            <w:vAlign w:val="top"/>
          </w:tcPr>
          <w:p w14:paraId="3F74E5FD">
            <w:pPr>
              <w:spacing w:line="250" w:lineRule="auto"/>
              <w:rPr>
                <w:rFonts w:ascii="Arial"/>
                <w:sz w:val="21"/>
              </w:rPr>
            </w:pPr>
          </w:p>
          <w:p w14:paraId="5A0651EB">
            <w:pPr>
              <w:pStyle w:val="7"/>
              <w:spacing w:before="58" w:line="217" w:lineRule="auto"/>
              <w:ind w:left="19"/>
            </w:pPr>
            <w:r>
              <w:rPr>
                <w:spacing w:val="-1"/>
              </w:rPr>
              <w:t>《山东省公墓管理办法》第四十四条</w:t>
            </w:r>
          </w:p>
        </w:tc>
      </w:tr>
    </w:tbl>
    <w:p w14:paraId="5ED0B770"/>
    <w:sectPr>
      <w:headerReference r:id="rId5" w:type="default"/>
      <w:footerReference r:id="rId6" w:type="default"/>
      <w:pgSz w:w="16838" w:h="11906" w:orient="landscape"/>
      <w:pgMar w:top="1066" w:right="986" w:bottom="952" w:left="986" w:header="851" w:footer="992" w:gutter="0"/>
      <w:cols w:space="0" w:num="1"/>
      <w:rtlGutter w:val="0"/>
      <w:docGrid w:type="lines" w:linePitch="319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17E480"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38BC76">
    <w:pPr>
      <w:pStyle w:val="3"/>
      <w:jc w:val="center"/>
      <w:rPr>
        <w:rFonts w:hint="eastAsia" w:ascii="方正小标宋简体" w:hAnsi="方正小标宋简体" w:eastAsia="方正小标宋简体" w:cs="方正小标宋简体"/>
        <w:sz w:val="44"/>
        <w:szCs w:val="44"/>
      </w:rPr>
    </w:pPr>
    <w:r>
      <w:rPr>
        <w:rFonts w:hint="eastAsia" w:ascii="方正小标宋简体" w:hAnsi="方正小标宋简体" w:eastAsia="方正小标宋简体" w:cs="方正小标宋简体"/>
        <w:sz w:val="44"/>
        <w:szCs w:val="44"/>
      </w:rPr>
      <w:t>威海市文登区民政局“双随机、一公开”抽查事项清单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E3YzcyY2JmMjM1ZTM0ZGRhZjUzNzRjMWVkN2M1YjcifQ=="/>
  </w:docVars>
  <w:rsids>
    <w:rsidRoot w:val="0B7705BA"/>
    <w:rsid w:val="049B3840"/>
    <w:rsid w:val="0B7705BA"/>
    <w:rsid w:val="23B67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  <w:rPr>
      <w:rFonts w:ascii="仿宋" w:hAnsi="仿宋" w:eastAsia="仿宋" w:cs="仿宋"/>
      <w:sz w:val="18"/>
      <w:szCs w:val="1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1675</Words>
  <Characters>1752</Characters>
  <Lines>0</Lines>
  <Paragraphs>0</Paragraphs>
  <TotalTime>5</TotalTime>
  <ScaleCrop>false</ScaleCrop>
  <LinksUpToDate>false</LinksUpToDate>
  <CharactersWithSpaces>1937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2023-11-06T07:03:00Z</dcterms:created>
  <dc:creator>吉航</dc:creator>
  <cp:lastModifiedBy>福二</cp:lastModifiedBy>
  <dcterms:modified xsi:type="dcterms:W3CDTF">2026-02-02T01:35:12Z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6E0CE984E1664E1D87EF851FFE9EB780_13</vt:lpwstr>
  </property>
</Properties>
</file>