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8F8F8"/>
        <w:spacing w:line="0" w:lineRule="atLeast"/>
        <w:jc w:val="center"/>
        <w:rPr>
          <w:rFonts w:hint="eastAsia" w:ascii="方正小标宋简体" w:hAnsi="Tahoma" w:eastAsia="方正小标宋简体" w:cs="Tahoma"/>
          <w:kern w:val="0"/>
          <w:sz w:val="44"/>
          <w:szCs w:val="44"/>
        </w:rPr>
      </w:pPr>
      <w:r>
        <w:rPr>
          <w:rFonts w:hint="eastAsia" w:ascii="方正小标宋简体" w:hAnsi="Tahoma" w:eastAsia="方正小标宋简体" w:cs="Tahoma"/>
          <w:kern w:val="0"/>
          <w:sz w:val="44"/>
          <w:szCs w:val="44"/>
        </w:rPr>
        <w:t>威海市文登区文化广电新闻出版局2018年度</w:t>
      </w:r>
    </w:p>
    <w:p>
      <w:pPr>
        <w:widowControl/>
        <w:shd w:val="clear" w:color="auto" w:fill="F8F8F8"/>
        <w:spacing w:line="0" w:lineRule="atLeast"/>
        <w:jc w:val="center"/>
        <w:rPr>
          <w:rFonts w:ascii="方正小标宋简体" w:hAnsi="Tahoma" w:eastAsia="方正小标宋简体" w:cs="Tahoma"/>
          <w:kern w:val="0"/>
          <w:sz w:val="44"/>
          <w:szCs w:val="44"/>
        </w:rPr>
      </w:pPr>
      <w:r>
        <w:rPr>
          <w:rFonts w:hint="eastAsia" w:ascii="方正小标宋简体" w:hAnsi="Tahoma" w:eastAsia="方正小标宋简体" w:cs="Tahoma"/>
          <w:kern w:val="0"/>
          <w:sz w:val="44"/>
          <w:szCs w:val="44"/>
        </w:rPr>
        <w:t>政府信息公开工作报告</w:t>
      </w:r>
    </w:p>
    <w:p>
      <w:pPr>
        <w:widowControl/>
        <w:spacing w:before="75" w:after="75"/>
        <w:ind w:firstLine="640" w:firstLineChars="200"/>
        <w:jc w:val="left"/>
        <w:rPr>
          <w:rFonts w:ascii="仿宋_GB2312" w:hAnsi="Tahoma" w:eastAsia="仿宋_GB2312" w:cs="Tahoma"/>
          <w:kern w:val="0"/>
          <w:sz w:val="32"/>
          <w:szCs w:val="32"/>
        </w:rPr>
      </w:pPr>
    </w:p>
    <w:p>
      <w:pPr>
        <w:widowControl/>
        <w:spacing w:before="75" w:after="75"/>
        <w:ind w:firstLine="640" w:firstLineChars="200"/>
        <w:jc w:val="left"/>
        <w:rPr>
          <w:rFonts w:ascii="Tahoma" w:hAnsi="Tahoma" w:eastAsia="宋体" w:cs="Tahoma"/>
          <w:kern w:val="0"/>
          <w:sz w:val="18"/>
          <w:szCs w:val="18"/>
        </w:rPr>
      </w:pPr>
      <w:r>
        <w:rPr>
          <w:rFonts w:hint="eastAsia" w:ascii="仿宋_GB2312" w:hAnsi="Tahoma" w:eastAsia="仿宋_GB2312" w:cs="Tahoma"/>
          <w:kern w:val="0"/>
          <w:sz w:val="32"/>
          <w:szCs w:val="32"/>
        </w:rPr>
        <w:t>根据《中华人民共和国政府信息公开条例》（以下简称《条例》）和《山东省政府信息公开办法》（以下简称《办法》）规定及《山东省人民政府办公厅关于做好2018年度政府信息公开年度报告编制发布的通知》和《威海市人民政府办公室关于做好政府信息公开年度报告编制发布工作的通知》要求，现公布威海市文登区文化广电新闻出版局2018年度政府信息公开工作报告。本报告由概述、政府信息公开的组织领导和制度建设情况、主动公开政府信息以及公开平台建设情况、政府信息公开申请的办理情况、政府信息公开的收费及减免情况、因政府信息公开申请提起行政复议和行政诉讼的情况、政府信息公开保密审查及监督检查情况、政府信息公开工作存在的主要问题及改进情况等部分组成。</w:t>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本报告中所列数据的统计时限自2018年1月1日起至12月31日止。本报告的电子版可在威海市文登区人民政府门户网站“中国·文登”网（http://www.wendeng.gov.cn）信息公开专栏查阅。如对本报告有疑问，请与威海市文登区文化广电新闻出版局办公室联系（地址：威海市文登区天福路8-1号，邮编：266440，电话：0631-8459063）。</w:t>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w:t>
      </w:r>
      <w:r>
        <w:rPr>
          <w:rFonts w:hint="eastAsia" w:ascii="黑体" w:hAnsi="黑体" w:eastAsia="黑体" w:cs="Tahoma"/>
          <w:kern w:val="0"/>
          <w:sz w:val="32"/>
          <w:szCs w:val="32"/>
        </w:rPr>
        <w:t>一、概述</w:t>
      </w:r>
    </w:p>
    <w:p>
      <w:pPr>
        <w:widowControl/>
        <w:spacing w:before="75" w:after="75"/>
        <w:ind w:firstLine="645"/>
        <w:jc w:val="left"/>
        <w:rPr>
          <w:rFonts w:ascii="Tahoma" w:hAnsi="Tahoma" w:eastAsia="宋体" w:cs="Tahoma"/>
          <w:kern w:val="0"/>
          <w:sz w:val="18"/>
          <w:szCs w:val="18"/>
        </w:rPr>
      </w:pPr>
      <w:r>
        <w:rPr>
          <w:rFonts w:hint="eastAsia" w:ascii="仿宋_GB2312" w:hAnsi="Tahoma" w:eastAsia="仿宋_GB2312" w:cs="Tahoma"/>
          <w:kern w:val="0"/>
          <w:sz w:val="32"/>
          <w:szCs w:val="32"/>
        </w:rPr>
        <w:t>2018年，威海市文登区文化广电新闻出版局认真贯彻落实《条例》和《办法》，政府信息公开工作取得重要进展。在政府信息公开渠道拓展上，依托互联网和业务办事大厅，建立和完善了信息发布与政府信息公开一体的服务平台；在政府信息公开方面，主动公开与群众咨询公开相结合，不断提高文化广电新闻出版局行政透明度和办事效率；在制度建设上，继续完善各种制度规章，依法、按时公开各种政府信息，促进政府机关依法行政，全面接受社会监督。全年，通过“中国·文登”网政府信息公开专栏以及新闻媒体、公告栏、电子显示屏等多种形式，发布各类法律法规、办事指南等服务信息106条，及时、全面、有效地主动公开政府信息，积极受理和回复政府信息公开申请，为公众提供了比较好的政府信息公开服务。</w:t>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w:t>
      </w:r>
      <w:r>
        <w:rPr>
          <w:rFonts w:hint="eastAsia" w:ascii="宋体" w:hAnsi="宋体" w:eastAsia="宋体" w:cs="宋体"/>
          <w:kern w:val="0"/>
          <w:sz w:val="32"/>
          <w:szCs w:val="32"/>
        </w:rPr>
        <w:t> </w:t>
      </w:r>
      <w:r>
        <w:rPr>
          <w:rFonts w:hint="eastAsia" w:ascii="黑体" w:hAnsi="黑体" w:eastAsia="黑体" w:cs="Tahoma"/>
          <w:kern w:val="0"/>
          <w:sz w:val="32"/>
          <w:szCs w:val="32"/>
        </w:rPr>
        <w:t>二、政府信息公开组织领导和制度建设情况</w:t>
      </w:r>
    </w:p>
    <w:p>
      <w:pPr>
        <w:widowControl/>
        <w:spacing w:before="75" w:after="75"/>
        <w:jc w:val="left"/>
        <w:rPr>
          <w:rFonts w:hint="eastAsia" w:ascii="Tahoma" w:hAnsi="Tahoma" w:eastAsia="宋体" w:cs="Tahoma"/>
          <w:kern w:val="0"/>
          <w:sz w:val="18"/>
          <w:szCs w:val="18"/>
        </w:rPr>
      </w:pPr>
      <w:r>
        <w:rPr>
          <w:rFonts w:hint="eastAsia" w:ascii="仿宋_GB2312" w:hAnsi="Tahoma" w:eastAsia="仿宋_GB2312" w:cs="Tahoma"/>
          <w:kern w:val="0"/>
          <w:sz w:val="32"/>
          <w:szCs w:val="32"/>
        </w:rPr>
        <w:t>    （一）加强领导体系建设。成立文化广电新闻出版局政府信息公开工作领导小组，确保组织机构健全、工作人员到位、职责分工明确。</w:t>
      </w:r>
    </w:p>
    <w:p>
      <w:pPr>
        <w:widowControl/>
        <w:spacing w:before="75" w:after="75"/>
        <w:jc w:val="left"/>
        <w:rPr>
          <w:rFonts w:ascii="Tahoma" w:hAnsi="Tahoma" w:eastAsia="宋体" w:cs="Tahoma"/>
          <w:kern w:val="0"/>
          <w:sz w:val="18"/>
          <w:szCs w:val="18"/>
        </w:rPr>
      </w:pPr>
      <w:r>
        <w:rPr>
          <w:rFonts w:hint="eastAsia" w:ascii="Tahoma" w:hAnsi="Tahoma" w:eastAsia="宋体" w:cs="Tahoma"/>
          <w:kern w:val="0"/>
          <w:sz w:val="18"/>
          <w:szCs w:val="18"/>
        </w:rPr>
        <w:t xml:space="preserve">    </w:t>
      </w:r>
      <w:r>
        <w:rPr>
          <w:rFonts w:hint="eastAsia" w:ascii="仿宋_GB2312" w:hAnsi="Tahoma" w:eastAsia="仿宋_GB2312" w:cs="Tahoma"/>
          <w:kern w:val="0"/>
          <w:sz w:val="32"/>
          <w:szCs w:val="32"/>
        </w:rPr>
        <w:t>（二）完善制度管理机制。完善申请公开、限时公开、申请受理、考核监督、保密审查、社会评议、责任追究等工作机制，进一步规范工作流程和工作标准，确保政府信息公开工作安全、有效、有序进行。</w:t>
      </w:r>
    </w:p>
    <w:p>
      <w:pPr>
        <w:widowControl/>
        <w:spacing w:before="75" w:after="75"/>
        <w:ind w:firstLine="645"/>
        <w:jc w:val="left"/>
        <w:rPr>
          <w:rFonts w:ascii="Tahoma" w:hAnsi="Tahoma" w:eastAsia="宋体" w:cs="Tahoma"/>
          <w:kern w:val="0"/>
          <w:sz w:val="18"/>
          <w:szCs w:val="18"/>
        </w:rPr>
      </w:pPr>
      <w:r>
        <w:rPr>
          <w:rFonts w:hint="eastAsia" w:ascii="黑体" w:hAnsi="黑体" w:eastAsia="黑体" w:cs="Tahoma"/>
          <w:kern w:val="0"/>
          <w:sz w:val="32"/>
          <w:szCs w:val="32"/>
        </w:rPr>
        <w:t>三、发布解读、回应社会关切以及互动交流情况</w:t>
      </w:r>
    </w:p>
    <w:p>
      <w:pPr>
        <w:widowControl/>
        <w:spacing w:before="75" w:after="75"/>
        <w:ind w:firstLine="645"/>
        <w:jc w:val="left"/>
        <w:rPr>
          <w:rFonts w:ascii="仿宋_GB2312" w:hAnsi="Tahoma" w:eastAsia="仿宋_GB2312" w:cs="Tahoma"/>
          <w:kern w:val="0"/>
          <w:sz w:val="32"/>
          <w:szCs w:val="32"/>
        </w:rPr>
      </w:pPr>
      <w:r>
        <w:rPr>
          <w:rFonts w:hint="eastAsia" w:ascii="仿宋_GB2312" w:hAnsi="Tahoma" w:eastAsia="仿宋_GB2312" w:cs="Tahoma"/>
          <w:kern w:val="0"/>
          <w:sz w:val="32"/>
          <w:szCs w:val="32"/>
        </w:rPr>
        <w:t>威海市文化广电新闻出版局及时发布有关文化领域相关政策的政策解读，积极回应社会关切。</w:t>
      </w:r>
    </w:p>
    <w:p>
      <w:pPr>
        <w:widowControl/>
        <w:spacing w:before="75" w:after="75"/>
        <w:ind w:firstLine="645"/>
        <w:jc w:val="left"/>
        <w:rPr>
          <w:rFonts w:ascii="Tahoma" w:hAnsi="Tahoma" w:eastAsia="宋体" w:cs="Tahoma"/>
          <w:kern w:val="0"/>
          <w:sz w:val="18"/>
          <w:szCs w:val="18"/>
        </w:rPr>
      </w:pPr>
      <w:r>
        <w:rPr>
          <w:rFonts w:hint="eastAsia" w:ascii="黑体" w:hAnsi="黑体" w:eastAsia="黑体" w:cs="Tahoma"/>
          <w:kern w:val="0"/>
          <w:sz w:val="32"/>
          <w:szCs w:val="32"/>
        </w:rPr>
        <w:t>四、重点领域政府信息公开工作推进情况和公开情况</w:t>
      </w:r>
    </w:p>
    <w:p>
      <w:pPr>
        <w:widowControl/>
        <w:spacing w:before="75" w:after="75"/>
        <w:ind w:firstLine="645"/>
        <w:jc w:val="left"/>
        <w:rPr>
          <w:rFonts w:ascii="Tahoma" w:hAnsi="Tahoma" w:eastAsia="宋体" w:cs="Tahoma"/>
          <w:kern w:val="0"/>
          <w:sz w:val="18"/>
          <w:szCs w:val="18"/>
        </w:rPr>
      </w:pPr>
      <w:r>
        <w:rPr>
          <w:rFonts w:hint="eastAsia" w:ascii="仿宋_GB2312" w:hAnsi="Tahoma" w:eastAsia="仿宋_GB2312" w:cs="Tahoma"/>
          <w:kern w:val="0"/>
          <w:sz w:val="32"/>
          <w:szCs w:val="32"/>
        </w:rPr>
        <w:t>威海市文登区文化广电新闻出版局2018年度在重点领域政府信息公开中公布了财政预决算工作情况、行政执法和市场监管方面的随机抽查事项清单。</w:t>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w:t>
      </w:r>
      <w:r>
        <w:rPr>
          <w:rFonts w:hint="eastAsia" w:ascii="宋体" w:hAnsi="宋体" w:eastAsia="宋体" w:cs="宋体"/>
          <w:kern w:val="0"/>
          <w:sz w:val="32"/>
          <w:szCs w:val="32"/>
        </w:rPr>
        <w:t> </w:t>
      </w:r>
      <w:r>
        <w:rPr>
          <w:rFonts w:hint="eastAsia" w:ascii="黑体" w:hAnsi="黑体" w:eastAsia="黑体" w:cs="Tahoma"/>
          <w:kern w:val="0"/>
          <w:sz w:val="32"/>
          <w:szCs w:val="32"/>
        </w:rPr>
        <w:t>五、主动公开政府信息情况以及公开平台建设情况</w:t>
      </w:r>
    </w:p>
    <w:p>
      <w:pPr>
        <w:widowControl/>
        <w:spacing w:before="75" w:after="75"/>
        <w:jc w:val="left"/>
        <w:rPr>
          <w:rFonts w:ascii="仿宋_GB2312" w:hAnsi="Tahoma" w:eastAsia="仿宋_GB2312" w:cs="Tahoma"/>
          <w:kern w:val="0"/>
          <w:sz w:val="32"/>
          <w:szCs w:val="32"/>
        </w:rPr>
      </w:pPr>
      <w:r>
        <w:rPr>
          <w:rFonts w:hint="eastAsia" w:ascii="仿宋_GB2312" w:hAnsi="Tahoma" w:eastAsia="仿宋_GB2312" w:cs="Tahoma"/>
          <w:kern w:val="0"/>
          <w:sz w:val="32"/>
          <w:szCs w:val="32"/>
        </w:rPr>
        <w:t>     （一）加大了主动公开政府信息工作力度。2018年，威海市文登区文化广电新闻出版局共主动公开政府信息46条。从内容分类看，机构职能1条，政策法规2条，财政预决算1条，业务工作42条，人事任免1条。</w:t>
      </w:r>
    </w:p>
    <w:p>
      <w:pPr>
        <w:rPr>
          <w:rFonts w:hint="eastAsia" w:ascii="宋体" w:hAnsi="宋体" w:eastAsia="宋体" w:cs="宋体"/>
          <w:kern w:val="0"/>
          <w:sz w:val="24"/>
          <w:szCs w:val="24"/>
        </w:rPr>
      </w:pPr>
      <w:r>
        <w:rPr>
          <w:rFonts w:hint="eastAsia" w:ascii="仿宋_GB2312" w:hAnsi="Tahoma" w:eastAsia="仿宋_GB2312" w:cs="Tahoma"/>
          <w:kern w:val="0"/>
          <w:sz w:val="32"/>
          <w:szCs w:val="32"/>
        </w:rPr>
        <w:t> </w:t>
      </w:r>
    </w:p>
    <w:p>
      <w:pPr>
        <w:rPr>
          <w:rFonts w:hint="eastAsia" w:ascii="宋体" w:hAnsi="宋体" w:eastAsia="宋体" w:cs="宋体"/>
          <w:kern w:val="0"/>
          <w:sz w:val="24"/>
          <w:szCs w:val="24"/>
        </w:rPr>
      </w:pPr>
    </w:p>
    <w:p>
      <w:pPr>
        <w:rPr>
          <w:rFonts w:hint="eastAsia" w:ascii="宋体" w:hAnsi="宋体" w:eastAsia="宋体" w:cs="宋体"/>
          <w:kern w:val="0"/>
          <w:sz w:val="24"/>
          <w:szCs w:val="24"/>
        </w:rPr>
      </w:pPr>
    </w:p>
    <w:p>
      <w:pPr>
        <w:rPr>
          <w:rFonts w:hint="eastAsia" w:ascii="宋体" w:hAnsi="宋体" w:eastAsia="宋体" w:cs="宋体"/>
          <w:kern w:val="0"/>
          <w:sz w:val="24"/>
          <w:szCs w:val="24"/>
        </w:rPr>
      </w:pPr>
    </w:p>
    <w:p>
      <w:pPr>
        <w:rPr>
          <w:rFonts w:hint="eastAsia" w:ascii="宋体" w:hAnsi="宋体" w:eastAsia="宋体" w:cs="宋体"/>
          <w:kern w:val="0"/>
          <w:sz w:val="24"/>
          <w:szCs w:val="24"/>
        </w:rPr>
      </w:pPr>
    </w:p>
    <w:p>
      <w:pPr>
        <w:rPr>
          <w:rFonts w:hint="eastAsia" w:ascii="宋体" w:hAnsi="宋体" w:eastAsia="宋体" w:cs="宋体"/>
          <w:kern w:val="0"/>
          <w:sz w:val="24"/>
          <w:szCs w:val="24"/>
        </w:rPr>
      </w:pPr>
    </w:p>
    <w:p>
      <w:pPr>
        <w:rPr>
          <w:rFonts w:hint="eastAsia" w:ascii="宋体" w:hAnsi="宋体" w:eastAsia="宋体" w:cs="宋体"/>
          <w:kern w:val="0"/>
          <w:sz w:val="24"/>
          <w:szCs w:val="24"/>
        </w:rPr>
      </w:pPr>
    </w:p>
    <w:p>
      <w:pPr>
        <w:rPr>
          <w:rFonts w:hint="eastAsia" w:ascii="宋体" w:hAnsi="宋体" w:eastAsia="宋体" w:cs="宋体"/>
          <w:kern w:val="0"/>
          <w:sz w:val="24"/>
          <w:szCs w:val="24"/>
        </w:rPr>
      </w:pPr>
    </w:p>
    <w:p>
      <w:pPr>
        <w:rPr>
          <w:rFonts w:hint="eastAsia" w:ascii="宋体" w:hAnsi="宋体" w:eastAsia="宋体" w:cs="宋体"/>
          <w:kern w:val="0"/>
          <w:sz w:val="24"/>
          <w:szCs w:val="24"/>
        </w:rPr>
      </w:pPr>
    </w:p>
    <w:p>
      <w:pPr>
        <w:rPr>
          <w:rFonts w:hint="eastAsia" w:ascii="宋体" w:hAnsi="宋体" w:eastAsia="宋体" w:cs="宋体"/>
          <w:kern w:val="0"/>
          <w:sz w:val="24"/>
          <w:szCs w:val="24"/>
        </w:rPr>
      </w:pPr>
    </w:p>
    <w:p>
      <w:pPr>
        <w:widowControl/>
        <w:jc w:val="left"/>
        <w:rPr>
          <w:rFonts w:ascii="宋体" w:hAnsi="宋体" w:eastAsia="宋体" w:cs="宋体"/>
          <w:kern w:val="0"/>
          <w:sz w:val="24"/>
          <w:szCs w:val="24"/>
        </w:rPr>
      </w:pPr>
      <w:r>
        <w:rPr>
          <w:rFonts w:ascii="宋体" w:hAnsi="宋体" w:eastAsia="宋体" w:cs="宋体"/>
          <w:kern w:val="0"/>
          <w:sz w:val="24"/>
          <w:szCs w:val="24"/>
        </w:rPr>
        <w:drawing>
          <wp:inline distT="0" distB="0" distL="0" distR="0">
            <wp:extent cx="5701665" cy="5260975"/>
            <wp:effectExtent l="19050" t="0" r="0" b="0"/>
            <wp:docPr id="1" name="图片 1" descr="C:\Users\Administrator\AppData\Roaming\Tencent\Users\1835848696\QQ\WinTemp\RichOle\W9CUE0~56P7}69KUJJ3N7P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strator\AppData\Roaming\Tencent\Users\1835848696\QQ\WinTemp\RichOle\W9CUE0~56P7}69KUJJ3N7P0.png"/>
                    <pic:cNvPicPr>
                      <a:picLocks noChangeAspect="1" noChangeArrowheads="1"/>
                    </pic:cNvPicPr>
                  </pic:nvPicPr>
                  <pic:blipFill>
                    <a:blip r:embed="rId4"/>
                    <a:srcRect/>
                    <a:stretch>
                      <a:fillRect/>
                    </a:stretch>
                  </pic:blipFill>
                  <pic:spPr>
                    <a:xfrm>
                      <a:off x="0" y="0"/>
                      <a:ext cx="5703286" cy="5262122"/>
                    </a:xfrm>
                    <a:prstGeom prst="rect">
                      <a:avLst/>
                    </a:prstGeom>
                    <a:noFill/>
                    <a:ln w="9525">
                      <a:noFill/>
                      <a:miter lim="800000"/>
                      <a:headEnd/>
                      <a:tailEnd/>
                    </a:ln>
                  </pic:spPr>
                </pic:pic>
              </a:graphicData>
            </a:graphic>
          </wp:inline>
        </w:drawing>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（二）强化了政府信息公开平台建设。在依托“中国·文登”这个平台开展信息公开工作的同时，还专门在审批大厅文广新局服务窗口前设置信息公开板，向前来办理各种业务的居民提供政策信息。</w:t>
      </w:r>
    </w:p>
    <w:p>
      <w:pPr>
        <w:widowControl/>
        <w:spacing w:before="75" w:after="75"/>
        <w:ind w:firstLine="645"/>
        <w:jc w:val="left"/>
        <w:rPr>
          <w:rFonts w:ascii="Tahoma" w:hAnsi="Tahoma" w:eastAsia="宋体" w:cs="Tahoma"/>
          <w:kern w:val="0"/>
          <w:sz w:val="18"/>
          <w:szCs w:val="18"/>
        </w:rPr>
      </w:pPr>
      <w:r>
        <w:rPr>
          <w:rFonts w:hint="eastAsia" w:ascii="仿宋_GB2312" w:hAnsi="Tahoma" w:eastAsia="仿宋_GB2312" w:cs="Tahoma"/>
          <w:kern w:val="0"/>
          <w:sz w:val="32"/>
          <w:szCs w:val="32"/>
        </w:rPr>
        <w:t>（三）积极通过新闻媒体开展信息公开工作。在各类新闻媒体发表新闻稿件577篇。其中微信客户端发布550篇，传统新闻媒体发布消息27篇。</w:t>
      </w:r>
    </w:p>
    <w:p>
      <w:pPr>
        <w:widowControl/>
        <w:spacing w:before="75" w:after="75"/>
        <w:jc w:val="left"/>
        <w:rPr>
          <w:rFonts w:ascii="Tahoma" w:hAnsi="Tahoma" w:eastAsia="宋体" w:cs="Tahoma"/>
          <w:kern w:val="0"/>
          <w:sz w:val="18"/>
          <w:szCs w:val="18"/>
        </w:rPr>
      </w:pPr>
      <w:r>
        <w:rPr>
          <w:rFonts w:hint="eastAsia" w:ascii="黑体" w:hAnsi="黑体" w:eastAsia="黑体" w:cs="Tahoma"/>
          <w:kern w:val="0"/>
          <w:sz w:val="32"/>
          <w:szCs w:val="32"/>
        </w:rPr>
        <w:t xml:space="preserve">   六、政府信息公开申请办理情况</w:t>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2018年，威海市文登区文化广电新闻出版局未收到政府信息公开申请。</w:t>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w:t>
      </w:r>
      <w:r>
        <w:rPr>
          <w:rFonts w:hint="eastAsia" w:ascii="黑体" w:hAnsi="黑体" w:eastAsia="黑体" w:cs="Tahoma"/>
          <w:kern w:val="0"/>
          <w:sz w:val="32"/>
          <w:szCs w:val="32"/>
        </w:rPr>
        <w:t>七、政府信息公开收费及减免情况</w:t>
      </w:r>
    </w:p>
    <w:p>
      <w:pPr>
        <w:widowControl/>
        <w:spacing w:before="75" w:after="75"/>
        <w:ind w:firstLine="645"/>
        <w:jc w:val="left"/>
        <w:rPr>
          <w:rFonts w:ascii="Tahoma" w:hAnsi="Tahoma" w:eastAsia="宋体" w:cs="Tahoma"/>
          <w:kern w:val="0"/>
          <w:sz w:val="18"/>
          <w:szCs w:val="18"/>
        </w:rPr>
      </w:pPr>
      <w:r>
        <w:rPr>
          <w:rFonts w:hint="eastAsia" w:ascii="仿宋_GB2312" w:hAnsi="Tahoma" w:eastAsia="仿宋_GB2312" w:cs="Tahoma"/>
          <w:kern w:val="0"/>
          <w:sz w:val="32"/>
          <w:szCs w:val="32"/>
        </w:rPr>
        <w:t>在政府信息公开过程中，威海市文登区文化广电新闻出版局始终坚持为民、便民、利民的原则，对相关费用都予以减免。</w:t>
      </w:r>
    </w:p>
    <w:p>
      <w:pPr>
        <w:widowControl/>
        <w:spacing w:before="75" w:after="75"/>
        <w:jc w:val="left"/>
        <w:rPr>
          <w:rFonts w:ascii="Tahoma" w:hAnsi="Tahoma" w:eastAsia="宋体" w:cs="Tahoma"/>
          <w:kern w:val="0"/>
          <w:sz w:val="18"/>
          <w:szCs w:val="18"/>
        </w:rPr>
      </w:pPr>
      <w:r>
        <w:rPr>
          <w:rFonts w:hint="eastAsia" w:ascii="宋体" w:hAnsi="宋体" w:eastAsia="宋体" w:cs="宋体"/>
          <w:kern w:val="0"/>
          <w:sz w:val="32"/>
          <w:szCs w:val="32"/>
        </w:rPr>
        <w:t>  </w:t>
      </w:r>
      <w:r>
        <w:rPr>
          <w:rFonts w:hint="eastAsia" w:ascii="黑体" w:hAnsi="黑体" w:eastAsia="黑体" w:cs="Tahoma"/>
          <w:kern w:val="0"/>
          <w:sz w:val="32"/>
          <w:szCs w:val="32"/>
        </w:rPr>
        <w:t>八、因政府信息公开申请行政复议、提起行政诉讼的情况</w:t>
      </w:r>
    </w:p>
    <w:p>
      <w:pPr>
        <w:widowControl/>
        <w:spacing w:before="75" w:after="75"/>
        <w:ind w:firstLine="645"/>
        <w:jc w:val="left"/>
        <w:rPr>
          <w:rFonts w:ascii="Tahoma" w:hAnsi="Tahoma" w:eastAsia="宋体" w:cs="Tahoma"/>
          <w:kern w:val="0"/>
          <w:sz w:val="18"/>
          <w:szCs w:val="18"/>
        </w:rPr>
      </w:pPr>
      <w:r>
        <w:rPr>
          <w:rFonts w:hint="eastAsia" w:ascii="仿宋_GB2312" w:hAnsi="Tahoma" w:eastAsia="仿宋_GB2312" w:cs="Tahoma"/>
          <w:kern w:val="0"/>
          <w:sz w:val="32"/>
          <w:szCs w:val="32"/>
        </w:rPr>
        <w:t>2017年，我局对形成的政府信息实现了依法、有序公开，未出现申请行政复议、提起行政诉讼的情况。具体工作中，我局还非常重视公众咨询的受理和答复，全年共受理和答复政府信息公开咨询147人次，其中现场咨询79人次，电话咨询56人次，网上咨询人5次，其他方式咨询7人次。</w:t>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w:t>
      </w:r>
      <w:r>
        <w:rPr>
          <w:rFonts w:hint="eastAsia" w:ascii="黑体" w:hAnsi="黑体" w:eastAsia="黑体" w:cs="Tahoma"/>
          <w:kern w:val="0"/>
          <w:sz w:val="32"/>
          <w:szCs w:val="32"/>
        </w:rPr>
        <w:t>九、政府信息公开保密审查及监督检查情况</w:t>
      </w:r>
    </w:p>
    <w:p>
      <w:pPr>
        <w:widowControl/>
        <w:spacing w:before="75" w:after="75"/>
        <w:ind w:firstLine="645"/>
        <w:jc w:val="left"/>
        <w:rPr>
          <w:rFonts w:ascii="Tahoma" w:hAnsi="Tahoma" w:eastAsia="宋体" w:cs="Tahoma"/>
          <w:kern w:val="0"/>
          <w:sz w:val="18"/>
          <w:szCs w:val="18"/>
        </w:rPr>
      </w:pPr>
      <w:r>
        <w:rPr>
          <w:rFonts w:hint="eastAsia" w:ascii="仿宋_GB2312" w:hAnsi="Tahoma" w:eastAsia="仿宋_GB2312" w:cs="Tahoma"/>
          <w:kern w:val="0"/>
          <w:sz w:val="32"/>
          <w:szCs w:val="32"/>
        </w:rPr>
        <w:t>接到上报相关公开信息后，文化广电新闻出版局保密审查负责人员对拟发信息均进行保密安全审核，在确认所提交内容为可公开内容后，再由信息公开工作人员对信息进行公开，形成了及时对拟定公开材料进行事前保密审查、事后监督检查，确保所有公开信息准确无误、符合要求的工作机制。</w:t>
      </w:r>
    </w:p>
    <w:p>
      <w:pPr>
        <w:widowControl/>
        <w:spacing w:before="75" w:after="75"/>
        <w:ind w:firstLine="645"/>
        <w:jc w:val="left"/>
        <w:rPr>
          <w:rFonts w:ascii="Tahoma" w:hAnsi="Tahoma" w:eastAsia="宋体" w:cs="Tahoma"/>
          <w:kern w:val="0"/>
          <w:sz w:val="18"/>
          <w:szCs w:val="18"/>
        </w:rPr>
      </w:pPr>
      <w:r>
        <w:rPr>
          <w:rFonts w:hint="eastAsia" w:ascii="黑体" w:hAnsi="黑体" w:eastAsia="黑体" w:cs="Tahoma"/>
          <w:kern w:val="0"/>
          <w:sz w:val="32"/>
          <w:szCs w:val="32"/>
        </w:rPr>
        <w:t>十、所属事业单位信息公开工作推进措施和落实情况</w:t>
      </w:r>
    </w:p>
    <w:p>
      <w:pPr>
        <w:widowControl/>
        <w:spacing w:before="75" w:after="75"/>
        <w:ind w:firstLine="645"/>
        <w:jc w:val="left"/>
        <w:rPr>
          <w:rFonts w:ascii="仿宋_GB2312" w:hAnsi="Tahoma" w:eastAsia="仿宋_GB2312" w:cs="Tahoma"/>
          <w:kern w:val="0"/>
          <w:sz w:val="32"/>
          <w:szCs w:val="32"/>
        </w:rPr>
      </w:pPr>
      <w:r>
        <w:rPr>
          <w:rFonts w:hint="eastAsia" w:ascii="仿宋_GB2312" w:hAnsi="Tahoma" w:eastAsia="仿宋_GB2312" w:cs="Tahoma"/>
          <w:kern w:val="0"/>
          <w:sz w:val="32"/>
          <w:szCs w:val="32"/>
        </w:rPr>
        <w:t>下属单位文化馆、图书馆、博物馆、艺术团、书画院2018年度在新闻媒体、公告栏、电子显示屏等多种形式下发布的各类法律法规、办事指南、工作动态等服务信息共47条，图书馆、博物馆在2018年政务微信累计发信息共550条。</w:t>
      </w:r>
    </w:p>
    <w:p>
      <w:pPr>
        <w:widowControl/>
        <w:spacing w:before="75" w:after="75"/>
        <w:jc w:val="left"/>
        <w:rPr>
          <w:rFonts w:ascii="Tahoma" w:hAnsi="Tahoma" w:eastAsia="宋体" w:cs="Tahoma"/>
          <w:kern w:val="0"/>
          <w:sz w:val="18"/>
          <w:szCs w:val="18"/>
        </w:rPr>
      </w:pPr>
      <w:r>
        <w:rPr>
          <w:rFonts w:hint="eastAsia" w:ascii="仿宋_GB2312" w:hAnsi="Tahoma" w:eastAsia="仿宋_GB2312" w:cs="Tahoma"/>
          <w:kern w:val="0"/>
          <w:sz w:val="32"/>
          <w:szCs w:val="32"/>
        </w:rPr>
        <w:t>     </w:t>
      </w:r>
      <w:r>
        <w:rPr>
          <w:rFonts w:hint="eastAsia" w:ascii="黑体" w:hAnsi="黑体" w:eastAsia="黑体" w:cs="Tahoma"/>
          <w:kern w:val="0"/>
          <w:sz w:val="32"/>
          <w:szCs w:val="32"/>
        </w:rPr>
        <w:t>十一、存在的主要问题及改进情况</w:t>
      </w:r>
    </w:p>
    <w:p>
      <w:pPr>
        <w:widowControl/>
        <w:spacing w:before="75" w:after="75"/>
        <w:ind w:firstLine="645"/>
        <w:jc w:val="left"/>
        <w:rPr>
          <w:rFonts w:ascii="Tahoma" w:hAnsi="Tahoma" w:eastAsia="宋体" w:cs="Tahoma"/>
          <w:kern w:val="0"/>
          <w:sz w:val="18"/>
          <w:szCs w:val="18"/>
        </w:rPr>
      </w:pPr>
      <w:r>
        <w:rPr>
          <w:rFonts w:hint="eastAsia" w:ascii="仿宋_GB2312" w:hAnsi="Tahoma" w:eastAsia="仿宋_GB2312" w:cs="Tahoma"/>
          <w:kern w:val="0"/>
          <w:sz w:val="32"/>
          <w:szCs w:val="32"/>
        </w:rPr>
        <w:t>2018年，我局在加强政府信息公开工作虽然取得了比较好的成绩，但公开的内容和渠道与公众的需求相比仍有差距，特别是信息公开工作的服务水平还需进一步提高。2019年，我局将继续加大工作力度，创新工作方法，完善配套制度，努力提高政府信息公开工作水平。</w:t>
      </w:r>
    </w:p>
    <w:p>
      <w:pPr>
        <w:widowControl/>
        <w:spacing w:before="75" w:after="75"/>
        <w:ind w:firstLine="645"/>
        <w:jc w:val="left"/>
        <w:rPr>
          <w:rFonts w:ascii="黑体" w:hAnsi="黑体" w:eastAsia="黑体" w:cs="Tahoma"/>
          <w:kern w:val="0"/>
          <w:sz w:val="32"/>
          <w:szCs w:val="32"/>
        </w:rPr>
      </w:pPr>
      <w:r>
        <w:rPr>
          <w:rFonts w:hint="eastAsia" w:ascii="黑体" w:hAnsi="黑体" w:eastAsia="黑体" w:cs="Tahoma"/>
          <w:kern w:val="0"/>
          <w:sz w:val="32"/>
          <w:szCs w:val="32"/>
        </w:rPr>
        <w:t>十二、需要说明的事项与附表</w:t>
      </w:r>
    </w:p>
    <w:p>
      <w:pPr>
        <w:widowControl/>
        <w:spacing w:before="100" w:beforeAutospacing="1" w:after="100" w:afterAutospacing="1" w:line="375" w:lineRule="atLeast"/>
        <w:jc w:val="center"/>
        <w:rPr>
          <w:rFonts w:ascii="宋体" w:hAnsi="宋体" w:eastAsia="宋体" w:cs="宋体"/>
          <w:kern w:val="0"/>
          <w:szCs w:val="21"/>
        </w:rPr>
      </w:pPr>
      <w:r>
        <w:rPr>
          <w:rFonts w:hint="eastAsia" w:ascii="华文中宋" w:hAnsi="华文中宋" w:eastAsia="华文中宋" w:cs="Calibri"/>
          <w:kern w:val="0"/>
          <w:sz w:val="40"/>
          <w:szCs w:val="40"/>
        </w:rPr>
        <w:t>2018年度政府信息公开工作情况统计表</w:t>
      </w:r>
    </w:p>
    <w:p>
      <w:pPr>
        <w:widowControl/>
        <w:spacing w:before="100" w:beforeAutospacing="1" w:after="100" w:afterAutospacing="1" w:line="375" w:lineRule="atLeast"/>
        <w:jc w:val="center"/>
        <w:rPr>
          <w:rFonts w:ascii="宋体" w:hAnsi="宋体" w:eastAsia="宋体" w:cs="宋体"/>
          <w:kern w:val="0"/>
          <w:szCs w:val="21"/>
        </w:rPr>
      </w:pPr>
      <w:r>
        <w:rPr>
          <w:rFonts w:ascii="Calibri" w:hAnsi="Calibri" w:eastAsia="楷体_GB2312" w:cs="Calibri"/>
          <w:kern w:val="0"/>
          <w:sz w:val="28"/>
          <w:szCs w:val="28"/>
        </w:rPr>
        <w:t>（</w:t>
      </w:r>
      <w:r>
        <w:rPr>
          <w:rFonts w:hint="eastAsia" w:ascii="Calibri" w:hAnsi="Calibri" w:eastAsia="楷体_GB2312" w:cs="Calibri"/>
          <w:kern w:val="0"/>
          <w:sz w:val="28"/>
          <w:szCs w:val="28"/>
        </w:rPr>
        <w:t>区</w:t>
      </w:r>
      <w:r>
        <w:rPr>
          <w:rFonts w:ascii="Calibri" w:hAnsi="Calibri" w:eastAsia="楷体_GB2312" w:cs="Calibri"/>
          <w:kern w:val="0"/>
          <w:sz w:val="28"/>
          <w:szCs w:val="28"/>
        </w:rPr>
        <w:t>直有关部门）</w:t>
      </w:r>
    </w:p>
    <w:tbl>
      <w:tblPr>
        <w:tblStyle w:val="8"/>
        <w:tblW w:w="9450" w:type="dxa"/>
        <w:jc w:val="center"/>
        <w:tblInd w:w="0" w:type="dxa"/>
        <w:tblLayout w:type="fixed"/>
        <w:tblCellMar>
          <w:top w:w="15" w:type="dxa"/>
          <w:left w:w="15" w:type="dxa"/>
          <w:bottom w:w="15" w:type="dxa"/>
          <w:right w:w="15" w:type="dxa"/>
        </w:tblCellMar>
      </w:tblPr>
      <w:tblGrid>
        <w:gridCol w:w="7575"/>
        <w:gridCol w:w="1020"/>
        <w:gridCol w:w="855"/>
      </w:tblGrid>
      <w:tr>
        <w:tblPrEx>
          <w:tblLayout w:type="fixed"/>
          <w:tblCellMar>
            <w:top w:w="15" w:type="dxa"/>
            <w:left w:w="15" w:type="dxa"/>
            <w:bottom w:w="15" w:type="dxa"/>
            <w:right w:w="15" w:type="dxa"/>
          </w:tblCellMar>
        </w:tblPrEx>
        <w:trPr>
          <w:jc w:val="center"/>
        </w:trPr>
        <w:tc>
          <w:tcPr>
            <w:tcW w:w="7575" w:type="dxa"/>
            <w:tcBorders>
              <w:top w:val="single" w:color="auto" w:sz="6" w:space="0"/>
              <w:left w:val="single" w:color="auto" w:sz="6" w:space="0"/>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黑体" w:hAnsi="黑体" w:eastAsia="黑体" w:cs="宋体"/>
                <w:b/>
                <w:bCs/>
                <w:color w:val="000000"/>
                <w:kern w:val="0"/>
                <w:sz w:val="20"/>
              </w:rPr>
              <w:t>统　计　指　标</w:t>
            </w:r>
          </w:p>
        </w:tc>
        <w:tc>
          <w:tcPr>
            <w:tcW w:w="1020" w:type="dxa"/>
            <w:tcBorders>
              <w:top w:val="single" w:color="auto" w:sz="6" w:space="0"/>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黑体" w:hAnsi="黑体" w:eastAsia="黑体" w:cs="宋体"/>
                <w:b/>
                <w:bCs/>
                <w:color w:val="000000"/>
                <w:kern w:val="0"/>
                <w:sz w:val="20"/>
              </w:rPr>
              <w:t>单位</w:t>
            </w:r>
          </w:p>
        </w:tc>
        <w:tc>
          <w:tcPr>
            <w:tcW w:w="855" w:type="dxa"/>
            <w:tcBorders>
              <w:top w:val="single" w:color="auto" w:sz="6" w:space="0"/>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黑体" w:hAnsi="黑体" w:eastAsia="黑体" w:cs="宋体"/>
                <w:b/>
                <w:bCs/>
                <w:color w:val="000000"/>
                <w:kern w:val="0"/>
                <w:sz w:val="20"/>
              </w:rPr>
              <w:t>统计数</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一、主动公开情况</w:t>
            </w:r>
          </w:p>
        </w:tc>
        <w:tc>
          <w:tcPr>
            <w:tcW w:w="1020"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（一）主动公开政府信息数（不同渠道和方式公开相同信息计1条）</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其中：主动公开规范性文件数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制发规范性文件总数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（二）通过不同渠道和方式公开政府信息的情况</w:t>
            </w:r>
          </w:p>
        </w:tc>
        <w:tc>
          <w:tcPr>
            <w:tcW w:w="1020"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1.政府公报公开政府信息数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2.政府网站公开政府信息数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hint="eastAsia" w:ascii="宋体" w:hAnsi="宋体" w:eastAsia="宋体" w:cs="宋体"/>
                <w:kern w:val="0"/>
                <w:sz w:val="24"/>
                <w:szCs w:val="24"/>
                <w:lang w:val="en-US" w:eastAsia="zh-CN"/>
              </w:rPr>
            </w:pPr>
            <w:r>
              <w:rPr>
                <w:rFonts w:hint="eastAsia" w:ascii="宋体" w:hAnsi="宋体" w:eastAsia="宋体" w:cs="宋体"/>
                <w:color w:val="000000"/>
                <w:kern w:val="0"/>
                <w:sz w:val="20"/>
                <w:szCs w:val="20"/>
                <w:lang w:val="en-US" w:eastAsia="zh-CN"/>
              </w:rPr>
              <w:t>58</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3.政务微博公开政府信息数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hint="eastAsia" w:ascii="宋体" w:hAnsi="宋体" w:eastAsia="宋体" w:cs="宋体"/>
                <w:kern w:val="0"/>
                <w:sz w:val="24"/>
                <w:szCs w:val="24"/>
                <w:lang w:val="en-US" w:eastAsia="zh-CN"/>
              </w:rPr>
            </w:pPr>
            <w:r>
              <w:rPr>
                <w:rFonts w:hint="eastAsia" w:ascii="宋体" w:hAnsi="宋体" w:eastAsia="宋体" w:cs="宋体"/>
                <w:color w:val="000000"/>
                <w:kern w:val="0"/>
                <w:sz w:val="20"/>
                <w:szCs w:val="20"/>
                <w:lang w:val="en-US" w:eastAsia="zh-CN"/>
              </w:rPr>
              <w:t>720</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4.政务微信公开政府信息数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hint="eastAsia" w:ascii="宋体" w:hAnsi="宋体" w:eastAsia="宋体" w:cs="宋体"/>
                <w:kern w:val="0"/>
                <w:sz w:val="24"/>
                <w:szCs w:val="24"/>
                <w:lang w:val="en-US" w:eastAsia="zh-CN"/>
              </w:rPr>
            </w:pPr>
            <w:r>
              <w:rPr>
                <w:rFonts w:hint="eastAsia" w:ascii="宋体" w:hAnsi="宋体" w:eastAsia="宋体" w:cs="宋体"/>
                <w:color w:val="000000"/>
                <w:kern w:val="0"/>
                <w:sz w:val="20"/>
                <w:szCs w:val="20"/>
                <w:lang w:val="en-US" w:eastAsia="zh-CN"/>
              </w:rPr>
              <w:t>820</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5.其他方式公开政府信息数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二、回应解读情况</w:t>
            </w:r>
          </w:p>
        </w:tc>
        <w:tc>
          <w:tcPr>
            <w:tcW w:w="1020"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（一）回应公众关注热点或重大舆情数</w:t>
            </w:r>
            <w:r>
              <w:rPr>
                <w:rFonts w:ascii="宋体" w:hAnsi="宋体" w:eastAsia="宋体" w:cs="宋体"/>
                <w:kern w:val="0"/>
                <w:sz w:val="24"/>
                <w:szCs w:val="24"/>
              </w:rPr>
              <w:br w:type="textWrapping"/>
            </w:r>
            <w:r>
              <w:rPr>
                <w:rFonts w:hint="eastAsia" w:ascii="宋体" w:hAnsi="宋体" w:eastAsia="宋体" w:cs="宋体"/>
                <w:color w:val="000000"/>
                <w:kern w:val="0"/>
                <w:sz w:val="20"/>
                <w:szCs w:val="20"/>
              </w:rPr>
              <w:t>　　　　 （不同方式回应同一热点或舆情计</w:t>
            </w:r>
            <w:r>
              <w:rPr>
                <w:rFonts w:ascii="Calibri" w:hAnsi="Calibri" w:eastAsia="宋体" w:cs="Calibri"/>
                <w:color w:val="000000"/>
                <w:kern w:val="0"/>
                <w:sz w:val="20"/>
                <w:szCs w:val="20"/>
              </w:rPr>
              <w:t>1</w:t>
            </w:r>
            <w:r>
              <w:rPr>
                <w:rFonts w:hint="eastAsia" w:ascii="宋体" w:hAnsi="宋体" w:eastAsia="宋体" w:cs="宋体"/>
                <w:color w:val="000000"/>
                <w:kern w:val="0"/>
                <w:sz w:val="20"/>
                <w:szCs w:val="20"/>
              </w:rPr>
              <w:t>次）</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（二）通过不同渠道和方式回应解读的情况</w:t>
            </w:r>
          </w:p>
        </w:tc>
        <w:tc>
          <w:tcPr>
            <w:tcW w:w="1020"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1.参加或举办新闻发布会总次数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r>
              <w:rPr>
                <w:rFonts w:ascii="宋体" w:hAnsi="宋体" w:eastAsia="宋体" w:cs="宋体"/>
                <w:kern w:val="0"/>
                <w:sz w:val="24"/>
                <w:szCs w:val="24"/>
              </w:rPr>
              <w:t> </w:t>
            </w:r>
            <w:r>
              <w:rPr>
                <w:rFonts w:hint="eastAsia" w:ascii="宋体" w:hAnsi="宋体" w:eastAsia="宋体" w:cs="宋体"/>
                <w:color w:val="000000"/>
                <w:kern w:val="0"/>
                <w:sz w:val="20"/>
                <w:szCs w:val="20"/>
              </w:rPr>
              <w:t>2</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其中：主要负责同志参加新闻发布会次数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2.政府网站在线访谈次数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r>
              <w:rPr>
                <w:rFonts w:ascii="宋体" w:hAnsi="宋体" w:eastAsia="宋体" w:cs="宋体"/>
                <w:kern w:val="0"/>
                <w:sz w:val="24"/>
                <w:szCs w:val="24"/>
              </w:rPr>
              <w:t> </w:t>
            </w:r>
            <w:r>
              <w:rPr>
                <w:rFonts w:hint="eastAsia" w:ascii="宋体" w:hAnsi="宋体" w:eastAsia="宋体" w:cs="宋体"/>
                <w:color w:val="000000"/>
                <w:kern w:val="0"/>
                <w:sz w:val="20"/>
                <w:szCs w:val="20"/>
              </w:rPr>
              <w:t>1</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其中：主要负责同志参加政府网站在线访谈次数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Cs w:val="21"/>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ind w:firstLine="420" w:firstLineChars="200"/>
              <w:jc w:val="left"/>
              <w:rPr>
                <w:rFonts w:ascii="宋体" w:hAnsi="宋体" w:eastAsia="宋体" w:cs="宋体"/>
                <w:kern w:val="0"/>
                <w:sz w:val="24"/>
                <w:szCs w:val="24"/>
              </w:rPr>
            </w:pPr>
            <w:r>
              <w:rPr>
                <w:rFonts w:hint="eastAsia" w:ascii="宋体" w:hAnsi="宋体" w:eastAsia="宋体" w:cs="宋体"/>
                <w:color w:val="000000"/>
                <w:kern w:val="0"/>
                <w:szCs w:val="21"/>
              </w:rPr>
              <w:t>1</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3.政策解读稿件发布数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篇</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r>
              <w:rPr>
                <w:rFonts w:ascii="宋体" w:hAnsi="宋体" w:eastAsia="宋体" w:cs="宋体"/>
                <w:kern w:val="0"/>
                <w:sz w:val="24"/>
                <w:szCs w:val="24"/>
              </w:rPr>
              <w:t> </w:t>
            </w:r>
            <w:r>
              <w:rPr>
                <w:rFonts w:hint="eastAsia" w:ascii="宋体" w:hAnsi="宋体" w:eastAsia="宋体" w:cs="宋体"/>
                <w:color w:val="000000"/>
                <w:kern w:val="0"/>
                <w:sz w:val="20"/>
                <w:szCs w:val="20"/>
              </w:rPr>
              <w:t>1</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4.微博微信回应事件数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5.其他方式回应事件数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三、依申请公开情况</w:t>
            </w:r>
          </w:p>
        </w:tc>
        <w:tc>
          <w:tcPr>
            <w:tcW w:w="1020"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（一）收到申请数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r>
              <w:rPr>
                <w:rFonts w:ascii="宋体" w:hAnsi="宋体" w:eastAsia="宋体" w:cs="宋体"/>
                <w:kern w:val="0"/>
                <w:sz w:val="24"/>
                <w:szCs w:val="24"/>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1.当面申请数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2.传真申请数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3.网络申请数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4.信函申请数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5.其他形式</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（二）申请办结数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1.按时办结数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2.延期办结数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（三）申请答复数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1.属于已主动公开范围数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2.同意公开答复数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3.同意部分公开答复数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4.不同意公开答复数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其中：涉及国家秘密</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涉及商业秘密</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涉及个人隐私</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危及国家安全、公共安全、经济安全和社会稳定</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不是《条例》所指政府信息</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法律法规规定的其他情形</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5.不属于本行政机关公开数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6.申请信息不存在数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7.告知作出更改补充数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8.告知通过其他途径办理数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四、行政复议数量</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0</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（一）维持具体行政行为数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（二）被依法纠错数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（三）其他情形数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五、行政诉讼数量</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hint="eastAsia" w:ascii="宋体" w:hAnsi="宋体" w:eastAsia="宋体" w:cs="宋体"/>
                <w:kern w:val="0"/>
                <w:sz w:val="24"/>
                <w:szCs w:val="24"/>
                <w:lang w:val="en-US" w:eastAsia="zh-CN"/>
              </w:rPr>
            </w:pPr>
            <w:r>
              <w:rPr>
                <w:rFonts w:hint="eastAsia" w:ascii="宋体" w:hAnsi="宋体" w:eastAsia="宋体" w:cs="宋体"/>
                <w:color w:val="000000"/>
                <w:kern w:val="0"/>
                <w:sz w:val="20"/>
                <w:szCs w:val="20"/>
              </w:rPr>
              <w:t>　</w:t>
            </w:r>
            <w:r>
              <w:rPr>
                <w:rFonts w:hint="eastAsia" w:ascii="宋体" w:hAnsi="宋体" w:eastAsia="宋体" w:cs="宋体"/>
                <w:color w:val="000000"/>
                <w:kern w:val="0"/>
                <w:sz w:val="20"/>
                <w:szCs w:val="20"/>
                <w:lang w:val="en-US" w:eastAsia="zh-CN"/>
              </w:rPr>
              <w:t>0</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（一）维持具体行政行为或者驳回原告诉讼请求数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（二）被依法纠错数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（三）其他情形数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六、被举报投诉数量</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hint="eastAsia" w:ascii="宋体" w:hAnsi="宋体" w:eastAsia="宋体" w:cs="宋体"/>
                <w:kern w:val="0"/>
                <w:sz w:val="24"/>
                <w:szCs w:val="24"/>
                <w:lang w:val="en-US" w:eastAsia="zh-CN"/>
              </w:rPr>
            </w:pPr>
            <w:r>
              <w:rPr>
                <w:rFonts w:hint="eastAsia" w:ascii="宋体" w:hAnsi="宋体" w:eastAsia="宋体" w:cs="宋体"/>
                <w:color w:val="000000"/>
                <w:kern w:val="0"/>
                <w:sz w:val="20"/>
                <w:szCs w:val="20"/>
              </w:rPr>
              <w:t>　</w:t>
            </w:r>
            <w:r>
              <w:rPr>
                <w:rFonts w:hint="eastAsia" w:ascii="宋体" w:hAnsi="宋体" w:eastAsia="宋体" w:cs="宋体"/>
                <w:color w:val="000000"/>
                <w:kern w:val="0"/>
                <w:sz w:val="20"/>
                <w:szCs w:val="20"/>
                <w:lang w:val="en-US" w:eastAsia="zh-CN"/>
              </w:rPr>
              <w:t>0</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（一）维持具体行政行为数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（二）被纠错数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（三）其他情形数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件</w:t>
            </w: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七、向图书馆、档案馆等查阅场所报送信息数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（一）纸质文件数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（二）电子文件数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条</w:t>
            </w:r>
          </w:p>
        </w:tc>
        <w:tc>
          <w:tcPr>
            <w:tcW w:w="855"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八、机构建设和保障经费情况</w:t>
            </w:r>
          </w:p>
        </w:tc>
        <w:tc>
          <w:tcPr>
            <w:tcW w:w="1020"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（一）政府信息公开工作专门机构数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个</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（二）设置政府信息公开查阅点数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个</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（三）从事政府信息公开工作人员数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人</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1.专职人员数（不包括政府公报及政府网站工作人员数）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人</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2.兼职人员数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人</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1</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（四）政府信息公开专项经费（不包括用于政府公报编辑管理及政府网站建设</w:t>
            </w:r>
          </w:p>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维护等方面的经费）</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万元</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b/>
                <w:bCs/>
                <w:color w:val="000000"/>
                <w:kern w:val="0"/>
                <w:sz w:val="20"/>
              </w:rPr>
              <w:t>九、政府信息公开会议和培训情况</w:t>
            </w:r>
          </w:p>
        </w:tc>
        <w:tc>
          <w:tcPr>
            <w:tcW w:w="1020" w:type="dxa"/>
            <w:tcBorders>
              <w:top w:val="nil"/>
              <w:left w:val="nil"/>
              <w:bottom w:val="single" w:color="auto" w:sz="6" w:space="0"/>
              <w:right w:val="single" w:color="auto" w:sz="6" w:space="0"/>
            </w:tcBorders>
            <w:vAlign w:val="center"/>
          </w:tcPr>
          <w:p>
            <w:pPr>
              <w:widowControl/>
              <w:jc w:val="left"/>
              <w:rPr>
                <w:rFonts w:ascii="宋体" w:hAnsi="宋体" w:eastAsia="宋体" w:cs="宋体"/>
                <w:kern w:val="0"/>
                <w:sz w:val="24"/>
                <w:szCs w:val="24"/>
              </w:rPr>
            </w:pP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（一）召开政府信息公开工作会议或专题会议数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（二）举办各类培训班数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w:t>
            </w:r>
          </w:p>
        </w:tc>
      </w:tr>
      <w:tr>
        <w:tblPrEx>
          <w:tblLayout w:type="fixed"/>
          <w:tblCellMar>
            <w:top w:w="15" w:type="dxa"/>
            <w:left w:w="15" w:type="dxa"/>
            <w:bottom w:w="15" w:type="dxa"/>
            <w:right w:w="15" w:type="dxa"/>
          </w:tblCellMar>
        </w:tblPrEx>
        <w:trPr>
          <w:jc w:val="center"/>
        </w:trPr>
        <w:tc>
          <w:tcPr>
            <w:tcW w:w="7575" w:type="dxa"/>
            <w:tcBorders>
              <w:top w:val="nil"/>
              <w:left w:val="single" w:color="auto" w:sz="6" w:space="0"/>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 w:val="20"/>
                <w:szCs w:val="20"/>
              </w:rPr>
              <w:t>　　（三）接受培训人员数</w:t>
            </w:r>
          </w:p>
        </w:tc>
        <w:tc>
          <w:tcPr>
            <w:tcW w:w="1020" w:type="dxa"/>
            <w:tcBorders>
              <w:top w:val="nil"/>
              <w:left w:val="nil"/>
              <w:bottom w:val="single" w:color="auto" w:sz="6" w:space="0"/>
              <w:right w:val="single" w:color="auto" w:sz="6" w:space="0"/>
            </w:tcBorders>
            <w:vAlign w:val="center"/>
          </w:tcPr>
          <w:p>
            <w:pPr>
              <w:widowControl/>
              <w:spacing w:before="100" w:beforeAutospacing="1" w:after="100" w:afterAutospacing="1"/>
              <w:jc w:val="center"/>
              <w:rPr>
                <w:rFonts w:ascii="宋体" w:hAnsi="宋体" w:eastAsia="宋体" w:cs="宋体"/>
                <w:kern w:val="0"/>
                <w:sz w:val="24"/>
                <w:szCs w:val="24"/>
              </w:rPr>
            </w:pPr>
            <w:r>
              <w:rPr>
                <w:rFonts w:hint="eastAsia" w:ascii="宋体" w:hAnsi="宋体" w:eastAsia="宋体" w:cs="宋体"/>
                <w:color w:val="000000"/>
                <w:kern w:val="0"/>
                <w:sz w:val="20"/>
                <w:szCs w:val="20"/>
              </w:rPr>
              <w:t>人次</w:t>
            </w:r>
          </w:p>
        </w:tc>
        <w:tc>
          <w:tcPr>
            <w:tcW w:w="855" w:type="dxa"/>
            <w:tcBorders>
              <w:top w:val="nil"/>
              <w:left w:val="nil"/>
              <w:bottom w:val="single" w:color="auto" w:sz="6" w:space="0"/>
              <w:right w:val="single" w:color="auto" w:sz="6" w:space="0"/>
            </w:tcBorders>
            <w:vAlign w:val="center"/>
          </w:tcPr>
          <w:p>
            <w:pPr>
              <w:widowControl/>
              <w:spacing w:before="100" w:beforeAutospacing="1" w:after="100" w:afterAutospacing="1"/>
              <w:jc w:val="left"/>
              <w:rPr>
                <w:rFonts w:ascii="宋体" w:hAnsi="宋体" w:eastAsia="宋体" w:cs="宋体"/>
                <w:kern w:val="0"/>
                <w:sz w:val="24"/>
                <w:szCs w:val="24"/>
              </w:rPr>
            </w:pPr>
            <w:r>
              <w:rPr>
                <w:rFonts w:hint="eastAsia" w:ascii="宋体" w:hAnsi="宋体" w:eastAsia="宋体" w:cs="宋体"/>
                <w:color w:val="000000"/>
                <w:kern w:val="0"/>
                <w:szCs w:val="21"/>
              </w:rPr>
              <w:t>　3</w:t>
            </w:r>
          </w:p>
        </w:tc>
      </w:tr>
    </w:tbl>
    <w:p>
      <w:pPr>
        <w:widowControl/>
        <w:spacing w:before="100" w:beforeAutospacing="1" w:after="100" w:afterAutospacing="1" w:line="375" w:lineRule="atLeast"/>
        <w:jc w:val="left"/>
        <w:rPr>
          <w:rFonts w:ascii="宋体" w:hAnsi="宋体" w:eastAsia="宋体" w:cs="宋体"/>
          <w:kern w:val="0"/>
          <w:szCs w:val="21"/>
        </w:rPr>
      </w:pPr>
      <w:r>
        <w:rPr>
          <w:rFonts w:hint="eastAsia" w:ascii="宋体" w:hAnsi="宋体" w:eastAsia="宋体" w:cs="宋体"/>
          <w:color w:val="000000"/>
          <w:kern w:val="0"/>
          <w:sz w:val="20"/>
          <w:szCs w:val="20"/>
        </w:rPr>
        <w:t>（注：各子栏目数总数要等于总栏目数量）</w:t>
      </w:r>
    </w:p>
    <w:p>
      <w:pPr>
        <w:keepNext w:val="0"/>
        <w:keepLines w:val="0"/>
        <w:pageBreakBefore w:val="0"/>
        <w:widowControl/>
        <w:kinsoku/>
        <w:wordWrap/>
        <w:overflowPunct/>
        <w:topLinePunct w:val="0"/>
        <w:autoSpaceDE/>
        <w:autoSpaceDN/>
        <w:bidi w:val="0"/>
        <w:adjustRightInd/>
        <w:snapToGrid/>
        <w:spacing w:before="75" w:after="75" w:line="560" w:lineRule="exact"/>
        <w:ind w:firstLine="4160" w:firstLineChars="1300"/>
        <w:jc w:val="left"/>
        <w:textAlignment w:val="auto"/>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t>威海市文登区文化广电新闻出版局</w:t>
      </w:r>
    </w:p>
    <w:p>
      <w:pPr>
        <w:keepNext w:val="0"/>
        <w:keepLines w:val="0"/>
        <w:pageBreakBefore w:val="0"/>
        <w:widowControl/>
        <w:kinsoku/>
        <w:wordWrap/>
        <w:overflowPunct/>
        <w:topLinePunct w:val="0"/>
        <w:autoSpaceDE/>
        <w:autoSpaceDN/>
        <w:bidi w:val="0"/>
        <w:adjustRightInd/>
        <w:snapToGrid/>
        <w:spacing w:before="75" w:after="75" w:line="560" w:lineRule="exact"/>
        <w:ind w:firstLine="5772" w:firstLineChars="1804"/>
        <w:jc w:val="left"/>
        <w:textAlignment w:val="auto"/>
        <w:rPr>
          <w:rFonts w:hint="eastAsia" w:ascii="仿宋_GB2312" w:hAnsi="仿宋_GB2312" w:eastAsia="仿宋_GB2312" w:cs="仿宋_GB2312"/>
          <w:kern w:val="0"/>
          <w:sz w:val="32"/>
          <w:szCs w:val="32"/>
          <w:lang w:val="en-US" w:eastAsia="zh-CN"/>
        </w:rPr>
      </w:pPr>
      <w:bookmarkStart w:id="0" w:name="_GoBack"/>
      <w:bookmarkEnd w:id="0"/>
      <w:r>
        <w:rPr>
          <w:rFonts w:hint="eastAsia" w:ascii="仿宋_GB2312" w:hAnsi="仿宋_GB2312" w:eastAsia="仿宋_GB2312" w:cs="仿宋_GB2312"/>
          <w:kern w:val="0"/>
          <w:sz w:val="32"/>
          <w:szCs w:val="32"/>
          <w:lang w:val="en-US" w:eastAsia="zh-CN"/>
        </w:rPr>
        <w:t>2019年1月16日</w:t>
      </w:r>
    </w:p>
    <w:sectPr>
      <w:pgSz w:w="11906" w:h="16838"/>
      <w:pgMar w:top="1797" w:right="1440" w:bottom="1797"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E00002FF" w:usb1="400004FF"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708DF"/>
    <w:rsid w:val="00005975"/>
    <w:rsid w:val="00071CE9"/>
    <w:rsid w:val="0012368A"/>
    <w:rsid w:val="00193830"/>
    <w:rsid w:val="00194900"/>
    <w:rsid w:val="00222DF4"/>
    <w:rsid w:val="002708DF"/>
    <w:rsid w:val="002A7B7B"/>
    <w:rsid w:val="003208FC"/>
    <w:rsid w:val="003B3149"/>
    <w:rsid w:val="003C45D8"/>
    <w:rsid w:val="005A15B3"/>
    <w:rsid w:val="005B6353"/>
    <w:rsid w:val="005D4688"/>
    <w:rsid w:val="00600D32"/>
    <w:rsid w:val="007441B8"/>
    <w:rsid w:val="00760F25"/>
    <w:rsid w:val="007E5A7D"/>
    <w:rsid w:val="00870864"/>
    <w:rsid w:val="009F48AA"/>
    <w:rsid w:val="00A54EED"/>
    <w:rsid w:val="00AA03B7"/>
    <w:rsid w:val="00AA4563"/>
    <w:rsid w:val="00B33698"/>
    <w:rsid w:val="00BE23F5"/>
    <w:rsid w:val="00C8252E"/>
    <w:rsid w:val="00CB2115"/>
    <w:rsid w:val="00CF77FA"/>
    <w:rsid w:val="00D01BAF"/>
    <w:rsid w:val="00D37DD8"/>
    <w:rsid w:val="00DA484D"/>
    <w:rsid w:val="00E27AFC"/>
    <w:rsid w:val="00E64479"/>
    <w:rsid w:val="00E714EA"/>
    <w:rsid w:val="00EA269F"/>
    <w:rsid w:val="00EE1225"/>
    <w:rsid w:val="00F17113"/>
    <w:rsid w:val="00F563F5"/>
    <w:rsid w:val="00FC5206"/>
    <w:rsid w:val="00FD31C0"/>
    <w:rsid w:val="373C6C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1"/>
    <w:semiHidden/>
    <w:unhideWhenUsed/>
    <w:uiPriority w:val="99"/>
    <w:rPr>
      <w:sz w:val="18"/>
      <w:szCs w:val="18"/>
    </w:rPr>
  </w:style>
  <w:style w:type="paragraph" w:styleId="3">
    <w:name w:val="footer"/>
    <w:basedOn w:val="1"/>
    <w:link w:val="10"/>
    <w:semiHidden/>
    <w:unhideWhenUsed/>
    <w:uiPriority w:val="99"/>
    <w:pPr>
      <w:tabs>
        <w:tab w:val="center" w:pos="4153"/>
        <w:tab w:val="right" w:pos="8306"/>
      </w:tabs>
      <w:snapToGrid w:val="0"/>
      <w:jc w:val="left"/>
    </w:pPr>
    <w:rPr>
      <w:sz w:val="18"/>
      <w:szCs w:val="18"/>
    </w:rPr>
  </w:style>
  <w:style w:type="paragraph" w:styleId="4">
    <w:name w:val="header"/>
    <w:basedOn w:val="1"/>
    <w:link w:val="9"/>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uiPriority w:val="99"/>
    <w:pPr>
      <w:widowControl/>
      <w:spacing w:before="75" w:after="75"/>
      <w:jc w:val="left"/>
    </w:pPr>
    <w:rPr>
      <w:rFonts w:ascii="宋体" w:hAnsi="宋体" w:eastAsia="宋体" w:cs="宋体"/>
      <w:kern w:val="0"/>
      <w:sz w:val="24"/>
      <w:szCs w:val="24"/>
    </w:rPr>
  </w:style>
  <w:style w:type="character" w:styleId="7">
    <w:name w:val="Strong"/>
    <w:basedOn w:val="6"/>
    <w:qFormat/>
    <w:uiPriority w:val="22"/>
    <w:rPr>
      <w:b/>
      <w:bCs/>
    </w:rPr>
  </w:style>
  <w:style w:type="character" w:customStyle="1" w:styleId="9">
    <w:name w:val="页眉 Char"/>
    <w:basedOn w:val="6"/>
    <w:link w:val="4"/>
    <w:semiHidden/>
    <w:uiPriority w:val="99"/>
    <w:rPr>
      <w:sz w:val="18"/>
      <w:szCs w:val="18"/>
    </w:rPr>
  </w:style>
  <w:style w:type="character" w:customStyle="1" w:styleId="10">
    <w:name w:val="页脚 Char"/>
    <w:basedOn w:val="6"/>
    <w:link w:val="3"/>
    <w:semiHidden/>
    <w:uiPriority w:val="99"/>
    <w:rPr>
      <w:sz w:val="18"/>
      <w:szCs w:val="18"/>
    </w:rPr>
  </w:style>
  <w:style w:type="character" w:customStyle="1" w:styleId="11">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583</Words>
  <Characters>3328</Characters>
  <Lines>27</Lines>
  <Paragraphs>7</Paragraphs>
  <TotalTime>712</TotalTime>
  <ScaleCrop>false</ScaleCrop>
  <LinksUpToDate>false</LinksUpToDate>
  <CharactersWithSpaces>3904</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2018-03-02T03:26:00Z</dcterms:created>
  <dc:creator>bgs</dc:creator>
  <cp:lastModifiedBy>Administrator</cp:lastModifiedBy>
  <cp:lastPrinted>2019-01-15T06:17:00Z</cp:lastPrinted>
  <dcterms:modified xsi:type="dcterms:W3CDTF">2021-10-11T09:28:27Z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