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sdt>
      <w:sdtPr>
        <w:rPr>
          <w:rFonts w:ascii="Calibri" w:hAnsi="Calibri" w:eastAsia="宋体" w:cs="Times New Roman"/>
          <w:color w:val="auto"/>
          <w:kern w:val="2"/>
          <w:sz w:val="72"/>
          <w:szCs w:val="72"/>
          <w:lang w:val="zh-CN"/>
        </w:rPr>
        <w:id w:val="1317527392"/>
        <w:docPartObj>
          <w:docPartGallery w:val="Table of Contents"/>
          <w:docPartUnique/>
        </w:docPartObj>
      </w:sdtPr>
      <w:sdtEndPr>
        <w:rPr>
          <w:rFonts w:hint="eastAsia" w:ascii="黑体" w:hAnsi="黑体" w:eastAsia="黑体" w:cs="黑体"/>
          <w:color w:val="auto"/>
          <w:kern w:val="2"/>
          <w:sz w:val="24"/>
          <w:szCs w:val="24"/>
          <w:lang w:val="zh-CN"/>
        </w:rPr>
      </w:sdtEndPr>
      <w:sdtContent>
        <w:p w14:paraId="6E2951E5">
          <w:pPr>
            <w:pStyle w:val="84"/>
            <w:ind w:firstLine="480"/>
            <w:jc w:val="center"/>
            <w:rPr>
              <w:rFonts w:hint="eastAsia" w:ascii="黑体" w:hAnsi="黑体" w:eastAsia="黑体" w:cs="黑体"/>
              <w:b/>
              <w:bCs/>
              <w:color w:val="auto"/>
              <w:sz w:val="72"/>
              <w:szCs w:val="72"/>
              <w:lang w:val="zh-CN" w:eastAsia="zh-CN"/>
            </w:rPr>
          </w:pPr>
          <w:r>
            <w:rPr>
              <w:rFonts w:hint="eastAsia" w:ascii="黑体" w:hAnsi="黑体" w:eastAsia="黑体" w:cs="黑体"/>
              <w:b/>
              <w:bCs/>
              <w:color w:val="auto"/>
              <w:sz w:val="72"/>
              <w:szCs w:val="72"/>
              <w:lang w:val="zh-CN" w:eastAsia="zh-CN"/>
            </w:rPr>
            <w:t>文登历史文化名城</w:t>
          </w:r>
        </w:p>
        <w:p w14:paraId="1855222C">
          <w:pPr>
            <w:pStyle w:val="84"/>
            <w:ind w:firstLine="480"/>
            <w:jc w:val="center"/>
            <w:rPr>
              <w:rFonts w:hint="eastAsia" w:ascii="Calibri" w:hAnsi="Calibri" w:eastAsia="宋体" w:cs="Times New Roman"/>
              <w:color w:val="auto"/>
              <w:kern w:val="2"/>
              <w:sz w:val="72"/>
              <w:szCs w:val="72"/>
              <w:lang w:val="zh-CN" w:eastAsia="zh-CN"/>
            </w:rPr>
          </w:pPr>
          <w:r>
            <w:rPr>
              <w:rFonts w:hint="eastAsia" w:ascii="黑体" w:hAnsi="黑体" w:eastAsia="黑体" w:cs="黑体"/>
              <w:b/>
              <w:bCs/>
              <w:color w:val="auto"/>
              <w:sz w:val="72"/>
              <w:szCs w:val="72"/>
              <w:lang w:val="zh-CN" w:eastAsia="zh-CN"/>
            </w:rPr>
            <w:t>保护规划</w:t>
          </w:r>
        </w:p>
        <w:p w14:paraId="0F0B82C5">
          <w:pPr>
            <w:pStyle w:val="84"/>
            <w:ind w:firstLine="480"/>
            <w:rPr>
              <w:b/>
              <w:bCs/>
              <w:color w:val="auto"/>
            </w:rPr>
          </w:pPr>
          <w:r>
            <w:rPr>
              <w:rFonts w:hint="eastAsia" w:ascii="黑体" w:hAnsi="黑体" w:eastAsia="黑体" w:cs="黑体"/>
              <w:b/>
              <w:bCs/>
              <w:color w:val="auto"/>
              <w:lang w:val="zh-CN"/>
            </w:rPr>
            <w:t>目录</w:t>
          </w:r>
        </w:p>
        <w:p w14:paraId="4445961A">
          <w:pPr>
            <w:pStyle w:val="23"/>
            <w:tabs>
              <w:tab w:val="right" w:leader="dot" w:pos="8306"/>
            </w:tabs>
            <w:ind w:firstLine="391"/>
            <w:rPr>
              <w:rFonts w:ascii="黑体" w:hAnsi="黑体" w:eastAsia="黑体" w:cs="黑体"/>
            </w:rPr>
          </w:pPr>
          <w:r>
            <w:rPr>
              <w:rFonts w:hint="eastAsia" w:ascii="黑体" w:hAnsi="黑体" w:eastAsia="黑体" w:cs="黑体"/>
            </w:rPr>
            <w:fldChar w:fldCharType="begin"/>
          </w:r>
          <w:r>
            <w:rPr>
              <w:rFonts w:hint="eastAsia" w:ascii="黑体" w:hAnsi="黑体" w:eastAsia="黑体" w:cs="黑体"/>
            </w:rPr>
            <w:instrText xml:space="preserve"> TOC \o "1-3" \h \z \u </w:instrText>
          </w:r>
          <w:r>
            <w:rPr>
              <w:rFonts w:hint="eastAsia" w:ascii="黑体" w:hAnsi="黑体" w:eastAsia="黑体" w:cs="黑体"/>
            </w:rPr>
            <w:fldChar w:fldCharType="separate"/>
          </w:r>
          <w:r>
            <w:fldChar w:fldCharType="begin"/>
          </w:r>
          <w:r>
            <w:instrText xml:space="preserve"> HYPERLINK \l "_Toc26771" </w:instrText>
          </w:r>
          <w:r>
            <w:fldChar w:fldCharType="separate"/>
          </w:r>
          <w:r>
            <w:rPr>
              <w:rFonts w:hint="eastAsia" w:ascii="黑体" w:hAnsi="黑体" w:eastAsia="黑体" w:cs="黑体"/>
              <w:szCs w:val="32"/>
            </w:rPr>
            <w:t>第一章 总  则</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_Toc26771 \h </w:instrText>
          </w:r>
          <w:r>
            <w:rPr>
              <w:rFonts w:hint="eastAsia" w:ascii="黑体" w:hAnsi="黑体" w:eastAsia="黑体" w:cs="黑体"/>
            </w:rPr>
            <w:fldChar w:fldCharType="separate"/>
          </w:r>
          <w:r>
            <w:rPr>
              <w:rFonts w:hint="eastAsia" w:ascii="黑体" w:hAnsi="黑体" w:eastAsia="黑体" w:cs="黑体"/>
            </w:rPr>
            <w:t>1</w:t>
          </w:r>
          <w:r>
            <w:rPr>
              <w:rFonts w:hint="eastAsia" w:ascii="黑体" w:hAnsi="黑体" w:eastAsia="黑体" w:cs="黑体"/>
            </w:rPr>
            <w:fldChar w:fldCharType="end"/>
          </w:r>
          <w:r>
            <w:rPr>
              <w:rFonts w:hint="eastAsia" w:ascii="黑体" w:hAnsi="黑体" w:eastAsia="黑体" w:cs="黑体"/>
            </w:rPr>
            <w:fldChar w:fldCharType="end"/>
          </w:r>
        </w:p>
        <w:p w14:paraId="1D16D0B6">
          <w:pPr>
            <w:pStyle w:val="16"/>
            <w:tabs>
              <w:tab w:val="right" w:leader="dot" w:pos="8306"/>
            </w:tabs>
            <w:ind w:left="960" w:firstLine="480"/>
            <w:rPr>
              <w:rFonts w:ascii="黑体" w:hAnsi="黑体" w:eastAsia="黑体" w:cs="黑体"/>
            </w:rPr>
          </w:pPr>
          <w:r>
            <w:fldChar w:fldCharType="begin"/>
          </w:r>
          <w:r>
            <w:instrText xml:space="preserve"> HYPERLINK \l "_Toc4775" </w:instrText>
          </w:r>
          <w:r>
            <w:fldChar w:fldCharType="separate"/>
          </w:r>
          <w:r>
            <w:rPr>
              <w:rFonts w:hint="eastAsia" w:ascii="黑体" w:hAnsi="黑体" w:eastAsia="黑体" w:cs="黑体"/>
            </w:rPr>
            <w:t>第一条 规划目的</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_Toc4775 \h </w:instrText>
          </w:r>
          <w:r>
            <w:rPr>
              <w:rFonts w:hint="eastAsia" w:ascii="黑体" w:hAnsi="黑体" w:eastAsia="黑体" w:cs="黑体"/>
            </w:rPr>
            <w:fldChar w:fldCharType="separate"/>
          </w:r>
          <w:r>
            <w:rPr>
              <w:rFonts w:hint="eastAsia" w:ascii="黑体" w:hAnsi="黑体" w:eastAsia="黑体" w:cs="黑体"/>
            </w:rPr>
            <w:t>1</w:t>
          </w:r>
          <w:r>
            <w:rPr>
              <w:rFonts w:hint="eastAsia" w:ascii="黑体" w:hAnsi="黑体" w:eastAsia="黑体" w:cs="黑体"/>
            </w:rPr>
            <w:fldChar w:fldCharType="end"/>
          </w:r>
          <w:r>
            <w:rPr>
              <w:rFonts w:hint="eastAsia" w:ascii="黑体" w:hAnsi="黑体" w:eastAsia="黑体" w:cs="黑体"/>
            </w:rPr>
            <w:fldChar w:fldCharType="end"/>
          </w:r>
        </w:p>
        <w:p w14:paraId="25765490">
          <w:pPr>
            <w:pStyle w:val="16"/>
            <w:tabs>
              <w:tab w:val="right" w:leader="dot" w:pos="8306"/>
            </w:tabs>
            <w:ind w:left="960" w:firstLine="480"/>
            <w:rPr>
              <w:rFonts w:ascii="黑体" w:hAnsi="黑体" w:eastAsia="黑体" w:cs="黑体"/>
            </w:rPr>
          </w:pPr>
          <w:r>
            <w:fldChar w:fldCharType="begin"/>
          </w:r>
          <w:r>
            <w:instrText xml:space="preserve"> HYPERLINK \l "_Toc2431" </w:instrText>
          </w:r>
          <w:r>
            <w:fldChar w:fldCharType="separate"/>
          </w:r>
          <w:r>
            <w:rPr>
              <w:rFonts w:hint="eastAsia" w:ascii="黑体" w:hAnsi="黑体" w:eastAsia="黑体" w:cs="黑体"/>
            </w:rPr>
            <w:t>第二条 规划地位和作用</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_Toc2431 \h </w:instrText>
          </w:r>
          <w:r>
            <w:rPr>
              <w:rFonts w:hint="eastAsia" w:ascii="黑体" w:hAnsi="黑体" w:eastAsia="黑体" w:cs="黑体"/>
            </w:rPr>
            <w:fldChar w:fldCharType="separate"/>
          </w:r>
          <w:r>
            <w:rPr>
              <w:rFonts w:hint="eastAsia" w:ascii="黑体" w:hAnsi="黑体" w:eastAsia="黑体" w:cs="黑体"/>
            </w:rPr>
            <w:t>1</w:t>
          </w:r>
          <w:r>
            <w:rPr>
              <w:rFonts w:hint="eastAsia" w:ascii="黑体" w:hAnsi="黑体" w:eastAsia="黑体" w:cs="黑体"/>
            </w:rPr>
            <w:fldChar w:fldCharType="end"/>
          </w:r>
          <w:r>
            <w:rPr>
              <w:rFonts w:hint="eastAsia" w:ascii="黑体" w:hAnsi="黑体" w:eastAsia="黑体" w:cs="黑体"/>
            </w:rPr>
            <w:fldChar w:fldCharType="end"/>
          </w:r>
        </w:p>
        <w:p w14:paraId="3FE36E3C">
          <w:pPr>
            <w:pStyle w:val="16"/>
            <w:tabs>
              <w:tab w:val="right" w:leader="dot" w:pos="8306"/>
            </w:tabs>
            <w:ind w:left="960" w:firstLine="480"/>
            <w:rPr>
              <w:rFonts w:ascii="黑体" w:hAnsi="黑体" w:eastAsia="黑体" w:cs="黑体"/>
            </w:rPr>
          </w:pPr>
          <w:r>
            <w:fldChar w:fldCharType="begin"/>
          </w:r>
          <w:r>
            <w:instrText xml:space="preserve"> HYPERLINK \l "_Toc20911" </w:instrText>
          </w:r>
          <w:r>
            <w:fldChar w:fldCharType="separate"/>
          </w:r>
          <w:r>
            <w:rPr>
              <w:rFonts w:hint="eastAsia" w:ascii="黑体" w:hAnsi="黑体" w:eastAsia="黑体" w:cs="黑体"/>
            </w:rPr>
            <w:t>第三条 规划依据</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_Toc20911 \h </w:instrText>
          </w:r>
          <w:r>
            <w:rPr>
              <w:rFonts w:hint="eastAsia" w:ascii="黑体" w:hAnsi="黑体" w:eastAsia="黑体" w:cs="黑体"/>
            </w:rPr>
            <w:fldChar w:fldCharType="separate"/>
          </w:r>
          <w:r>
            <w:rPr>
              <w:rFonts w:hint="eastAsia" w:ascii="黑体" w:hAnsi="黑体" w:eastAsia="黑体" w:cs="黑体"/>
            </w:rPr>
            <w:t>1</w:t>
          </w:r>
          <w:r>
            <w:rPr>
              <w:rFonts w:hint="eastAsia" w:ascii="黑体" w:hAnsi="黑体" w:eastAsia="黑体" w:cs="黑体"/>
            </w:rPr>
            <w:fldChar w:fldCharType="end"/>
          </w:r>
          <w:r>
            <w:rPr>
              <w:rFonts w:hint="eastAsia" w:ascii="黑体" w:hAnsi="黑体" w:eastAsia="黑体" w:cs="黑体"/>
            </w:rPr>
            <w:fldChar w:fldCharType="end"/>
          </w:r>
        </w:p>
        <w:p w14:paraId="42A7D26B">
          <w:pPr>
            <w:pStyle w:val="16"/>
            <w:tabs>
              <w:tab w:val="right" w:leader="dot" w:pos="8306"/>
            </w:tabs>
            <w:ind w:left="960" w:firstLine="480"/>
            <w:rPr>
              <w:rFonts w:ascii="黑体" w:hAnsi="黑体" w:eastAsia="黑体" w:cs="黑体"/>
            </w:rPr>
          </w:pPr>
          <w:r>
            <w:fldChar w:fldCharType="begin"/>
          </w:r>
          <w:r>
            <w:instrText xml:space="preserve"> HYPERLINK \l "_Toc3875" </w:instrText>
          </w:r>
          <w:r>
            <w:fldChar w:fldCharType="separate"/>
          </w:r>
          <w:r>
            <w:rPr>
              <w:rFonts w:hint="eastAsia" w:ascii="黑体" w:hAnsi="黑体" w:eastAsia="黑体" w:cs="黑体"/>
            </w:rPr>
            <w:t>第四条 规划原则</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_Toc3875 \h </w:instrText>
          </w:r>
          <w:r>
            <w:rPr>
              <w:rFonts w:hint="eastAsia" w:ascii="黑体" w:hAnsi="黑体" w:eastAsia="黑体" w:cs="黑体"/>
            </w:rPr>
            <w:fldChar w:fldCharType="separate"/>
          </w:r>
          <w:r>
            <w:rPr>
              <w:rFonts w:hint="eastAsia" w:ascii="黑体" w:hAnsi="黑体" w:eastAsia="黑体" w:cs="黑体"/>
            </w:rPr>
            <w:t>1</w:t>
          </w:r>
          <w:r>
            <w:rPr>
              <w:rFonts w:hint="eastAsia" w:ascii="黑体" w:hAnsi="黑体" w:eastAsia="黑体" w:cs="黑体"/>
            </w:rPr>
            <w:fldChar w:fldCharType="end"/>
          </w:r>
          <w:r>
            <w:rPr>
              <w:rFonts w:hint="eastAsia" w:ascii="黑体" w:hAnsi="黑体" w:eastAsia="黑体" w:cs="黑体"/>
            </w:rPr>
            <w:fldChar w:fldCharType="end"/>
          </w:r>
        </w:p>
        <w:p w14:paraId="6E7AA30B">
          <w:pPr>
            <w:pStyle w:val="16"/>
            <w:tabs>
              <w:tab w:val="right" w:leader="dot" w:pos="8306"/>
            </w:tabs>
            <w:ind w:left="960" w:firstLine="480"/>
            <w:rPr>
              <w:rFonts w:ascii="黑体" w:hAnsi="黑体" w:eastAsia="黑体" w:cs="黑体"/>
            </w:rPr>
          </w:pPr>
          <w:r>
            <w:fldChar w:fldCharType="begin"/>
          </w:r>
          <w:r>
            <w:instrText xml:space="preserve"> HYPERLINK \l "_Toc43" </w:instrText>
          </w:r>
          <w:r>
            <w:fldChar w:fldCharType="separate"/>
          </w:r>
          <w:r>
            <w:rPr>
              <w:rFonts w:hint="eastAsia" w:ascii="黑体" w:hAnsi="黑体" w:eastAsia="黑体" w:cs="黑体"/>
            </w:rPr>
            <w:t>第五条 规划目标</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_Toc43 \h </w:instrText>
          </w:r>
          <w:r>
            <w:rPr>
              <w:rFonts w:hint="eastAsia" w:ascii="黑体" w:hAnsi="黑体" w:eastAsia="黑体" w:cs="黑体"/>
            </w:rPr>
            <w:fldChar w:fldCharType="separate"/>
          </w:r>
          <w:r>
            <w:rPr>
              <w:rFonts w:hint="eastAsia" w:ascii="黑体" w:hAnsi="黑体" w:eastAsia="黑体" w:cs="黑体"/>
            </w:rPr>
            <w:t>2</w:t>
          </w:r>
          <w:r>
            <w:rPr>
              <w:rFonts w:hint="eastAsia" w:ascii="黑体" w:hAnsi="黑体" w:eastAsia="黑体" w:cs="黑体"/>
            </w:rPr>
            <w:fldChar w:fldCharType="end"/>
          </w:r>
          <w:r>
            <w:rPr>
              <w:rFonts w:hint="eastAsia" w:ascii="黑体" w:hAnsi="黑体" w:eastAsia="黑体" w:cs="黑体"/>
            </w:rPr>
            <w:fldChar w:fldCharType="end"/>
          </w:r>
        </w:p>
        <w:p w14:paraId="4045E118">
          <w:pPr>
            <w:pStyle w:val="16"/>
            <w:tabs>
              <w:tab w:val="right" w:leader="dot" w:pos="8306"/>
            </w:tabs>
            <w:ind w:left="960" w:firstLine="480"/>
            <w:rPr>
              <w:rFonts w:ascii="黑体" w:hAnsi="黑体" w:eastAsia="黑体" w:cs="黑体"/>
            </w:rPr>
          </w:pPr>
          <w:r>
            <w:fldChar w:fldCharType="begin"/>
          </w:r>
          <w:r>
            <w:instrText xml:space="preserve"> HYPERLINK \l "_Toc11928" </w:instrText>
          </w:r>
          <w:r>
            <w:fldChar w:fldCharType="separate"/>
          </w:r>
          <w:r>
            <w:rPr>
              <w:rFonts w:hint="eastAsia" w:ascii="黑体" w:hAnsi="黑体" w:eastAsia="黑体" w:cs="黑体"/>
            </w:rPr>
            <w:t>第六条 保护体系</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_Toc11928 \h </w:instrText>
          </w:r>
          <w:r>
            <w:rPr>
              <w:rFonts w:hint="eastAsia" w:ascii="黑体" w:hAnsi="黑体" w:eastAsia="黑体" w:cs="黑体"/>
            </w:rPr>
            <w:fldChar w:fldCharType="separate"/>
          </w:r>
          <w:r>
            <w:rPr>
              <w:rFonts w:hint="eastAsia" w:ascii="黑体" w:hAnsi="黑体" w:eastAsia="黑体" w:cs="黑体"/>
            </w:rPr>
            <w:t>2</w:t>
          </w:r>
          <w:r>
            <w:rPr>
              <w:rFonts w:hint="eastAsia" w:ascii="黑体" w:hAnsi="黑体" w:eastAsia="黑体" w:cs="黑体"/>
            </w:rPr>
            <w:fldChar w:fldCharType="end"/>
          </w:r>
          <w:r>
            <w:rPr>
              <w:rFonts w:hint="eastAsia" w:ascii="黑体" w:hAnsi="黑体" w:eastAsia="黑体" w:cs="黑体"/>
            </w:rPr>
            <w:fldChar w:fldCharType="end"/>
          </w:r>
        </w:p>
        <w:p w14:paraId="73BBA50B">
          <w:pPr>
            <w:pStyle w:val="16"/>
            <w:tabs>
              <w:tab w:val="right" w:leader="dot" w:pos="8306"/>
            </w:tabs>
            <w:ind w:left="960" w:firstLine="480"/>
            <w:rPr>
              <w:rFonts w:ascii="黑体" w:hAnsi="黑体" w:eastAsia="黑体" w:cs="黑体"/>
            </w:rPr>
          </w:pPr>
          <w:r>
            <w:fldChar w:fldCharType="begin"/>
          </w:r>
          <w:r>
            <w:instrText xml:space="preserve"> HYPERLINK \l "_Toc26036" </w:instrText>
          </w:r>
          <w:r>
            <w:fldChar w:fldCharType="separate"/>
          </w:r>
          <w:r>
            <w:rPr>
              <w:rFonts w:hint="eastAsia" w:ascii="黑体" w:hAnsi="黑体" w:eastAsia="黑体" w:cs="黑体"/>
            </w:rPr>
            <w:t>第七条 保护内容</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_Toc26036 \h </w:instrText>
          </w:r>
          <w:r>
            <w:rPr>
              <w:rFonts w:hint="eastAsia" w:ascii="黑体" w:hAnsi="黑体" w:eastAsia="黑体" w:cs="黑体"/>
            </w:rPr>
            <w:fldChar w:fldCharType="separate"/>
          </w:r>
          <w:r>
            <w:rPr>
              <w:rFonts w:hint="eastAsia" w:ascii="黑体" w:hAnsi="黑体" w:eastAsia="黑体" w:cs="黑体"/>
            </w:rPr>
            <w:t>2</w:t>
          </w:r>
          <w:r>
            <w:rPr>
              <w:rFonts w:hint="eastAsia" w:ascii="黑体" w:hAnsi="黑体" w:eastAsia="黑体" w:cs="黑体"/>
            </w:rPr>
            <w:fldChar w:fldCharType="end"/>
          </w:r>
          <w:r>
            <w:rPr>
              <w:rFonts w:hint="eastAsia" w:ascii="黑体" w:hAnsi="黑体" w:eastAsia="黑体" w:cs="黑体"/>
            </w:rPr>
            <w:fldChar w:fldCharType="end"/>
          </w:r>
        </w:p>
        <w:p w14:paraId="40E8C5BC">
          <w:pPr>
            <w:pStyle w:val="16"/>
            <w:tabs>
              <w:tab w:val="right" w:leader="dot" w:pos="8306"/>
            </w:tabs>
            <w:ind w:left="960" w:firstLine="480"/>
            <w:rPr>
              <w:rFonts w:ascii="黑体" w:hAnsi="黑体" w:eastAsia="黑体" w:cs="黑体"/>
            </w:rPr>
          </w:pPr>
          <w:r>
            <w:fldChar w:fldCharType="begin"/>
          </w:r>
          <w:r>
            <w:instrText xml:space="preserve"> HYPERLINK \l "_Toc25707" </w:instrText>
          </w:r>
          <w:r>
            <w:fldChar w:fldCharType="separate"/>
          </w:r>
          <w:r>
            <w:rPr>
              <w:rFonts w:hint="eastAsia" w:ascii="黑体" w:hAnsi="黑体" w:eastAsia="黑体" w:cs="黑体"/>
            </w:rPr>
            <w:t>第八条 规划重点</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_Toc25707 \h </w:instrText>
          </w:r>
          <w:r>
            <w:rPr>
              <w:rFonts w:hint="eastAsia" w:ascii="黑体" w:hAnsi="黑体" w:eastAsia="黑体" w:cs="黑体"/>
            </w:rPr>
            <w:fldChar w:fldCharType="separate"/>
          </w:r>
          <w:r>
            <w:rPr>
              <w:rFonts w:hint="eastAsia" w:ascii="黑体" w:hAnsi="黑体" w:eastAsia="黑体" w:cs="黑体"/>
            </w:rPr>
            <w:t>2</w:t>
          </w:r>
          <w:r>
            <w:rPr>
              <w:rFonts w:hint="eastAsia" w:ascii="黑体" w:hAnsi="黑体" w:eastAsia="黑体" w:cs="黑体"/>
            </w:rPr>
            <w:fldChar w:fldCharType="end"/>
          </w:r>
          <w:r>
            <w:rPr>
              <w:rFonts w:hint="eastAsia" w:ascii="黑体" w:hAnsi="黑体" w:eastAsia="黑体" w:cs="黑体"/>
            </w:rPr>
            <w:fldChar w:fldCharType="end"/>
          </w:r>
        </w:p>
        <w:p w14:paraId="1435EC44">
          <w:pPr>
            <w:pStyle w:val="16"/>
            <w:tabs>
              <w:tab w:val="right" w:leader="dot" w:pos="8306"/>
            </w:tabs>
            <w:ind w:left="960" w:firstLine="480"/>
            <w:rPr>
              <w:rFonts w:ascii="黑体" w:hAnsi="黑体" w:eastAsia="黑体" w:cs="黑体"/>
            </w:rPr>
          </w:pPr>
          <w:r>
            <w:fldChar w:fldCharType="begin"/>
          </w:r>
          <w:r>
            <w:instrText xml:space="preserve"> HYPERLINK \l "_Toc31375" </w:instrText>
          </w:r>
          <w:r>
            <w:fldChar w:fldCharType="separate"/>
          </w:r>
          <w:r>
            <w:rPr>
              <w:rFonts w:hint="eastAsia" w:ascii="黑体" w:hAnsi="黑体" w:eastAsia="黑体" w:cs="黑体"/>
            </w:rPr>
            <w:t>第九条 规划范围</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_Toc31375 \h </w:instrText>
          </w:r>
          <w:r>
            <w:rPr>
              <w:rFonts w:hint="eastAsia" w:ascii="黑体" w:hAnsi="黑体" w:eastAsia="黑体" w:cs="黑体"/>
            </w:rPr>
            <w:fldChar w:fldCharType="separate"/>
          </w:r>
          <w:r>
            <w:rPr>
              <w:rFonts w:hint="eastAsia" w:ascii="黑体" w:hAnsi="黑体" w:eastAsia="黑体" w:cs="黑体"/>
            </w:rPr>
            <w:t>2</w:t>
          </w:r>
          <w:r>
            <w:rPr>
              <w:rFonts w:hint="eastAsia" w:ascii="黑体" w:hAnsi="黑体" w:eastAsia="黑体" w:cs="黑体"/>
            </w:rPr>
            <w:fldChar w:fldCharType="end"/>
          </w:r>
          <w:r>
            <w:rPr>
              <w:rFonts w:hint="eastAsia" w:ascii="黑体" w:hAnsi="黑体" w:eastAsia="黑体" w:cs="黑体"/>
            </w:rPr>
            <w:fldChar w:fldCharType="end"/>
          </w:r>
        </w:p>
        <w:p w14:paraId="09CB21C4">
          <w:pPr>
            <w:pStyle w:val="23"/>
            <w:tabs>
              <w:tab w:val="right" w:leader="dot" w:pos="8306"/>
            </w:tabs>
            <w:ind w:firstLine="391"/>
            <w:rPr>
              <w:rFonts w:ascii="黑体" w:hAnsi="黑体" w:eastAsia="黑体" w:cs="黑体"/>
            </w:rPr>
          </w:pPr>
          <w:r>
            <w:fldChar w:fldCharType="begin"/>
          </w:r>
          <w:r>
            <w:instrText xml:space="preserve"> HYPERLINK \l "_Toc17912" </w:instrText>
          </w:r>
          <w:r>
            <w:fldChar w:fldCharType="separate"/>
          </w:r>
          <w:r>
            <w:rPr>
              <w:rFonts w:hint="eastAsia" w:ascii="黑体" w:hAnsi="黑体" w:eastAsia="黑体" w:cs="黑体"/>
              <w:szCs w:val="32"/>
            </w:rPr>
            <w:t>第二章 历史文化价值与特色</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_Toc17912 \h </w:instrText>
          </w:r>
          <w:r>
            <w:rPr>
              <w:rFonts w:hint="eastAsia" w:ascii="黑体" w:hAnsi="黑体" w:eastAsia="黑体" w:cs="黑体"/>
            </w:rPr>
            <w:fldChar w:fldCharType="separate"/>
          </w:r>
          <w:r>
            <w:rPr>
              <w:rFonts w:hint="eastAsia" w:ascii="黑体" w:hAnsi="黑体" w:eastAsia="黑体" w:cs="黑体"/>
            </w:rPr>
            <w:t>2</w:t>
          </w:r>
          <w:r>
            <w:rPr>
              <w:rFonts w:hint="eastAsia" w:ascii="黑体" w:hAnsi="黑体" w:eastAsia="黑体" w:cs="黑体"/>
            </w:rPr>
            <w:fldChar w:fldCharType="end"/>
          </w:r>
          <w:r>
            <w:rPr>
              <w:rFonts w:hint="eastAsia" w:ascii="黑体" w:hAnsi="黑体" w:eastAsia="黑体" w:cs="黑体"/>
            </w:rPr>
            <w:fldChar w:fldCharType="end"/>
          </w:r>
        </w:p>
        <w:p w14:paraId="3A71F595">
          <w:pPr>
            <w:pStyle w:val="16"/>
            <w:tabs>
              <w:tab w:val="right" w:leader="dot" w:pos="8306"/>
            </w:tabs>
            <w:ind w:left="960" w:firstLine="480"/>
            <w:rPr>
              <w:rFonts w:ascii="黑体" w:hAnsi="黑体" w:eastAsia="黑体" w:cs="黑体"/>
            </w:rPr>
          </w:pPr>
          <w:r>
            <w:fldChar w:fldCharType="begin"/>
          </w:r>
          <w:r>
            <w:instrText xml:space="preserve"> HYPERLINK \l "_Toc11313" </w:instrText>
          </w:r>
          <w:r>
            <w:fldChar w:fldCharType="separate"/>
          </w:r>
          <w:r>
            <w:rPr>
              <w:rFonts w:hint="eastAsia" w:ascii="黑体" w:hAnsi="黑体" w:eastAsia="黑体" w:cs="黑体"/>
            </w:rPr>
            <w:t>第十条 名城价值</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_Toc11313 \h </w:instrText>
          </w:r>
          <w:r>
            <w:rPr>
              <w:rFonts w:hint="eastAsia" w:ascii="黑体" w:hAnsi="黑体" w:eastAsia="黑体" w:cs="黑体"/>
            </w:rPr>
            <w:fldChar w:fldCharType="separate"/>
          </w:r>
          <w:r>
            <w:rPr>
              <w:rFonts w:hint="eastAsia" w:ascii="黑体" w:hAnsi="黑体" w:eastAsia="黑体" w:cs="黑体"/>
            </w:rPr>
            <w:t>2</w:t>
          </w:r>
          <w:r>
            <w:rPr>
              <w:rFonts w:hint="eastAsia" w:ascii="黑体" w:hAnsi="黑体" w:eastAsia="黑体" w:cs="黑体"/>
            </w:rPr>
            <w:fldChar w:fldCharType="end"/>
          </w:r>
          <w:r>
            <w:rPr>
              <w:rFonts w:hint="eastAsia" w:ascii="黑体" w:hAnsi="黑体" w:eastAsia="黑体" w:cs="黑体"/>
            </w:rPr>
            <w:fldChar w:fldCharType="end"/>
          </w:r>
        </w:p>
        <w:p w14:paraId="35383A7C">
          <w:pPr>
            <w:pStyle w:val="16"/>
            <w:tabs>
              <w:tab w:val="right" w:leader="dot" w:pos="8306"/>
            </w:tabs>
            <w:ind w:left="960" w:firstLine="480"/>
            <w:rPr>
              <w:rFonts w:ascii="黑体" w:hAnsi="黑体" w:eastAsia="黑体" w:cs="黑体"/>
            </w:rPr>
          </w:pPr>
          <w:r>
            <w:fldChar w:fldCharType="begin"/>
          </w:r>
          <w:r>
            <w:instrText xml:space="preserve"> HYPERLINK \l "_Toc2647" </w:instrText>
          </w:r>
          <w:r>
            <w:fldChar w:fldCharType="separate"/>
          </w:r>
          <w:r>
            <w:rPr>
              <w:rFonts w:hint="eastAsia" w:ascii="黑体" w:hAnsi="黑体" w:eastAsia="黑体" w:cs="黑体"/>
            </w:rPr>
            <w:t>第十一条 名城特色</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_Toc2647 \h </w:instrText>
          </w:r>
          <w:r>
            <w:rPr>
              <w:rFonts w:hint="eastAsia" w:ascii="黑体" w:hAnsi="黑体" w:eastAsia="黑体" w:cs="黑体"/>
            </w:rPr>
            <w:fldChar w:fldCharType="separate"/>
          </w:r>
          <w:r>
            <w:rPr>
              <w:rFonts w:hint="eastAsia" w:ascii="黑体" w:hAnsi="黑体" w:eastAsia="黑体" w:cs="黑体"/>
            </w:rPr>
            <w:t>3</w:t>
          </w:r>
          <w:r>
            <w:rPr>
              <w:rFonts w:hint="eastAsia" w:ascii="黑体" w:hAnsi="黑体" w:eastAsia="黑体" w:cs="黑体"/>
            </w:rPr>
            <w:fldChar w:fldCharType="end"/>
          </w:r>
          <w:r>
            <w:rPr>
              <w:rFonts w:hint="eastAsia" w:ascii="黑体" w:hAnsi="黑体" w:eastAsia="黑体" w:cs="黑体"/>
            </w:rPr>
            <w:fldChar w:fldCharType="end"/>
          </w:r>
        </w:p>
        <w:p w14:paraId="6B06D50A">
          <w:pPr>
            <w:pStyle w:val="23"/>
            <w:tabs>
              <w:tab w:val="right" w:leader="dot" w:pos="8306"/>
            </w:tabs>
            <w:ind w:firstLine="391"/>
            <w:rPr>
              <w:rFonts w:ascii="黑体" w:hAnsi="黑体" w:eastAsia="黑体" w:cs="黑体"/>
            </w:rPr>
          </w:pPr>
          <w:r>
            <w:fldChar w:fldCharType="begin"/>
          </w:r>
          <w:r>
            <w:instrText xml:space="preserve"> HYPERLINK \l "_Toc16098" </w:instrText>
          </w:r>
          <w:r>
            <w:fldChar w:fldCharType="separate"/>
          </w:r>
          <w:r>
            <w:rPr>
              <w:rFonts w:hint="eastAsia" w:ascii="黑体" w:hAnsi="黑体" w:eastAsia="黑体" w:cs="黑体"/>
              <w:szCs w:val="32"/>
            </w:rPr>
            <w:t>第三章 全域历史文化遗产保护</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_Toc16098 \h </w:instrText>
          </w:r>
          <w:r>
            <w:rPr>
              <w:rFonts w:hint="eastAsia" w:ascii="黑体" w:hAnsi="黑体" w:eastAsia="黑体" w:cs="黑体"/>
            </w:rPr>
            <w:fldChar w:fldCharType="separate"/>
          </w:r>
          <w:r>
            <w:rPr>
              <w:rFonts w:hint="eastAsia" w:ascii="黑体" w:hAnsi="黑体" w:eastAsia="黑体" w:cs="黑体"/>
            </w:rPr>
            <w:t>4</w:t>
          </w:r>
          <w:r>
            <w:rPr>
              <w:rFonts w:hint="eastAsia" w:ascii="黑体" w:hAnsi="黑体" w:eastAsia="黑体" w:cs="黑体"/>
            </w:rPr>
            <w:fldChar w:fldCharType="end"/>
          </w:r>
          <w:r>
            <w:rPr>
              <w:rFonts w:hint="eastAsia" w:ascii="黑体" w:hAnsi="黑体" w:eastAsia="黑体" w:cs="黑体"/>
            </w:rPr>
            <w:fldChar w:fldCharType="end"/>
          </w:r>
        </w:p>
        <w:p w14:paraId="2D822417">
          <w:pPr>
            <w:pStyle w:val="16"/>
            <w:tabs>
              <w:tab w:val="right" w:leader="dot" w:pos="8306"/>
            </w:tabs>
            <w:ind w:left="960" w:firstLine="480"/>
            <w:rPr>
              <w:rFonts w:ascii="黑体" w:hAnsi="黑体" w:eastAsia="黑体" w:cs="黑体"/>
            </w:rPr>
          </w:pPr>
          <w:r>
            <w:fldChar w:fldCharType="begin"/>
          </w:r>
          <w:r>
            <w:instrText xml:space="preserve"> HYPERLINK \l "_Toc28671" </w:instrText>
          </w:r>
          <w:r>
            <w:fldChar w:fldCharType="separate"/>
          </w:r>
          <w:r>
            <w:rPr>
              <w:rFonts w:hint="eastAsia" w:ascii="黑体" w:hAnsi="黑体" w:eastAsia="黑体" w:cs="黑体"/>
            </w:rPr>
            <w:t>第十二条 全域保护框架</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_Toc28671 \h </w:instrText>
          </w:r>
          <w:r>
            <w:rPr>
              <w:rFonts w:hint="eastAsia" w:ascii="黑体" w:hAnsi="黑体" w:eastAsia="黑体" w:cs="黑体"/>
            </w:rPr>
            <w:fldChar w:fldCharType="separate"/>
          </w:r>
          <w:r>
            <w:rPr>
              <w:rFonts w:hint="eastAsia" w:ascii="黑体" w:hAnsi="黑体" w:eastAsia="黑体" w:cs="黑体"/>
            </w:rPr>
            <w:t>4</w:t>
          </w:r>
          <w:r>
            <w:rPr>
              <w:rFonts w:hint="eastAsia" w:ascii="黑体" w:hAnsi="黑体" w:eastAsia="黑体" w:cs="黑体"/>
            </w:rPr>
            <w:fldChar w:fldCharType="end"/>
          </w:r>
          <w:r>
            <w:rPr>
              <w:rFonts w:hint="eastAsia" w:ascii="黑体" w:hAnsi="黑体" w:eastAsia="黑体" w:cs="黑体"/>
            </w:rPr>
            <w:fldChar w:fldCharType="end"/>
          </w:r>
        </w:p>
        <w:p w14:paraId="44B73A5C">
          <w:pPr>
            <w:pStyle w:val="16"/>
            <w:tabs>
              <w:tab w:val="right" w:leader="dot" w:pos="8306"/>
            </w:tabs>
            <w:ind w:left="960" w:firstLine="480"/>
            <w:rPr>
              <w:rFonts w:ascii="黑体" w:hAnsi="黑体" w:eastAsia="黑体" w:cs="黑体"/>
            </w:rPr>
          </w:pPr>
          <w:r>
            <w:fldChar w:fldCharType="begin"/>
          </w:r>
          <w:r>
            <w:instrText xml:space="preserve"> HYPERLINK \l "_Toc32093" </w:instrText>
          </w:r>
          <w:r>
            <w:fldChar w:fldCharType="separate"/>
          </w:r>
          <w:r>
            <w:rPr>
              <w:rFonts w:hint="eastAsia" w:ascii="黑体" w:hAnsi="黑体" w:eastAsia="黑体" w:cs="黑体"/>
            </w:rPr>
            <w:t>第十三条 保护内容</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_Toc32093 \h </w:instrText>
          </w:r>
          <w:r>
            <w:rPr>
              <w:rFonts w:hint="eastAsia" w:ascii="黑体" w:hAnsi="黑体" w:eastAsia="黑体" w:cs="黑体"/>
            </w:rPr>
            <w:fldChar w:fldCharType="separate"/>
          </w:r>
          <w:r>
            <w:rPr>
              <w:rFonts w:hint="eastAsia" w:ascii="黑体" w:hAnsi="黑体" w:eastAsia="黑体" w:cs="黑体"/>
            </w:rPr>
            <w:t>4</w:t>
          </w:r>
          <w:r>
            <w:rPr>
              <w:rFonts w:hint="eastAsia" w:ascii="黑体" w:hAnsi="黑体" w:eastAsia="黑体" w:cs="黑体"/>
            </w:rPr>
            <w:fldChar w:fldCharType="end"/>
          </w:r>
          <w:r>
            <w:rPr>
              <w:rFonts w:hint="eastAsia" w:ascii="黑体" w:hAnsi="黑体" w:eastAsia="黑体" w:cs="黑体"/>
            </w:rPr>
            <w:fldChar w:fldCharType="end"/>
          </w:r>
        </w:p>
        <w:p w14:paraId="002D9523">
          <w:pPr>
            <w:pStyle w:val="16"/>
            <w:tabs>
              <w:tab w:val="right" w:leader="dot" w:pos="8306"/>
            </w:tabs>
            <w:ind w:left="960" w:firstLine="480"/>
            <w:rPr>
              <w:rFonts w:ascii="黑体" w:hAnsi="黑体" w:eastAsia="黑体" w:cs="黑体"/>
            </w:rPr>
          </w:pPr>
          <w:r>
            <w:fldChar w:fldCharType="begin"/>
          </w:r>
          <w:r>
            <w:instrText xml:space="preserve"> HYPERLINK \l "_Toc3156" </w:instrText>
          </w:r>
          <w:r>
            <w:fldChar w:fldCharType="separate"/>
          </w:r>
          <w:r>
            <w:rPr>
              <w:rFonts w:hint="eastAsia" w:ascii="黑体" w:hAnsi="黑体" w:eastAsia="黑体" w:cs="黑体"/>
            </w:rPr>
            <w:t>第十四条 中心城文化与自然保护圈</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_Toc3156 \h </w:instrText>
          </w:r>
          <w:r>
            <w:rPr>
              <w:rFonts w:hint="eastAsia" w:ascii="黑体" w:hAnsi="黑体" w:eastAsia="黑体" w:cs="黑体"/>
            </w:rPr>
            <w:fldChar w:fldCharType="separate"/>
          </w:r>
          <w:r>
            <w:rPr>
              <w:rFonts w:hint="eastAsia" w:ascii="黑体" w:hAnsi="黑体" w:eastAsia="黑体" w:cs="黑体"/>
            </w:rPr>
            <w:t>5</w:t>
          </w:r>
          <w:r>
            <w:rPr>
              <w:rFonts w:hint="eastAsia" w:ascii="黑体" w:hAnsi="黑体" w:eastAsia="黑体" w:cs="黑体"/>
            </w:rPr>
            <w:fldChar w:fldCharType="end"/>
          </w:r>
          <w:r>
            <w:rPr>
              <w:rFonts w:hint="eastAsia" w:ascii="黑体" w:hAnsi="黑体" w:eastAsia="黑体" w:cs="黑体"/>
            </w:rPr>
            <w:fldChar w:fldCharType="end"/>
          </w:r>
        </w:p>
        <w:p w14:paraId="10F87437">
          <w:pPr>
            <w:pStyle w:val="16"/>
            <w:tabs>
              <w:tab w:val="right" w:leader="dot" w:pos="8306"/>
            </w:tabs>
            <w:ind w:left="960" w:firstLine="480"/>
            <w:rPr>
              <w:rFonts w:ascii="黑体" w:hAnsi="黑体" w:eastAsia="黑体" w:cs="黑体"/>
            </w:rPr>
          </w:pPr>
          <w:r>
            <w:fldChar w:fldCharType="begin"/>
          </w:r>
          <w:r>
            <w:instrText xml:space="preserve"> HYPERLINK \l "_Toc11945" </w:instrText>
          </w:r>
          <w:r>
            <w:fldChar w:fldCharType="separate"/>
          </w:r>
          <w:r>
            <w:rPr>
              <w:rFonts w:hint="eastAsia" w:ascii="黑体" w:hAnsi="黑体" w:eastAsia="黑体" w:cs="黑体"/>
            </w:rPr>
            <w:t>第十五条 昆嵛山文化与自然保护圈</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_Toc11945 \h </w:instrText>
          </w:r>
          <w:r>
            <w:rPr>
              <w:rFonts w:hint="eastAsia" w:ascii="黑体" w:hAnsi="黑体" w:eastAsia="黑体" w:cs="黑体"/>
            </w:rPr>
            <w:fldChar w:fldCharType="separate"/>
          </w:r>
          <w:r>
            <w:rPr>
              <w:rFonts w:hint="eastAsia" w:ascii="黑体" w:hAnsi="黑体" w:eastAsia="黑体" w:cs="黑体"/>
            </w:rPr>
            <w:t>5</w:t>
          </w:r>
          <w:r>
            <w:rPr>
              <w:rFonts w:hint="eastAsia" w:ascii="黑体" w:hAnsi="黑体" w:eastAsia="黑体" w:cs="黑体"/>
            </w:rPr>
            <w:fldChar w:fldCharType="end"/>
          </w:r>
          <w:r>
            <w:rPr>
              <w:rFonts w:hint="eastAsia" w:ascii="黑体" w:hAnsi="黑体" w:eastAsia="黑体" w:cs="黑体"/>
            </w:rPr>
            <w:fldChar w:fldCharType="end"/>
          </w:r>
        </w:p>
        <w:p w14:paraId="0A36186B">
          <w:pPr>
            <w:pStyle w:val="16"/>
            <w:tabs>
              <w:tab w:val="right" w:leader="dot" w:pos="8306"/>
            </w:tabs>
            <w:ind w:left="960" w:firstLine="480"/>
            <w:rPr>
              <w:rFonts w:ascii="黑体" w:hAnsi="黑体" w:eastAsia="黑体" w:cs="黑体"/>
            </w:rPr>
          </w:pPr>
          <w:r>
            <w:fldChar w:fldCharType="begin"/>
          </w:r>
          <w:r>
            <w:instrText xml:space="preserve"> HYPERLINK \l "_Toc15536" </w:instrText>
          </w:r>
          <w:r>
            <w:fldChar w:fldCharType="separate"/>
          </w:r>
          <w:r>
            <w:rPr>
              <w:rFonts w:hint="eastAsia" w:ascii="黑体" w:hAnsi="黑体" w:eastAsia="黑体" w:cs="黑体"/>
            </w:rPr>
            <w:t>第十六条 天福山文化与自然保护圈</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_Toc15536 \h </w:instrText>
          </w:r>
          <w:r>
            <w:rPr>
              <w:rFonts w:hint="eastAsia" w:ascii="黑体" w:hAnsi="黑体" w:eastAsia="黑体" w:cs="黑体"/>
            </w:rPr>
            <w:fldChar w:fldCharType="separate"/>
          </w:r>
          <w:r>
            <w:rPr>
              <w:rFonts w:hint="eastAsia" w:ascii="黑体" w:hAnsi="黑体" w:eastAsia="黑体" w:cs="黑体"/>
            </w:rPr>
            <w:t>5</w:t>
          </w:r>
          <w:r>
            <w:rPr>
              <w:rFonts w:hint="eastAsia" w:ascii="黑体" w:hAnsi="黑体" w:eastAsia="黑体" w:cs="黑体"/>
            </w:rPr>
            <w:fldChar w:fldCharType="end"/>
          </w:r>
          <w:r>
            <w:rPr>
              <w:rFonts w:hint="eastAsia" w:ascii="黑体" w:hAnsi="黑体" w:eastAsia="黑体" w:cs="黑体"/>
            </w:rPr>
            <w:fldChar w:fldCharType="end"/>
          </w:r>
        </w:p>
        <w:p w14:paraId="469FDC2B">
          <w:pPr>
            <w:pStyle w:val="16"/>
            <w:tabs>
              <w:tab w:val="right" w:leader="dot" w:pos="8306"/>
            </w:tabs>
            <w:ind w:left="960" w:firstLine="480"/>
            <w:rPr>
              <w:rFonts w:ascii="黑体" w:hAnsi="黑体" w:eastAsia="黑体" w:cs="黑体"/>
            </w:rPr>
          </w:pPr>
          <w:r>
            <w:fldChar w:fldCharType="begin"/>
          </w:r>
          <w:r>
            <w:instrText xml:space="preserve"> HYPERLINK \l "_Toc19322" </w:instrText>
          </w:r>
          <w:r>
            <w:fldChar w:fldCharType="separate"/>
          </w:r>
          <w:r>
            <w:rPr>
              <w:rFonts w:hint="eastAsia" w:ascii="黑体" w:hAnsi="黑体" w:eastAsia="黑体" w:cs="黑体"/>
            </w:rPr>
            <w:t>第十七条 万家村文化保护圈</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_Toc19322 \h </w:instrText>
          </w:r>
          <w:r>
            <w:rPr>
              <w:rFonts w:hint="eastAsia" w:ascii="黑体" w:hAnsi="黑体" w:eastAsia="黑体" w:cs="黑体"/>
            </w:rPr>
            <w:fldChar w:fldCharType="separate"/>
          </w:r>
          <w:r>
            <w:rPr>
              <w:rFonts w:hint="eastAsia" w:ascii="黑体" w:hAnsi="黑体" w:eastAsia="黑体" w:cs="黑体"/>
            </w:rPr>
            <w:t>5</w:t>
          </w:r>
          <w:r>
            <w:rPr>
              <w:rFonts w:hint="eastAsia" w:ascii="黑体" w:hAnsi="黑体" w:eastAsia="黑体" w:cs="黑体"/>
            </w:rPr>
            <w:fldChar w:fldCharType="end"/>
          </w:r>
          <w:r>
            <w:rPr>
              <w:rFonts w:hint="eastAsia" w:ascii="黑体" w:hAnsi="黑体" w:eastAsia="黑体" w:cs="黑体"/>
            </w:rPr>
            <w:fldChar w:fldCharType="end"/>
          </w:r>
        </w:p>
        <w:p w14:paraId="42002845">
          <w:pPr>
            <w:pStyle w:val="16"/>
            <w:tabs>
              <w:tab w:val="right" w:leader="dot" w:pos="8306"/>
            </w:tabs>
            <w:ind w:left="960" w:firstLine="480"/>
            <w:rPr>
              <w:rFonts w:ascii="黑体" w:hAnsi="黑体" w:eastAsia="黑体" w:cs="黑体"/>
            </w:rPr>
          </w:pPr>
          <w:r>
            <w:fldChar w:fldCharType="begin"/>
          </w:r>
          <w:r>
            <w:instrText xml:space="preserve"> HYPERLINK \l "_Toc27818" </w:instrText>
          </w:r>
          <w:r>
            <w:fldChar w:fldCharType="separate"/>
          </w:r>
          <w:r>
            <w:rPr>
              <w:rFonts w:hint="eastAsia" w:ascii="黑体" w:hAnsi="黑体" w:eastAsia="黑体" w:cs="黑体"/>
            </w:rPr>
            <w:t>第十八条 回龙山文化保护圈</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_Toc27818 \h </w:instrText>
          </w:r>
          <w:r>
            <w:rPr>
              <w:rFonts w:hint="eastAsia" w:ascii="黑体" w:hAnsi="黑体" w:eastAsia="黑体" w:cs="黑体"/>
            </w:rPr>
            <w:fldChar w:fldCharType="separate"/>
          </w:r>
          <w:r>
            <w:rPr>
              <w:rFonts w:hint="eastAsia" w:ascii="黑体" w:hAnsi="黑体" w:eastAsia="黑体" w:cs="黑体"/>
            </w:rPr>
            <w:t>5</w:t>
          </w:r>
          <w:r>
            <w:rPr>
              <w:rFonts w:hint="eastAsia" w:ascii="黑体" w:hAnsi="黑体" w:eastAsia="黑体" w:cs="黑体"/>
            </w:rPr>
            <w:fldChar w:fldCharType="end"/>
          </w:r>
          <w:r>
            <w:rPr>
              <w:rFonts w:hint="eastAsia" w:ascii="黑体" w:hAnsi="黑体" w:eastAsia="黑体" w:cs="黑体"/>
            </w:rPr>
            <w:fldChar w:fldCharType="end"/>
          </w:r>
        </w:p>
        <w:p w14:paraId="089D976C">
          <w:pPr>
            <w:pStyle w:val="16"/>
            <w:tabs>
              <w:tab w:val="right" w:leader="dot" w:pos="8306"/>
            </w:tabs>
            <w:ind w:left="960" w:firstLine="480"/>
            <w:rPr>
              <w:rFonts w:ascii="黑体" w:hAnsi="黑体" w:eastAsia="黑体" w:cs="黑体"/>
            </w:rPr>
          </w:pPr>
          <w:r>
            <w:fldChar w:fldCharType="begin"/>
          </w:r>
          <w:r>
            <w:instrText xml:space="preserve"> HYPERLINK \l "_Toc30686" </w:instrText>
          </w:r>
          <w:r>
            <w:fldChar w:fldCharType="separate"/>
          </w:r>
          <w:r>
            <w:rPr>
              <w:rFonts w:hint="eastAsia" w:ascii="黑体" w:hAnsi="黑体" w:eastAsia="黑体" w:cs="黑体"/>
            </w:rPr>
            <w:t>第十九条 母猪河自然与文化保护带</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_Toc30686 \h </w:instrText>
          </w:r>
          <w:r>
            <w:rPr>
              <w:rFonts w:hint="eastAsia" w:ascii="黑体" w:hAnsi="黑体" w:eastAsia="黑体" w:cs="黑体"/>
            </w:rPr>
            <w:fldChar w:fldCharType="separate"/>
          </w:r>
          <w:r>
            <w:rPr>
              <w:rFonts w:hint="eastAsia" w:ascii="黑体" w:hAnsi="黑体" w:eastAsia="黑体" w:cs="黑体"/>
            </w:rPr>
            <w:t>6</w:t>
          </w:r>
          <w:r>
            <w:rPr>
              <w:rFonts w:hint="eastAsia" w:ascii="黑体" w:hAnsi="黑体" w:eastAsia="黑体" w:cs="黑体"/>
            </w:rPr>
            <w:fldChar w:fldCharType="end"/>
          </w:r>
          <w:r>
            <w:rPr>
              <w:rFonts w:hint="eastAsia" w:ascii="黑体" w:hAnsi="黑体" w:eastAsia="黑体" w:cs="黑体"/>
            </w:rPr>
            <w:fldChar w:fldCharType="end"/>
          </w:r>
        </w:p>
        <w:p w14:paraId="66FF16E0">
          <w:pPr>
            <w:pStyle w:val="16"/>
            <w:tabs>
              <w:tab w:val="right" w:leader="dot" w:pos="8306"/>
            </w:tabs>
            <w:ind w:left="960" w:firstLine="480"/>
            <w:rPr>
              <w:rFonts w:ascii="黑体" w:hAnsi="黑体" w:eastAsia="黑体" w:cs="黑体"/>
            </w:rPr>
          </w:pPr>
          <w:r>
            <w:fldChar w:fldCharType="begin"/>
          </w:r>
          <w:r>
            <w:instrText xml:space="preserve"> HYPERLINK \l "_Toc17322" </w:instrText>
          </w:r>
          <w:r>
            <w:fldChar w:fldCharType="separate"/>
          </w:r>
          <w:r>
            <w:rPr>
              <w:rFonts w:hint="eastAsia" w:ascii="黑体" w:hAnsi="黑体" w:eastAsia="黑体" w:cs="黑体"/>
            </w:rPr>
            <w:t>第二十条 青龙河自然与文化保护带圈</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_Toc17322 \h </w:instrText>
          </w:r>
          <w:r>
            <w:rPr>
              <w:rFonts w:hint="eastAsia" w:ascii="黑体" w:hAnsi="黑体" w:eastAsia="黑体" w:cs="黑体"/>
            </w:rPr>
            <w:fldChar w:fldCharType="separate"/>
          </w:r>
          <w:r>
            <w:rPr>
              <w:rFonts w:hint="eastAsia" w:ascii="黑体" w:hAnsi="黑体" w:eastAsia="黑体" w:cs="黑体"/>
            </w:rPr>
            <w:t>6</w:t>
          </w:r>
          <w:r>
            <w:rPr>
              <w:rFonts w:hint="eastAsia" w:ascii="黑体" w:hAnsi="黑体" w:eastAsia="黑体" w:cs="黑体"/>
            </w:rPr>
            <w:fldChar w:fldCharType="end"/>
          </w:r>
          <w:r>
            <w:rPr>
              <w:rFonts w:hint="eastAsia" w:ascii="黑体" w:hAnsi="黑体" w:eastAsia="黑体" w:cs="黑体"/>
            </w:rPr>
            <w:fldChar w:fldCharType="end"/>
          </w:r>
        </w:p>
        <w:p w14:paraId="44A4B140">
          <w:pPr>
            <w:pStyle w:val="16"/>
            <w:tabs>
              <w:tab w:val="right" w:leader="dot" w:pos="8306"/>
            </w:tabs>
            <w:ind w:left="960" w:firstLine="480"/>
            <w:rPr>
              <w:rFonts w:ascii="黑体" w:hAnsi="黑体" w:eastAsia="黑体" w:cs="黑体"/>
            </w:rPr>
          </w:pPr>
          <w:r>
            <w:fldChar w:fldCharType="begin"/>
          </w:r>
          <w:r>
            <w:instrText xml:space="preserve"> HYPERLINK \l "_Toc11005" </w:instrText>
          </w:r>
          <w:r>
            <w:fldChar w:fldCharType="separate"/>
          </w:r>
          <w:r>
            <w:rPr>
              <w:rFonts w:hint="eastAsia" w:ascii="黑体" w:hAnsi="黑体" w:eastAsia="黑体" w:cs="黑体"/>
            </w:rPr>
            <w:t>第二十一条 南部海岸自然保护带</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_Toc11005 \h </w:instrText>
          </w:r>
          <w:r>
            <w:rPr>
              <w:rFonts w:hint="eastAsia" w:ascii="黑体" w:hAnsi="黑体" w:eastAsia="黑体" w:cs="黑体"/>
            </w:rPr>
            <w:fldChar w:fldCharType="separate"/>
          </w:r>
          <w:r>
            <w:rPr>
              <w:rFonts w:hint="eastAsia" w:ascii="黑体" w:hAnsi="黑体" w:eastAsia="黑体" w:cs="黑体"/>
            </w:rPr>
            <w:t>6</w:t>
          </w:r>
          <w:r>
            <w:rPr>
              <w:rFonts w:hint="eastAsia" w:ascii="黑体" w:hAnsi="黑体" w:eastAsia="黑体" w:cs="黑体"/>
            </w:rPr>
            <w:fldChar w:fldCharType="end"/>
          </w:r>
          <w:r>
            <w:rPr>
              <w:rFonts w:hint="eastAsia" w:ascii="黑体" w:hAnsi="黑体" w:eastAsia="黑体" w:cs="黑体"/>
            </w:rPr>
            <w:fldChar w:fldCharType="end"/>
          </w:r>
        </w:p>
        <w:p w14:paraId="0CA3A63E">
          <w:pPr>
            <w:pStyle w:val="16"/>
            <w:tabs>
              <w:tab w:val="right" w:leader="dot" w:pos="8306"/>
            </w:tabs>
            <w:ind w:left="960" w:firstLine="480"/>
            <w:rPr>
              <w:rFonts w:ascii="黑体" w:hAnsi="黑体" w:eastAsia="黑体" w:cs="黑体"/>
            </w:rPr>
          </w:pPr>
          <w:r>
            <w:fldChar w:fldCharType="begin"/>
          </w:r>
          <w:r>
            <w:instrText xml:space="preserve"> HYPERLINK \l "_Toc7180" </w:instrText>
          </w:r>
          <w:r>
            <w:fldChar w:fldCharType="separate"/>
          </w:r>
          <w:r>
            <w:rPr>
              <w:rFonts w:hint="eastAsia" w:ascii="黑体" w:hAnsi="黑体" w:eastAsia="黑体" w:cs="黑体"/>
            </w:rPr>
            <w:t>第二十二条 温泉资源保护</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_Toc7180 \h </w:instrText>
          </w:r>
          <w:r>
            <w:rPr>
              <w:rFonts w:hint="eastAsia" w:ascii="黑体" w:hAnsi="黑体" w:eastAsia="黑体" w:cs="黑体"/>
            </w:rPr>
            <w:fldChar w:fldCharType="separate"/>
          </w:r>
          <w:r>
            <w:rPr>
              <w:rFonts w:hint="eastAsia" w:ascii="黑体" w:hAnsi="黑体" w:eastAsia="黑体" w:cs="黑体"/>
            </w:rPr>
            <w:t>6</w:t>
          </w:r>
          <w:r>
            <w:rPr>
              <w:rFonts w:hint="eastAsia" w:ascii="黑体" w:hAnsi="黑体" w:eastAsia="黑体" w:cs="黑体"/>
            </w:rPr>
            <w:fldChar w:fldCharType="end"/>
          </w:r>
          <w:r>
            <w:rPr>
              <w:rFonts w:hint="eastAsia" w:ascii="黑体" w:hAnsi="黑体" w:eastAsia="黑体" w:cs="黑体"/>
            </w:rPr>
            <w:fldChar w:fldCharType="end"/>
          </w:r>
        </w:p>
        <w:p w14:paraId="3CD67D4E">
          <w:pPr>
            <w:pStyle w:val="16"/>
            <w:tabs>
              <w:tab w:val="right" w:leader="dot" w:pos="8306"/>
            </w:tabs>
            <w:ind w:left="960" w:firstLine="480"/>
            <w:rPr>
              <w:rFonts w:ascii="黑体" w:hAnsi="黑体" w:eastAsia="黑体" w:cs="黑体"/>
            </w:rPr>
          </w:pPr>
          <w:r>
            <w:fldChar w:fldCharType="begin"/>
          </w:r>
          <w:r>
            <w:instrText xml:space="preserve"> HYPERLINK \l "_Toc32312" </w:instrText>
          </w:r>
          <w:r>
            <w:fldChar w:fldCharType="separate"/>
          </w:r>
          <w:r>
            <w:rPr>
              <w:rFonts w:hint="eastAsia" w:ascii="黑体" w:hAnsi="黑体" w:eastAsia="黑体" w:cs="黑体"/>
            </w:rPr>
            <w:t>第二十三条 古树名木保护</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_Toc32312 \h </w:instrText>
          </w:r>
          <w:r>
            <w:rPr>
              <w:rFonts w:hint="eastAsia" w:ascii="黑体" w:hAnsi="黑体" w:eastAsia="黑体" w:cs="黑体"/>
            </w:rPr>
            <w:fldChar w:fldCharType="separate"/>
          </w:r>
          <w:r>
            <w:rPr>
              <w:rFonts w:hint="eastAsia" w:ascii="黑体" w:hAnsi="黑体" w:eastAsia="黑体" w:cs="黑体"/>
            </w:rPr>
            <w:t>6</w:t>
          </w:r>
          <w:r>
            <w:rPr>
              <w:rFonts w:hint="eastAsia" w:ascii="黑体" w:hAnsi="黑体" w:eastAsia="黑体" w:cs="黑体"/>
            </w:rPr>
            <w:fldChar w:fldCharType="end"/>
          </w:r>
          <w:r>
            <w:rPr>
              <w:rFonts w:hint="eastAsia" w:ascii="黑体" w:hAnsi="黑体" w:eastAsia="黑体" w:cs="黑体"/>
            </w:rPr>
            <w:fldChar w:fldCharType="end"/>
          </w:r>
        </w:p>
        <w:p w14:paraId="1E94F30E">
          <w:pPr>
            <w:pStyle w:val="23"/>
            <w:tabs>
              <w:tab w:val="right" w:leader="dot" w:pos="8306"/>
            </w:tabs>
            <w:ind w:firstLine="391"/>
            <w:rPr>
              <w:rFonts w:ascii="黑体" w:hAnsi="黑体" w:eastAsia="黑体" w:cs="黑体"/>
            </w:rPr>
          </w:pPr>
          <w:r>
            <w:fldChar w:fldCharType="begin"/>
          </w:r>
          <w:r>
            <w:instrText xml:space="preserve"> HYPERLINK \l "_Toc30810" </w:instrText>
          </w:r>
          <w:r>
            <w:fldChar w:fldCharType="separate"/>
          </w:r>
          <w:r>
            <w:rPr>
              <w:rFonts w:hint="eastAsia" w:ascii="黑体" w:hAnsi="黑体" w:eastAsia="黑体" w:cs="黑体"/>
              <w:szCs w:val="32"/>
            </w:rPr>
            <w:t>第四章 历史城区保护</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_Toc30810 \h </w:instrText>
          </w:r>
          <w:r>
            <w:rPr>
              <w:rFonts w:hint="eastAsia" w:ascii="黑体" w:hAnsi="黑体" w:eastAsia="黑体" w:cs="黑体"/>
            </w:rPr>
            <w:fldChar w:fldCharType="separate"/>
          </w:r>
          <w:r>
            <w:rPr>
              <w:rFonts w:hint="eastAsia" w:ascii="黑体" w:hAnsi="黑体" w:eastAsia="黑体" w:cs="黑体"/>
            </w:rPr>
            <w:t>6</w:t>
          </w:r>
          <w:r>
            <w:rPr>
              <w:rFonts w:hint="eastAsia" w:ascii="黑体" w:hAnsi="黑体" w:eastAsia="黑体" w:cs="黑体"/>
            </w:rPr>
            <w:fldChar w:fldCharType="end"/>
          </w:r>
          <w:r>
            <w:rPr>
              <w:rFonts w:hint="eastAsia" w:ascii="黑体" w:hAnsi="黑体" w:eastAsia="黑体" w:cs="黑体"/>
            </w:rPr>
            <w:fldChar w:fldCharType="end"/>
          </w:r>
        </w:p>
        <w:p w14:paraId="2B0DAC54">
          <w:pPr>
            <w:pStyle w:val="16"/>
            <w:tabs>
              <w:tab w:val="right" w:leader="dot" w:pos="8306"/>
            </w:tabs>
            <w:ind w:left="960" w:firstLine="480"/>
            <w:rPr>
              <w:rFonts w:ascii="黑体" w:hAnsi="黑体" w:eastAsia="黑体" w:cs="黑体"/>
            </w:rPr>
          </w:pPr>
          <w:r>
            <w:fldChar w:fldCharType="begin"/>
          </w:r>
          <w:r>
            <w:instrText xml:space="preserve"> HYPERLINK \l "_Toc9711" </w:instrText>
          </w:r>
          <w:r>
            <w:fldChar w:fldCharType="separate"/>
          </w:r>
          <w:r>
            <w:rPr>
              <w:rFonts w:hint="eastAsia" w:ascii="黑体" w:hAnsi="黑体" w:eastAsia="黑体" w:cs="黑体"/>
            </w:rPr>
            <w:t>第二十四条 范围划定</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_Toc9711 \h </w:instrText>
          </w:r>
          <w:r>
            <w:rPr>
              <w:rFonts w:hint="eastAsia" w:ascii="黑体" w:hAnsi="黑体" w:eastAsia="黑体" w:cs="黑体"/>
            </w:rPr>
            <w:fldChar w:fldCharType="separate"/>
          </w:r>
          <w:r>
            <w:rPr>
              <w:rFonts w:hint="eastAsia" w:ascii="黑体" w:hAnsi="黑体" w:eastAsia="黑体" w:cs="黑体"/>
            </w:rPr>
            <w:t>6</w:t>
          </w:r>
          <w:r>
            <w:rPr>
              <w:rFonts w:hint="eastAsia" w:ascii="黑体" w:hAnsi="黑体" w:eastAsia="黑体" w:cs="黑体"/>
            </w:rPr>
            <w:fldChar w:fldCharType="end"/>
          </w:r>
          <w:r>
            <w:rPr>
              <w:rFonts w:hint="eastAsia" w:ascii="黑体" w:hAnsi="黑体" w:eastAsia="黑体" w:cs="黑体"/>
            </w:rPr>
            <w:fldChar w:fldCharType="end"/>
          </w:r>
        </w:p>
        <w:p w14:paraId="4E46CAD9">
          <w:pPr>
            <w:pStyle w:val="16"/>
            <w:tabs>
              <w:tab w:val="right" w:leader="dot" w:pos="8306"/>
            </w:tabs>
            <w:ind w:left="960" w:firstLine="480"/>
            <w:rPr>
              <w:rFonts w:ascii="黑体" w:hAnsi="黑体" w:eastAsia="黑体" w:cs="黑体"/>
            </w:rPr>
          </w:pPr>
          <w:r>
            <w:fldChar w:fldCharType="begin"/>
          </w:r>
          <w:r>
            <w:instrText xml:space="preserve"> HYPERLINK \l "_Toc3949" </w:instrText>
          </w:r>
          <w:r>
            <w:fldChar w:fldCharType="separate"/>
          </w:r>
          <w:r>
            <w:rPr>
              <w:rFonts w:hint="eastAsia" w:ascii="黑体" w:hAnsi="黑体" w:eastAsia="黑体" w:cs="黑体"/>
            </w:rPr>
            <w:t>第二十五条 保护内容</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_Toc3949 \h </w:instrText>
          </w:r>
          <w:r>
            <w:rPr>
              <w:rFonts w:hint="eastAsia" w:ascii="黑体" w:hAnsi="黑体" w:eastAsia="黑体" w:cs="黑体"/>
            </w:rPr>
            <w:fldChar w:fldCharType="separate"/>
          </w:r>
          <w:r>
            <w:rPr>
              <w:rFonts w:hint="eastAsia" w:ascii="黑体" w:hAnsi="黑体" w:eastAsia="黑体" w:cs="黑体"/>
            </w:rPr>
            <w:t>7</w:t>
          </w:r>
          <w:r>
            <w:rPr>
              <w:rFonts w:hint="eastAsia" w:ascii="黑体" w:hAnsi="黑体" w:eastAsia="黑体" w:cs="黑体"/>
            </w:rPr>
            <w:fldChar w:fldCharType="end"/>
          </w:r>
          <w:r>
            <w:rPr>
              <w:rFonts w:hint="eastAsia" w:ascii="黑体" w:hAnsi="黑体" w:eastAsia="黑体" w:cs="黑体"/>
            </w:rPr>
            <w:fldChar w:fldCharType="end"/>
          </w:r>
        </w:p>
        <w:p w14:paraId="0787FAD4">
          <w:pPr>
            <w:pStyle w:val="16"/>
            <w:tabs>
              <w:tab w:val="right" w:leader="dot" w:pos="8306"/>
            </w:tabs>
            <w:ind w:left="960" w:firstLine="480"/>
            <w:rPr>
              <w:rFonts w:ascii="黑体" w:hAnsi="黑体" w:eastAsia="黑体" w:cs="黑体"/>
            </w:rPr>
          </w:pPr>
          <w:r>
            <w:fldChar w:fldCharType="begin"/>
          </w:r>
          <w:r>
            <w:instrText xml:space="preserve"> HYPERLINK \l "_Toc27053" </w:instrText>
          </w:r>
          <w:r>
            <w:fldChar w:fldCharType="separate"/>
          </w:r>
          <w:r>
            <w:rPr>
              <w:rFonts w:hint="eastAsia" w:ascii="黑体" w:hAnsi="黑体" w:eastAsia="黑体" w:cs="黑体"/>
            </w:rPr>
            <w:t>第二十六条 城址环境保护</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_Toc27053 \h </w:instrText>
          </w:r>
          <w:r>
            <w:rPr>
              <w:rFonts w:hint="eastAsia" w:ascii="黑体" w:hAnsi="黑体" w:eastAsia="黑体" w:cs="黑体"/>
            </w:rPr>
            <w:fldChar w:fldCharType="separate"/>
          </w:r>
          <w:r>
            <w:rPr>
              <w:rFonts w:hint="eastAsia" w:ascii="黑体" w:hAnsi="黑体" w:eastAsia="黑体" w:cs="黑体"/>
            </w:rPr>
            <w:t>7</w:t>
          </w:r>
          <w:r>
            <w:rPr>
              <w:rFonts w:hint="eastAsia" w:ascii="黑体" w:hAnsi="黑体" w:eastAsia="黑体" w:cs="黑体"/>
            </w:rPr>
            <w:fldChar w:fldCharType="end"/>
          </w:r>
          <w:r>
            <w:rPr>
              <w:rFonts w:hint="eastAsia" w:ascii="黑体" w:hAnsi="黑体" w:eastAsia="黑体" w:cs="黑体"/>
            </w:rPr>
            <w:fldChar w:fldCharType="end"/>
          </w:r>
        </w:p>
        <w:p w14:paraId="66004DDA">
          <w:pPr>
            <w:pStyle w:val="16"/>
            <w:tabs>
              <w:tab w:val="right" w:leader="dot" w:pos="8306"/>
            </w:tabs>
            <w:ind w:left="960" w:firstLine="480"/>
            <w:rPr>
              <w:rFonts w:ascii="黑体" w:hAnsi="黑体" w:eastAsia="黑体" w:cs="黑体"/>
            </w:rPr>
          </w:pPr>
          <w:r>
            <w:fldChar w:fldCharType="begin"/>
          </w:r>
          <w:r>
            <w:instrText xml:space="preserve"> HYPERLINK \l "_Toc3696" </w:instrText>
          </w:r>
          <w:r>
            <w:fldChar w:fldCharType="separate"/>
          </w:r>
          <w:r>
            <w:rPr>
              <w:rFonts w:hint="eastAsia" w:ascii="黑体" w:hAnsi="黑体" w:eastAsia="黑体" w:cs="黑体"/>
            </w:rPr>
            <w:t>第二十七条 历史城区格局和风貌保护</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_Toc3696 \h </w:instrText>
          </w:r>
          <w:r>
            <w:rPr>
              <w:rFonts w:hint="eastAsia" w:ascii="黑体" w:hAnsi="黑体" w:eastAsia="黑体" w:cs="黑体"/>
            </w:rPr>
            <w:fldChar w:fldCharType="separate"/>
          </w:r>
          <w:r>
            <w:rPr>
              <w:rFonts w:hint="eastAsia" w:ascii="黑体" w:hAnsi="黑体" w:eastAsia="黑体" w:cs="黑体"/>
            </w:rPr>
            <w:t>7</w:t>
          </w:r>
          <w:r>
            <w:rPr>
              <w:rFonts w:hint="eastAsia" w:ascii="黑体" w:hAnsi="黑体" w:eastAsia="黑体" w:cs="黑体"/>
            </w:rPr>
            <w:fldChar w:fldCharType="end"/>
          </w:r>
          <w:r>
            <w:rPr>
              <w:rFonts w:hint="eastAsia" w:ascii="黑体" w:hAnsi="黑体" w:eastAsia="黑体" w:cs="黑体"/>
            </w:rPr>
            <w:fldChar w:fldCharType="end"/>
          </w:r>
        </w:p>
        <w:p w14:paraId="13942311">
          <w:pPr>
            <w:pStyle w:val="16"/>
            <w:tabs>
              <w:tab w:val="right" w:leader="dot" w:pos="8306"/>
            </w:tabs>
            <w:ind w:left="960" w:firstLine="480"/>
            <w:rPr>
              <w:rFonts w:ascii="黑体" w:hAnsi="黑体" w:eastAsia="黑体" w:cs="黑体"/>
            </w:rPr>
          </w:pPr>
          <w:r>
            <w:fldChar w:fldCharType="begin"/>
          </w:r>
          <w:r>
            <w:instrText xml:space="preserve"> HYPERLINK \l "_Toc24211" </w:instrText>
          </w:r>
          <w:r>
            <w:fldChar w:fldCharType="separate"/>
          </w:r>
          <w:r>
            <w:rPr>
              <w:rFonts w:hint="eastAsia" w:ascii="黑体" w:hAnsi="黑体" w:eastAsia="黑体" w:cs="黑体"/>
            </w:rPr>
            <w:t>第二十八条 建筑风貌引导</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_Toc24211 \h </w:instrText>
          </w:r>
          <w:r>
            <w:rPr>
              <w:rFonts w:hint="eastAsia" w:ascii="黑体" w:hAnsi="黑体" w:eastAsia="黑体" w:cs="黑体"/>
            </w:rPr>
            <w:fldChar w:fldCharType="separate"/>
          </w:r>
          <w:r>
            <w:rPr>
              <w:rFonts w:hint="eastAsia" w:ascii="黑体" w:hAnsi="黑体" w:eastAsia="黑体" w:cs="黑体"/>
            </w:rPr>
            <w:t>8</w:t>
          </w:r>
          <w:r>
            <w:rPr>
              <w:rFonts w:hint="eastAsia" w:ascii="黑体" w:hAnsi="黑体" w:eastAsia="黑体" w:cs="黑体"/>
            </w:rPr>
            <w:fldChar w:fldCharType="end"/>
          </w:r>
          <w:r>
            <w:rPr>
              <w:rFonts w:hint="eastAsia" w:ascii="黑体" w:hAnsi="黑体" w:eastAsia="黑体" w:cs="黑体"/>
            </w:rPr>
            <w:fldChar w:fldCharType="end"/>
          </w:r>
        </w:p>
        <w:p w14:paraId="41E20F8A">
          <w:pPr>
            <w:pStyle w:val="16"/>
            <w:tabs>
              <w:tab w:val="right" w:leader="dot" w:pos="8306"/>
            </w:tabs>
            <w:ind w:left="960" w:firstLine="480"/>
            <w:rPr>
              <w:rFonts w:ascii="黑体" w:hAnsi="黑体" w:eastAsia="黑体" w:cs="黑体"/>
            </w:rPr>
          </w:pPr>
          <w:r>
            <w:fldChar w:fldCharType="begin"/>
          </w:r>
          <w:r>
            <w:instrText xml:space="preserve"> HYPERLINK \l "_Toc26646" </w:instrText>
          </w:r>
          <w:r>
            <w:fldChar w:fldCharType="separate"/>
          </w:r>
          <w:r>
            <w:rPr>
              <w:rFonts w:hint="eastAsia" w:ascii="黑体" w:hAnsi="黑体" w:eastAsia="黑体" w:cs="黑体"/>
            </w:rPr>
            <w:t>第二十九条 用地功能调整</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_Toc26646 \h </w:instrText>
          </w:r>
          <w:r>
            <w:rPr>
              <w:rFonts w:hint="eastAsia" w:ascii="黑体" w:hAnsi="黑体" w:eastAsia="黑体" w:cs="黑体"/>
            </w:rPr>
            <w:fldChar w:fldCharType="separate"/>
          </w:r>
          <w:r>
            <w:rPr>
              <w:rFonts w:hint="eastAsia" w:ascii="黑体" w:hAnsi="黑体" w:eastAsia="黑体" w:cs="黑体"/>
            </w:rPr>
            <w:t>9</w:t>
          </w:r>
          <w:r>
            <w:rPr>
              <w:rFonts w:hint="eastAsia" w:ascii="黑体" w:hAnsi="黑体" w:eastAsia="黑体" w:cs="黑体"/>
            </w:rPr>
            <w:fldChar w:fldCharType="end"/>
          </w:r>
          <w:r>
            <w:rPr>
              <w:rFonts w:hint="eastAsia" w:ascii="黑体" w:hAnsi="黑体" w:eastAsia="黑体" w:cs="黑体"/>
            </w:rPr>
            <w:fldChar w:fldCharType="end"/>
          </w:r>
        </w:p>
        <w:p w14:paraId="6BD2A437">
          <w:pPr>
            <w:pStyle w:val="16"/>
            <w:tabs>
              <w:tab w:val="right" w:leader="dot" w:pos="8306"/>
            </w:tabs>
            <w:ind w:left="960" w:firstLine="480"/>
            <w:rPr>
              <w:rFonts w:ascii="黑体" w:hAnsi="黑体" w:eastAsia="黑体" w:cs="黑体"/>
            </w:rPr>
          </w:pPr>
          <w:r>
            <w:fldChar w:fldCharType="begin"/>
          </w:r>
          <w:r>
            <w:instrText xml:space="preserve"> HYPERLINK \l "_Toc32310" </w:instrText>
          </w:r>
          <w:r>
            <w:fldChar w:fldCharType="separate"/>
          </w:r>
          <w:r>
            <w:rPr>
              <w:rFonts w:hint="eastAsia" w:ascii="黑体" w:hAnsi="黑体" w:eastAsia="黑体" w:cs="黑体"/>
            </w:rPr>
            <w:t>第三十条 道路系统优化</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_Toc32310 \h </w:instrText>
          </w:r>
          <w:r>
            <w:rPr>
              <w:rFonts w:hint="eastAsia" w:ascii="黑体" w:hAnsi="黑体" w:eastAsia="黑体" w:cs="黑体"/>
            </w:rPr>
            <w:fldChar w:fldCharType="separate"/>
          </w:r>
          <w:r>
            <w:rPr>
              <w:rFonts w:hint="eastAsia" w:ascii="黑体" w:hAnsi="黑体" w:eastAsia="黑体" w:cs="黑体"/>
            </w:rPr>
            <w:t>9</w:t>
          </w:r>
          <w:r>
            <w:rPr>
              <w:rFonts w:hint="eastAsia" w:ascii="黑体" w:hAnsi="黑体" w:eastAsia="黑体" w:cs="黑体"/>
            </w:rPr>
            <w:fldChar w:fldCharType="end"/>
          </w:r>
          <w:r>
            <w:rPr>
              <w:rFonts w:hint="eastAsia" w:ascii="黑体" w:hAnsi="黑体" w:eastAsia="黑体" w:cs="黑体"/>
            </w:rPr>
            <w:fldChar w:fldCharType="end"/>
          </w:r>
        </w:p>
        <w:p w14:paraId="2BB3172D">
          <w:pPr>
            <w:pStyle w:val="16"/>
            <w:tabs>
              <w:tab w:val="right" w:leader="dot" w:pos="8306"/>
            </w:tabs>
            <w:ind w:left="960" w:firstLine="480"/>
            <w:rPr>
              <w:rFonts w:ascii="黑体" w:hAnsi="黑体" w:eastAsia="黑体" w:cs="黑体"/>
            </w:rPr>
          </w:pPr>
          <w:r>
            <w:fldChar w:fldCharType="begin"/>
          </w:r>
          <w:r>
            <w:instrText xml:space="preserve"> HYPERLINK \l "_Toc655" </w:instrText>
          </w:r>
          <w:r>
            <w:fldChar w:fldCharType="separate"/>
          </w:r>
          <w:r>
            <w:rPr>
              <w:rFonts w:hint="eastAsia" w:ascii="黑体" w:hAnsi="黑体" w:eastAsia="黑体" w:cs="黑体"/>
            </w:rPr>
            <w:t>第三十一条 建筑高度控制</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_Toc655 \h </w:instrText>
          </w:r>
          <w:r>
            <w:rPr>
              <w:rFonts w:hint="eastAsia" w:ascii="黑体" w:hAnsi="黑体" w:eastAsia="黑体" w:cs="黑体"/>
            </w:rPr>
            <w:fldChar w:fldCharType="separate"/>
          </w:r>
          <w:r>
            <w:rPr>
              <w:rFonts w:hint="eastAsia" w:ascii="黑体" w:hAnsi="黑体" w:eastAsia="黑体" w:cs="黑体"/>
            </w:rPr>
            <w:t>10</w:t>
          </w:r>
          <w:r>
            <w:rPr>
              <w:rFonts w:hint="eastAsia" w:ascii="黑体" w:hAnsi="黑体" w:eastAsia="黑体" w:cs="黑体"/>
            </w:rPr>
            <w:fldChar w:fldCharType="end"/>
          </w:r>
          <w:r>
            <w:rPr>
              <w:rFonts w:hint="eastAsia" w:ascii="黑体" w:hAnsi="黑体" w:eastAsia="黑体" w:cs="黑体"/>
            </w:rPr>
            <w:fldChar w:fldCharType="end"/>
          </w:r>
        </w:p>
        <w:p w14:paraId="13726AA3">
          <w:pPr>
            <w:pStyle w:val="16"/>
            <w:tabs>
              <w:tab w:val="right" w:leader="dot" w:pos="8306"/>
            </w:tabs>
            <w:ind w:left="960" w:firstLine="480"/>
            <w:rPr>
              <w:rFonts w:ascii="黑体" w:hAnsi="黑体" w:eastAsia="黑体" w:cs="黑体"/>
            </w:rPr>
          </w:pPr>
          <w:r>
            <w:fldChar w:fldCharType="begin"/>
          </w:r>
          <w:r>
            <w:instrText xml:space="preserve"> HYPERLINK \l "_Toc17737" </w:instrText>
          </w:r>
          <w:r>
            <w:fldChar w:fldCharType="separate"/>
          </w:r>
          <w:r>
            <w:rPr>
              <w:rFonts w:hint="eastAsia" w:ascii="黑体" w:hAnsi="黑体" w:eastAsia="黑体" w:cs="黑体"/>
            </w:rPr>
            <w:t>第三十二条 视线通廊控制</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_Toc17737 \h </w:instrText>
          </w:r>
          <w:r>
            <w:rPr>
              <w:rFonts w:hint="eastAsia" w:ascii="黑体" w:hAnsi="黑体" w:eastAsia="黑体" w:cs="黑体"/>
            </w:rPr>
            <w:fldChar w:fldCharType="separate"/>
          </w:r>
          <w:r>
            <w:rPr>
              <w:rFonts w:hint="eastAsia" w:ascii="黑体" w:hAnsi="黑体" w:eastAsia="黑体" w:cs="黑体"/>
            </w:rPr>
            <w:t>10</w:t>
          </w:r>
          <w:r>
            <w:rPr>
              <w:rFonts w:hint="eastAsia" w:ascii="黑体" w:hAnsi="黑体" w:eastAsia="黑体" w:cs="黑体"/>
            </w:rPr>
            <w:fldChar w:fldCharType="end"/>
          </w:r>
          <w:r>
            <w:rPr>
              <w:rFonts w:hint="eastAsia" w:ascii="黑体" w:hAnsi="黑体" w:eastAsia="黑体" w:cs="黑体"/>
            </w:rPr>
            <w:fldChar w:fldCharType="end"/>
          </w:r>
        </w:p>
        <w:p w14:paraId="2E99CD67">
          <w:pPr>
            <w:pStyle w:val="16"/>
            <w:tabs>
              <w:tab w:val="right" w:leader="dot" w:pos="8306"/>
            </w:tabs>
            <w:ind w:left="960" w:firstLine="480"/>
            <w:rPr>
              <w:rFonts w:ascii="黑体" w:hAnsi="黑体" w:eastAsia="黑体" w:cs="黑体"/>
            </w:rPr>
          </w:pPr>
          <w:r>
            <w:fldChar w:fldCharType="begin"/>
          </w:r>
          <w:r>
            <w:instrText xml:space="preserve"> HYPERLINK \l "_Toc25078" </w:instrText>
          </w:r>
          <w:r>
            <w:fldChar w:fldCharType="separate"/>
          </w:r>
          <w:r>
            <w:rPr>
              <w:rFonts w:hint="eastAsia" w:ascii="黑体" w:hAnsi="黑体" w:eastAsia="黑体" w:cs="黑体"/>
            </w:rPr>
            <w:t>第三十三条 市政工程完善</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_Toc25078 \h </w:instrText>
          </w:r>
          <w:r>
            <w:rPr>
              <w:rFonts w:hint="eastAsia" w:ascii="黑体" w:hAnsi="黑体" w:eastAsia="黑体" w:cs="黑体"/>
            </w:rPr>
            <w:fldChar w:fldCharType="separate"/>
          </w:r>
          <w:r>
            <w:rPr>
              <w:rFonts w:hint="eastAsia" w:ascii="黑体" w:hAnsi="黑体" w:eastAsia="黑体" w:cs="黑体"/>
            </w:rPr>
            <w:t>10</w:t>
          </w:r>
          <w:r>
            <w:rPr>
              <w:rFonts w:hint="eastAsia" w:ascii="黑体" w:hAnsi="黑体" w:eastAsia="黑体" w:cs="黑体"/>
            </w:rPr>
            <w:fldChar w:fldCharType="end"/>
          </w:r>
          <w:r>
            <w:rPr>
              <w:rFonts w:hint="eastAsia" w:ascii="黑体" w:hAnsi="黑体" w:eastAsia="黑体" w:cs="黑体"/>
            </w:rPr>
            <w:fldChar w:fldCharType="end"/>
          </w:r>
        </w:p>
        <w:p w14:paraId="3B21A895">
          <w:pPr>
            <w:pStyle w:val="16"/>
            <w:tabs>
              <w:tab w:val="right" w:leader="dot" w:pos="8306"/>
            </w:tabs>
            <w:ind w:left="960" w:firstLine="480"/>
            <w:rPr>
              <w:rFonts w:ascii="黑体" w:hAnsi="黑体" w:eastAsia="黑体" w:cs="黑体"/>
            </w:rPr>
          </w:pPr>
          <w:r>
            <w:fldChar w:fldCharType="begin"/>
          </w:r>
          <w:r>
            <w:instrText xml:space="preserve"> HYPERLINK \l "_Toc8402" </w:instrText>
          </w:r>
          <w:r>
            <w:fldChar w:fldCharType="separate"/>
          </w:r>
          <w:r>
            <w:rPr>
              <w:rFonts w:hint="eastAsia" w:ascii="黑体" w:hAnsi="黑体" w:eastAsia="黑体" w:cs="黑体"/>
            </w:rPr>
            <w:t>第三十四条 防灾体系构建</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_Toc8402 \h </w:instrText>
          </w:r>
          <w:r>
            <w:rPr>
              <w:rFonts w:hint="eastAsia" w:ascii="黑体" w:hAnsi="黑体" w:eastAsia="黑体" w:cs="黑体"/>
            </w:rPr>
            <w:fldChar w:fldCharType="separate"/>
          </w:r>
          <w:r>
            <w:rPr>
              <w:rFonts w:hint="eastAsia" w:ascii="黑体" w:hAnsi="黑体" w:eastAsia="黑体" w:cs="黑体"/>
            </w:rPr>
            <w:t>10</w:t>
          </w:r>
          <w:r>
            <w:rPr>
              <w:rFonts w:hint="eastAsia" w:ascii="黑体" w:hAnsi="黑体" w:eastAsia="黑体" w:cs="黑体"/>
            </w:rPr>
            <w:fldChar w:fldCharType="end"/>
          </w:r>
          <w:r>
            <w:rPr>
              <w:rFonts w:hint="eastAsia" w:ascii="黑体" w:hAnsi="黑体" w:eastAsia="黑体" w:cs="黑体"/>
            </w:rPr>
            <w:fldChar w:fldCharType="end"/>
          </w:r>
        </w:p>
        <w:p w14:paraId="6E52F30C">
          <w:pPr>
            <w:pStyle w:val="23"/>
            <w:tabs>
              <w:tab w:val="right" w:leader="dot" w:pos="8306"/>
            </w:tabs>
            <w:ind w:firstLine="391"/>
            <w:rPr>
              <w:rFonts w:ascii="黑体" w:hAnsi="黑体" w:eastAsia="黑体" w:cs="黑体"/>
            </w:rPr>
          </w:pPr>
          <w:r>
            <w:fldChar w:fldCharType="begin"/>
          </w:r>
          <w:r>
            <w:instrText xml:space="preserve"> HYPERLINK \l "_Toc6985" </w:instrText>
          </w:r>
          <w:r>
            <w:fldChar w:fldCharType="separate"/>
          </w:r>
          <w:r>
            <w:rPr>
              <w:rFonts w:hint="eastAsia" w:ascii="黑体" w:hAnsi="黑体" w:eastAsia="黑体" w:cs="黑体"/>
              <w:szCs w:val="32"/>
            </w:rPr>
            <w:t>第五章 历史文化街区保护</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_Toc6985 \h </w:instrText>
          </w:r>
          <w:r>
            <w:rPr>
              <w:rFonts w:hint="eastAsia" w:ascii="黑体" w:hAnsi="黑体" w:eastAsia="黑体" w:cs="黑体"/>
            </w:rPr>
            <w:fldChar w:fldCharType="separate"/>
          </w:r>
          <w:r>
            <w:rPr>
              <w:rFonts w:hint="eastAsia" w:ascii="黑体" w:hAnsi="黑体" w:eastAsia="黑体" w:cs="黑体"/>
            </w:rPr>
            <w:t>11</w:t>
          </w:r>
          <w:r>
            <w:rPr>
              <w:rFonts w:hint="eastAsia" w:ascii="黑体" w:hAnsi="黑体" w:eastAsia="黑体" w:cs="黑体"/>
            </w:rPr>
            <w:fldChar w:fldCharType="end"/>
          </w:r>
          <w:r>
            <w:rPr>
              <w:rFonts w:hint="eastAsia" w:ascii="黑体" w:hAnsi="黑体" w:eastAsia="黑体" w:cs="黑体"/>
            </w:rPr>
            <w:fldChar w:fldCharType="end"/>
          </w:r>
        </w:p>
        <w:p w14:paraId="0B4A5A6B">
          <w:pPr>
            <w:pStyle w:val="16"/>
            <w:tabs>
              <w:tab w:val="right" w:leader="dot" w:pos="8306"/>
            </w:tabs>
            <w:ind w:left="960" w:firstLine="480"/>
            <w:rPr>
              <w:rFonts w:ascii="黑体" w:hAnsi="黑体" w:eastAsia="黑体" w:cs="黑体"/>
            </w:rPr>
          </w:pPr>
          <w:r>
            <w:fldChar w:fldCharType="begin"/>
          </w:r>
          <w:r>
            <w:instrText xml:space="preserve"> HYPERLINK \l "_Toc26034" </w:instrText>
          </w:r>
          <w:r>
            <w:fldChar w:fldCharType="separate"/>
          </w:r>
          <w:r>
            <w:rPr>
              <w:rFonts w:hint="eastAsia" w:ascii="黑体" w:hAnsi="黑体" w:eastAsia="黑体" w:cs="黑体"/>
            </w:rPr>
            <w:t>第三十五条 价值特色</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_Toc26034 \h </w:instrText>
          </w:r>
          <w:r>
            <w:rPr>
              <w:rFonts w:hint="eastAsia" w:ascii="黑体" w:hAnsi="黑体" w:eastAsia="黑体" w:cs="黑体"/>
            </w:rPr>
            <w:fldChar w:fldCharType="separate"/>
          </w:r>
          <w:r>
            <w:rPr>
              <w:rFonts w:hint="eastAsia" w:ascii="黑体" w:hAnsi="黑体" w:eastAsia="黑体" w:cs="黑体"/>
            </w:rPr>
            <w:t>11</w:t>
          </w:r>
          <w:r>
            <w:rPr>
              <w:rFonts w:hint="eastAsia" w:ascii="黑体" w:hAnsi="黑体" w:eastAsia="黑体" w:cs="黑体"/>
            </w:rPr>
            <w:fldChar w:fldCharType="end"/>
          </w:r>
          <w:r>
            <w:rPr>
              <w:rFonts w:hint="eastAsia" w:ascii="黑体" w:hAnsi="黑体" w:eastAsia="黑体" w:cs="黑体"/>
            </w:rPr>
            <w:fldChar w:fldCharType="end"/>
          </w:r>
        </w:p>
        <w:p w14:paraId="025589A8">
          <w:pPr>
            <w:pStyle w:val="16"/>
            <w:tabs>
              <w:tab w:val="right" w:leader="dot" w:pos="8306"/>
            </w:tabs>
            <w:ind w:left="960" w:firstLine="480"/>
            <w:rPr>
              <w:rFonts w:ascii="黑体" w:hAnsi="黑体" w:eastAsia="黑体" w:cs="黑体"/>
            </w:rPr>
          </w:pPr>
          <w:r>
            <w:fldChar w:fldCharType="begin"/>
          </w:r>
          <w:r>
            <w:instrText xml:space="preserve"> HYPERLINK \l "_Toc31801" </w:instrText>
          </w:r>
          <w:r>
            <w:fldChar w:fldCharType="separate"/>
          </w:r>
          <w:r>
            <w:rPr>
              <w:rFonts w:hint="eastAsia" w:ascii="黑体" w:hAnsi="黑体" w:eastAsia="黑体" w:cs="黑体"/>
            </w:rPr>
            <w:t>第三十六条 保护要求</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_Toc31801 \h </w:instrText>
          </w:r>
          <w:r>
            <w:rPr>
              <w:rFonts w:hint="eastAsia" w:ascii="黑体" w:hAnsi="黑体" w:eastAsia="黑体" w:cs="黑体"/>
            </w:rPr>
            <w:fldChar w:fldCharType="separate"/>
          </w:r>
          <w:r>
            <w:rPr>
              <w:rFonts w:hint="eastAsia" w:ascii="黑体" w:hAnsi="黑体" w:eastAsia="黑体" w:cs="黑体"/>
            </w:rPr>
            <w:t>11</w:t>
          </w:r>
          <w:r>
            <w:rPr>
              <w:rFonts w:hint="eastAsia" w:ascii="黑体" w:hAnsi="黑体" w:eastAsia="黑体" w:cs="黑体"/>
            </w:rPr>
            <w:fldChar w:fldCharType="end"/>
          </w:r>
          <w:r>
            <w:rPr>
              <w:rFonts w:hint="eastAsia" w:ascii="黑体" w:hAnsi="黑体" w:eastAsia="黑体" w:cs="黑体"/>
            </w:rPr>
            <w:fldChar w:fldCharType="end"/>
          </w:r>
        </w:p>
        <w:p w14:paraId="5DED9B84">
          <w:pPr>
            <w:pStyle w:val="16"/>
            <w:tabs>
              <w:tab w:val="right" w:leader="dot" w:pos="8306"/>
            </w:tabs>
            <w:ind w:left="960" w:firstLine="480"/>
            <w:rPr>
              <w:rFonts w:ascii="黑体" w:hAnsi="黑体" w:eastAsia="黑体" w:cs="黑体"/>
            </w:rPr>
          </w:pPr>
          <w:r>
            <w:fldChar w:fldCharType="begin"/>
          </w:r>
          <w:r>
            <w:instrText xml:space="preserve"> HYPERLINK \l "_Toc11725" </w:instrText>
          </w:r>
          <w:r>
            <w:fldChar w:fldCharType="separate"/>
          </w:r>
          <w:r>
            <w:rPr>
              <w:rFonts w:hint="eastAsia" w:ascii="黑体" w:hAnsi="黑体" w:eastAsia="黑体" w:cs="黑体"/>
            </w:rPr>
            <w:t>第三十七条 保护范围及保护控制措施</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_Toc11725 \h </w:instrText>
          </w:r>
          <w:r>
            <w:rPr>
              <w:rFonts w:hint="eastAsia" w:ascii="黑体" w:hAnsi="黑体" w:eastAsia="黑体" w:cs="黑体"/>
            </w:rPr>
            <w:fldChar w:fldCharType="separate"/>
          </w:r>
          <w:r>
            <w:rPr>
              <w:rFonts w:hint="eastAsia" w:ascii="黑体" w:hAnsi="黑体" w:eastAsia="黑体" w:cs="黑体"/>
            </w:rPr>
            <w:t>11</w:t>
          </w:r>
          <w:r>
            <w:rPr>
              <w:rFonts w:hint="eastAsia" w:ascii="黑体" w:hAnsi="黑体" w:eastAsia="黑体" w:cs="黑体"/>
            </w:rPr>
            <w:fldChar w:fldCharType="end"/>
          </w:r>
          <w:r>
            <w:rPr>
              <w:rFonts w:hint="eastAsia" w:ascii="黑体" w:hAnsi="黑体" w:eastAsia="黑体" w:cs="黑体"/>
            </w:rPr>
            <w:fldChar w:fldCharType="end"/>
          </w:r>
        </w:p>
        <w:p w14:paraId="6C488EED">
          <w:pPr>
            <w:pStyle w:val="16"/>
            <w:tabs>
              <w:tab w:val="right" w:leader="dot" w:pos="8306"/>
            </w:tabs>
            <w:ind w:left="960" w:firstLine="480"/>
            <w:rPr>
              <w:rFonts w:ascii="黑体" w:hAnsi="黑体" w:eastAsia="黑体" w:cs="黑体"/>
            </w:rPr>
          </w:pPr>
          <w:r>
            <w:fldChar w:fldCharType="begin"/>
          </w:r>
          <w:r>
            <w:instrText xml:space="preserve"> HYPERLINK \l "_Toc30282" </w:instrText>
          </w:r>
          <w:r>
            <w:fldChar w:fldCharType="separate"/>
          </w:r>
          <w:r>
            <w:rPr>
              <w:rFonts w:hint="eastAsia" w:ascii="黑体" w:hAnsi="黑体" w:eastAsia="黑体" w:cs="黑体"/>
            </w:rPr>
            <w:t>第三十八条 历史文化街区整体保护结构</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_Toc30282 \h </w:instrText>
          </w:r>
          <w:r>
            <w:rPr>
              <w:rFonts w:hint="eastAsia" w:ascii="黑体" w:hAnsi="黑体" w:eastAsia="黑体" w:cs="黑体"/>
            </w:rPr>
            <w:fldChar w:fldCharType="separate"/>
          </w:r>
          <w:r>
            <w:rPr>
              <w:rFonts w:hint="eastAsia" w:ascii="黑体" w:hAnsi="黑体" w:eastAsia="黑体" w:cs="黑体"/>
            </w:rPr>
            <w:t>12</w:t>
          </w:r>
          <w:r>
            <w:rPr>
              <w:rFonts w:hint="eastAsia" w:ascii="黑体" w:hAnsi="黑体" w:eastAsia="黑体" w:cs="黑体"/>
            </w:rPr>
            <w:fldChar w:fldCharType="end"/>
          </w:r>
          <w:r>
            <w:rPr>
              <w:rFonts w:hint="eastAsia" w:ascii="黑体" w:hAnsi="黑体" w:eastAsia="黑体" w:cs="黑体"/>
            </w:rPr>
            <w:fldChar w:fldCharType="end"/>
          </w:r>
        </w:p>
        <w:p w14:paraId="71A242DC">
          <w:pPr>
            <w:pStyle w:val="16"/>
            <w:tabs>
              <w:tab w:val="right" w:leader="dot" w:pos="8306"/>
            </w:tabs>
            <w:ind w:left="960" w:firstLine="480"/>
            <w:rPr>
              <w:rFonts w:ascii="黑体" w:hAnsi="黑体" w:eastAsia="黑体" w:cs="黑体"/>
            </w:rPr>
          </w:pPr>
          <w:r>
            <w:fldChar w:fldCharType="begin"/>
          </w:r>
          <w:r>
            <w:instrText xml:space="preserve"> HYPERLINK \l "_Toc3861" </w:instrText>
          </w:r>
          <w:r>
            <w:fldChar w:fldCharType="separate"/>
          </w:r>
          <w:r>
            <w:rPr>
              <w:rFonts w:hint="eastAsia" w:ascii="黑体" w:hAnsi="黑体" w:eastAsia="黑体" w:cs="黑体"/>
            </w:rPr>
            <w:t>第三十九条 建筑高度控制</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_Toc3861 \h </w:instrText>
          </w:r>
          <w:r>
            <w:rPr>
              <w:rFonts w:hint="eastAsia" w:ascii="黑体" w:hAnsi="黑体" w:eastAsia="黑体" w:cs="黑体"/>
            </w:rPr>
            <w:fldChar w:fldCharType="separate"/>
          </w:r>
          <w:r>
            <w:rPr>
              <w:rFonts w:hint="eastAsia" w:ascii="黑体" w:hAnsi="黑体" w:eastAsia="黑体" w:cs="黑体"/>
            </w:rPr>
            <w:t>13</w:t>
          </w:r>
          <w:r>
            <w:rPr>
              <w:rFonts w:hint="eastAsia" w:ascii="黑体" w:hAnsi="黑体" w:eastAsia="黑体" w:cs="黑体"/>
            </w:rPr>
            <w:fldChar w:fldCharType="end"/>
          </w:r>
          <w:r>
            <w:rPr>
              <w:rFonts w:hint="eastAsia" w:ascii="黑体" w:hAnsi="黑体" w:eastAsia="黑体" w:cs="黑体"/>
            </w:rPr>
            <w:fldChar w:fldCharType="end"/>
          </w:r>
        </w:p>
        <w:p w14:paraId="39BD7E5F">
          <w:pPr>
            <w:pStyle w:val="16"/>
            <w:tabs>
              <w:tab w:val="right" w:leader="dot" w:pos="8306"/>
            </w:tabs>
            <w:ind w:left="960" w:firstLine="480"/>
            <w:rPr>
              <w:rFonts w:ascii="黑体" w:hAnsi="黑体" w:eastAsia="黑体" w:cs="黑体"/>
            </w:rPr>
          </w:pPr>
          <w:r>
            <w:fldChar w:fldCharType="begin"/>
          </w:r>
          <w:r>
            <w:instrText xml:space="preserve"> HYPERLINK \l "_Toc4124" </w:instrText>
          </w:r>
          <w:r>
            <w:fldChar w:fldCharType="separate"/>
          </w:r>
          <w:r>
            <w:rPr>
              <w:rFonts w:hint="eastAsia" w:ascii="黑体" w:hAnsi="黑体" w:eastAsia="黑体" w:cs="黑体"/>
            </w:rPr>
            <w:t>第四十条 风貌整治策略</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_Toc4124 \h </w:instrText>
          </w:r>
          <w:r>
            <w:rPr>
              <w:rFonts w:hint="eastAsia" w:ascii="黑体" w:hAnsi="黑体" w:eastAsia="黑体" w:cs="黑体"/>
            </w:rPr>
            <w:fldChar w:fldCharType="separate"/>
          </w:r>
          <w:r>
            <w:rPr>
              <w:rFonts w:hint="eastAsia" w:ascii="黑体" w:hAnsi="黑体" w:eastAsia="黑体" w:cs="黑体"/>
            </w:rPr>
            <w:t>13</w:t>
          </w:r>
          <w:r>
            <w:rPr>
              <w:rFonts w:hint="eastAsia" w:ascii="黑体" w:hAnsi="黑体" w:eastAsia="黑体" w:cs="黑体"/>
            </w:rPr>
            <w:fldChar w:fldCharType="end"/>
          </w:r>
          <w:r>
            <w:rPr>
              <w:rFonts w:hint="eastAsia" w:ascii="黑体" w:hAnsi="黑体" w:eastAsia="黑体" w:cs="黑体"/>
            </w:rPr>
            <w:fldChar w:fldCharType="end"/>
          </w:r>
        </w:p>
        <w:p w14:paraId="0E1B22EF">
          <w:pPr>
            <w:pStyle w:val="16"/>
            <w:tabs>
              <w:tab w:val="right" w:leader="dot" w:pos="8306"/>
            </w:tabs>
            <w:ind w:left="960" w:firstLine="480"/>
            <w:rPr>
              <w:rFonts w:ascii="黑体" w:hAnsi="黑体" w:eastAsia="黑体" w:cs="黑体"/>
            </w:rPr>
          </w:pPr>
          <w:r>
            <w:fldChar w:fldCharType="begin"/>
          </w:r>
          <w:r>
            <w:instrText xml:space="preserve"> HYPERLINK \l "_Toc1090" </w:instrText>
          </w:r>
          <w:r>
            <w:fldChar w:fldCharType="separate"/>
          </w:r>
          <w:r>
            <w:rPr>
              <w:rFonts w:hint="eastAsia" w:ascii="黑体" w:hAnsi="黑体" w:eastAsia="黑体" w:cs="黑体"/>
            </w:rPr>
            <w:t>第四十一条 土地使用与规划控制</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_Toc1090 \h </w:instrText>
          </w:r>
          <w:r>
            <w:rPr>
              <w:rFonts w:hint="eastAsia" w:ascii="黑体" w:hAnsi="黑体" w:eastAsia="黑体" w:cs="黑体"/>
            </w:rPr>
            <w:fldChar w:fldCharType="separate"/>
          </w:r>
          <w:r>
            <w:rPr>
              <w:rFonts w:hint="eastAsia" w:ascii="黑体" w:hAnsi="黑体" w:eastAsia="黑体" w:cs="黑体"/>
            </w:rPr>
            <w:t>14</w:t>
          </w:r>
          <w:r>
            <w:rPr>
              <w:rFonts w:hint="eastAsia" w:ascii="黑体" w:hAnsi="黑体" w:eastAsia="黑体" w:cs="黑体"/>
            </w:rPr>
            <w:fldChar w:fldCharType="end"/>
          </w:r>
          <w:r>
            <w:rPr>
              <w:rFonts w:hint="eastAsia" w:ascii="黑体" w:hAnsi="黑体" w:eastAsia="黑体" w:cs="黑体"/>
            </w:rPr>
            <w:fldChar w:fldCharType="end"/>
          </w:r>
        </w:p>
        <w:p w14:paraId="3B06134F">
          <w:pPr>
            <w:pStyle w:val="16"/>
            <w:tabs>
              <w:tab w:val="right" w:leader="dot" w:pos="8306"/>
            </w:tabs>
            <w:ind w:left="960" w:firstLine="480"/>
            <w:rPr>
              <w:rFonts w:ascii="黑体" w:hAnsi="黑体" w:eastAsia="黑体" w:cs="黑体"/>
            </w:rPr>
          </w:pPr>
          <w:r>
            <w:fldChar w:fldCharType="begin"/>
          </w:r>
          <w:r>
            <w:instrText xml:space="preserve"> HYPERLINK \l "_Toc30163" </w:instrText>
          </w:r>
          <w:r>
            <w:fldChar w:fldCharType="separate"/>
          </w:r>
          <w:r>
            <w:rPr>
              <w:rFonts w:hint="eastAsia" w:ascii="黑体" w:hAnsi="黑体" w:eastAsia="黑体" w:cs="黑体"/>
            </w:rPr>
            <w:t>第四十二条 设施与环境改善规划</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_Toc30163 \h </w:instrText>
          </w:r>
          <w:r>
            <w:rPr>
              <w:rFonts w:hint="eastAsia" w:ascii="黑体" w:hAnsi="黑体" w:eastAsia="黑体" w:cs="黑体"/>
            </w:rPr>
            <w:fldChar w:fldCharType="separate"/>
          </w:r>
          <w:r>
            <w:rPr>
              <w:rFonts w:hint="eastAsia" w:ascii="黑体" w:hAnsi="黑体" w:eastAsia="黑体" w:cs="黑体"/>
            </w:rPr>
            <w:t>14</w:t>
          </w:r>
          <w:r>
            <w:rPr>
              <w:rFonts w:hint="eastAsia" w:ascii="黑体" w:hAnsi="黑体" w:eastAsia="黑体" w:cs="黑体"/>
            </w:rPr>
            <w:fldChar w:fldCharType="end"/>
          </w:r>
          <w:r>
            <w:rPr>
              <w:rFonts w:hint="eastAsia" w:ascii="黑体" w:hAnsi="黑体" w:eastAsia="黑体" w:cs="黑体"/>
            </w:rPr>
            <w:fldChar w:fldCharType="end"/>
          </w:r>
        </w:p>
        <w:p w14:paraId="1937EC9A">
          <w:pPr>
            <w:pStyle w:val="16"/>
            <w:tabs>
              <w:tab w:val="right" w:leader="dot" w:pos="8306"/>
            </w:tabs>
            <w:ind w:left="960" w:firstLine="480"/>
            <w:rPr>
              <w:rFonts w:ascii="黑体" w:hAnsi="黑体" w:eastAsia="黑体" w:cs="黑体"/>
            </w:rPr>
          </w:pPr>
          <w:r>
            <w:fldChar w:fldCharType="begin"/>
          </w:r>
          <w:r>
            <w:instrText xml:space="preserve"> HYPERLINK \l "_Toc23554" </w:instrText>
          </w:r>
          <w:r>
            <w:fldChar w:fldCharType="separate"/>
          </w:r>
          <w:r>
            <w:rPr>
              <w:rFonts w:hint="eastAsia" w:ascii="黑体" w:hAnsi="黑体" w:eastAsia="黑体" w:cs="黑体"/>
            </w:rPr>
            <w:t>第四十三条 发展引导</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_Toc23554 \h </w:instrText>
          </w:r>
          <w:r>
            <w:rPr>
              <w:rFonts w:hint="eastAsia" w:ascii="黑体" w:hAnsi="黑体" w:eastAsia="黑体" w:cs="黑体"/>
            </w:rPr>
            <w:fldChar w:fldCharType="separate"/>
          </w:r>
          <w:r>
            <w:rPr>
              <w:rFonts w:hint="eastAsia" w:ascii="黑体" w:hAnsi="黑体" w:eastAsia="黑体" w:cs="黑体"/>
            </w:rPr>
            <w:t>15</w:t>
          </w:r>
          <w:r>
            <w:rPr>
              <w:rFonts w:hint="eastAsia" w:ascii="黑体" w:hAnsi="黑体" w:eastAsia="黑体" w:cs="黑体"/>
            </w:rPr>
            <w:fldChar w:fldCharType="end"/>
          </w:r>
          <w:r>
            <w:rPr>
              <w:rFonts w:hint="eastAsia" w:ascii="黑体" w:hAnsi="黑体" w:eastAsia="黑体" w:cs="黑体"/>
            </w:rPr>
            <w:fldChar w:fldCharType="end"/>
          </w:r>
        </w:p>
        <w:p w14:paraId="3FE76DF5">
          <w:pPr>
            <w:pStyle w:val="16"/>
            <w:tabs>
              <w:tab w:val="right" w:leader="dot" w:pos="8306"/>
            </w:tabs>
            <w:ind w:left="960" w:firstLine="480"/>
            <w:rPr>
              <w:rFonts w:ascii="黑体" w:hAnsi="黑体" w:eastAsia="黑体" w:cs="黑体"/>
            </w:rPr>
          </w:pPr>
          <w:r>
            <w:fldChar w:fldCharType="begin"/>
          </w:r>
          <w:r>
            <w:instrText xml:space="preserve"> HYPERLINK \l "_Toc18943" </w:instrText>
          </w:r>
          <w:r>
            <w:fldChar w:fldCharType="separate"/>
          </w:r>
          <w:r>
            <w:rPr>
              <w:rFonts w:hint="eastAsia" w:ascii="黑体" w:hAnsi="黑体" w:eastAsia="黑体" w:cs="黑体"/>
            </w:rPr>
            <w:t>第四十四条 实施策略与建议</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_Toc18943 \h </w:instrText>
          </w:r>
          <w:r>
            <w:rPr>
              <w:rFonts w:hint="eastAsia" w:ascii="黑体" w:hAnsi="黑体" w:eastAsia="黑体" w:cs="黑体"/>
            </w:rPr>
            <w:fldChar w:fldCharType="separate"/>
          </w:r>
          <w:r>
            <w:rPr>
              <w:rFonts w:hint="eastAsia" w:ascii="黑体" w:hAnsi="黑体" w:eastAsia="黑体" w:cs="黑体"/>
            </w:rPr>
            <w:t>15</w:t>
          </w:r>
          <w:r>
            <w:rPr>
              <w:rFonts w:hint="eastAsia" w:ascii="黑体" w:hAnsi="黑体" w:eastAsia="黑体" w:cs="黑体"/>
            </w:rPr>
            <w:fldChar w:fldCharType="end"/>
          </w:r>
          <w:r>
            <w:rPr>
              <w:rFonts w:hint="eastAsia" w:ascii="黑体" w:hAnsi="黑体" w:eastAsia="黑体" w:cs="黑体"/>
            </w:rPr>
            <w:fldChar w:fldCharType="end"/>
          </w:r>
        </w:p>
        <w:p w14:paraId="4D45249C">
          <w:pPr>
            <w:pStyle w:val="23"/>
            <w:tabs>
              <w:tab w:val="right" w:leader="dot" w:pos="8306"/>
            </w:tabs>
            <w:ind w:firstLine="391"/>
            <w:rPr>
              <w:rFonts w:ascii="黑体" w:hAnsi="黑体" w:eastAsia="黑体" w:cs="黑体"/>
            </w:rPr>
          </w:pPr>
          <w:r>
            <w:fldChar w:fldCharType="begin"/>
          </w:r>
          <w:r>
            <w:instrText xml:space="preserve"> HYPERLINK \l "_Toc27359" </w:instrText>
          </w:r>
          <w:r>
            <w:fldChar w:fldCharType="separate"/>
          </w:r>
          <w:r>
            <w:rPr>
              <w:rFonts w:hint="eastAsia" w:ascii="黑体" w:hAnsi="黑体" w:eastAsia="黑体" w:cs="黑体"/>
              <w:szCs w:val="32"/>
            </w:rPr>
            <w:t>第六章 历史文化名村和传统村落保护</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_Toc27359 \h </w:instrText>
          </w:r>
          <w:r>
            <w:rPr>
              <w:rFonts w:hint="eastAsia" w:ascii="黑体" w:hAnsi="黑体" w:eastAsia="黑体" w:cs="黑体"/>
            </w:rPr>
            <w:fldChar w:fldCharType="separate"/>
          </w:r>
          <w:r>
            <w:rPr>
              <w:rFonts w:hint="eastAsia" w:ascii="黑体" w:hAnsi="黑体" w:eastAsia="黑体" w:cs="黑体"/>
            </w:rPr>
            <w:t>15</w:t>
          </w:r>
          <w:r>
            <w:rPr>
              <w:rFonts w:hint="eastAsia" w:ascii="黑体" w:hAnsi="黑体" w:eastAsia="黑体" w:cs="黑体"/>
            </w:rPr>
            <w:fldChar w:fldCharType="end"/>
          </w:r>
          <w:r>
            <w:rPr>
              <w:rFonts w:hint="eastAsia" w:ascii="黑体" w:hAnsi="黑体" w:eastAsia="黑体" w:cs="黑体"/>
            </w:rPr>
            <w:fldChar w:fldCharType="end"/>
          </w:r>
        </w:p>
        <w:p w14:paraId="7AD60492">
          <w:pPr>
            <w:pStyle w:val="16"/>
            <w:tabs>
              <w:tab w:val="right" w:leader="dot" w:pos="8306"/>
            </w:tabs>
            <w:ind w:left="960" w:firstLine="480"/>
            <w:rPr>
              <w:rFonts w:ascii="黑体" w:hAnsi="黑体" w:eastAsia="黑体" w:cs="黑体"/>
            </w:rPr>
          </w:pPr>
          <w:r>
            <w:fldChar w:fldCharType="begin"/>
          </w:r>
          <w:r>
            <w:instrText xml:space="preserve"> HYPERLINK \l "_Toc8811" </w:instrText>
          </w:r>
          <w:r>
            <w:fldChar w:fldCharType="separate"/>
          </w:r>
          <w:r>
            <w:rPr>
              <w:rFonts w:hint="eastAsia" w:ascii="黑体" w:hAnsi="黑体" w:eastAsia="黑体" w:cs="黑体"/>
            </w:rPr>
            <w:t>第四十五条 保护内容</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_Toc8811 \h </w:instrText>
          </w:r>
          <w:r>
            <w:rPr>
              <w:rFonts w:hint="eastAsia" w:ascii="黑体" w:hAnsi="黑体" w:eastAsia="黑体" w:cs="黑体"/>
            </w:rPr>
            <w:fldChar w:fldCharType="separate"/>
          </w:r>
          <w:r>
            <w:rPr>
              <w:rFonts w:hint="eastAsia" w:ascii="黑体" w:hAnsi="黑体" w:eastAsia="黑体" w:cs="黑体"/>
            </w:rPr>
            <w:t>15</w:t>
          </w:r>
          <w:r>
            <w:rPr>
              <w:rFonts w:hint="eastAsia" w:ascii="黑体" w:hAnsi="黑体" w:eastAsia="黑体" w:cs="黑体"/>
            </w:rPr>
            <w:fldChar w:fldCharType="end"/>
          </w:r>
          <w:r>
            <w:rPr>
              <w:rFonts w:hint="eastAsia" w:ascii="黑体" w:hAnsi="黑体" w:eastAsia="黑体" w:cs="黑体"/>
            </w:rPr>
            <w:fldChar w:fldCharType="end"/>
          </w:r>
        </w:p>
        <w:p w14:paraId="78DF5F17">
          <w:pPr>
            <w:pStyle w:val="16"/>
            <w:tabs>
              <w:tab w:val="right" w:leader="dot" w:pos="8306"/>
            </w:tabs>
            <w:ind w:left="960" w:firstLine="480"/>
            <w:rPr>
              <w:rFonts w:ascii="黑体" w:hAnsi="黑体" w:eastAsia="黑体" w:cs="黑体"/>
            </w:rPr>
          </w:pPr>
          <w:r>
            <w:fldChar w:fldCharType="begin"/>
          </w:r>
          <w:r>
            <w:instrText xml:space="preserve"> HYPERLINK \l "_Toc23861" </w:instrText>
          </w:r>
          <w:r>
            <w:fldChar w:fldCharType="separate"/>
          </w:r>
          <w:r>
            <w:rPr>
              <w:rFonts w:hint="eastAsia" w:ascii="黑体" w:hAnsi="黑体" w:eastAsia="黑体" w:cs="黑体"/>
            </w:rPr>
            <w:t>第四十六条 保护要求</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_Toc23861 \h </w:instrText>
          </w:r>
          <w:r>
            <w:rPr>
              <w:rFonts w:hint="eastAsia" w:ascii="黑体" w:hAnsi="黑体" w:eastAsia="黑体" w:cs="黑体"/>
            </w:rPr>
            <w:fldChar w:fldCharType="separate"/>
          </w:r>
          <w:r>
            <w:rPr>
              <w:rFonts w:hint="eastAsia" w:ascii="黑体" w:hAnsi="黑体" w:eastAsia="黑体" w:cs="黑体"/>
            </w:rPr>
            <w:t>16</w:t>
          </w:r>
          <w:r>
            <w:rPr>
              <w:rFonts w:hint="eastAsia" w:ascii="黑体" w:hAnsi="黑体" w:eastAsia="黑体" w:cs="黑体"/>
            </w:rPr>
            <w:fldChar w:fldCharType="end"/>
          </w:r>
          <w:r>
            <w:rPr>
              <w:rFonts w:hint="eastAsia" w:ascii="黑体" w:hAnsi="黑体" w:eastAsia="黑体" w:cs="黑体"/>
            </w:rPr>
            <w:fldChar w:fldCharType="end"/>
          </w:r>
        </w:p>
        <w:p w14:paraId="39E6EA5A">
          <w:pPr>
            <w:pStyle w:val="23"/>
            <w:tabs>
              <w:tab w:val="right" w:leader="dot" w:pos="8306"/>
            </w:tabs>
            <w:ind w:firstLine="391"/>
            <w:rPr>
              <w:rFonts w:ascii="黑体" w:hAnsi="黑体" w:eastAsia="黑体" w:cs="黑体"/>
            </w:rPr>
          </w:pPr>
          <w:r>
            <w:fldChar w:fldCharType="begin"/>
          </w:r>
          <w:r>
            <w:instrText xml:space="preserve"> HYPERLINK \l "_Toc14523" </w:instrText>
          </w:r>
          <w:r>
            <w:fldChar w:fldCharType="separate"/>
          </w:r>
          <w:r>
            <w:rPr>
              <w:rFonts w:hint="eastAsia" w:ascii="黑体" w:hAnsi="黑体" w:eastAsia="黑体" w:cs="黑体"/>
              <w:szCs w:val="32"/>
            </w:rPr>
            <w:t>第七章 不可移动文物保护</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_Toc14523 \h </w:instrText>
          </w:r>
          <w:r>
            <w:rPr>
              <w:rFonts w:hint="eastAsia" w:ascii="黑体" w:hAnsi="黑体" w:eastAsia="黑体" w:cs="黑体"/>
            </w:rPr>
            <w:fldChar w:fldCharType="separate"/>
          </w:r>
          <w:r>
            <w:rPr>
              <w:rFonts w:hint="eastAsia" w:ascii="黑体" w:hAnsi="黑体" w:eastAsia="黑体" w:cs="黑体"/>
            </w:rPr>
            <w:t>16</w:t>
          </w:r>
          <w:r>
            <w:rPr>
              <w:rFonts w:hint="eastAsia" w:ascii="黑体" w:hAnsi="黑体" w:eastAsia="黑体" w:cs="黑体"/>
            </w:rPr>
            <w:fldChar w:fldCharType="end"/>
          </w:r>
          <w:r>
            <w:rPr>
              <w:rFonts w:hint="eastAsia" w:ascii="黑体" w:hAnsi="黑体" w:eastAsia="黑体" w:cs="黑体"/>
            </w:rPr>
            <w:fldChar w:fldCharType="end"/>
          </w:r>
        </w:p>
        <w:p w14:paraId="39B65C65">
          <w:pPr>
            <w:pStyle w:val="16"/>
            <w:tabs>
              <w:tab w:val="right" w:leader="dot" w:pos="8306"/>
            </w:tabs>
            <w:ind w:left="960" w:firstLine="480"/>
            <w:rPr>
              <w:rFonts w:ascii="黑体" w:hAnsi="黑体" w:eastAsia="黑体" w:cs="黑体"/>
            </w:rPr>
          </w:pPr>
          <w:r>
            <w:fldChar w:fldCharType="begin"/>
          </w:r>
          <w:r>
            <w:instrText xml:space="preserve"> HYPERLINK \l "_Toc12776" </w:instrText>
          </w:r>
          <w:r>
            <w:fldChar w:fldCharType="separate"/>
          </w:r>
          <w:r>
            <w:rPr>
              <w:rFonts w:hint="eastAsia" w:ascii="黑体" w:hAnsi="黑体" w:eastAsia="黑体" w:cs="黑体"/>
            </w:rPr>
            <w:t>第四十七条 保护方针</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_Toc12776 \h </w:instrText>
          </w:r>
          <w:r>
            <w:rPr>
              <w:rFonts w:hint="eastAsia" w:ascii="黑体" w:hAnsi="黑体" w:eastAsia="黑体" w:cs="黑体"/>
            </w:rPr>
            <w:fldChar w:fldCharType="separate"/>
          </w:r>
          <w:r>
            <w:rPr>
              <w:rFonts w:hint="eastAsia" w:ascii="黑体" w:hAnsi="黑体" w:eastAsia="黑体" w:cs="黑体"/>
            </w:rPr>
            <w:t>16</w:t>
          </w:r>
          <w:r>
            <w:rPr>
              <w:rFonts w:hint="eastAsia" w:ascii="黑体" w:hAnsi="黑体" w:eastAsia="黑体" w:cs="黑体"/>
            </w:rPr>
            <w:fldChar w:fldCharType="end"/>
          </w:r>
          <w:r>
            <w:rPr>
              <w:rFonts w:hint="eastAsia" w:ascii="黑体" w:hAnsi="黑体" w:eastAsia="黑体" w:cs="黑体"/>
            </w:rPr>
            <w:fldChar w:fldCharType="end"/>
          </w:r>
        </w:p>
        <w:p w14:paraId="76F453F1">
          <w:pPr>
            <w:pStyle w:val="16"/>
            <w:tabs>
              <w:tab w:val="right" w:leader="dot" w:pos="8306"/>
            </w:tabs>
            <w:ind w:left="960" w:firstLine="480"/>
            <w:rPr>
              <w:rFonts w:ascii="黑体" w:hAnsi="黑体" w:eastAsia="黑体" w:cs="黑体"/>
            </w:rPr>
          </w:pPr>
          <w:r>
            <w:fldChar w:fldCharType="begin"/>
          </w:r>
          <w:r>
            <w:instrText xml:space="preserve"> HYPERLINK \l "_Toc21713" </w:instrText>
          </w:r>
          <w:r>
            <w:fldChar w:fldCharType="separate"/>
          </w:r>
          <w:r>
            <w:rPr>
              <w:rFonts w:hint="eastAsia" w:ascii="黑体" w:hAnsi="黑体" w:eastAsia="黑体" w:cs="黑体"/>
            </w:rPr>
            <w:t>第四十八条 保护内容</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_Toc21713 \h </w:instrText>
          </w:r>
          <w:r>
            <w:rPr>
              <w:rFonts w:hint="eastAsia" w:ascii="黑体" w:hAnsi="黑体" w:eastAsia="黑体" w:cs="黑体"/>
            </w:rPr>
            <w:fldChar w:fldCharType="separate"/>
          </w:r>
          <w:r>
            <w:rPr>
              <w:rFonts w:hint="eastAsia" w:ascii="黑体" w:hAnsi="黑体" w:eastAsia="黑体" w:cs="黑体"/>
            </w:rPr>
            <w:t>16</w:t>
          </w:r>
          <w:r>
            <w:rPr>
              <w:rFonts w:hint="eastAsia" w:ascii="黑体" w:hAnsi="黑体" w:eastAsia="黑体" w:cs="黑体"/>
            </w:rPr>
            <w:fldChar w:fldCharType="end"/>
          </w:r>
          <w:r>
            <w:rPr>
              <w:rFonts w:hint="eastAsia" w:ascii="黑体" w:hAnsi="黑体" w:eastAsia="黑体" w:cs="黑体"/>
            </w:rPr>
            <w:fldChar w:fldCharType="end"/>
          </w:r>
        </w:p>
        <w:p w14:paraId="041B028A">
          <w:pPr>
            <w:pStyle w:val="16"/>
            <w:tabs>
              <w:tab w:val="right" w:leader="dot" w:pos="8306"/>
            </w:tabs>
            <w:ind w:left="960" w:firstLine="480"/>
            <w:rPr>
              <w:rFonts w:ascii="黑体" w:hAnsi="黑体" w:eastAsia="黑体" w:cs="黑体"/>
            </w:rPr>
          </w:pPr>
          <w:r>
            <w:fldChar w:fldCharType="begin"/>
          </w:r>
          <w:r>
            <w:instrText xml:space="preserve"> HYPERLINK \l "_Toc27580" </w:instrText>
          </w:r>
          <w:r>
            <w:fldChar w:fldCharType="separate"/>
          </w:r>
          <w:r>
            <w:rPr>
              <w:rFonts w:hint="eastAsia" w:ascii="黑体" w:hAnsi="黑体" w:eastAsia="黑体" w:cs="黑体"/>
            </w:rPr>
            <w:t>第四十九条 保护界限</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_Toc27580 \h </w:instrText>
          </w:r>
          <w:r>
            <w:rPr>
              <w:rFonts w:hint="eastAsia" w:ascii="黑体" w:hAnsi="黑体" w:eastAsia="黑体" w:cs="黑体"/>
            </w:rPr>
            <w:fldChar w:fldCharType="separate"/>
          </w:r>
          <w:r>
            <w:rPr>
              <w:rFonts w:hint="eastAsia" w:ascii="黑体" w:hAnsi="黑体" w:eastAsia="黑体" w:cs="黑体"/>
            </w:rPr>
            <w:t>16</w:t>
          </w:r>
          <w:r>
            <w:rPr>
              <w:rFonts w:hint="eastAsia" w:ascii="黑体" w:hAnsi="黑体" w:eastAsia="黑体" w:cs="黑体"/>
            </w:rPr>
            <w:fldChar w:fldCharType="end"/>
          </w:r>
          <w:r>
            <w:rPr>
              <w:rFonts w:hint="eastAsia" w:ascii="黑体" w:hAnsi="黑体" w:eastAsia="黑体" w:cs="黑体"/>
            </w:rPr>
            <w:fldChar w:fldCharType="end"/>
          </w:r>
        </w:p>
        <w:p w14:paraId="19519188">
          <w:pPr>
            <w:pStyle w:val="16"/>
            <w:tabs>
              <w:tab w:val="right" w:leader="dot" w:pos="8306"/>
            </w:tabs>
            <w:ind w:left="960" w:firstLine="480"/>
            <w:rPr>
              <w:rFonts w:ascii="黑体" w:hAnsi="黑体" w:eastAsia="黑体" w:cs="黑体"/>
            </w:rPr>
          </w:pPr>
          <w:r>
            <w:fldChar w:fldCharType="begin"/>
          </w:r>
          <w:r>
            <w:instrText xml:space="preserve"> HYPERLINK \l "_Toc26423" </w:instrText>
          </w:r>
          <w:r>
            <w:fldChar w:fldCharType="separate"/>
          </w:r>
          <w:r>
            <w:rPr>
              <w:rFonts w:hint="eastAsia" w:ascii="黑体" w:hAnsi="黑体" w:eastAsia="黑体" w:cs="黑体"/>
            </w:rPr>
            <w:t>第五十条 保护要求</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_Toc26423 \h </w:instrText>
          </w:r>
          <w:r>
            <w:rPr>
              <w:rFonts w:hint="eastAsia" w:ascii="黑体" w:hAnsi="黑体" w:eastAsia="黑体" w:cs="黑体"/>
            </w:rPr>
            <w:fldChar w:fldCharType="separate"/>
          </w:r>
          <w:r>
            <w:rPr>
              <w:rFonts w:hint="eastAsia" w:ascii="黑体" w:hAnsi="黑体" w:eastAsia="黑体" w:cs="黑体"/>
            </w:rPr>
            <w:t>17</w:t>
          </w:r>
          <w:r>
            <w:rPr>
              <w:rFonts w:hint="eastAsia" w:ascii="黑体" w:hAnsi="黑体" w:eastAsia="黑体" w:cs="黑体"/>
            </w:rPr>
            <w:fldChar w:fldCharType="end"/>
          </w:r>
          <w:r>
            <w:rPr>
              <w:rFonts w:hint="eastAsia" w:ascii="黑体" w:hAnsi="黑体" w:eastAsia="黑体" w:cs="黑体"/>
            </w:rPr>
            <w:fldChar w:fldCharType="end"/>
          </w:r>
        </w:p>
        <w:p w14:paraId="61DD25F1">
          <w:pPr>
            <w:pStyle w:val="16"/>
            <w:tabs>
              <w:tab w:val="right" w:leader="dot" w:pos="8306"/>
            </w:tabs>
            <w:ind w:left="960" w:firstLine="480"/>
            <w:rPr>
              <w:rFonts w:ascii="黑体" w:hAnsi="黑体" w:eastAsia="黑体" w:cs="黑体"/>
            </w:rPr>
          </w:pPr>
          <w:r>
            <w:fldChar w:fldCharType="begin"/>
          </w:r>
          <w:r>
            <w:instrText xml:space="preserve"> HYPERLINK \l "_Toc13950" </w:instrText>
          </w:r>
          <w:r>
            <w:fldChar w:fldCharType="separate"/>
          </w:r>
          <w:r>
            <w:rPr>
              <w:rFonts w:hint="eastAsia" w:ascii="黑体" w:hAnsi="黑体" w:eastAsia="黑体" w:cs="黑体"/>
            </w:rPr>
            <w:t>第五十一条 未核定等级的登记不可移动文物的保护</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_Toc13950 \h </w:instrText>
          </w:r>
          <w:r>
            <w:rPr>
              <w:rFonts w:hint="eastAsia" w:ascii="黑体" w:hAnsi="黑体" w:eastAsia="黑体" w:cs="黑体"/>
            </w:rPr>
            <w:fldChar w:fldCharType="separate"/>
          </w:r>
          <w:r>
            <w:rPr>
              <w:rFonts w:hint="eastAsia" w:ascii="黑体" w:hAnsi="黑体" w:eastAsia="黑体" w:cs="黑体"/>
            </w:rPr>
            <w:t>17</w:t>
          </w:r>
          <w:r>
            <w:rPr>
              <w:rFonts w:hint="eastAsia" w:ascii="黑体" w:hAnsi="黑体" w:eastAsia="黑体" w:cs="黑体"/>
            </w:rPr>
            <w:fldChar w:fldCharType="end"/>
          </w:r>
          <w:r>
            <w:rPr>
              <w:rFonts w:hint="eastAsia" w:ascii="黑体" w:hAnsi="黑体" w:eastAsia="黑体" w:cs="黑体"/>
            </w:rPr>
            <w:fldChar w:fldCharType="end"/>
          </w:r>
        </w:p>
        <w:p w14:paraId="11B1DD84">
          <w:pPr>
            <w:pStyle w:val="23"/>
            <w:tabs>
              <w:tab w:val="right" w:leader="dot" w:pos="8306"/>
            </w:tabs>
            <w:ind w:firstLine="391"/>
            <w:rPr>
              <w:rFonts w:ascii="黑体" w:hAnsi="黑体" w:eastAsia="黑体" w:cs="黑体"/>
            </w:rPr>
          </w:pPr>
          <w:r>
            <w:fldChar w:fldCharType="begin"/>
          </w:r>
          <w:r>
            <w:instrText xml:space="preserve"> HYPERLINK \l "_Toc15412" </w:instrText>
          </w:r>
          <w:r>
            <w:fldChar w:fldCharType="separate"/>
          </w:r>
          <w:r>
            <w:rPr>
              <w:rFonts w:hint="eastAsia" w:ascii="黑体" w:hAnsi="黑体" w:eastAsia="黑体" w:cs="黑体"/>
              <w:szCs w:val="32"/>
            </w:rPr>
            <w:t>第八章 历史建筑和传统风貌建筑保护</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_Toc15412 \h </w:instrText>
          </w:r>
          <w:r>
            <w:rPr>
              <w:rFonts w:hint="eastAsia" w:ascii="黑体" w:hAnsi="黑体" w:eastAsia="黑体" w:cs="黑体"/>
            </w:rPr>
            <w:fldChar w:fldCharType="separate"/>
          </w:r>
          <w:r>
            <w:rPr>
              <w:rFonts w:hint="eastAsia" w:ascii="黑体" w:hAnsi="黑体" w:eastAsia="黑体" w:cs="黑体"/>
            </w:rPr>
            <w:t>17</w:t>
          </w:r>
          <w:r>
            <w:rPr>
              <w:rFonts w:hint="eastAsia" w:ascii="黑体" w:hAnsi="黑体" w:eastAsia="黑体" w:cs="黑体"/>
            </w:rPr>
            <w:fldChar w:fldCharType="end"/>
          </w:r>
          <w:r>
            <w:rPr>
              <w:rFonts w:hint="eastAsia" w:ascii="黑体" w:hAnsi="黑体" w:eastAsia="黑体" w:cs="黑体"/>
            </w:rPr>
            <w:fldChar w:fldCharType="end"/>
          </w:r>
        </w:p>
        <w:p w14:paraId="3ED0AF88">
          <w:pPr>
            <w:pStyle w:val="16"/>
            <w:tabs>
              <w:tab w:val="right" w:leader="dot" w:pos="8306"/>
            </w:tabs>
            <w:ind w:left="960" w:firstLine="480"/>
            <w:rPr>
              <w:rFonts w:ascii="黑体" w:hAnsi="黑体" w:eastAsia="黑体" w:cs="黑体"/>
            </w:rPr>
          </w:pPr>
          <w:r>
            <w:fldChar w:fldCharType="begin"/>
          </w:r>
          <w:r>
            <w:instrText xml:space="preserve"> HYPERLINK \l "_Toc26205" </w:instrText>
          </w:r>
          <w:r>
            <w:fldChar w:fldCharType="separate"/>
          </w:r>
          <w:r>
            <w:rPr>
              <w:rFonts w:hint="eastAsia" w:ascii="黑体" w:hAnsi="黑体" w:eastAsia="黑体" w:cs="黑体"/>
            </w:rPr>
            <w:t>第五十二条 历史建筑保护</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_Toc26205 \h </w:instrText>
          </w:r>
          <w:r>
            <w:rPr>
              <w:rFonts w:hint="eastAsia" w:ascii="黑体" w:hAnsi="黑体" w:eastAsia="黑体" w:cs="黑体"/>
            </w:rPr>
            <w:fldChar w:fldCharType="separate"/>
          </w:r>
          <w:r>
            <w:rPr>
              <w:rFonts w:hint="eastAsia" w:ascii="黑体" w:hAnsi="黑体" w:eastAsia="黑体" w:cs="黑体"/>
            </w:rPr>
            <w:t>17</w:t>
          </w:r>
          <w:r>
            <w:rPr>
              <w:rFonts w:hint="eastAsia" w:ascii="黑体" w:hAnsi="黑体" w:eastAsia="黑体" w:cs="黑体"/>
            </w:rPr>
            <w:fldChar w:fldCharType="end"/>
          </w:r>
          <w:r>
            <w:rPr>
              <w:rFonts w:hint="eastAsia" w:ascii="黑体" w:hAnsi="黑体" w:eastAsia="黑体" w:cs="黑体"/>
            </w:rPr>
            <w:fldChar w:fldCharType="end"/>
          </w:r>
        </w:p>
        <w:p w14:paraId="34C1951E">
          <w:pPr>
            <w:pStyle w:val="16"/>
            <w:tabs>
              <w:tab w:val="right" w:leader="dot" w:pos="8306"/>
            </w:tabs>
            <w:ind w:left="960" w:firstLine="480"/>
            <w:rPr>
              <w:rFonts w:ascii="黑体" w:hAnsi="黑体" w:eastAsia="黑体" w:cs="黑体"/>
            </w:rPr>
          </w:pPr>
          <w:r>
            <w:fldChar w:fldCharType="begin"/>
          </w:r>
          <w:r>
            <w:instrText xml:space="preserve"> HYPERLINK \l "_Toc13366" </w:instrText>
          </w:r>
          <w:r>
            <w:fldChar w:fldCharType="separate"/>
          </w:r>
          <w:r>
            <w:rPr>
              <w:rFonts w:hint="eastAsia" w:ascii="黑体" w:hAnsi="黑体" w:eastAsia="黑体" w:cs="黑体"/>
            </w:rPr>
            <w:t>第五十三条 传统风貌建筑保护</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_Toc13366 \h </w:instrText>
          </w:r>
          <w:r>
            <w:rPr>
              <w:rFonts w:hint="eastAsia" w:ascii="黑体" w:hAnsi="黑体" w:eastAsia="黑体" w:cs="黑体"/>
            </w:rPr>
            <w:fldChar w:fldCharType="separate"/>
          </w:r>
          <w:r>
            <w:rPr>
              <w:rFonts w:hint="eastAsia" w:ascii="黑体" w:hAnsi="黑体" w:eastAsia="黑体" w:cs="黑体"/>
            </w:rPr>
            <w:t>18</w:t>
          </w:r>
          <w:r>
            <w:rPr>
              <w:rFonts w:hint="eastAsia" w:ascii="黑体" w:hAnsi="黑体" w:eastAsia="黑体" w:cs="黑体"/>
            </w:rPr>
            <w:fldChar w:fldCharType="end"/>
          </w:r>
          <w:r>
            <w:rPr>
              <w:rFonts w:hint="eastAsia" w:ascii="黑体" w:hAnsi="黑体" w:eastAsia="黑体" w:cs="黑体"/>
            </w:rPr>
            <w:fldChar w:fldCharType="end"/>
          </w:r>
        </w:p>
        <w:p w14:paraId="3F5DB6F3">
          <w:pPr>
            <w:pStyle w:val="23"/>
            <w:tabs>
              <w:tab w:val="right" w:leader="dot" w:pos="8306"/>
            </w:tabs>
            <w:ind w:firstLine="391"/>
            <w:rPr>
              <w:rFonts w:ascii="黑体" w:hAnsi="黑体" w:eastAsia="黑体" w:cs="黑体"/>
            </w:rPr>
          </w:pPr>
          <w:r>
            <w:fldChar w:fldCharType="begin"/>
          </w:r>
          <w:r>
            <w:instrText xml:space="preserve"> HYPERLINK \l "_Toc11042" </w:instrText>
          </w:r>
          <w:r>
            <w:fldChar w:fldCharType="separate"/>
          </w:r>
          <w:r>
            <w:rPr>
              <w:rFonts w:hint="eastAsia" w:ascii="黑体" w:hAnsi="黑体" w:eastAsia="黑体" w:cs="黑体"/>
              <w:szCs w:val="32"/>
            </w:rPr>
            <w:t>第九章 非物质文化遗产保护</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_Toc11042 \h </w:instrText>
          </w:r>
          <w:r>
            <w:rPr>
              <w:rFonts w:hint="eastAsia" w:ascii="黑体" w:hAnsi="黑体" w:eastAsia="黑体" w:cs="黑体"/>
            </w:rPr>
            <w:fldChar w:fldCharType="separate"/>
          </w:r>
          <w:r>
            <w:rPr>
              <w:rFonts w:hint="eastAsia" w:ascii="黑体" w:hAnsi="黑体" w:eastAsia="黑体" w:cs="黑体"/>
            </w:rPr>
            <w:t>19</w:t>
          </w:r>
          <w:r>
            <w:rPr>
              <w:rFonts w:hint="eastAsia" w:ascii="黑体" w:hAnsi="黑体" w:eastAsia="黑体" w:cs="黑体"/>
            </w:rPr>
            <w:fldChar w:fldCharType="end"/>
          </w:r>
          <w:r>
            <w:rPr>
              <w:rFonts w:hint="eastAsia" w:ascii="黑体" w:hAnsi="黑体" w:eastAsia="黑体" w:cs="黑体"/>
            </w:rPr>
            <w:fldChar w:fldCharType="end"/>
          </w:r>
        </w:p>
        <w:p w14:paraId="15C27444">
          <w:pPr>
            <w:pStyle w:val="16"/>
            <w:tabs>
              <w:tab w:val="right" w:leader="dot" w:pos="8306"/>
            </w:tabs>
            <w:ind w:left="960" w:firstLine="480"/>
            <w:rPr>
              <w:rFonts w:ascii="黑体" w:hAnsi="黑体" w:eastAsia="黑体" w:cs="黑体"/>
            </w:rPr>
          </w:pPr>
          <w:r>
            <w:fldChar w:fldCharType="begin"/>
          </w:r>
          <w:r>
            <w:instrText xml:space="preserve"> HYPERLINK \l "_Toc5286" </w:instrText>
          </w:r>
          <w:r>
            <w:fldChar w:fldCharType="separate"/>
          </w:r>
          <w:r>
            <w:rPr>
              <w:rFonts w:hint="eastAsia" w:ascii="黑体" w:hAnsi="黑体" w:eastAsia="黑体" w:cs="黑体"/>
            </w:rPr>
            <w:t>第五十四条 保护方针</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_Toc5286 \h </w:instrText>
          </w:r>
          <w:r>
            <w:rPr>
              <w:rFonts w:hint="eastAsia" w:ascii="黑体" w:hAnsi="黑体" w:eastAsia="黑体" w:cs="黑体"/>
            </w:rPr>
            <w:fldChar w:fldCharType="separate"/>
          </w:r>
          <w:r>
            <w:rPr>
              <w:rFonts w:hint="eastAsia" w:ascii="黑体" w:hAnsi="黑体" w:eastAsia="黑体" w:cs="黑体"/>
            </w:rPr>
            <w:t>19</w:t>
          </w:r>
          <w:r>
            <w:rPr>
              <w:rFonts w:hint="eastAsia" w:ascii="黑体" w:hAnsi="黑体" w:eastAsia="黑体" w:cs="黑体"/>
            </w:rPr>
            <w:fldChar w:fldCharType="end"/>
          </w:r>
          <w:r>
            <w:rPr>
              <w:rFonts w:hint="eastAsia" w:ascii="黑体" w:hAnsi="黑体" w:eastAsia="黑体" w:cs="黑体"/>
            </w:rPr>
            <w:fldChar w:fldCharType="end"/>
          </w:r>
        </w:p>
        <w:p w14:paraId="3639D1CB">
          <w:pPr>
            <w:pStyle w:val="16"/>
            <w:tabs>
              <w:tab w:val="right" w:leader="dot" w:pos="8306"/>
            </w:tabs>
            <w:ind w:left="960" w:firstLine="480"/>
            <w:rPr>
              <w:rFonts w:ascii="黑体" w:hAnsi="黑体" w:eastAsia="黑体" w:cs="黑体"/>
            </w:rPr>
          </w:pPr>
          <w:r>
            <w:fldChar w:fldCharType="begin"/>
          </w:r>
          <w:r>
            <w:instrText xml:space="preserve"> HYPERLINK \l "_Toc24114" </w:instrText>
          </w:r>
          <w:r>
            <w:fldChar w:fldCharType="separate"/>
          </w:r>
          <w:r>
            <w:rPr>
              <w:rFonts w:hint="eastAsia" w:ascii="黑体" w:hAnsi="黑体" w:eastAsia="黑体" w:cs="黑体"/>
            </w:rPr>
            <w:t>第五十五条 保护原则</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_Toc24114 \h </w:instrText>
          </w:r>
          <w:r>
            <w:rPr>
              <w:rFonts w:hint="eastAsia" w:ascii="黑体" w:hAnsi="黑体" w:eastAsia="黑体" w:cs="黑体"/>
            </w:rPr>
            <w:fldChar w:fldCharType="separate"/>
          </w:r>
          <w:r>
            <w:rPr>
              <w:rFonts w:hint="eastAsia" w:ascii="黑体" w:hAnsi="黑体" w:eastAsia="黑体" w:cs="黑体"/>
            </w:rPr>
            <w:t>19</w:t>
          </w:r>
          <w:r>
            <w:rPr>
              <w:rFonts w:hint="eastAsia" w:ascii="黑体" w:hAnsi="黑体" w:eastAsia="黑体" w:cs="黑体"/>
            </w:rPr>
            <w:fldChar w:fldCharType="end"/>
          </w:r>
          <w:r>
            <w:rPr>
              <w:rFonts w:hint="eastAsia" w:ascii="黑体" w:hAnsi="黑体" w:eastAsia="黑体" w:cs="黑体"/>
            </w:rPr>
            <w:fldChar w:fldCharType="end"/>
          </w:r>
        </w:p>
        <w:p w14:paraId="578663DD">
          <w:pPr>
            <w:pStyle w:val="16"/>
            <w:tabs>
              <w:tab w:val="right" w:leader="dot" w:pos="8306"/>
            </w:tabs>
            <w:ind w:left="960" w:firstLine="480"/>
            <w:rPr>
              <w:rFonts w:ascii="黑体" w:hAnsi="黑体" w:eastAsia="黑体" w:cs="黑体"/>
            </w:rPr>
          </w:pPr>
          <w:r>
            <w:fldChar w:fldCharType="begin"/>
          </w:r>
          <w:r>
            <w:instrText xml:space="preserve"> HYPERLINK \l "_Toc23667" </w:instrText>
          </w:r>
          <w:r>
            <w:fldChar w:fldCharType="separate"/>
          </w:r>
          <w:r>
            <w:rPr>
              <w:rFonts w:hint="eastAsia" w:ascii="黑体" w:hAnsi="黑体" w:eastAsia="黑体" w:cs="黑体"/>
            </w:rPr>
            <w:t>第五十六条 保护内容</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_Toc23667 \h </w:instrText>
          </w:r>
          <w:r>
            <w:rPr>
              <w:rFonts w:hint="eastAsia" w:ascii="黑体" w:hAnsi="黑体" w:eastAsia="黑体" w:cs="黑体"/>
            </w:rPr>
            <w:fldChar w:fldCharType="separate"/>
          </w:r>
          <w:r>
            <w:rPr>
              <w:rFonts w:hint="eastAsia" w:ascii="黑体" w:hAnsi="黑体" w:eastAsia="黑体" w:cs="黑体"/>
            </w:rPr>
            <w:t>19</w:t>
          </w:r>
          <w:r>
            <w:rPr>
              <w:rFonts w:hint="eastAsia" w:ascii="黑体" w:hAnsi="黑体" w:eastAsia="黑体" w:cs="黑体"/>
            </w:rPr>
            <w:fldChar w:fldCharType="end"/>
          </w:r>
          <w:r>
            <w:rPr>
              <w:rFonts w:hint="eastAsia" w:ascii="黑体" w:hAnsi="黑体" w:eastAsia="黑体" w:cs="黑体"/>
            </w:rPr>
            <w:fldChar w:fldCharType="end"/>
          </w:r>
        </w:p>
        <w:p w14:paraId="2ECFEDB3">
          <w:pPr>
            <w:pStyle w:val="16"/>
            <w:tabs>
              <w:tab w:val="right" w:leader="dot" w:pos="8306"/>
            </w:tabs>
            <w:ind w:left="960" w:firstLine="480"/>
            <w:rPr>
              <w:rFonts w:ascii="黑体" w:hAnsi="黑体" w:eastAsia="黑体" w:cs="黑体"/>
            </w:rPr>
          </w:pPr>
          <w:r>
            <w:fldChar w:fldCharType="begin"/>
          </w:r>
          <w:r>
            <w:instrText xml:space="preserve"> HYPERLINK \l "_Toc18805" </w:instrText>
          </w:r>
          <w:r>
            <w:fldChar w:fldCharType="separate"/>
          </w:r>
          <w:r>
            <w:rPr>
              <w:rFonts w:hint="eastAsia" w:ascii="黑体" w:hAnsi="黑体" w:eastAsia="黑体" w:cs="黑体"/>
            </w:rPr>
            <w:t>第五十七条 保护措施</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_Toc18805 \h </w:instrText>
          </w:r>
          <w:r>
            <w:rPr>
              <w:rFonts w:hint="eastAsia" w:ascii="黑体" w:hAnsi="黑体" w:eastAsia="黑体" w:cs="黑体"/>
            </w:rPr>
            <w:fldChar w:fldCharType="separate"/>
          </w:r>
          <w:r>
            <w:rPr>
              <w:rFonts w:hint="eastAsia" w:ascii="黑体" w:hAnsi="黑体" w:eastAsia="黑体" w:cs="黑体"/>
            </w:rPr>
            <w:t>19</w:t>
          </w:r>
          <w:r>
            <w:rPr>
              <w:rFonts w:hint="eastAsia" w:ascii="黑体" w:hAnsi="黑体" w:eastAsia="黑体" w:cs="黑体"/>
            </w:rPr>
            <w:fldChar w:fldCharType="end"/>
          </w:r>
          <w:r>
            <w:rPr>
              <w:rFonts w:hint="eastAsia" w:ascii="黑体" w:hAnsi="黑体" w:eastAsia="黑体" w:cs="黑体"/>
            </w:rPr>
            <w:fldChar w:fldCharType="end"/>
          </w:r>
        </w:p>
        <w:p w14:paraId="762A2C0D">
          <w:pPr>
            <w:pStyle w:val="23"/>
            <w:tabs>
              <w:tab w:val="right" w:leader="dot" w:pos="8306"/>
            </w:tabs>
            <w:ind w:firstLine="391"/>
            <w:rPr>
              <w:rFonts w:ascii="黑体" w:hAnsi="黑体" w:eastAsia="黑体" w:cs="黑体"/>
            </w:rPr>
          </w:pPr>
          <w:r>
            <w:fldChar w:fldCharType="begin"/>
          </w:r>
          <w:r>
            <w:instrText xml:space="preserve"> HYPERLINK \l "_Toc8655" </w:instrText>
          </w:r>
          <w:r>
            <w:fldChar w:fldCharType="separate"/>
          </w:r>
          <w:r>
            <w:rPr>
              <w:rFonts w:hint="eastAsia" w:ascii="黑体" w:hAnsi="黑体" w:eastAsia="黑体" w:cs="黑体"/>
              <w:szCs w:val="32"/>
            </w:rPr>
            <w:t>第十章 历史文化遗产展示利用规划</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_Toc8655 \h </w:instrText>
          </w:r>
          <w:r>
            <w:rPr>
              <w:rFonts w:hint="eastAsia" w:ascii="黑体" w:hAnsi="黑体" w:eastAsia="黑体" w:cs="黑体"/>
            </w:rPr>
            <w:fldChar w:fldCharType="separate"/>
          </w:r>
          <w:r>
            <w:rPr>
              <w:rFonts w:hint="eastAsia" w:ascii="黑体" w:hAnsi="黑体" w:eastAsia="黑体" w:cs="黑体"/>
            </w:rPr>
            <w:t>20</w:t>
          </w:r>
          <w:r>
            <w:rPr>
              <w:rFonts w:hint="eastAsia" w:ascii="黑体" w:hAnsi="黑体" w:eastAsia="黑体" w:cs="黑体"/>
            </w:rPr>
            <w:fldChar w:fldCharType="end"/>
          </w:r>
          <w:r>
            <w:rPr>
              <w:rFonts w:hint="eastAsia" w:ascii="黑体" w:hAnsi="黑体" w:eastAsia="黑体" w:cs="黑体"/>
            </w:rPr>
            <w:fldChar w:fldCharType="end"/>
          </w:r>
        </w:p>
        <w:p w14:paraId="54935705">
          <w:pPr>
            <w:pStyle w:val="16"/>
            <w:tabs>
              <w:tab w:val="right" w:leader="dot" w:pos="8306"/>
            </w:tabs>
            <w:ind w:left="960" w:firstLine="480"/>
            <w:rPr>
              <w:rFonts w:ascii="黑体" w:hAnsi="黑体" w:eastAsia="黑体" w:cs="黑体"/>
            </w:rPr>
          </w:pPr>
          <w:r>
            <w:fldChar w:fldCharType="begin"/>
          </w:r>
          <w:r>
            <w:instrText xml:space="preserve"> HYPERLINK \l "_Toc30358" </w:instrText>
          </w:r>
          <w:r>
            <w:fldChar w:fldCharType="separate"/>
          </w:r>
          <w:r>
            <w:rPr>
              <w:rFonts w:hint="eastAsia" w:ascii="黑体" w:hAnsi="黑体" w:eastAsia="黑体" w:cs="黑体"/>
            </w:rPr>
            <w:t>第五十八条 展示与利用目标</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_Toc30358 \h </w:instrText>
          </w:r>
          <w:r>
            <w:rPr>
              <w:rFonts w:hint="eastAsia" w:ascii="黑体" w:hAnsi="黑体" w:eastAsia="黑体" w:cs="黑体"/>
            </w:rPr>
            <w:fldChar w:fldCharType="separate"/>
          </w:r>
          <w:r>
            <w:rPr>
              <w:rFonts w:hint="eastAsia" w:ascii="黑体" w:hAnsi="黑体" w:eastAsia="黑体" w:cs="黑体"/>
            </w:rPr>
            <w:t>20</w:t>
          </w:r>
          <w:r>
            <w:rPr>
              <w:rFonts w:hint="eastAsia" w:ascii="黑体" w:hAnsi="黑体" w:eastAsia="黑体" w:cs="黑体"/>
            </w:rPr>
            <w:fldChar w:fldCharType="end"/>
          </w:r>
          <w:r>
            <w:rPr>
              <w:rFonts w:hint="eastAsia" w:ascii="黑体" w:hAnsi="黑体" w:eastAsia="黑体" w:cs="黑体"/>
            </w:rPr>
            <w:fldChar w:fldCharType="end"/>
          </w:r>
        </w:p>
        <w:p w14:paraId="76B362C7">
          <w:pPr>
            <w:pStyle w:val="16"/>
            <w:tabs>
              <w:tab w:val="right" w:leader="dot" w:pos="8306"/>
            </w:tabs>
            <w:ind w:left="960" w:firstLine="480"/>
            <w:rPr>
              <w:rFonts w:ascii="黑体" w:hAnsi="黑体" w:eastAsia="黑体" w:cs="黑体"/>
            </w:rPr>
          </w:pPr>
          <w:r>
            <w:fldChar w:fldCharType="begin"/>
          </w:r>
          <w:r>
            <w:instrText xml:space="preserve"> HYPERLINK \l "_Toc27376" </w:instrText>
          </w:r>
          <w:r>
            <w:fldChar w:fldCharType="separate"/>
          </w:r>
          <w:r>
            <w:rPr>
              <w:rFonts w:hint="eastAsia" w:ascii="黑体" w:hAnsi="黑体" w:eastAsia="黑体" w:cs="黑体"/>
            </w:rPr>
            <w:t>第五十九条 历史文化街区展示利用</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_Toc27376 \h </w:instrText>
          </w:r>
          <w:r>
            <w:rPr>
              <w:rFonts w:hint="eastAsia" w:ascii="黑体" w:hAnsi="黑体" w:eastAsia="黑体" w:cs="黑体"/>
            </w:rPr>
            <w:fldChar w:fldCharType="separate"/>
          </w:r>
          <w:r>
            <w:rPr>
              <w:rFonts w:hint="eastAsia" w:ascii="黑体" w:hAnsi="黑体" w:eastAsia="黑体" w:cs="黑体"/>
            </w:rPr>
            <w:t>20</w:t>
          </w:r>
          <w:r>
            <w:rPr>
              <w:rFonts w:hint="eastAsia" w:ascii="黑体" w:hAnsi="黑体" w:eastAsia="黑体" w:cs="黑体"/>
            </w:rPr>
            <w:fldChar w:fldCharType="end"/>
          </w:r>
          <w:r>
            <w:rPr>
              <w:rFonts w:hint="eastAsia" w:ascii="黑体" w:hAnsi="黑体" w:eastAsia="黑体" w:cs="黑体"/>
            </w:rPr>
            <w:fldChar w:fldCharType="end"/>
          </w:r>
        </w:p>
        <w:p w14:paraId="62145E3C">
          <w:pPr>
            <w:pStyle w:val="16"/>
            <w:tabs>
              <w:tab w:val="right" w:leader="dot" w:pos="8306"/>
            </w:tabs>
            <w:ind w:left="960" w:firstLine="480"/>
            <w:rPr>
              <w:rFonts w:ascii="黑体" w:hAnsi="黑体" w:eastAsia="黑体" w:cs="黑体"/>
            </w:rPr>
          </w:pPr>
          <w:r>
            <w:fldChar w:fldCharType="begin"/>
          </w:r>
          <w:r>
            <w:instrText xml:space="preserve"> HYPERLINK \l "_Toc20801" </w:instrText>
          </w:r>
          <w:r>
            <w:fldChar w:fldCharType="separate"/>
          </w:r>
          <w:r>
            <w:rPr>
              <w:rFonts w:hint="eastAsia" w:ascii="黑体" w:hAnsi="黑体" w:eastAsia="黑体" w:cs="黑体"/>
            </w:rPr>
            <w:t>第六十条 文物古迹展示利用</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_Toc20801 \h </w:instrText>
          </w:r>
          <w:r>
            <w:rPr>
              <w:rFonts w:hint="eastAsia" w:ascii="黑体" w:hAnsi="黑体" w:eastAsia="黑体" w:cs="黑体"/>
            </w:rPr>
            <w:fldChar w:fldCharType="separate"/>
          </w:r>
          <w:r>
            <w:rPr>
              <w:rFonts w:hint="eastAsia" w:ascii="黑体" w:hAnsi="黑体" w:eastAsia="黑体" w:cs="黑体"/>
            </w:rPr>
            <w:t>20</w:t>
          </w:r>
          <w:r>
            <w:rPr>
              <w:rFonts w:hint="eastAsia" w:ascii="黑体" w:hAnsi="黑体" w:eastAsia="黑体" w:cs="黑体"/>
            </w:rPr>
            <w:fldChar w:fldCharType="end"/>
          </w:r>
          <w:r>
            <w:rPr>
              <w:rFonts w:hint="eastAsia" w:ascii="黑体" w:hAnsi="黑体" w:eastAsia="黑体" w:cs="黑体"/>
            </w:rPr>
            <w:fldChar w:fldCharType="end"/>
          </w:r>
        </w:p>
        <w:p w14:paraId="74A74975">
          <w:pPr>
            <w:pStyle w:val="16"/>
            <w:tabs>
              <w:tab w:val="right" w:leader="dot" w:pos="8306"/>
            </w:tabs>
            <w:ind w:left="960" w:firstLine="480"/>
            <w:rPr>
              <w:rFonts w:ascii="黑体" w:hAnsi="黑体" w:eastAsia="黑体" w:cs="黑体"/>
            </w:rPr>
          </w:pPr>
          <w:r>
            <w:fldChar w:fldCharType="begin"/>
          </w:r>
          <w:r>
            <w:instrText xml:space="preserve"> HYPERLINK \l "_Toc16862" </w:instrText>
          </w:r>
          <w:r>
            <w:fldChar w:fldCharType="separate"/>
          </w:r>
          <w:r>
            <w:rPr>
              <w:rFonts w:hint="eastAsia" w:ascii="黑体" w:hAnsi="黑体" w:eastAsia="黑体" w:cs="黑体"/>
            </w:rPr>
            <w:t>第六十一条 非物质文化遗产展示利用</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_Toc16862 \h </w:instrText>
          </w:r>
          <w:r>
            <w:rPr>
              <w:rFonts w:hint="eastAsia" w:ascii="黑体" w:hAnsi="黑体" w:eastAsia="黑体" w:cs="黑体"/>
            </w:rPr>
            <w:fldChar w:fldCharType="separate"/>
          </w:r>
          <w:r>
            <w:rPr>
              <w:rFonts w:hint="eastAsia" w:ascii="黑体" w:hAnsi="黑体" w:eastAsia="黑体" w:cs="黑体"/>
            </w:rPr>
            <w:t>20</w:t>
          </w:r>
          <w:r>
            <w:rPr>
              <w:rFonts w:hint="eastAsia" w:ascii="黑体" w:hAnsi="黑体" w:eastAsia="黑体" w:cs="黑体"/>
            </w:rPr>
            <w:fldChar w:fldCharType="end"/>
          </w:r>
          <w:r>
            <w:rPr>
              <w:rFonts w:hint="eastAsia" w:ascii="黑体" w:hAnsi="黑体" w:eastAsia="黑体" w:cs="黑体"/>
            </w:rPr>
            <w:fldChar w:fldCharType="end"/>
          </w:r>
        </w:p>
        <w:p w14:paraId="1A6860E0">
          <w:pPr>
            <w:pStyle w:val="16"/>
            <w:tabs>
              <w:tab w:val="right" w:leader="dot" w:pos="8306"/>
            </w:tabs>
            <w:ind w:left="960" w:firstLine="480"/>
            <w:rPr>
              <w:rFonts w:ascii="黑体" w:hAnsi="黑体" w:eastAsia="黑体" w:cs="黑体"/>
            </w:rPr>
          </w:pPr>
          <w:r>
            <w:fldChar w:fldCharType="begin"/>
          </w:r>
          <w:r>
            <w:instrText xml:space="preserve"> HYPERLINK \l "_Toc31813" </w:instrText>
          </w:r>
          <w:r>
            <w:fldChar w:fldCharType="separate"/>
          </w:r>
          <w:r>
            <w:rPr>
              <w:rFonts w:hint="eastAsia" w:ascii="黑体" w:hAnsi="黑体" w:eastAsia="黑体" w:cs="黑体"/>
            </w:rPr>
            <w:t>第六十二条 展示路线规划</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_Toc31813 \h </w:instrText>
          </w:r>
          <w:r>
            <w:rPr>
              <w:rFonts w:hint="eastAsia" w:ascii="黑体" w:hAnsi="黑体" w:eastAsia="黑体" w:cs="黑体"/>
            </w:rPr>
            <w:fldChar w:fldCharType="separate"/>
          </w:r>
          <w:r>
            <w:rPr>
              <w:rFonts w:hint="eastAsia" w:ascii="黑体" w:hAnsi="黑体" w:eastAsia="黑体" w:cs="黑体"/>
            </w:rPr>
            <w:t>20</w:t>
          </w:r>
          <w:r>
            <w:rPr>
              <w:rFonts w:hint="eastAsia" w:ascii="黑体" w:hAnsi="黑体" w:eastAsia="黑体" w:cs="黑体"/>
            </w:rPr>
            <w:fldChar w:fldCharType="end"/>
          </w:r>
          <w:r>
            <w:rPr>
              <w:rFonts w:hint="eastAsia" w:ascii="黑体" w:hAnsi="黑体" w:eastAsia="黑体" w:cs="黑体"/>
            </w:rPr>
            <w:fldChar w:fldCharType="end"/>
          </w:r>
        </w:p>
        <w:p w14:paraId="12FEB16B">
          <w:pPr>
            <w:ind w:firstLine="480"/>
          </w:pPr>
          <w:r>
            <w:rPr>
              <w:rFonts w:hint="eastAsia" w:ascii="黑体" w:hAnsi="黑体" w:eastAsia="黑体" w:cs="黑体"/>
              <w:lang w:val="zh-CN"/>
            </w:rPr>
            <w:fldChar w:fldCharType="end"/>
          </w:r>
          <w:bookmarkStart w:id="0" w:name="_Toc19181"/>
          <w:bookmarkStart w:id="1" w:name="_Toc26771"/>
          <w:bookmarkStart w:id="2" w:name="_Toc424801558"/>
          <w:bookmarkStart w:id="3" w:name="_Toc24621"/>
          <w:bookmarkStart w:id="4" w:name="_Toc447034898"/>
          <w:bookmarkStart w:id="5" w:name="_Toc390678203"/>
          <w:bookmarkStart w:id="6" w:name="_Toc390678209"/>
        </w:p>
      </w:sdtContent>
    </w:sdt>
    <w:p w14:paraId="45839987">
      <w:pPr>
        <w:keepNext/>
        <w:keepLines/>
        <w:numPr>
          <w:ilvl w:val="0"/>
          <w:numId w:val="4"/>
        </w:numPr>
        <w:spacing w:before="489" w:beforeLines="150" w:after="326" w:afterLines="100" w:line="400" w:lineRule="exact"/>
        <w:ind w:firstLineChars="0"/>
        <w:jc w:val="center"/>
        <w:outlineLvl w:val="0"/>
        <w:rPr>
          <w:rFonts w:ascii="黑体" w:eastAsia="黑体"/>
          <w:b/>
          <w:sz w:val="32"/>
          <w:szCs w:val="32"/>
        </w:rPr>
      </w:pPr>
      <w:r>
        <w:rPr>
          <w:rFonts w:hint="eastAsia" w:ascii="黑体" w:eastAsia="黑体"/>
          <w:b/>
          <w:sz w:val="32"/>
          <w:szCs w:val="32"/>
        </w:rPr>
        <w:t>总  则</w:t>
      </w:r>
      <w:bookmarkEnd w:id="0"/>
      <w:bookmarkEnd w:id="1"/>
      <w:bookmarkEnd w:id="2"/>
      <w:bookmarkEnd w:id="3"/>
      <w:bookmarkEnd w:id="4"/>
    </w:p>
    <w:p w14:paraId="5CF1C76C">
      <w:pPr>
        <w:keepNext/>
        <w:keepLines/>
        <w:numPr>
          <w:ilvl w:val="0"/>
          <w:numId w:val="1"/>
        </w:numPr>
        <w:spacing w:before="163" w:beforeLines="50"/>
        <w:ind w:left="426" w:firstLineChars="0"/>
        <w:jc w:val="left"/>
        <w:outlineLvl w:val="2"/>
        <w:rPr>
          <w:rFonts w:ascii="宋体" w:hAnsi="宋体"/>
          <w:b/>
        </w:rPr>
      </w:pPr>
      <w:bookmarkStart w:id="7" w:name="_Toc57107019"/>
      <w:bookmarkStart w:id="8" w:name="_Toc4775"/>
      <w:bookmarkStart w:id="9" w:name="_Toc31999"/>
      <w:r>
        <w:rPr>
          <w:rFonts w:hint="eastAsia" w:ascii="宋体" w:hAnsi="宋体"/>
          <w:b/>
        </w:rPr>
        <w:t>规划目的</w:t>
      </w:r>
      <w:bookmarkEnd w:id="7"/>
      <w:bookmarkEnd w:id="8"/>
      <w:bookmarkEnd w:id="9"/>
    </w:p>
    <w:p w14:paraId="17046C93">
      <w:pPr>
        <w:ind w:firstLine="480"/>
        <w:rPr>
          <w:rFonts w:ascii="宋体" w:hAnsi="宋体"/>
        </w:rPr>
      </w:pPr>
      <w:bookmarkStart w:id="10" w:name="_Toc57194983"/>
      <w:bookmarkStart w:id="11" w:name="_Toc14425"/>
      <w:bookmarkStart w:id="12" w:name="_Toc57193786"/>
      <w:bookmarkStart w:id="13" w:name="_Toc57194043"/>
      <w:r>
        <w:rPr>
          <w:rFonts w:hint="eastAsia" w:ascii="宋体" w:hAnsi="宋体"/>
        </w:rPr>
        <w:t>为保护文登历史文化遗产和历史风貌，传承和弘扬城市传统文化，协调名城保护与城市发展之间的关系，营建科学发展、安全宜居、精致幸福的特色名城，在威海市行政区划调整和全域发展功能更新的背景下，特编制本规划。</w:t>
      </w:r>
      <w:bookmarkEnd w:id="10"/>
      <w:bookmarkEnd w:id="11"/>
      <w:bookmarkEnd w:id="12"/>
      <w:bookmarkEnd w:id="13"/>
    </w:p>
    <w:p w14:paraId="1BDFCB11">
      <w:pPr>
        <w:keepNext/>
        <w:keepLines/>
        <w:numPr>
          <w:ilvl w:val="0"/>
          <w:numId w:val="1"/>
        </w:numPr>
        <w:spacing w:before="163" w:beforeLines="50"/>
        <w:ind w:left="426" w:firstLineChars="0"/>
        <w:jc w:val="left"/>
        <w:outlineLvl w:val="2"/>
        <w:rPr>
          <w:rFonts w:ascii="宋体" w:hAnsi="宋体"/>
          <w:b/>
        </w:rPr>
      </w:pPr>
      <w:bookmarkStart w:id="14" w:name="_Toc2431"/>
      <w:r>
        <w:rPr>
          <w:rFonts w:hint="eastAsia" w:ascii="宋体" w:hAnsi="宋体"/>
          <w:b/>
        </w:rPr>
        <w:t>规划地位和作用</w:t>
      </w:r>
      <w:bookmarkEnd w:id="14"/>
    </w:p>
    <w:p w14:paraId="2BAABB9A">
      <w:pPr>
        <w:ind w:firstLine="480"/>
        <w:rPr>
          <w:rFonts w:ascii="宋体" w:hAnsi="宋体"/>
        </w:rPr>
      </w:pPr>
      <w:r>
        <w:rPr>
          <w:rFonts w:hint="eastAsia" w:ascii="宋体" w:hAnsi="宋体"/>
        </w:rPr>
        <w:t>文登历史文化名城保护规划是法定规划，是文登城市经济与社会发展政策的重要组成部分，本规划范围内的各项建设须符合本规划的各项规定和要求。</w:t>
      </w:r>
    </w:p>
    <w:p w14:paraId="177D7CAF">
      <w:pPr>
        <w:keepNext/>
        <w:keepLines/>
        <w:numPr>
          <w:ilvl w:val="0"/>
          <w:numId w:val="1"/>
        </w:numPr>
        <w:spacing w:before="163" w:beforeLines="50"/>
        <w:ind w:left="426" w:firstLineChars="0"/>
        <w:jc w:val="left"/>
        <w:outlineLvl w:val="2"/>
        <w:rPr>
          <w:rFonts w:ascii="宋体" w:hAnsi="宋体"/>
          <w:b/>
        </w:rPr>
      </w:pPr>
      <w:bookmarkStart w:id="15" w:name="_Toc20911"/>
      <w:bookmarkStart w:id="16" w:name="_Toc20958"/>
      <w:r>
        <w:rPr>
          <w:rFonts w:hint="eastAsia" w:ascii="宋体" w:hAnsi="宋体"/>
          <w:b/>
        </w:rPr>
        <w:t>规划依据</w:t>
      </w:r>
      <w:bookmarkEnd w:id="15"/>
      <w:bookmarkEnd w:id="16"/>
    </w:p>
    <w:p w14:paraId="7662AAA8">
      <w:pPr>
        <w:ind w:firstLine="480"/>
        <w:rPr>
          <w:rFonts w:ascii="宋体" w:hAnsi="宋体"/>
        </w:rPr>
      </w:pPr>
      <w:bookmarkStart w:id="17" w:name="_Toc31307"/>
      <w:r>
        <w:rPr>
          <w:rFonts w:hint="eastAsia" w:ascii="宋体" w:hAnsi="宋体"/>
        </w:rPr>
        <w:t xml:space="preserve">1、《中华人民共和国城乡规划法》（2019 年修正） </w:t>
      </w:r>
    </w:p>
    <w:p w14:paraId="4043E666">
      <w:pPr>
        <w:ind w:firstLine="480"/>
        <w:rPr>
          <w:rFonts w:ascii="宋体" w:hAnsi="宋体"/>
        </w:rPr>
      </w:pPr>
      <w:r>
        <w:rPr>
          <w:rFonts w:hint="eastAsia" w:ascii="宋体" w:hAnsi="宋体"/>
        </w:rPr>
        <w:t xml:space="preserve">2、《中华人民共和国文物保护法》（2017 年） </w:t>
      </w:r>
    </w:p>
    <w:p w14:paraId="229E6F6B">
      <w:pPr>
        <w:ind w:firstLine="480"/>
        <w:rPr>
          <w:rFonts w:ascii="宋体" w:hAnsi="宋体"/>
        </w:rPr>
      </w:pPr>
      <w:r>
        <w:rPr>
          <w:rFonts w:hint="eastAsia" w:ascii="宋体" w:hAnsi="宋体"/>
        </w:rPr>
        <w:t xml:space="preserve">3、《历史文化名城名镇名村保护条例》（2017 年修正） </w:t>
      </w:r>
    </w:p>
    <w:p w14:paraId="76196EAF">
      <w:pPr>
        <w:ind w:firstLine="480"/>
        <w:rPr>
          <w:rFonts w:ascii="宋体" w:hAnsi="宋体"/>
        </w:rPr>
      </w:pPr>
      <w:r>
        <w:rPr>
          <w:rFonts w:hint="eastAsia" w:ascii="宋体" w:hAnsi="宋体"/>
        </w:rPr>
        <w:t xml:space="preserve">4、《历史文化名城名镇名村街区保护规划编制审批办法》（建设部令第 20 号，2014 年） </w:t>
      </w:r>
    </w:p>
    <w:p w14:paraId="2FE52E06">
      <w:pPr>
        <w:ind w:firstLine="480"/>
        <w:rPr>
          <w:rFonts w:ascii="宋体" w:hAnsi="宋体"/>
        </w:rPr>
      </w:pPr>
      <w:r>
        <w:rPr>
          <w:rFonts w:hint="eastAsia" w:ascii="宋体" w:hAnsi="宋体"/>
        </w:rPr>
        <w:t xml:space="preserve">5、《城市紫线管理办法》（建设部令第 119 号，2003 年） </w:t>
      </w:r>
    </w:p>
    <w:p w14:paraId="4BCB4238">
      <w:pPr>
        <w:ind w:firstLine="480"/>
        <w:rPr>
          <w:rFonts w:ascii="宋体" w:hAnsi="宋体"/>
        </w:rPr>
      </w:pPr>
      <w:r>
        <w:rPr>
          <w:rFonts w:hint="eastAsia" w:ascii="宋体" w:hAnsi="宋体"/>
        </w:rPr>
        <w:t xml:space="preserve">6、《山东省历史文化名城名镇名村保护条例》（2020 年） </w:t>
      </w:r>
    </w:p>
    <w:p w14:paraId="79991004">
      <w:pPr>
        <w:ind w:firstLine="480"/>
        <w:rPr>
          <w:rFonts w:ascii="宋体" w:hAnsi="宋体"/>
        </w:rPr>
      </w:pPr>
      <w:r>
        <w:rPr>
          <w:rFonts w:hint="eastAsia" w:ascii="宋体" w:hAnsi="宋体"/>
        </w:rPr>
        <w:t xml:space="preserve">7、《山东省文物保护条例》（2016 年修正） </w:t>
      </w:r>
    </w:p>
    <w:p w14:paraId="08C17039">
      <w:pPr>
        <w:ind w:firstLine="480"/>
        <w:rPr>
          <w:rFonts w:ascii="宋体" w:hAnsi="宋体"/>
        </w:rPr>
      </w:pPr>
      <w:r>
        <w:rPr>
          <w:rFonts w:hint="eastAsia" w:ascii="宋体" w:hAnsi="宋体"/>
        </w:rPr>
        <w:t xml:space="preserve">8、《历史文化名城保护规划标准》（GB/T50357-2018） </w:t>
      </w:r>
    </w:p>
    <w:p w14:paraId="0F42340B">
      <w:pPr>
        <w:ind w:firstLine="480"/>
        <w:rPr>
          <w:rFonts w:ascii="宋体" w:hAnsi="宋体"/>
        </w:rPr>
      </w:pPr>
      <w:r>
        <w:rPr>
          <w:rFonts w:hint="eastAsia" w:ascii="宋体" w:hAnsi="宋体"/>
        </w:rPr>
        <w:t xml:space="preserve">9、住房和城乡建设部、国家文物局《历史文化名城名镇名村保护规划编制要求（试行）》（建规〔2012〕195 号） </w:t>
      </w:r>
    </w:p>
    <w:p w14:paraId="2B36C5FB">
      <w:pPr>
        <w:ind w:firstLine="480"/>
        <w:rPr>
          <w:rFonts w:ascii="宋体" w:hAnsi="宋体"/>
        </w:rPr>
      </w:pPr>
      <w:r>
        <w:rPr>
          <w:rFonts w:hint="eastAsia" w:ascii="宋体" w:hAnsi="宋体"/>
        </w:rPr>
        <w:t>10、国家、山东省和威海市的其他相关法律、法规和规范性文件。</w:t>
      </w:r>
      <w:bookmarkEnd w:id="17"/>
    </w:p>
    <w:p w14:paraId="25324786">
      <w:pPr>
        <w:keepNext/>
        <w:keepLines/>
        <w:numPr>
          <w:ilvl w:val="0"/>
          <w:numId w:val="1"/>
        </w:numPr>
        <w:spacing w:before="163" w:beforeLines="50"/>
        <w:ind w:left="426" w:firstLineChars="0"/>
        <w:jc w:val="left"/>
        <w:outlineLvl w:val="2"/>
        <w:rPr>
          <w:rFonts w:ascii="宋体" w:hAnsi="宋体"/>
          <w:b/>
        </w:rPr>
      </w:pPr>
      <w:bookmarkStart w:id="18" w:name="_Toc26755"/>
      <w:bookmarkStart w:id="19" w:name="_Toc3875"/>
      <w:r>
        <w:rPr>
          <w:rFonts w:hint="eastAsia" w:ascii="宋体" w:hAnsi="宋体"/>
          <w:b/>
        </w:rPr>
        <w:t>规划原则</w:t>
      </w:r>
      <w:bookmarkEnd w:id="18"/>
      <w:bookmarkEnd w:id="19"/>
    </w:p>
    <w:p w14:paraId="7F8D7BE6">
      <w:pPr>
        <w:ind w:firstLine="480"/>
        <w:rPr>
          <w:rFonts w:ascii="宋体" w:hAnsi="宋体"/>
          <w:kern w:val="0"/>
          <w:szCs w:val="20"/>
        </w:rPr>
      </w:pPr>
      <w:r>
        <w:rPr>
          <w:rFonts w:hint="eastAsia" w:ascii="宋体" w:hAnsi="宋体"/>
          <w:kern w:val="0"/>
          <w:szCs w:val="20"/>
        </w:rPr>
        <w:t>1、保护优先。正确处理历史文化遗产保护与经济社会发展的关系，既切实保护好历史文化遗产，又适应现代生活和工作的需要，使保护与建设、发展相协调。</w:t>
      </w:r>
    </w:p>
    <w:p w14:paraId="0A0FBBFF">
      <w:pPr>
        <w:ind w:firstLine="480"/>
        <w:rPr>
          <w:rFonts w:ascii="宋体" w:hAnsi="宋体"/>
          <w:kern w:val="0"/>
          <w:szCs w:val="20"/>
        </w:rPr>
      </w:pPr>
      <w:r>
        <w:rPr>
          <w:rFonts w:hint="eastAsia" w:ascii="宋体" w:hAnsi="宋体"/>
          <w:kern w:val="0"/>
          <w:szCs w:val="20"/>
        </w:rPr>
        <w:t>2、科学合理。以科学发展观为指导，遵循真实性、完整性和可持续性的原则，保护城市历史文化遗产。</w:t>
      </w:r>
    </w:p>
    <w:p w14:paraId="78D6328F">
      <w:pPr>
        <w:ind w:firstLine="480"/>
        <w:rPr>
          <w:rFonts w:ascii="宋体" w:hAnsi="宋体"/>
          <w:kern w:val="0"/>
          <w:szCs w:val="20"/>
        </w:rPr>
      </w:pPr>
      <w:r>
        <w:rPr>
          <w:rFonts w:hint="eastAsia" w:ascii="宋体" w:hAnsi="宋体"/>
          <w:kern w:val="0"/>
          <w:szCs w:val="20"/>
        </w:rPr>
        <w:t>3、文脉传承。保护历史文化遗产及其历史环境，保护和延续传统格局和风貌，继承和弘扬民族与地方优秀传统文化。</w:t>
      </w:r>
    </w:p>
    <w:p w14:paraId="79230D97">
      <w:pPr>
        <w:ind w:firstLine="480"/>
        <w:rPr>
          <w:rFonts w:ascii="宋体" w:hAnsi="宋体"/>
          <w:kern w:val="0"/>
          <w:szCs w:val="20"/>
        </w:rPr>
      </w:pPr>
      <w:r>
        <w:rPr>
          <w:rFonts w:hint="eastAsia" w:ascii="宋体" w:hAnsi="宋体"/>
          <w:kern w:val="0"/>
          <w:szCs w:val="20"/>
        </w:rPr>
        <w:t>4、以人为本。</w:t>
      </w:r>
      <w:r>
        <w:rPr>
          <w:rFonts w:ascii="宋体" w:hAnsi="宋体"/>
          <w:kern w:val="0"/>
          <w:szCs w:val="20"/>
        </w:rPr>
        <w:t>积极探索小规模、渐进式、有机的保护更新模式，</w:t>
      </w:r>
      <w:r>
        <w:rPr>
          <w:rFonts w:hint="eastAsia" w:ascii="宋体" w:hAnsi="宋体"/>
          <w:kern w:val="0"/>
          <w:szCs w:val="20"/>
        </w:rPr>
        <w:t>妥善处理居民生活条件改善与古城历史环境保护的关系。</w:t>
      </w:r>
    </w:p>
    <w:p w14:paraId="2F1BBD7C">
      <w:pPr>
        <w:keepNext/>
        <w:keepLines/>
        <w:numPr>
          <w:ilvl w:val="0"/>
          <w:numId w:val="1"/>
        </w:numPr>
        <w:spacing w:before="163" w:beforeLines="50"/>
        <w:ind w:left="426" w:firstLineChars="0"/>
        <w:jc w:val="left"/>
        <w:outlineLvl w:val="2"/>
        <w:rPr>
          <w:rFonts w:ascii="宋体" w:hAnsi="宋体"/>
          <w:b/>
        </w:rPr>
      </w:pPr>
      <w:bookmarkStart w:id="20" w:name="_Toc321343094"/>
      <w:bookmarkStart w:id="21" w:name="_Toc43"/>
      <w:bookmarkStart w:id="22" w:name="_Toc321343396"/>
      <w:bookmarkStart w:id="23" w:name="_Toc19102"/>
      <w:r>
        <w:rPr>
          <w:rFonts w:hint="eastAsia" w:ascii="宋体" w:hAnsi="宋体"/>
          <w:b/>
        </w:rPr>
        <w:t>规划目标</w:t>
      </w:r>
      <w:bookmarkEnd w:id="20"/>
      <w:bookmarkEnd w:id="21"/>
      <w:bookmarkEnd w:id="22"/>
      <w:bookmarkEnd w:id="23"/>
    </w:p>
    <w:p w14:paraId="5522CB6D">
      <w:pPr>
        <w:ind w:firstLine="480"/>
        <w:rPr>
          <w:rFonts w:ascii="宋体" w:hAnsi="宋体"/>
          <w:bCs/>
        </w:rPr>
      </w:pPr>
      <w:r>
        <w:rPr>
          <w:rFonts w:hint="eastAsia" w:ascii="宋体" w:hAnsi="宋体"/>
          <w:bCs/>
        </w:rPr>
        <w:t>全面保护文登历史文化遗产及自然环境，建立以历史城区、历史文化街区保护为重点，覆盖全域的历史文化遗产保护体系。保护、展现文登真实历史风貌，继承历史文化。积极活化利用，把文登建设为历史与现代交相辉映、文化特色鲜明的历史文化名城。</w:t>
      </w:r>
    </w:p>
    <w:p w14:paraId="3358A0D4">
      <w:pPr>
        <w:keepNext/>
        <w:keepLines/>
        <w:numPr>
          <w:ilvl w:val="0"/>
          <w:numId w:val="1"/>
        </w:numPr>
        <w:spacing w:before="163" w:beforeLines="50"/>
        <w:ind w:left="426" w:firstLineChars="0"/>
        <w:jc w:val="left"/>
        <w:outlineLvl w:val="2"/>
        <w:rPr>
          <w:rFonts w:ascii="宋体" w:hAnsi="宋体"/>
          <w:b/>
        </w:rPr>
      </w:pPr>
      <w:bookmarkStart w:id="24" w:name="_Toc11928"/>
      <w:r>
        <w:rPr>
          <w:rFonts w:hint="eastAsia" w:ascii="宋体" w:hAnsi="宋体"/>
          <w:b/>
        </w:rPr>
        <w:t>保护体系</w:t>
      </w:r>
      <w:bookmarkEnd w:id="24"/>
      <w:r>
        <w:rPr>
          <w:rFonts w:hint="eastAsia" w:ascii="宋体" w:hAnsi="宋体"/>
          <w:b/>
        </w:rPr>
        <w:t xml:space="preserve"> </w:t>
      </w:r>
    </w:p>
    <w:p w14:paraId="193A6F43">
      <w:pPr>
        <w:ind w:firstLine="480"/>
        <w:rPr>
          <w:rFonts w:ascii="宋体" w:hAnsi="宋体"/>
          <w:kern w:val="0"/>
          <w:szCs w:val="20"/>
        </w:rPr>
      </w:pPr>
      <w:r>
        <w:rPr>
          <w:rFonts w:hint="eastAsia" w:ascii="宋体" w:hAnsi="宋体"/>
          <w:bCs/>
        </w:rPr>
        <w:t>建立历史文化名城、历史文化街区、不可移动文物和历史建筑、历史文化名村和传统村落四个层次的保护体系，同时考虑非物质文化遗产保护。</w:t>
      </w:r>
    </w:p>
    <w:p w14:paraId="10F5115E">
      <w:pPr>
        <w:keepNext/>
        <w:keepLines/>
        <w:numPr>
          <w:ilvl w:val="0"/>
          <w:numId w:val="1"/>
        </w:numPr>
        <w:spacing w:before="163" w:beforeLines="50"/>
        <w:ind w:left="426" w:firstLineChars="0"/>
        <w:jc w:val="left"/>
        <w:outlineLvl w:val="2"/>
        <w:rPr>
          <w:rFonts w:ascii="宋体" w:hAnsi="宋体"/>
          <w:b/>
        </w:rPr>
      </w:pPr>
      <w:bookmarkStart w:id="25" w:name="_Toc26036"/>
      <w:r>
        <w:rPr>
          <w:rFonts w:hint="eastAsia" w:ascii="宋体" w:hAnsi="宋体"/>
          <w:b/>
        </w:rPr>
        <w:t>保护内容</w:t>
      </w:r>
      <w:bookmarkEnd w:id="25"/>
    </w:p>
    <w:p w14:paraId="6EC7015F">
      <w:pPr>
        <w:ind w:firstLine="480"/>
        <w:rPr>
          <w:rFonts w:ascii="宋体" w:hAnsi="宋体"/>
        </w:rPr>
      </w:pPr>
      <w:r>
        <w:rPr>
          <w:rFonts w:hint="eastAsia" w:ascii="宋体" w:hAnsi="宋体"/>
        </w:rPr>
        <w:t>保护内容包括整体自然环境、历史城区、历史文化街区、不可移动文物、历史建筑、历史文化名村、传统村落和非物质文化遗产。</w:t>
      </w:r>
    </w:p>
    <w:p w14:paraId="69BA70DD">
      <w:pPr>
        <w:keepNext/>
        <w:keepLines/>
        <w:numPr>
          <w:ilvl w:val="0"/>
          <w:numId w:val="1"/>
        </w:numPr>
        <w:tabs>
          <w:tab w:val="left" w:pos="5357"/>
        </w:tabs>
        <w:spacing w:before="163" w:beforeLines="50"/>
        <w:ind w:left="426" w:firstLineChars="0"/>
        <w:jc w:val="left"/>
        <w:outlineLvl w:val="2"/>
        <w:rPr>
          <w:rFonts w:ascii="宋体" w:hAnsi="宋体"/>
          <w:b/>
        </w:rPr>
      </w:pPr>
      <w:bookmarkStart w:id="26" w:name="_Toc13192"/>
      <w:bookmarkStart w:id="27" w:name="_Toc25707"/>
      <w:r>
        <w:rPr>
          <w:rFonts w:hint="eastAsia" w:ascii="宋体" w:hAnsi="宋体"/>
          <w:b/>
        </w:rPr>
        <w:t>规划重点</w:t>
      </w:r>
      <w:bookmarkEnd w:id="26"/>
      <w:bookmarkEnd w:id="27"/>
      <w:r>
        <w:rPr>
          <w:rFonts w:hint="eastAsia" w:ascii="宋体" w:hAnsi="宋体"/>
          <w:b/>
        </w:rPr>
        <w:tab/>
      </w:r>
    </w:p>
    <w:p w14:paraId="067D7AD2">
      <w:pPr>
        <w:widowControl/>
        <w:ind w:firstLine="480"/>
        <w:jc w:val="left"/>
        <w:rPr>
          <w:rFonts w:ascii="宋体" w:hAnsi="宋体"/>
        </w:rPr>
      </w:pPr>
      <w:r>
        <w:rPr>
          <w:rFonts w:hint="eastAsia" w:ascii="宋体" w:hAnsi="宋体"/>
          <w:bCs/>
        </w:rPr>
        <w:t xml:space="preserve">规划应着重考虑历史城区、历史文化街区、文物保护单位的保护。 </w:t>
      </w:r>
    </w:p>
    <w:p w14:paraId="39036FB7">
      <w:pPr>
        <w:keepNext/>
        <w:keepLines/>
        <w:numPr>
          <w:ilvl w:val="0"/>
          <w:numId w:val="1"/>
        </w:numPr>
        <w:spacing w:before="163" w:beforeLines="50"/>
        <w:ind w:left="426" w:firstLineChars="0"/>
        <w:jc w:val="left"/>
        <w:outlineLvl w:val="2"/>
        <w:rPr>
          <w:rFonts w:ascii="宋体" w:hAnsi="宋体"/>
          <w:b/>
        </w:rPr>
      </w:pPr>
      <w:bookmarkStart w:id="28" w:name="_Toc31881"/>
      <w:bookmarkStart w:id="29" w:name="_Toc31375"/>
      <w:r>
        <w:rPr>
          <w:rFonts w:hint="eastAsia" w:ascii="宋体" w:hAnsi="宋体"/>
          <w:b/>
        </w:rPr>
        <w:t>规划范围</w:t>
      </w:r>
      <w:bookmarkEnd w:id="28"/>
      <w:bookmarkEnd w:id="29"/>
    </w:p>
    <w:p w14:paraId="1142D7E6">
      <w:pPr>
        <w:widowControl/>
        <w:ind w:firstLine="480"/>
        <w:jc w:val="left"/>
        <w:rPr>
          <w:rFonts w:ascii="宋体" w:hAnsi="宋体"/>
          <w:kern w:val="0"/>
          <w:szCs w:val="20"/>
        </w:rPr>
      </w:pPr>
      <w:r>
        <w:rPr>
          <w:rFonts w:hint="eastAsia" w:ascii="宋体" w:hAnsi="宋体"/>
          <w:kern w:val="0"/>
          <w:szCs w:val="20"/>
        </w:rPr>
        <w:t>本规划编制范围为文登区行政范</w:t>
      </w:r>
      <w:r>
        <w:rPr>
          <w:rFonts w:hint="eastAsia" w:ascii="宋体" w:hAnsi="宋体"/>
          <w:bCs/>
        </w:rPr>
        <w:t xml:space="preserve">围，主要针对历史城区、历史文化街区等区域。 </w:t>
      </w:r>
    </w:p>
    <w:p w14:paraId="4C17154B">
      <w:pPr>
        <w:keepNext/>
        <w:keepLines/>
        <w:numPr>
          <w:ilvl w:val="0"/>
          <w:numId w:val="4"/>
        </w:numPr>
        <w:spacing w:before="489" w:beforeLines="150" w:after="326" w:afterLines="100" w:line="400" w:lineRule="exact"/>
        <w:ind w:firstLineChars="0"/>
        <w:jc w:val="center"/>
        <w:outlineLvl w:val="0"/>
        <w:rPr>
          <w:rFonts w:ascii="黑体" w:eastAsia="黑体"/>
          <w:b/>
          <w:sz w:val="32"/>
          <w:szCs w:val="32"/>
        </w:rPr>
      </w:pPr>
      <w:bookmarkStart w:id="30" w:name="_Toc447034899"/>
      <w:bookmarkStart w:id="31" w:name="_Toc15501"/>
      <w:bookmarkStart w:id="32" w:name="_Toc12664"/>
      <w:bookmarkStart w:id="33" w:name="_Toc17912"/>
      <w:r>
        <w:rPr>
          <w:rFonts w:hint="eastAsia" w:ascii="黑体" w:eastAsia="黑体"/>
          <w:b/>
          <w:sz w:val="32"/>
          <w:szCs w:val="32"/>
        </w:rPr>
        <w:t>历史文化价值与</w:t>
      </w:r>
      <w:bookmarkEnd w:id="30"/>
      <w:bookmarkEnd w:id="31"/>
      <w:bookmarkEnd w:id="32"/>
      <w:r>
        <w:rPr>
          <w:rFonts w:hint="eastAsia" w:ascii="黑体" w:eastAsia="黑体"/>
          <w:b/>
          <w:sz w:val="32"/>
          <w:szCs w:val="32"/>
        </w:rPr>
        <w:t>特色</w:t>
      </w:r>
      <w:bookmarkEnd w:id="33"/>
    </w:p>
    <w:p w14:paraId="17C05384">
      <w:pPr>
        <w:keepNext/>
        <w:keepLines/>
        <w:numPr>
          <w:ilvl w:val="0"/>
          <w:numId w:val="1"/>
        </w:numPr>
        <w:spacing w:before="163" w:beforeLines="50"/>
        <w:ind w:left="426" w:firstLineChars="0"/>
        <w:jc w:val="left"/>
        <w:outlineLvl w:val="2"/>
        <w:rPr>
          <w:rFonts w:ascii="宋体" w:hAnsi="宋体"/>
          <w:b/>
        </w:rPr>
      </w:pPr>
      <w:bookmarkStart w:id="34" w:name="_Toc25036"/>
      <w:bookmarkStart w:id="35" w:name="_Toc11313"/>
      <w:r>
        <w:rPr>
          <w:rFonts w:hint="eastAsia" w:ascii="宋体" w:hAnsi="宋体"/>
          <w:b/>
        </w:rPr>
        <w:t>名城价值</w:t>
      </w:r>
      <w:bookmarkEnd w:id="34"/>
      <w:bookmarkEnd w:id="35"/>
    </w:p>
    <w:p w14:paraId="60A77857">
      <w:pPr>
        <w:ind w:firstLine="480"/>
        <w:rPr>
          <w:rFonts w:ascii="宋体" w:hAnsi="宋体"/>
        </w:rPr>
      </w:pPr>
      <w:r>
        <w:rPr>
          <w:rFonts w:hint="eastAsia" w:ascii="宋体" w:hAnsi="宋体"/>
        </w:rPr>
        <w:t>1、远古文明的发祥地</w:t>
      </w:r>
    </w:p>
    <w:p w14:paraId="69C33653">
      <w:pPr>
        <w:ind w:firstLine="480"/>
        <w:rPr>
          <w:rFonts w:ascii="宋体" w:hAnsi="宋体"/>
        </w:rPr>
      </w:pPr>
      <w:r>
        <w:rPr>
          <w:rFonts w:hint="eastAsia" w:ascii="宋体" w:hAnsi="宋体"/>
        </w:rPr>
        <w:t>早在4000年前的新石器时期，先民在这里繁衍生息。因秦始皇东巡“召文人登山”而得名，公元568年设县，1988年撤县设市，至今已有1400多年的建制史，是胶东地区少数千年古县之一。</w:t>
      </w:r>
    </w:p>
    <w:p w14:paraId="0F122ACF">
      <w:pPr>
        <w:ind w:firstLine="480"/>
        <w:rPr>
          <w:rFonts w:ascii="宋体" w:hAnsi="宋体"/>
        </w:rPr>
      </w:pPr>
      <w:r>
        <w:rPr>
          <w:rFonts w:hint="eastAsia" w:ascii="宋体" w:hAnsi="宋体"/>
        </w:rPr>
        <w:t>2、古代山东沿海重要的海防基地</w:t>
      </w:r>
    </w:p>
    <w:p w14:paraId="2FD2CE62">
      <w:pPr>
        <w:ind w:firstLine="480"/>
        <w:rPr>
          <w:rFonts w:ascii="宋体" w:hAnsi="宋体"/>
        </w:rPr>
      </w:pPr>
      <w:r>
        <w:rPr>
          <w:rFonts w:hint="eastAsia" w:ascii="宋体" w:hAnsi="宋体"/>
        </w:rPr>
        <w:t>明代宣德二年在文登县城西门里建文登营。文登营鼎盛期统辖四卫，历经485年，是明清两代抗击东海倭寇的重要海防设施，是当时沿海最高军事机关所在地。文登营及各卫在抵御倭寇对沿海的入侵发挥着至关重要的作用,形成了特有的海防军事文化。</w:t>
      </w:r>
    </w:p>
    <w:p w14:paraId="1F57B8BD">
      <w:pPr>
        <w:ind w:firstLine="480"/>
        <w:rPr>
          <w:rFonts w:ascii="宋体" w:hAnsi="宋体"/>
        </w:rPr>
      </w:pPr>
      <w:r>
        <w:rPr>
          <w:rFonts w:hint="eastAsia" w:ascii="宋体" w:hAnsi="宋体"/>
        </w:rPr>
        <w:t>3、红色文化的根据地</w:t>
      </w:r>
    </w:p>
    <w:p w14:paraId="57F4E059">
      <w:pPr>
        <w:ind w:firstLine="480"/>
        <w:rPr>
          <w:rFonts w:ascii="宋体" w:hAnsi="宋体"/>
        </w:rPr>
      </w:pPr>
      <w:r>
        <w:rPr>
          <w:rFonts w:hint="eastAsia" w:ascii="宋体" w:hAnsi="宋体"/>
        </w:rPr>
        <w:t>1937年12月24日爆发的天福山起义，打响了胶东抗战第一枪，揭开了胶东人民抗日武装斗争和根据地建设的序幕。在抗日战争和解放战争期间，文登有3.2万多人参军入伍，为中国革命的胜利作出了不可磨灭的贡献，为文登筑起一座红色的精神丰碑。</w:t>
      </w:r>
    </w:p>
    <w:p w14:paraId="63D9EAC5">
      <w:pPr>
        <w:ind w:firstLine="480"/>
        <w:rPr>
          <w:rFonts w:ascii="宋体" w:hAnsi="宋体"/>
        </w:rPr>
      </w:pPr>
      <w:r>
        <w:rPr>
          <w:rFonts w:hint="eastAsia" w:ascii="宋体" w:hAnsi="宋体"/>
        </w:rPr>
        <w:t>4、胶东地区历史文化的窗口</w:t>
      </w:r>
    </w:p>
    <w:bookmarkEnd w:id="5"/>
    <w:bookmarkEnd w:id="6"/>
    <w:p w14:paraId="67471997">
      <w:pPr>
        <w:ind w:firstLine="480"/>
        <w:rPr>
          <w:rFonts w:ascii="宋体" w:hAnsi="宋体"/>
        </w:rPr>
      </w:pPr>
      <w:bookmarkStart w:id="36" w:name="_Toc3945"/>
      <w:bookmarkStart w:id="37" w:name="_Toc18837"/>
      <w:r>
        <w:rPr>
          <w:rFonts w:hint="eastAsia" w:ascii="宋体" w:hAnsi="宋体"/>
        </w:rPr>
        <w:t>文登独有的地域文化，孕育了独特建筑风貌和地方习俗，文登学文化、李龙文化</w:t>
      </w:r>
      <w:r>
        <w:rPr>
          <w:rFonts w:hint="eastAsia" w:ascii="宋体" w:hAnsi="宋体"/>
          <w:szCs w:val="20"/>
        </w:rPr>
        <w:t>在民间有着广泛深远的影响，</w:t>
      </w:r>
      <w:r>
        <w:rPr>
          <w:rFonts w:hint="eastAsia" w:ascii="宋体" w:hAnsi="宋体"/>
        </w:rPr>
        <w:t>是胶东地区重要的历史文化展示窗口。</w:t>
      </w:r>
    </w:p>
    <w:p w14:paraId="0043E4F9">
      <w:pPr>
        <w:keepNext/>
        <w:keepLines/>
        <w:numPr>
          <w:ilvl w:val="0"/>
          <w:numId w:val="1"/>
        </w:numPr>
        <w:spacing w:before="163" w:beforeLines="50"/>
        <w:ind w:left="426" w:firstLineChars="0"/>
        <w:jc w:val="left"/>
        <w:outlineLvl w:val="2"/>
        <w:rPr>
          <w:rFonts w:ascii="宋体" w:hAnsi="宋体"/>
          <w:b/>
        </w:rPr>
      </w:pPr>
      <w:bookmarkStart w:id="38" w:name="_Toc2647"/>
      <w:bookmarkStart w:id="39" w:name="_Toc8390"/>
      <w:r>
        <w:rPr>
          <w:rFonts w:hint="eastAsia" w:ascii="宋体" w:hAnsi="宋体"/>
          <w:b/>
        </w:rPr>
        <w:t>名城特色</w:t>
      </w:r>
      <w:bookmarkEnd w:id="38"/>
      <w:bookmarkEnd w:id="39"/>
    </w:p>
    <w:p w14:paraId="2BD5CE2A">
      <w:pPr>
        <w:ind w:firstLine="480"/>
        <w:rPr>
          <w:rFonts w:ascii="宋体" w:hAnsi="宋体"/>
        </w:rPr>
      </w:pPr>
      <w:r>
        <w:rPr>
          <w:rFonts w:hint="eastAsia" w:ascii="宋体" w:hAnsi="宋体"/>
        </w:rPr>
        <w:t>1、全域自然环境特色</w:t>
      </w:r>
    </w:p>
    <w:p w14:paraId="7C57C200">
      <w:pPr>
        <w:ind w:firstLine="480"/>
        <w:rPr>
          <w:rFonts w:ascii="宋体" w:hAnsi="宋体"/>
        </w:rPr>
      </w:pPr>
      <w:r>
        <w:rPr>
          <w:rFonts w:hint="eastAsia" w:ascii="宋体" w:hAnsi="宋体"/>
        </w:rPr>
        <w:t xml:space="preserve"> “四山、两河、一线”的自然格局。</w:t>
      </w:r>
    </w:p>
    <w:p w14:paraId="1B1067D7">
      <w:pPr>
        <w:ind w:firstLine="480"/>
        <w:rPr>
          <w:rFonts w:ascii="宋体" w:hAnsi="宋体"/>
        </w:rPr>
      </w:pPr>
      <w:r>
        <w:rPr>
          <w:rFonts w:hint="eastAsia" w:ascii="宋体" w:hAnsi="宋体"/>
        </w:rPr>
        <w:t>四山：昆嵛山、圣经山、天福山、回龙山，形成群山抱城的整体格局。</w:t>
      </w:r>
    </w:p>
    <w:p w14:paraId="298F6D2D">
      <w:pPr>
        <w:ind w:firstLine="480"/>
        <w:rPr>
          <w:rFonts w:ascii="宋体" w:hAnsi="宋体"/>
        </w:rPr>
      </w:pPr>
      <w:r>
        <w:rPr>
          <w:rFonts w:hint="eastAsia" w:ascii="宋体" w:hAnsi="宋体"/>
        </w:rPr>
        <w:t>两河：境内的母猪河、青龙河流域面积占全市总面积的75%。</w:t>
      </w:r>
    </w:p>
    <w:p w14:paraId="4F217609">
      <w:pPr>
        <w:ind w:firstLine="480"/>
        <w:rPr>
          <w:rFonts w:ascii="宋体" w:hAnsi="宋体"/>
        </w:rPr>
      </w:pPr>
      <w:r>
        <w:rPr>
          <w:rFonts w:hint="eastAsia" w:ascii="宋体" w:hAnsi="宋体"/>
        </w:rPr>
        <w:t>一线：南部海岸线，长约156km，金色沙滩和万亩松林形成海边的一道靓丽风景和天然氧吧。</w:t>
      </w:r>
    </w:p>
    <w:p w14:paraId="4C72E5AA">
      <w:pPr>
        <w:ind w:firstLine="480"/>
        <w:rPr>
          <w:rFonts w:ascii="宋体" w:hAnsi="宋体"/>
        </w:rPr>
      </w:pPr>
      <w:r>
        <w:rPr>
          <w:rFonts w:hint="eastAsia" w:ascii="宋体" w:hAnsi="宋体"/>
        </w:rPr>
        <w:t>2、城址格局特色</w:t>
      </w:r>
    </w:p>
    <w:p w14:paraId="3AC7EA67">
      <w:pPr>
        <w:ind w:firstLine="480"/>
        <w:rPr>
          <w:rFonts w:ascii="宋体" w:hAnsi="宋体"/>
        </w:rPr>
      </w:pPr>
      <w:r>
        <w:rPr>
          <w:rFonts w:hint="eastAsia" w:ascii="宋体" w:hAnsi="宋体"/>
        </w:rPr>
        <w:t>文登城依山傍水、自然和城市相得益彰。文登城坐落于峰山南麓，南侧有抱龙河，西侧有柳林河。独特的自然景观环境，孕育了丰富的城市文化，文登城道法自然，山环水绕，“山·水·城”和谐共存共生。</w:t>
      </w:r>
    </w:p>
    <w:p w14:paraId="689388F2">
      <w:pPr>
        <w:ind w:firstLine="480"/>
        <w:rPr>
          <w:rFonts w:ascii="宋体" w:hAnsi="宋体"/>
        </w:rPr>
      </w:pPr>
      <w:r>
        <w:rPr>
          <w:rFonts w:hint="eastAsia" w:ascii="宋体" w:hAnsi="宋体"/>
        </w:rPr>
        <w:t>3、人文环境特色</w:t>
      </w:r>
    </w:p>
    <w:p w14:paraId="0D4F0848">
      <w:pPr>
        <w:ind w:firstLine="480"/>
        <w:rPr>
          <w:rFonts w:ascii="宋体" w:hAnsi="宋体"/>
        </w:rPr>
      </w:pPr>
      <w:r>
        <w:rPr>
          <w:rFonts w:hint="eastAsia" w:ascii="宋体" w:hAnsi="宋体"/>
        </w:rPr>
        <w:t>文登在各个历史时期的发展均在物质与非物质文化遗产上留下了深刻的烙印，形成了多元性的文化特色，主要包括文登学文化、昆嵛山圣经山道家文化、文登营古代海防文化、天福山红色文化、回龙山李龙文化以及各种民俗文化等。</w:t>
      </w:r>
    </w:p>
    <w:bookmarkEnd w:id="36"/>
    <w:bookmarkEnd w:id="37"/>
    <w:p w14:paraId="24B66705">
      <w:pPr>
        <w:keepNext/>
        <w:keepLines/>
        <w:numPr>
          <w:ilvl w:val="0"/>
          <w:numId w:val="4"/>
        </w:numPr>
        <w:spacing w:before="489" w:beforeLines="150" w:after="326" w:afterLines="100" w:line="400" w:lineRule="exact"/>
        <w:ind w:firstLineChars="0"/>
        <w:jc w:val="center"/>
        <w:outlineLvl w:val="0"/>
        <w:rPr>
          <w:rFonts w:ascii="黑体" w:eastAsia="黑体"/>
          <w:b/>
          <w:sz w:val="32"/>
          <w:szCs w:val="32"/>
        </w:rPr>
      </w:pPr>
      <w:bookmarkStart w:id="40" w:name="_Toc16098"/>
      <w:bookmarkStart w:id="41" w:name="_Toc21522"/>
      <w:bookmarkStart w:id="42" w:name="_Toc1471"/>
      <w:r>
        <w:rPr>
          <w:rFonts w:hint="eastAsia" w:ascii="黑体" w:eastAsia="黑体"/>
          <w:b/>
          <w:sz w:val="32"/>
          <w:szCs w:val="32"/>
        </w:rPr>
        <w:t>全域历史文化遗产保护</w:t>
      </w:r>
      <w:bookmarkEnd w:id="40"/>
      <w:bookmarkEnd w:id="41"/>
      <w:bookmarkEnd w:id="42"/>
    </w:p>
    <w:p w14:paraId="155E3500">
      <w:pPr>
        <w:keepNext/>
        <w:keepLines/>
        <w:numPr>
          <w:ilvl w:val="0"/>
          <w:numId w:val="1"/>
        </w:numPr>
        <w:spacing w:before="163" w:beforeLines="50"/>
        <w:ind w:left="426" w:firstLineChars="0"/>
        <w:jc w:val="left"/>
        <w:outlineLvl w:val="2"/>
        <w:rPr>
          <w:rFonts w:ascii="宋体" w:hAnsi="宋体"/>
          <w:b/>
        </w:rPr>
      </w:pPr>
      <w:bookmarkStart w:id="43" w:name="_Toc28671"/>
      <w:bookmarkStart w:id="44" w:name="_Toc321343394"/>
      <w:bookmarkStart w:id="45" w:name="_Toc321343092"/>
      <w:bookmarkStart w:id="46" w:name="_Toc17119"/>
      <w:r>
        <w:rPr>
          <w:rFonts w:hint="eastAsia" w:ascii="宋体" w:hAnsi="宋体"/>
          <w:b/>
        </w:rPr>
        <w:t>全域保护框架</w:t>
      </w:r>
      <w:bookmarkEnd w:id="43"/>
    </w:p>
    <w:p w14:paraId="109C224C">
      <w:pPr>
        <w:ind w:firstLine="480"/>
        <w:rPr>
          <w:rFonts w:ascii="宋体" w:hAnsi="宋体"/>
          <w:bCs/>
        </w:rPr>
      </w:pPr>
      <w:r>
        <w:rPr>
          <w:rFonts w:hint="eastAsia" w:ascii="宋体" w:hAnsi="宋体"/>
          <w:bCs/>
        </w:rPr>
        <w:t>保护“五圈、三带、多点”的历史文化与自然格局。</w:t>
      </w:r>
    </w:p>
    <w:p w14:paraId="33A8E96C">
      <w:pPr>
        <w:ind w:firstLine="480"/>
        <w:rPr>
          <w:rFonts w:ascii="宋体" w:hAnsi="宋体"/>
          <w:bCs/>
        </w:rPr>
      </w:pPr>
      <w:r>
        <w:rPr>
          <w:rFonts w:hint="eastAsia" w:ascii="宋体" w:hAnsi="宋体"/>
          <w:bCs/>
        </w:rPr>
        <w:t>五圈：中心城文化与自然保护圈、昆嵛山文化与自然保护圈、天福山文化与自然保护圈、万家村文化保护圈、回龙山文化保护圈。</w:t>
      </w:r>
    </w:p>
    <w:p w14:paraId="40FF678C">
      <w:pPr>
        <w:ind w:firstLine="480"/>
        <w:rPr>
          <w:rFonts w:ascii="宋体" w:hAnsi="宋体"/>
          <w:bCs/>
        </w:rPr>
      </w:pPr>
      <w:r>
        <w:rPr>
          <w:rFonts w:hint="eastAsia" w:ascii="宋体" w:hAnsi="宋体"/>
          <w:bCs/>
        </w:rPr>
        <w:t>三带：南部海岸自然保护带、母猪河自然保护带、青龙河自然保护带。</w:t>
      </w:r>
    </w:p>
    <w:p w14:paraId="080026BB">
      <w:pPr>
        <w:ind w:firstLine="480"/>
        <w:rPr>
          <w:rFonts w:ascii="宋体" w:hAnsi="宋体"/>
          <w:bCs/>
        </w:rPr>
      </w:pPr>
      <w:r>
        <w:rPr>
          <w:rFonts w:hint="eastAsia" w:ascii="宋体" w:hAnsi="宋体"/>
          <w:bCs/>
        </w:rPr>
        <w:t>多点：全域范围内的不可移动文物、历史建筑和传统村落。</w:t>
      </w:r>
    </w:p>
    <w:bookmarkEnd w:id="44"/>
    <w:bookmarkEnd w:id="45"/>
    <w:p w14:paraId="33AF2318">
      <w:pPr>
        <w:keepNext/>
        <w:keepLines/>
        <w:numPr>
          <w:ilvl w:val="0"/>
          <w:numId w:val="1"/>
        </w:numPr>
        <w:spacing w:before="163" w:beforeLines="50"/>
        <w:ind w:left="426" w:firstLineChars="0"/>
        <w:jc w:val="left"/>
        <w:outlineLvl w:val="2"/>
        <w:rPr>
          <w:rFonts w:ascii="宋体" w:hAnsi="宋体"/>
          <w:b/>
        </w:rPr>
      </w:pPr>
      <w:bookmarkStart w:id="47" w:name="_Toc14803"/>
      <w:bookmarkStart w:id="48" w:name="_Toc32093"/>
      <w:r>
        <w:rPr>
          <w:rFonts w:hint="eastAsia" w:ascii="宋体" w:hAnsi="宋体"/>
          <w:b/>
        </w:rPr>
        <w:t>保护内容</w:t>
      </w:r>
      <w:bookmarkEnd w:id="47"/>
      <w:bookmarkEnd w:id="48"/>
    </w:p>
    <w:p w14:paraId="7CB4724B">
      <w:pPr>
        <w:ind w:firstLine="480"/>
        <w:rPr>
          <w:rFonts w:ascii="宋体" w:hAnsi="宋体"/>
        </w:rPr>
      </w:pPr>
      <w:r>
        <w:rPr>
          <w:rFonts w:hint="eastAsia" w:ascii="宋体" w:hAnsi="宋体"/>
        </w:rPr>
        <w:t>保护内容由与城市历史相关的自然环境、历史城区、历史文化街区、不可移动文物、历史建筑、传统村落、非物质文化遗产等内容构成。持续加强历史文化资源的普查、认定和公布工作，动态完善名城保护内容。</w:t>
      </w:r>
    </w:p>
    <w:p w14:paraId="44DF473C">
      <w:pPr>
        <w:ind w:firstLine="480"/>
        <w:rPr>
          <w:rFonts w:ascii="宋体" w:hAnsi="宋体"/>
        </w:rPr>
      </w:pPr>
      <w:r>
        <w:rPr>
          <w:rFonts w:hint="eastAsia" w:ascii="宋体" w:hAnsi="宋体"/>
        </w:rPr>
        <w:t>1、整体自然环境</w:t>
      </w:r>
    </w:p>
    <w:p w14:paraId="5CF68CB2">
      <w:pPr>
        <w:ind w:firstLine="480"/>
        <w:rPr>
          <w:rFonts w:ascii="宋体" w:hAnsi="宋体"/>
        </w:rPr>
      </w:pPr>
      <w:r>
        <w:rPr>
          <w:rFonts w:hint="eastAsia" w:ascii="宋体" w:hAnsi="宋体"/>
        </w:rPr>
        <w:t>保护山体、河流水系、海岸带、温泉、古树名木等自然资源。</w:t>
      </w:r>
    </w:p>
    <w:p w14:paraId="1AF9EA4D">
      <w:pPr>
        <w:numPr>
          <w:ilvl w:val="0"/>
          <w:numId w:val="5"/>
        </w:numPr>
        <w:ind w:firstLine="480"/>
        <w:rPr>
          <w:rFonts w:ascii="宋体" w:hAnsi="宋体"/>
        </w:rPr>
      </w:pPr>
      <w:r>
        <w:rPr>
          <w:rFonts w:hint="eastAsia" w:ascii="宋体" w:hAnsi="宋体"/>
        </w:rPr>
        <w:t>历史城区</w:t>
      </w:r>
    </w:p>
    <w:p w14:paraId="7457D045">
      <w:pPr>
        <w:ind w:firstLine="480"/>
        <w:rPr>
          <w:rFonts w:ascii="宋体" w:hAnsi="宋体"/>
        </w:rPr>
      </w:pPr>
      <w:r>
        <w:rPr>
          <w:rFonts w:hint="eastAsia" w:ascii="宋体" w:hAnsi="宋体"/>
        </w:rPr>
        <w:t>保护历史城区传统格局、空间布局、历史轴线、城市肌理、重要节点、历史风貌等。</w:t>
      </w:r>
    </w:p>
    <w:p w14:paraId="61164D2D">
      <w:pPr>
        <w:numPr>
          <w:ilvl w:val="0"/>
          <w:numId w:val="5"/>
        </w:numPr>
        <w:ind w:firstLine="480"/>
        <w:rPr>
          <w:rFonts w:ascii="宋体" w:hAnsi="宋体"/>
        </w:rPr>
      </w:pPr>
      <w:r>
        <w:rPr>
          <w:rFonts w:hint="eastAsia" w:ascii="宋体" w:hAnsi="宋体"/>
        </w:rPr>
        <w:t>历史文化街区</w:t>
      </w:r>
    </w:p>
    <w:p w14:paraId="74B15490">
      <w:pPr>
        <w:ind w:firstLine="480"/>
        <w:rPr>
          <w:rFonts w:ascii="宋体" w:hAnsi="宋体"/>
        </w:rPr>
      </w:pPr>
      <w:r>
        <w:rPr>
          <w:rFonts w:hint="eastAsia" w:ascii="宋体" w:hAnsi="宋体"/>
        </w:rPr>
        <w:t>保护召文台历史文化街区的空间格局、街巷肌理，完整保护街区历史风貌、历史环境要素等。</w:t>
      </w:r>
    </w:p>
    <w:p w14:paraId="38645511">
      <w:pPr>
        <w:numPr>
          <w:ilvl w:val="0"/>
          <w:numId w:val="5"/>
        </w:numPr>
        <w:ind w:firstLine="480"/>
        <w:rPr>
          <w:rFonts w:ascii="宋体" w:hAnsi="宋体"/>
        </w:rPr>
      </w:pPr>
      <w:r>
        <w:rPr>
          <w:rFonts w:hint="eastAsia" w:ascii="宋体" w:hAnsi="宋体"/>
        </w:rPr>
        <w:t>不可移动文物</w:t>
      </w:r>
    </w:p>
    <w:p w14:paraId="5442DF05">
      <w:pPr>
        <w:ind w:firstLine="480"/>
        <w:rPr>
          <w:rFonts w:ascii="宋体" w:hAnsi="宋体"/>
        </w:rPr>
      </w:pPr>
      <w:r>
        <w:rPr>
          <w:rFonts w:hint="eastAsia" w:ascii="宋体" w:hAnsi="宋体"/>
        </w:rPr>
        <w:t>保护102处不可移动文物，其中文物保护单位共计31处，包括国家级重点文物保护单位1处，省级重点文物保护单位13处，市、区级文物保护单位17处。</w:t>
      </w:r>
    </w:p>
    <w:p w14:paraId="2E09CA59">
      <w:pPr>
        <w:numPr>
          <w:ilvl w:val="0"/>
          <w:numId w:val="5"/>
        </w:numPr>
        <w:ind w:firstLine="480"/>
        <w:rPr>
          <w:rFonts w:ascii="宋体" w:hAnsi="宋体"/>
        </w:rPr>
      </w:pPr>
      <w:r>
        <w:rPr>
          <w:rFonts w:hint="eastAsia" w:ascii="宋体" w:hAnsi="宋体"/>
        </w:rPr>
        <w:t>历史建筑</w:t>
      </w:r>
    </w:p>
    <w:p w14:paraId="52425B82">
      <w:pPr>
        <w:ind w:left="480" w:leftChars="200" w:firstLine="0" w:firstLineChars="0"/>
        <w:rPr>
          <w:rFonts w:ascii="宋体" w:hAnsi="宋体"/>
        </w:rPr>
      </w:pPr>
      <w:r>
        <w:rPr>
          <w:rFonts w:hint="eastAsia" w:ascii="宋体" w:hAnsi="宋体"/>
        </w:rPr>
        <w:t>保护12处历史建筑。</w:t>
      </w:r>
    </w:p>
    <w:p w14:paraId="6DB6967D">
      <w:pPr>
        <w:numPr>
          <w:ilvl w:val="0"/>
          <w:numId w:val="5"/>
        </w:numPr>
        <w:ind w:firstLine="480"/>
        <w:rPr>
          <w:rFonts w:ascii="宋体" w:hAnsi="宋体"/>
        </w:rPr>
      </w:pPr>
      <w:r>
        <w:rPr>
          <w:rFonts w:hint="eastAsia" w:ascii="宋体" w:hAnsi="宋体"/>
        </w:rPr>
        <w:t>历史文化名村和传统村落</w:t>
      </w:r>
    </w:p>
    <w:p w14:paraId="7A2730D1">
      <w:pPr>
        <w:ind w:left="480" w:leftChars="200" w:firstLine="0" w:firstLineChars="0"/>
        <w:rPr>
          <w:rFonts w:ascii="宋体" w:hAnsi="宋体"/>
        </w:rPr>
      </w:pPr>
      <w:r>
        <w:rPr>
          <w:rFonts w:hint="eastAsia" w:ascii="宋体" w:hAnsi="宋体"/>
        </w:rPr>
        <w:t>保护国家级传统、省级历史文化名村1处，省级传统村落9处。</w:t>
      </w:r>
    </w:p>
    <w:p w14:paraId="13E06F14">
      <w:pPr>
        <w:numPr>
          <w:ilvl w:val="0"/>
          <w:numId w:val="5"/>
        </w:numPr>
        <w:ind w:firstLine="480"/>
        <w:rPr>
          <w:rFonts w:ascii="宋体" w:hAnsi="宋体"/>
        </w:rPr>
      </w:pPr>
      <w:r>
        <w:rPr>
          <w:rFonts w:hint="eastAsia" w:ascii="宋体" w:hAnsi="宋体"/>
        </w:rPr>
        <w:t>非物质文化遗产</w:t>
      </w:r>
    </w:p>
    <w:p w14:paraId="4576BBE8">
      <w:pPr>
        <w:ind w:firstLine="480"/>
        <w:rPr>
          <w:rFonts w:ascii="宋体" w:hAnsi="宋体"/>
          <w:b/>
        </w:rPr>
      </w:pPr>
      <w:r>
        <w:rPr>
          <w:rFonts w:hint="eastAsia" w:ascii="宋体" w:hAnsi="宋体"/>
        </w:rPr>
        <w:t>包括国家级非物质文化遗产2项、山东级非物质文化遗产6项，威海市级非物质文化遗产16项、文登区级非物质文化遗产43项。</w:t>
      </w:r>
    </w:p>
    <w:p w14:paraId="0E4D48CC">
      <w:pPr>
        <w:keepNext/>
        <w:keepLines/>
        <w:numPr>
          <w:ilvl w:val="0"/>
          <w:numId w:val="1"/>
        </w:numPr>
        <w:spacing w:before="163" w:beforeLines="50"/>
        <w:ind w:left="426" w:firstLineChars="0"/>
        <w:jc w:val="left"/>
        <w:outlineLvl w:val="2"/>
        <w:rPr>
          <w:rFonts w:ascii="宋体" w:hAnsi="宋体"/>
          <w:b/>
        </w:rPr>
      </w:pPr>
      <w:bookmarkStart w:id="49" w:name="_Toc3156"/>
      <w:r>
        <w:rPr>
          <w:rFonts w:hint="eastAsia" w:ascii="宋体" w:hAnsi="宋体"/>
          <w:b/>
        </w:rPr>
        <w:t>中心城文化与自然保护圈</w:t>
      </w:r>
      <w:bookmarkEnd w:id="46"/>
      <w:bookmarkEnd w:id="49"/>
    </w:p>
    <w:p w14:paraId="059B1E16">
      <w:pPr>
        <w:ind w:firstLine="480"/>
        <w:rPr>
          <w:rFonts w:ascii="宋体" w:hAnsi="宋体"/>
          <w:bCs/>
        </w:rPr>
      </w:pPr>
      <w:r>
        <w:rPr>
          <w:rFonts w:hint="eastAsia" w:ascii="宋体" w:hAnsi="宋体"/>
        </w:rPr>
        <w:t>保护历史城区、召文台历史文化街区，保护丛氏祠堂、文登营小学旧址、营南“陈家惨案”纪念碑、峰山烈士陵园等文物古迹</w:t>
      </w:r>
      <w:r>
        <w:rPr>
          <w:rFonts w:hint="eastAsia" w:ascii="宋体" w:hAnsi="宋体"/>
          <w:bCs/>
        </w:rPr>
        <w:t>。重点研究名城特色和文化价值，保护历史城区及历史文化街区的传统格局、建筑风貌等，提出保护利用措施。</w:t>
      </w:r>
    </w:p>
    <w:p w14:paraId="46C62C04">
      <w:pPr>
        <w:ind w:firstLine="480"/>
        <w:rPr>
          <w:rFonts w:ascii="宋体" w:hAnsi="宋体"/>
          <w:bCs/>
        </w:rPr>
      </w:pPr>
      <w:r>
        <w:rPr>
          <w:rFonts w:hint="eastAsia" w:ascii="宋体" w:hAnsi="宋体"/>
          <w:bCs/>
        </w:rPr>
        <w:t>保护中心城区峰山及柳林河、抱龙河，保护历史城区的城址环境。</w:t>
      </w:r>
    </w:p>
    <w:p w14:paraId="2BAD5413">
      <w:pPr>
        <w:keepNext/>
        <w:keepLines/>
        <w:numPr>
          <w:ilvl w:val="0"/>
          <w:numId w:val="1"/>
        </w:numPr>
        <w:spacing w:before="163" w:beforeLines="50"/>
        <w:ind w:left="426" w:firstLineChars="0"/>
        <w:jc w:val="left"/>
        <w:outlineLvl w:val="2"/>
        <w:rPr>
          <w:rFonts w:ascii="宋体" w:hAnsi="宋体"/>
          <w:b/>
        </w:rPr>
      </w:pPr>
      <w:bookmarkStart w:id="50" w:name="_Toc8875"/>
      <w:bookmarkStart w:id="51" w:name="_Toc11945"/>
      <w:r>
        <w:rPr>
          <w:rFonts w:hint="eastAsia" w:ascii="宋体" w:hAnsi="宋体"/>
          <w:b/>
        </w:rPr>
        <w:t>昆嵛山文化与自然保护圈</w:t>
      </w:r>
      <w:bookmarkEnd w:id="50"/>
      <w:bookmarkEnd w:id="51"/>
    </w:p>
    <w:p w14:paraId="5B594DCE">
      <w:pPr>
        <w:ind w:firstLine="480"/>
        <w:rPr>
          <w:rFonts w:ascii="宋体" w:hAnsi="宋体"/>
        </w:rPr>
      </w:pPr>
      <w:r>
        <w:rPr>
          <w:rFonts w:hint="eastAsia" w:ascii="宋体" w:hAnsi="宋体"/>
        </w:rPr>
        <w:t>保护昆嵛山的自然资源、生态系统、地质构造等。控制山体内部和相关联保护区域内的建设开发，禁止引入不适当的功能。</w:t>
      </w:r>
    </w:p>
    <w:p w14:paraId="442ACAC2">
      <w:pPr>
        <w:ind w:firstLine="480"/>
        <w:rPr>
          <w:rFonts w:ascii="宋体" w:hAnsi="宋体"/>
        </w:rPr>
      </w:pPr>
      <w:r>
        <w:rPr>
          <w:rFonts w:hint="eastAsia" w:ascii="宋体" w:hAnsi="宋体"/>
        </w:rPr>
        <w:t>保护昆嵛山文化资源，包括圣经山“太上老子道德经”刻石、“圣经山”刻石、圣经山东华洞等。在环境承载力限度内，适当发展跟道教文化有关的文化旅游。</w:t>
      </w:r>
    </w:p>
    <w:p w14:paraId="4B4BB1EA">
      <w:pPr>
        <w:keepNext/>
        <w:keepLines/>
        <w:numPr>
          <w:ilvl w:val="0"/>
          <w:numId w:val="1"/>
        </w:numPr>
        <w:spacing w:before="163" w:beforeLines="50"/>
        <w:ind w:left="426" w:firstLineChars="0"/>
        <w:jc w:val="left"/>
        <w:outlineLvl w:val="2"/>
        <w:rPr>
          <w:b/>
        </w:rPr>
      </w:pPr>
      <w:bookmarkStart w:id="52" w:name="_Toc15536"/>
      <w:bookmarkStart w:id="53" w:name="_Toc4640"/>
      <w:r>
        <w:rPr>
          <w:rFonts w:hint="eastAsia" w:ascii="宋体" w:hAnsi="宋体"/>
          <w:b/>
        </w:rPr>
        <w:t>天福山文化与自然保护圈</w:t>
      </w:r>
      <w:bookmarkEnd w:id="52"/>
      <w:bookmarkEnd w:id="53"/>
    </w:p>
    <w:p w14:paraId="4FA2F112">
      <w:pPr>
        <w:ind w:firstLine="480"/>
      </w:pPr>
      <w:r>
        <w:rPr>
          <w:rFonts w:hint="eastAsia" w:ascii="宋体" w:hAnsi="宋体"/>
        </w:rPr>
        <w:t>保护天福山的自然环境、地形地貌、生物植被等。山体保护应与周边文物古迹保护相结合，保护天福山起义特委临时会址、天福山起义纪念馆等红色文化印记，可以开辟和组织与红色旅游为主的旅游路线。</w:t>
      </w:r>
    </w:p>
    <w:p w14:paraId="3B5E569D">
      <w:pPr>
        <w:keepNext/>
        <w:keepLines/>
        <w:numPr>
          <w:ilvl w:val="0"/>
          <w:numId w:val="1"/>
        </w:numPr>
        <w:spacing w:before="163" w:beforeLines="50"/>
        <w:ind w:left="426" w:firstLineChars="0"/>
        <w:jc w:val="left"/>
        <w:outlineLvl w:val="2"/>
        <w:rPr>
          <w:b/>
        </w:rPr>
      </w:pPr>
      <w:bookmarkStart w:id="54" w:name="_Toc19322"/>
      <w:bookmarkStart w:id="55" w:name="_Toc19874"/>
      <w:r>
        <w:rPr>
          <w:rFonts w:hint="eastAsia"/>
          <w:b/>
        </w:rPr>
        <w:t>万家村文化保护圈</w:t>
      </w:r>
      <w:bookmarkEnd w:id="54"/>
      <w:bookmarkEnd w:id="55"/>
    </w:p>
    <w:p w14:paraId="4C1D1576">
      <w:pPr>
        <w:ind w:firstLine="480"/>
        <w:rPr>
          <w:rFonts w:ascii="宋体" w:hAnsi="宋体"/>
        </w:rPr>
      </w:pPr>
      <w:r>
        <w:rPr>
          <w:rFonts w:hint="eastAsia" w:ascii="宋体" w:hAnsi="宋体"/>
        </w:rPr>
        <w:t>保护脉田遗址、张富贵故居、万家村地瓜窖等不可移动文物和历史建筑。</w:t>
      </w:r>
    </w:p>
    <w:p w14:paraId="1B2E2391">
      <w:pPr>
        <w:ind w:firstLine="480"/>
        <w:rPr>
          <w:rFonts w:ascii="宋体" w:hAnsi="宋体"/>
        </w:rPr>
      </w:pPr>
      <w:r>
        <w:rPr>
          <w:rFonts w:hint="eastAsia" w:ascii="宋体" w:hAnsi="宋体"/>
        </w:rPr>
        <w:t>保护万家村传统格局及村落所处的自然环境，保护文物古迹的原貌，划定保护界限并制定保护措施。</w:t>
      </w:r>
    </w:p>
    <w:p w14:paraId="00F9E0DA">
      <w:pPr>
        <w:keepNext/>
        <w:keepLines/>
        <w:numPr>
          <w:ilvl w:val="0"/>
          <w:numId w:val="1"/>
        </w:numPr>
        <w:spacing w:before="163" w:beforeLines="50"/>
        <w:ind w:left="426" w:firstLineChars="0"/>
        <w:jc w:val="left"/>
        <w:outlineLvl w:val="2"/>
        <w:rPr>
          <w:b/>
        </w:rPr>
      </w:pPr>
      <w:bookmarkStart w:id="56" w:name="_Toc27818"/>
      <w:bookmarkStart w:id="57" w:name="_Toc6700"/>
      <w:r>
        <w:rPr>
          <w:rFonts w:hint="eastAsia" w:ascii="宋体" w:hAnsi="宋体"/>
          <w:b/>
        </w:rPr>
        <w:t>回龙山文化保护圈</w:t>
      </w:r>
      <w:bookmarkEnd w:id="56"/>
      <w:bookmarkEnd w:id="57"/>
    </w:p>
    <w:p w14:paraId="19B987DD">
      <w:pPr>
        <w:ind w:firstLine="480"/>
        <w:rPr>
          <w:rFonts w:ascii="宋体" w:hAnsi="宋体"/>
        </w:rPr>
      </w:pPr>
      <w:r>
        <w:rPr>
          <w:rFonts w:hint="eastAsia" w:ascii="宋体" w:hAnsi="宋体"/>
        </w:rPr>
        <w:t>重点保护回龙山庙会及宋村烈士纪念塔等。积极举办回龙山庙会，弘扬李龙王对母亲的“孝道”文化。</w:t>
      </w:r>
    </w:p>
    <w:p w14:paraId="08C13839">
      <w:pPr>
        <w:keepNext/>
        <w:keepLines/>
        <w:numPr>
          <w:ilvl w:val="0"/>
          <w:numId w:val="1"/>
        </w:numPr>
        <w:spacing w:before="163" w:beforeLines="50"/>
        <w:ind w:left="426" w:firstLineChars="0"/>
        <w:jc w:val="left"/>
        <w:outlineLvl w:val="2"/>
        <w:rPr>
          <w:b/>
        </w:rPr>
      </w:pPr>
      <w:bookmarkStart w:id="58" w:name="_Toc30686"/>
      <w:bookmarkStart w:id="59" w:name="_Toc8522"/>
      <w:r>
        <w:rPr>
          <w:rFonts w:hint="eastAsia" w:ascii="宋体" w:hAnsi="宋体"/>
          <w:b/>
        </w:rPr>
        <w:t>母猪河自然与文化保护带</w:t>
      </w:r>
      <w:bookmarkEnd w:id="58"/>
      <w:bookmarkEnd w:id="59"/>
    </w:p>
    <w:p w14:paraId="36FE0A96">
      <w:pPr>
        <w:ind w:firstLine="480"/>
      </w:pPr>
      <w:r>
        <w:rPr>
          <w:rFonts w:hint="eastAsia"/>
        </w:rPr>
        <w:t>严格保护米山水库水源地，保护控制母猪河水体及沿岸生态环境，结合河道蓝线、防护绿线、生态湿地控制线的保护要求，加强对水体的保护及其两岸环境的综合整治。保护河流两岸文物古迹及历史环境，充分发挥其历史文化价值。</w:t>
      </w:r>
    </w:p>
    <w:p w14:paraId="179574FD">
      <w:pPr>
        <w:keepNext/>
        <w:keepLines/>
        <w:numPr>
          <w:ilvl w:val="0"/>
          <w:numId w:val="1"/>
        </w:numPr>
        <w:spacing w:before="163" w:beforeLines="50"/>
        <w:ind w:left="426" w:firstLineChars="0"/>
        <w:jc w:val="left"/>
        <w:outlineLvl w:val="2"/>
        <w:rPr>
          <w:b/>
        </w:rPr>
      </w:pPr>
      <w:bookmarkStart w:id="60" w:name="_Toc17322"/>
      <w:bookmarkStart w:id="61" w:name="_Toc18415"/>
      <w:r>
        <w:rPr>
          <w:rFonts w:hint="eastAsia" w:ascii="宋体" w:hAnsi="宋体"/>
          <w:b/>
        </w:rPr>
        <w:t>青龙河自然与文化保护带圈</w:t>
      </w:r>
      <w:bookmarkEnd w:id="60"/>
      <w:bookmarkEnd w:id="61"/>
    </w:p>
    <w:p w14:paraId="03C640B2">
      <w:pPr>
        <w:ind w:firstLine="480"/>
      </w:pPr>
      <w:r>
        <w:rPr>
          <w:rFonts w:hint="eastAsia"/>
        </w:rPr>
        <w:t>严格保护青龙河水系及沿岸生态环境，结合河道蓝线、防护绿线、生态湿地控制线的保护要求，加强对水体的保护及其两岸环境的综合整治。保护河流两岸文物古迹及历史环境，充分发挥其历史文化价值。</w:t>
      </w:r>
    </w:p>
    <w:p w14:paraId="13616519">
      <w:pPr>
        <w:keepNext/>
        <w:keepLines/>
        <w:numPr>
          <w:ilvl w:val="0"/>
          <w:numId w:val="1"/>
        </w:numPr>
        <w:spacing w:before="163" w:beforeLines="50"/>
        <w:ind w:left="426" w:firstLineChars="0"/>
        <w:jc w:val="left"/>
        <w:outlineLvl w:val="2"/>
        <w:rPr>
          <w:b/>
        </w:rPr>
      </w:pPr>
      <w:bookmarkStart w:id="62" w:name="_Toc11005"/>
      <w:bookmarkStart w:id="63" w:name="_Toc22899"/>
      <w:r>
        <w:rPr>
          <w:rFonts w:hint="eastAsia" w:ascii="宋体" w:hAnsi="宋体"/>
          <w:b/>
        </w:rPr>
        <w:t>南部海岸自然保护带</w:t>
      </w:r>
      <w:bookmarkEnd w:id="62"/>
      <w:bookmarkEnd w:id="63"/>
    </w:p>
    <w:p w14:paraId="61E342F3">
      <w:pPr>
        <w:ind w:firstLine="480"/>
      </w:pPr>
      <w:r>
        <w:rPr>
          <w:rFonts w:hint="eastAsia"/>
        </w:rPr>
        <w:t>重点保护海岸线生态平衡，加大植被种植力度，整治海岸周边环境，采用耐盐碱的树种。合理安排海岸功能，保护自然海岸线，控制建设人工设施，控制海洋养殖及其它产业的发展。</w:t>
      </w:r>
    </w:p>
    <w:p w14:paraId="785B6FD5">
      <w:pPr>
        <w:keepNext/>
        <w:keepLines/>
        <w:numPr>
          <w:ilvl w:val="0"/>
          <w:numId w:val="1"/>
        </w:numPr>
        <w:spacing w:before="163" w:beforeLines="50"/>
        <w:ind w:left="426" w:firstLineChars="0"/>
        <w:jc w:val="left"/>
        <w:outlineLvl w:val="2"/>
        <w:rPr>
          <w:b/>
        </w:rPr>
      </w:pPr>
      <w:bookmarkStart w:id="64" w:name="_Toc10308"/>
      <w:bookmarkStart w:id="65" w:name="_Toc7180"/>
      <w:r>
        <w:rPr>
          <w:rFonts w:hint="eastAsia" w:ascii="宋体" w:hAnsi="宋体"/>
          <w:b/>
        </w:rPr>
        <w:t>温泉资源保护</w:t>
      </w:r>
      <w:bookmarkEnd w:id="64"/>
      <w:bookmarkEnd w:id="65"/>
    </w:p>
    <w:p w14:paraId="2A939BD8">
      <w:pPr>
        <w:ind w:firstLine="480"/>
      </w:pPr>
      <w:r>
        <w:rPr>
          <w:rFonts w:hint="eastAsia"/>
        </w:rPr>
        <w:t>保护5处主要的温泉资源，包括：七里汤、呼雷汤、大英汤、汤村汤（又名昌阳汤）、汤泊温泉。严格控制温泉周边自然生态环境，特别是周边水环境的保护。合理利用温泉资源，做到保护与开发并重。</w:t>
      </w:r>
    </w:p>
    <w:p w14:paraId="66B5D0D6">
      <w:pPr>
        <w:keepNext/>
        <w:keepLines/>
        <w:numPr>
          <w:ilvl w:val="0"/>
          <w:numId w:val="1"/>
        </w:numPr>
        <w:spacing w:before="163" w:beforeLines="50"/>
        <w:ind w:left="426" w:firstLineChars="0"/>
        <w:jc w:val="left"/>
        <w:outlineLvl w:val="2"/>
        <w:rPr>
          <w:b/>
        </w:rPr>
      </w:pPr>
      <w:bookmarkStart w:id="66" w:name="_Toc13995"/>
      <w:bookmarkStart w:id="67" w:name="_Toc32312"/>
      <w:r>
        <w:rPr>
          <w:rFonts w:hint="eastAsia" w:ascii="宋体" w:hAnsi="宋体"/>
          <w:b/>
        </w:rPr>
        <w:t>古树名木保护</w:t>
      </w:r>
      <w:bookmarkEnd w:id="66"/>
      <w:bookmarkEnd w:id="67"/>
      <w:bookmarkStart w:id="68" w:name="_Toc390678254"/>
    </w:p>
    <w:bookmarkEnd w:id="68"/>
    <w:p w14:paraId="17654872">
      <w:pPr>
        <w:ind w:firstLine="480"/>
      </w:pPr>
      <w:bookmarkStart w:id="69" w:name="_Toc390678289"/>
      <w:bookmarkStart w:id="70" w:name="_Toc11982"/>
      <w:bookmarkStart w:id="71" w:name="_Toc270066434"/>
      <w:r>
        <w:rPr>
          <w:rFonts w:hint="eastAsia"/>
        </w:rPr>
        <w:t>保护</w:t>
      </w:r>
      <w:r>
        <w:t>40</w:t>
      </w:r>
      <w:r>
        <w:rPr>
          <w:rFonts w:hint="eastAsia"/>
        </w:rPr>
        <w:t>株古树名木。对古树名木进行登记、编号，并建立档案，设立标志。要按照规定的管理养护方案实施保护管理，不得砍伐古树名木。以树冠投影外半径5米范围为古树名木的保护范围，严格管理保护范围内的各项活动，保证树木适宜的生长环境。</w:t>
      </w:r>
    </w:p>
    <w:bookmarkEnd w:id="69"/>
    <w:bookmarkEnd w:id="70"/>
    <w:bookmarkEnd w:id="71"/>
    <w:p w14:paraId="15C93FD1">
      <w:pPr>
        <w:keepNext/>
        <w:keepLines/>
        <w:numPr>
          <w:ilvl w:val="0"/>
          <w:numId w:val="4"/>
        </w:numPr>
        <w:spacing w:before="489" w:beforeLines="150" w:after="326" w:afterLines="100" w:line="400" w:lineRule="exact"/>
        <w:ind w:firstLineChars="0"/>
        <w:jc w:val="center"/>
        <w:outlineLvl w:val="0"/>
        <w:rPr>
          <w:rFonts w:ascii="黑体" w:eastAsia="黑体"/>
          <w:b/>
          <w:sz w:val="32"/>
          <w:szCs w:val="32"/>
        </w:rPr>
      </w:pPr>
      <w:bookmarkStart w:id="72" w:name="_Toc17185"/>
      <w:bookmarkStart w:id="73" w:name="_Toc30810"/>
      <w:bookmarkStart w:id="74" w:name="_Toc7475"/>
      <w:r>
        <w:rPr>
          <w:rFonts w:hint="eastAsia" w:ascii="黑体" w:eastAsia="黑体"/>
          <w:b/>
          <w:sz w:val="32"/>
          <w:szCs w:val="32"/>
        </w:rPr>
        <w:t>历史城区保护</w:t>
      </w:r>
      <w:bookmarkEnd w:id="72"/>
      <w:bookmarkEnd w:id="73"/>
      <w:bookmarkEnd w:id="74"/>
    </w:p>
    <w:p w14:paraId="30BA6680">
      <w:pPr>
        <w:keepNext/>
        <w:keepLines/>
        <w:numPr>
          <w:ilvl w:val="0"/>
          <w:numId w:val="1"/>
        </w:numPr>
        <w:spacing w:before="163" w:beforeLines="50"/>
        <w:ind w:left="426" w:firstLineChars="0"/>
        <w:jc w:val="left"/>
        <w:outlineLvl w:val="2"/>
        <w:rPr>
          <w:rFonts w:ascii="宋体" w:hAnsi="宋体"/>
          <w:b/>
        </w:rPr>
      </w:pPr>
      <w:bookmarkStart w:id="75" w:name="_Toc20595"/>
      <w:bookmarkStart w:id="76" w:name="_Toc9711"/>
      <w:r>
        <w:rPr>
          <w:rFonts w:hint="eastAsia" w:ascii="宋体" w:hAnsi="宋体"/>
          <w:b/>
        </w:rPr>
        <w:t>范围划定</w:t>
      </w:r>
      <w:bookmarkEnd w:id="75"/>
      <w:bookmarkEnd w:id="76"/>
    </w:p>
    <w:p w14:paraId="238B723F">
      <w:pPr>
        <w:ind w:firstLine="480"/>
        <w:rPr>
          <w:rFonts w:ascii="宋体" w:hAnsi="宋体"/>
        </w:rPr>
      </w:pPr>
      <w:r>
        <w:rPr>
          <w:rFonts w:hint="eastAsia" w:ascii="宋体" w:hAnsi="宋体"/>
        </w:rPr>
        <w:t>东至学府路，南临天福路，西接昆嵛路，北靠峰山路，包括丛氏宗祠、召文台历史文化街区在内的范围，占地约</w:t>
      </w:r>
      <w:r>
        <w:rPr>
          <w:rFonts w:hint="eastAsia" w:ascii="宋体" w:hAnsi="宋体"/>
          <w:lang w:val="en-US" w:eastAsia="zh-CN"/>
        </w:rPr>
        <w:t>104.5公顷</w:t>
      </w:r>
      <w:r>
        <w:rPr>
          <w:rFonts w:hint="eastAsia" w:ascii="宋体" w:hAnsi="宋体"/>
        </w:rPr>
        <w:t>。</w:t>
      </w:r>
    </w:p>
    <w:p w14:paraId="03216EE1">
      <w:pPr>
        <w:keepNext/>
        <w:keepLines/>
        <w:numPr>
          <w:ilvl w:val="0"/>
          <w:numId w:val="1"/>
        </w:numPr>
        <w:spacing w:before="163" w:beforeLines="50"/>
        <w:ind w:left="426" w:firstLineChars="0"/>
        <w:jc w:val="left"/>
        <w:outlineLvl w:val="2"/>
        <w:rPr>
          <w:rFonts w:ascii="宋体" w:hAnsi="宋体"/>
          <w:b/>
        </w:rPr>
      </w:pPr>
      <w:bookmarkStart w:id="77" w:name="_Toc11180"/>
      <w:bookmarkStart w:id="78" w:name="_Toc3949"/>
      <w:r>
        <w:rPr>
          <w:rFonts w:hint="eastAsia" w:ascii="宋体" w:hAnsi="宋体"/>
          <w:b/>
        </w:rPr>
        <w:t>保护</w:t>
      </w:r>
      <w:bookmarkEnd w:id="77"/>
      <w:r>
        <w:rPr>
          <w:rFonts w:hint="eastAsia" w:ascii="宋体" w:hAnsi="宋体"/>
          <w:b/>
        </w:rPr>
        <w:t>内容</w:t>
      </w:r>
      <w:bookmarkEnd w:id="78"/>
    </w:p>
    <w:p w14:paraId="56AC1107">
      <w:pPr>
        <w:ind w:firstLine="480"/>
        <w:rPr>
          <w:rFonts w:ascii="宋体" w:hAnsi="宋体"/>
        </w:rPr>
      </w:pPr>
      <w:r>
        <w:rPr>
          <w:rFonts w:hint="eastAsia" w:ascii="宋体" w:hAnsi="宋体"/>
        </w:rPr>
        <w:t>1、传承老城气质，保护历史城区传统格局、空间布局、历史轴线、街巷肌理、重要节点、历史风貌等。</w:t>
      </w:r>
    </w:p>
    <w:p w14:paraId="4A585456">
      <w:pPr>
        <w:widowControl/>
        <w:ind w:firstLine="480"/>
        <w:jc w:val="left"/>
        <w:rPr>
          <w:rFonts w:ascii="宋体" w:hAnsi="宋体"/>
        </w:rPr>
      </w:pPr>
      <w:r>
        <w:rPr>
          <w:rFonts w:hint="eastAsia" w:ascii="宋体" w:hAnsi="宋体"/>
        </w:rPr>
        <w:t>2、根据历史城区的格局与历史风貌特色，划分建筑高度分区、重要视线通廊，实现历史城区整体空间格局的系统保护。</w:t>
      </w:r>
    </w:p>
    <w:p w14:paraId="5CDA0093">
      <w:pPr>
        <w:widowControl/>
        <w:ind w:firstLine="480"/>
        <w:jc w:val="left"/>
        <w:rPr>
          <w:rFonts w:ascii="宋体" w:hAnsi="宋体"/>
        </w:rPr>
      </w:pPr>
      <w:r>
        <w:rPr>
          <w:rFonts w:hint="eastAsia" w:ascii="宋体" w:hAnsi="宋体"/>
        </w:rPr>
        <w:t>3、在整体保护的基础上，调整用地功能，优化交通系统，改善基础设施，提升公共服务设施水平，制定防灾措施。</w:t>
      </w:r>
    </w:p>
    <w:p w14:paraId="5A354513">
      <w:pPr>
        <w:widowControl/>
        <w:ind w:firstLine="480"/>
        <w:jc w:val="left"/>
        <w:rPr>
          <w:rFonts w:ascii="宋体" w:hAnsi="宋体"/>
        </w:rPr>
      </w:pPr>
      <w:r>
        <w:rPr>
          <w:rFonts w:hint="eastAsia" w:ascii="宋体" w:hAnsi="宋体"/>
        </w:rPr>
        <w:t>4、加强对重要景观节点的控制，充分利用文物古迹、历史环境要素、街道空间和历史文化，增加历史氛围。</w:t>
      </w:r>
    </w:p>
    <w:p w14:paraId="39B3A84D">
      <w:pPr>
        <w:keepNext/>
        <w:keepLines/>
        <w:numPr>
          <w:ilvl w:val="0"/>
          <w:numId w:val="1"/>
        </w:numPr>
        <w:spacing w:before="163" w:beforeLines="50"/>
        <w:ind w:left="426" w:firstLineChars="0"/>
        <w:jc w:val="left"/>
        <w:outlineLvl w:val="2"/>
        <w:rPr>
          <w:rFonts w:ascii="宋体" w:hAnsi="宋体"/>
          <w:b/>
        </w:rPr>
      </w:pPr>
      <w:bookmarkStart w:id="79" w:name="_Toc27053"/>
      <w:r>
        <w:rPr>
          <w:rFonts w:hint="eastAsia" w:ascii="宋体" w:hAnsi="宋体"/>
          <w:b/>
        </w:rPr>
        <w:t>城址环境保护</w:t>
      </w:r>
      <w:bookmarkEnd w:id="79"/>
    </w:p>
    <w:p w14:paraId="65015EE9">
      <w:pPr>
        <w:widowControl/>
        <w:numPr>
          <w:ilvl w:val="0"/>
          <w:numId w:val="6"/>
        </w:numPr>
        <w:ind w:firstLine="480"/>
        <w:jc w:val="left"/>
        <w:rPr>
          <w:rFonts w:ascii="宋体" w:hAnsi="宋体"/>
        </w:rPr>
      </w:pPr>
      <w:r>
        <w:rPr>
          <w:rFonts w:hint="eastAsia" w:ascii="宋体" w:hAnsi="宋体"/>
        </w:rPr>
        <w:t>保护内容</w:t>
      </w:r>
    </w:p>
    <w:p w14:paraId="316CE04A">
      <w:pPr>
        <w:ind w:firstLine="480"/>
        <w:rPr>
          <w:rFonts w:ascii="宋体" w:hAnsi="宋体"/>
        </w:rPr>
      </w:pPr>
      <w:r>
        <w:rPr>
          <w:rFonts w:hint="eastAsia" w:ascii="宋体" w:hAnsi="宋体"/>
        </w:rPr>
        <w:t>保护与城址环境相互依存的自然山水，包括峰山、抱龙河等。 保护城址环境的人文要素，包括召文台、丛氏祠堂、万字会等。</w:t>
      </w:r>
    </w:p>
    <w:p w14:paraId="04E09325">
      <w:pPr>
        <w:numPr>
          <w:ilvl w:val="0"/>
          <w:numId w:val="6"/>
        </w:numPr>
        <w:ind w:firstLine="480"/>
        <w:rPr>
          <w:rFonts w:ascii="宋体" w:hAnsi="宋体"/>
        </w:rPr>
      </w:pPr>
      <w:r>
        <w:rPr>
          <w:rFonts w:hint="eastAsia" w:ascii="宋体" w:hAnsi="宋体"/>
        </w:rPr>
        <w:t>城址环境保护</w:t>
      </w:r>
    </w:p>
    <w:p w14:paraId="55FDC08A">
      <w:pPr>
        <w:ind w:firstLine="480"/>
        <w:rPr>
          <w:rFonts w:ascii="宋体" w:hAnsi="宋体"/>
        </w:rPr>
      </w:pPr>
      <w:r>
        <w:rPr>
          <w:rFonts w:hint="eastAsia" w:ascii="宋体" w:hAnsi="宋体"/>
        </w:rPr>
        <w:t>（1）保护文登的城市特色，加强与城址环境密切相关的山、水、视线通廊等历史文化环境的整体保护、控制和管理。</w:t>
      </w:r>
    </w:p>
    <w:p w14:paraId="293D52BD">
      <w:pPr>
        <w:ind w:firstLine="480"/>
        <w:rPr>
          <w:rFonts w:ascii="宋体" w:hAnsi="宋体"/>
        </w:rPr>
      </w:pPr>
      <w:r>
        <w:rPr>
          <w:rFonts w:hint="eastAsia" w:ascii="宋体" w:hAnsi="宋体"/>
        </w:rPr>
        <w:t>（2）保护生态基底与历史环境风貌，保护历史城区周边山体，包括峰山、抱龙河；保护文山公园、丛氏祠堂等人文景观等，展示城市特色风貌。</w:t>
      </w:r>
    </w:p>
    <w:p w14:paraId="7E63E911">
      <w:pPr>
        <w:keepNext/>
        <w:keepLines/>
        <w:numPr>
          <w:ilvl w:val="0"/>
          <w:numId w:val="1"/>
        </w:numPr>
        <w:spacing w:before="163" w:beforeLines="50"/>
        <w:ind w:left="426" w:firstLineChars="0"/>
        <w:jc w:val="left"/>
        <w:outlineLvl w:val="2"/>
        <w:rPr>
          <w:rFonts w:ascii="宋体" w:hAnsi="宋体"/>
          <w:b/>
        </w:rPr>
      </w:pPr>
      <w:bookmarkStart w:id="80" w:name="_Toc3696"/>
      <w:r>
        <w:rPr>
          <w:rFonts w:hint="eastAsia" w:ascii="宋体" w:hAnsi="宋体"/>
          <w:b/>
        </w:rPr>
        <w:t>历史城区格局和风貌保护</w:t>
      </w:r>
      <w:bookmarkEnd w:id="80"/>
    </w:p>
    <w:p w14:paraId="2F11EB37">
      <w:pPr>
        <w:ind w:firstLine="480"/>
        <w:rPr>
          <w:rFonts w:ascii="宋体" w:hAnsi="宋体"/>
        </w:rPr>
      </w:pPr>
      <w:r>
        <w:rPr>
          <w:rFonts w:hint="eastAsia" w:ascii="宋体" w:hAnsi="宋体"/>
        </w:rPr>
        <w:t>1、历史城区保护结构</w:t>
      </w:r>
    </w:p>
    <w:p w14:paraId="46C56FCC">
      <w:pPr>
        <w:ind w:firstLine="480"/>
        <w:rPr>
          <w:rFonts w:ascii="宋体" w:hAnsi="宋体"/>
        </w:rPr>
      </w:pPr>
      <w:r>
        <w:rPr>
          <w:rFonts w:hint="eastAsia" w:ascii="宋体" w:hAnsi="宋体"/>
        </w:rPr>
        <w:t>“一台、两轴、多点”的保护格局。</w:t>
      </w:r>
    </w:p>
    <w:p w14:paraId="3035C2DF">
      <w:pPr>
        <w:ind w:firstLine="480"/>
        <w:rPr>
          <w:rFonts w:ascii="宋体" w:hAnsi="宋体"/>
        </w:rPr>
      </w:pPr>
      <w:r>
        <w:rPr>
          <w:rFonts w:hint="eastAsia" w:ascii="宋体" w:hAnsi="宋体"/>
        </w:rPr>
        <w:t>一台：召文台；</w:t>
      </w:r>
    </w:p>
    <w:p w14:paraId="1C41DE98">
      <w:pPr>
        <w:ind w:firstLine="480"/>
        <w:rPr>
          <w:rFonts w:ascii="宋体" w:hAnsi="宋体"/>
        </w:rPr>
      </w:pPr>
      <w:r>
        <w:rPr>
          <w:rFonts w:hint="eastAsia" w:ascii="宋体" w:hAnsi="宋体"/>
        </w:rPr>
        <w:t>两轴：永安街和文山路；</w:t>
      </w:r>
    </w:p>
    <w:p w14:paraId="6F11E4D9">
      <w:pPr>
        <w:ind w:firstLine="480"/>
        <w:rPr>
          <w:rFonts w:ascii="宋体" w:hAnsi="宋体"/>
        </w:rPr>
      </w:pPr>
      <w:r>
        <w:rPr>
          <w:rFonts w:hint="eastAsia" w:ascii="宋体" w:hAnsi="宋体"/>
        </w:rPr>
        <w:t>多点：分布于历史城区各处的不可移动文物。</w:t>
      </w:r>
    </w:p>
    <w:p w14:paraId="08C8F4EA">
      <w:pPr>
        <w:ind w:firstLine="480"/>
        <w:rPr>
          <w:rFonts w:ascii="宋体" w:hAnsi="宋体"/>
        </w:rPr>
      </w:pPr>
      <w:r>
        <w:rPr>
          <w:rFonts w:hint="eastAsia" w:ascii="宋体" w:hAnsi="宋体"/>
        </w:rPr>
        <w:t>2、历史城区传统格局保护</w:t>
      </w:r>
    </w:p>
    <w:p w14:paraId="696AF937">
      <w:pPr>
        <w:ind w:firstLine="480"/>
        <w:rPr>
          <w:rFonts w:ascii="宋体" w:hAnsi="宋体"/>
        </w:rPr>
      </w:pPr>
      <w:r>
        <w:rPr>
          <w:rFonts w:hint="eastAsia" w:ascii="宋体" w:hAnsi="宋体"/>
        </w:rPr>
        <w:t>（1）整体保护历史城区内的自然与人文环境，保护城区基本路网格局。保护召文台历史文化街区的传统格局，包括召文台到永安街的历史风貌轴线和三片核心区。</w:t>
      </w:r>
    </w:p>
    <w:p w14:paraId="05570EF2">
      <w:pPr>
        <w:ind w:firstLine="480"/>
        <w:rPr>
          <w:rFonts w:ascii="宋体" w:hAnsi="宋体"/>
        </w:rPr>
      </w:pPr>
      <w:r>
        <w:rPr>
          <w:rFonts w:hint="eastAsia" w:ascii="宋体" w:hAnsi="宋体"/>
        </w:rPr>
        <w:t>（2）保护文物古迹和胶东特色传统建筑空间肌理，对建筑的平面布局形式及色彩进行保护和引导，继承保留传统建筑的主色调及辅色调，去除饱和度较高的彩色，注重建筑色彩的协调统一。</w:t>
      </w:r>
    </w:p>
    <w:p w14:paraId="1E473B90">
      <w:pPr>
        <w:numPr>
          <w:ilvl w:val="0"/>
          <w:numId w:val="7"/>
        </w:numPr>
        <w:ind w:firstLine="480"/>
        <w:rPr>
          <w:rFonts w:ascii="宋体" w:hAnsi="宋体"/>
        </w:rPr>
      </w:pPr>
      <w:r>
        <w:rPr>
          <w:rFonts w:hint="eastAsia" w:ascii="宋体" w:hAnsi="宋体"/>
        </w:rPr>
        <w:t>历史街巷保护</w:t>
      </w:r>
    </w:p>
    <w:p w14:paraId="17E16C20">
      <w:pPr>
        <w:ind w:firstLine="480"/>
        <w:rPr>
          <w:rFonts w:ascii="宋体" w:hAnsi="宋体"/>
        </w:rPr>
      </w:pPr>
      <w:r>
        <w:rPr>
          <w:rFonts w:hint="eastAsia" w:ascii="宋体" w:hAnsi="宋体"/>
        </w:rPr>
        <w:t xml:space="preserve">（1）保护永安街、召文街、书院街等历史街巷，提出总体控制和引导要求。 </w:t>
      </w:r>
    </w:p>
    <w:p w14:paraId="765DC8A2">
      <w:pPr>
        <w:ind w:firstLine="480"/>
        <w:rPr>
          <w:rFonts w:ascii="宋体" w:hAnsi="宋体"/>
        </w:rPr>
      </w:pPr>
      <w:r>
        <w:rPr>
          <w:rFonts w:hint="eastAsia" w:ascii="宋体" w:hAnsi="宋体"/>
        </w:rPr>
        <w:t xml:space="preserve">（2）保护历史街巷的线形、宽度、竖向和断面形式。保护路面与地形、路沿石、绿化、排水沟渠、院墙、挡土墙等环境要素的关系，如需要整修时，应采用原有工艺和材料。 </w:t>
      </w:r>
    </w:p>
    <w:p w14:paraId="379AC768">
      <w:pPr>
        <w:ind w:firstLine="480"/>
        <w:rPr>
          <w:rFonts w:ascii="宋体" w:hAnsi="宋体"/>
        </w:rPr>
      </w:pPr>
      <w:r>
        <w:rPr>
          <w:rFonts w:hint="eastAsia" w:ascii="宋体" w:hAnsi="宋体"/>
        </w:rPr>
        <w:t xml:space="preserve">（3）保护历史街巷界面和空间尺度。对道路两侧建筑高度、体量、风格、色彩等进行控制和引导；对位于历史文化街区中的历史街巷，要通过历史文化街区保护规划，制定具体的控制、引导要求。 </w:t>
      </w:r>
    </w:p>
    <w:p w14:paraId="0F0E3C8D">
      <w:pPr>
        <w:ind w:firstLine="480"/>
        <w:rPr>
          <w:rFonts w:ascii="宋体" w:hAnsi="宋体"/>
        </w:rPr>
      </w:pPr>
      <w:r>
        <w:rPr>
          <w:rFonts w:hint="eastAsia" w:ascii="宋体" w:hAnsi="宋体"/>
        </w:rPr>
        <w:t>4、历史遗存和历史环境要素保护</w:t>
      </w:r>
    </w:p>
    <w:p w14:paraId="295AFF3B">
      <w:pPr>
        <w:ind w:firstLine="480"/>
        <w:rPr>
          <w:rFonts w:ascii="宋体" w:hAnsi="宋体"/>
        </w:rPr>
      </w:pPr>
      <w:r>
        <w:rPr>
          <w:rFonts w:hint="eastAsia" w:ascii="宋体" w:hAnsi="宋体"/>
        </w:rPr>
        <w:t>（1）保护历史城区范围内丛氏祠堂、万字会和峰西教堂3处不可移动文物。</w:t>
      </w:r>
    </w:p>
    <w:p w14:paraId="2CA561AC">
      <w:pPr>
        <w:ind w:firstLine="480"/>
        <w:rPr>
          <w:rFonts w:ascii="宋体" w:hAnsi="宋体"/>
        </w:rPr>
      </w:pPr>
      <w:r>
        <w:rPr>
          <w:rFonts w:hint="eastAsia" w:ascii="宋体" w:hAnsi="宋体"/>
        </w:rPr>
        <w:t>（2）保护与历史环境紧密相关的围墙、石阶、雕塑及建筑构件，不得擅自拆除或改造。确需整治的，需用原材料和原工艺展现其原有面貌。</w:t>
      </w:r>
    </w:p>
    <w:p w14:paraId="6DC1322A">
      <w:pPr>
        <w:ind w:firstLine="480"/>
        <w:rPr>
          <w:rFonts w:ascii="宋体" w:hAnsi="宋体"/>
        </w:rPr>
      </w:pPr>
      <w:r>
        <w:rPr>
          <w:rFonts w:hint="eastAsia" w:ascii="宋体" w:hAnsi="宋体"/>
        </w:rPr>
        <w:t>（3）积极推动古树名木的申报工作。对古树名木应统一挂牌保护。</w:t>
      </w:r>
      <w:r>
        <w:rPr>
          <w:rFonts w:hint="eastAsia"/>
        </w:rPr>
        <w:t>要按照规定的管理养护方案实施保护管理，不得砍伐古树名木。</w:t>
      </w:r>
      <w:r>
        <w:rPr>
          <w:rFonts w:hint="eastAsia" w:ascii="宋体" w:hAnsi="宋体"/>
        </w:rPr>
        <w:t>在古树名木和古树后续资源保护范围周边从事施工建设，可能影响古树名木和古树后续资源正常生长的，养护责任人应当及时向园林主管部门报告。</w:t>
      </w:r>
    </w:p>
    <w:p w14:paraId="03630C79">
      <w:pPr>
        <w:keepNext/>
        <w:keepLines/>
        <w:numPr>
          <w:ilvl w:val="0"/>
          <w:numId w:val="1"/>
        </w:numPr>
        <w:spacing w:before="163" w:beforeLines="50"/>
        <w:ind w:left="426" w:firstLineChars="0"/>
        <w:jc w:val="left"/>
        <w:outlineLvl w:val="2"/>
        <w:rPr>
          <w:rFonts w:ascii="宋体" w:hAnsi="宋体"/>
          <w:b/>
        </w:rPr>
      </w:pPr>
      <w:bookmarkStart w:id="81" w:name="_Toc30070"/>
      <w:bookmarkStart w:id="82" w:name="_Toc24211"/>
      <w:r>
        <w:rPr>
          <w:rFonts w:hint="eastAsia" w:ascii="宋体" w:hAnsi="宋体"/>
          <w:b/>
        </w:rPr>
        <w:t>建筑风貌引导</w:t>
      </w:r>
      <w:bookmarkEnd w:id="81"/>
      <w:bookmarkEnd w:id="82"/>
    </w:p>
    <w:p w14:paraId="3324F361">
      <w:pPr>
        <w:ind w:firstLine="480"/>
        <w:rPr>
          <w:rFonts w:ascii="宋体" w:hAnsi="宋体"/>
        </w:rPr>
      </w:pPr>
      <w:r>
        <w:rPr>
          <w:rFonts w:hint="eastAsia" w:ascii="宋体" w:hAnsi="宋体"/>
        </w:rPr>
        <w:t>1、风貌引导</w:t>
      </w:r>
    </w:p>
    <w:p w14:paraId="0D43E107">
      <w:pPr>
        <w:ind w:firstLine="480"/>
        <w:rPr>
          <w:rFonts w:ascii="宋体" w:hAnsi="宋体"/>
        </w:rPr>
      </w:pPr>
      <w:r>
        <w:rPr>
          <w:rFonts w:hint="eastAsia" w:ascii="宋体" w:hAnsi="宋体"/>
        </w:rPr>
        <w:t>（1）历史城区的整体风貌应按照“整体协调、重点保护”的原则进行严格保护和控制。历史文化街区的核心保护范围作为风貌保护的重点。历史文化街区内应严格保护和控制建筑的整体风貌，保持地方建筑特色。</w:t>
      </w:r>
    </w:p>
    <w:p w14:paraId="36EAA9BB">
      <w:pPr>
        <w:ind w:firstLine="480"/>
        <w:rPr>
          <w:rFonts w:ascii="宋体" w:hAnsi="宋体"/>
        </w:rPr>
      </w:pPr>
      <w:r>
        <w:rPr>
          <w:rFonts w:hint="eastAsia" w:ascii="宋体" w:hAnsi="宋体"/>
        </w:rPr>
        <w:t>（2）对具有一定价值的优秀近现代建筑，应保留建筑时代特征，可在建筑立面装饰、色彩等方面加以改善。</w:t>
      </w:r>
    </w:p>
    <w:p w14:paraId="54DC0AF0">
      <w:pPr>
        <w:ind w:firstLine="480"/>
        <w:rPr>
          <w:rFonts w:ascii="宋体" w:hAnsi="宋体"/>
        </w:rPr>
      </w:pPr>
      <w:r>
        <w:rPr>
          <w:rFonts w:hint="eastAsia" w:ascii="宋体" w:hAnsi="宋体"/>
        </w:rPr>
        <w:t>（3）鼓励历史城区内采取现代的设计理念和技术方法，进行与传统风貌协调统一、但又富于多样性变化的建筑设计，但在项目申报与审批环节严格控制。</w:t>
      </w:r>
    </w:p>
    <w:p w14:paraId="7291A141">
      <w:pPr>
        <w:ind w:firstLine="480"/>
        <w:rPr>
          <w:rFonts w:ascii="宋体" w:hAnsi="宋体"/>
        </w:rPr>
      </w:pPr>
      <w:r>
        <w:rPr>
          <w:rFonts w:hint="eastAsia" w:ascii="宋体" w:hAnsi="宋体"/>
        </w:rPr>
        <w:t>2、分区控制</w:t>
      </w:r>
    </w:p>
    <w:p w14:paraId="0C57C5F6">
      <w:pPr>
        <w:ind w:firstLine="480"/>
        <w:rPr>
          <w:rFonts w:ascii="宋体" w:hAnsi="宋体"/>
        </w:rPr>
      </w:pPr>
      <w:r>
        <w:rPr>
          <w:rFonts w:hint="eastAsia" w:ascii="宋体" w:hAnsi="宋体"/>
        </w:rPr>
        <w:t>（1）一类风貌控制区：召文台历史街区及丛氏祠堂。该区域建筑以保护、修缮、维修、改善为主，建筑保持传统风貌。</w:t>
      </w:r>
    </w:p>
    <w:p w14:paraId="6BD6FB39">
      <w:pPr>
        <w:ind w:firstLine="480"/>
        <w:rPr>
          <w:rFonts w:ascii="宋体" w:hAnsi="宋体"/>
        </w:rPr>
      </w:pPr>
      <w:r>
        <w:rPr>
          <w:rFonts w:hint="eastAsia" w:ascii="宋体" w:hAnsi="宋体"/>
        </w:rPr>
        <w:t>（2）二类风貌控制区：主要包括丛氏祠堂周边及石马街以东除一级风貌控制区以外区域。该区域建筑在现代基础上可局部增加传统元素。新建建筑的色彩、形式、风格要与周边传统风貌协调融合。</w:t>
      </w:r>
    </w:p>
    <w:p w14:paraId="414FBD1F">
      <w:pPr>
        <w:ind w:firstLine="480"/>
        <w:rPr>
          <w:rFonts w:ascii="宋体" w:hAnsi="宋体"/>
        </w:rPr>
      </w:pPr>
      <w:r>
        <w:rPr>
          <w:rFonts w:hint="eastAsia" w:ascii="宋体" w:hAnsi="宋体"/>
        </w:rPr>
        <w:t>（3）三类风貌控制区：主要为石马街以西区域，建筑整体风格色彩协调一致，不与传统风格矛盾。</w:t>
      </w:r>
    </w:p>
    <w:p w14:paraId="51E0DE1F">
      <w:pPr>
        <w:keepNext/>
        <w:keepLines/>
        <w:numPr>
          <w:ilvl w:val="0"/>
          <w:numId w:val="1"/>
        </w:numPr>
        <w:spacing w:before="163" w:beforeLines="50"/>
        <w:ind w:left="426" w:firstLineChars="0"/>
        <w:jc w:val="left"/>
        <w:outlineLvl w:val="2"/>
        <w:rPr>
          <w:rFonts w:ascii="宋体" w:hAnsi="宋体"/>
          <w:b/>
        </w:rPr>
      </w:pPr>
      <w:bookmarkStart w:id="83" w:name="_Toc26646"/>
      <w:bookmarkStart w:id="84" w:name="_Toc19653"/>
      <w:r>
        <w:rPr>
          <w:rFonts w:hint="eastAsia" w:ascii="宋体" w:hAnsi="宋体"/>
          <w:b/>
        </w:rPr>
        <w:t>用地功能调整</w:t>
      </w:r>
      <w:bookmarkEnd w:id="83"/>
      <w:bookmarkEnd w:id="84"/>
    </w:p>
    <w:p w14:paraId="77B6EA80">
      <w:pPr>
        <w:ind w:firstLine="480"/>
        <w:rPr>
          <w:rFonts w:ascii="宋体" w:hAnsi="宋体"/>
        </w:rPr>
      </w:pPr>
      <w:r>
        <w:rPr>
          <w:rFonts w:hint="eastAsia" w:ascii="宋体" w:hAnsi="宋体"/>
        </w:rPr>
        <w:t>1、实施“保护疏散历史城区，发展增强新区组团”的空间发展战略，以新区的发展建设及功能的完善促进历史城区功能的疏散。</w:t>
      </w:r>
    </w:p>
    <w:p w14:paraId="7B0786C2">
      <w:pPr>
        <w:ind w:firstLine="480"/>
        <w:rPr>
          <w:rFonts w:ascii="宋体" w:hAnsi="宋体"/>
        </w:rPr>
      </w:pPr>
      <w:r>
        <w:rPr>
          <w:rFonts w:hint="eastAsia" w:ascii="宋体" w:hAnsi="宋体"/>
        </w:rPr>
        <w:t>2、逐步完善配套设施，改善人居环境，改造开发要实行有机更新，不鼓励发展高层住宅。</w:t>
      </w:r>
    </w:p>
    <w:p w14:paraId="331178B7">
      <w:pPr>
        <w:ind w:firstLine="480"/>
        <w:rPr>
          <w:rFonts w:ascii="宋体" w:hAnsi="宋体"/>
        </w:rPr>
      </w:pPr>
      <w:r>
        <w:rPr>
          <w:rFonts w:hint="eastAsia" w:ascii="宋体" w:hAnsi="宋体"/>
        </w:rPr>
        <w:t>3、逐步调整历史城区用地性质，在保护历史文化遗产的前提下，增加历史城区内与文化展览、休闲旅游等功能相适应的公共服务设施。</w:t>
      </w:r>
    </w:p>
    <w:p w14:paraId="66CBE40B">
      <w:pPr>
        <w:keepNext/>
        <w:keepLines/>
        <w:numPr>
          <w:ilvl w:val="0"/>
          <w:numId w:val="1"/>
        </w:numPr>
        <w:spacing w:before="163" w:beforeLines="50"/>
        <w:ind w:left="426" w:firstLineChars="0"/>
        <w:jc w:val="left"/>
        <w:outlineLvl w:val="2"/>
        <w:rPr>
          <w:rFonts w:ascii="宋体" w:hAnsi="宋体"/>
          <w:b/>
        </w:rPr>
      </w:pPr>
      <w:r>
        <w:rPr>
          <w:rFonts w:hint="eastAsia" w:ascii="宋体" w:hAnsi="宋体"/>
          <w:b/>
        </w:rPr>
        <w:t xml:space="preserve"> </w:t>
      </w:r>
      <w:bookmarkStart w:id="85" w:name="_Toc32310"/>
      <w:r>
        <w:rPr>
          <w:rFonts w:hint="eastAsia" w:ascii="宋体" w:hAnsi="宋体"/>
          <w:b/>
        </w:rPr>
        <w:t>道路系统优化</w:t>
      </w:r>
      <w:bookmarkEnd w:id="85"/>
    </w:p>
    <w:p w14:paraId="46A6EB61">
      <w:pPr>
        <w:numPr>
          <w:ilvl w:val="0"/>
          <w:numId w:val="8"/>
        </w:numPr>
        <w:ind w:firstLine="480"/>
        <w:rPr>
          <w:rFonts w:ascii="宋体" w:hAnsi="宋体"/>
        </w:rPr>
      </w:pPr>
      <w:r>
        <w:rPr>
          <w:rFonts w:hint="eastAsia" w:ascii="宋体" w:hAnsi="宋体"/>
          <w:szCs w:val="20"/>
        </w:rPr>
        <w:t>保护历史城区道路格局，保留历史街道名称</w:t>
      </w:r>
      <w:r>
        <w:rPr>
          <w:rFonts w:hint="eastAsia" w:ascii="宋体" w:hAnsi="宋体"/>
        </w:rPr>
        <w:t>。</w:t>
      </w:r>
    </w:p>
    <w:p w14:paraId="21705605">
      <w:pPr>
        <w:ind w:firstLine="480"/>
        <w:rPr>
          <w:rFonts w:ascii="宋体" w:hAnsi="宋体"/>
        </w:rPr>
      </w:pPr>
      <w:r>
        <w:rPr>
          <w:rFonts w:hint="eastAsia" w:ascii="宋体" w:hAnsi="宋体"/>
        </w:rPr>
        <w:t>2、不随意拓宽道路和改变道路线形，保持街坊内的街巷格局特征，不随意改变其空间尺度。严格控制风貌型街巷的街景，形成各自街巷景观特色。</w:t>
      </w:r>
    </w:p>
    <w:p w14:paraId="3B8E9E7A">
      <w:pPr>
        <w:ind w:firstLine="480"/>
        <w:rPr>
          <w:rFonts w:ascii="宋体" w:hAnsi="宋体"/>
        </w:rPr>
      </w:pPr>
      <w:r>
        <w:rPr>
          <w:rFonts w:hint="eastAsia" w:ascii="宋体" w:hAnsi="宋体"/>
        </w:rPr>
        <w:t>3、历史城区内积极采用各种形式的公共交通，地下空间的利用要确保各级文物保护单位的安全。</w:t>
      </w:r>
    </w:p>
    <w:p w14:paraId="4D220A49">
      <w:pPr>
        <w:ind w:firstLine="480"/>
        <w:rPr>
          <w:rFonts w:ascii="宋体" w:hAnsi="宋体"/>
        </w:rPr>
      </w:pPr>
      <w:r>
        <w:rPr>
          <w:rFonts w:hint="eastAsia" w:ascii="宋体" w:hAnsi="宋体"/>
        </w:rPr>
        <w:t>4、建立完善的慢行交通系统，鼓励自行车、电瓶车等非机动车辆通行，保证主干路、次干路、支路的非机动车道宽度；所有规划道路均应设独立的步行道，完善人性化交通设施。</w:t>
      </w:r>
    </w:p>
    <w:p w14:paraId="6A252F9C">
      <w:pPr>
        <w:ind w:firstLine="480"/>
        <w:rPr>
          <w:rFonts w:ascii="宋体" w:hAnsi="宋体"/>
        </w:rPr>
      </w:pPr>
      <w:r>
        <w:rPr>
          <w:rFonts w:hint="eastAsia" w:ascii="宋体" w:hAnsi="宋体"/>
        </w:rPr>
        <w:t xml:space="preserve"> 5、历史文化街区内建立系统完善的步行网络，限制机动车通行，街区内设置独立停车场。历史城区内的公共服务设施、商业设施及居住区应按照相关规范要求设置停车设施。</w:t>
      </w:r>
    </w:p>
    <w:p w14:paraId="509F46F7">
      <w:pPr>
        <w:keepNext/>
        <w:keepLines/>
        <w:numPr>
          <w:ilvl w:val="0"/>
          <w:numId w:val="1"/>
        </w:numPr>
        <w:spacing w:before="163" w:beforeLines="50"/>
        <w:ind w:left="426" w:firstLineChars="0"/>
        <w:jc w:val="left"/>
        <w:outlineLvl w:val="2"/>
        <w:rPr>
          <w:rFonts w:ascii="宋体" w:hAnsi="宋体"/>
          <w:b/>
        </w:rPr>
      </w:pPr>
      <w:bookmarkStart w:id="86" w:name="_Toc13771"/>
      <w:bookmarkStart w:id="87" w:name="_Toc655"/>
      <w:r>
        <w:rPr>
          <w:rFonts w:hint="eastAsia" w:ascii="宋体" w:hAnsi="宋体"/>
          <w:b/>
        </w:rPr>
        <w:t>建筑高度控制</w:t>
      </w:r>
      <w:bookmarkEnd w:id="86"/>
      <w:bookmarkEnd w:id="87"/>
    </w:p>
    <w:p w14:paraId="7F84BA77">
      <w:pPr>
        <w:widowControl/>
        <w:ind w:firstLine="480"/>
        <w:jc w:val="left"/>
        <w:rPr>
          <w:rFonts w:ascii="宋体" w:hAnsi="宋体"/>
        </w:rPr>
      </w:pPr>
      <w:r>
        <w:rPr>
          <w:rFonts w:hint="eastAsia" w:ascii="宋体" w:hAnsi="宋体"/>
        </w:rPr>
        <w:t>建筑高度分为一级控制区、二级控制区进行全面控制。</w:t>
      </w:r>
    </w:p>
    <w:p w14:paraId="6244D4DD">
      <w:pPr>
        <w:ind w:firstLine="480"/>
        <w:rPr>
          <w:rFonts w:ascii="宋体" w:hAnsi="宋体"/>
        </w:rPr>
      </w:pPr>
      <w:r>
        <w:rPr>
          <w:rFonts w:hint="eastAsia" w:ascii="宋体" w:hAnsi="宋体"/>
        </w:rPr>
        <w:t>（1）</w:t>
      </w:r>
      <w:r>
        <w:rPr>
          <w:rFonts w:hint="eastAsia" w:ascii="宋体" w:hAnsi="宋体"/>
          <w:lang w:eastAsia="zh-CN"/>
        </w:rPr>
        <w:t>一级控制</w:t>
      </w:r>
      <w:r>
        <w:rPr>
          <w:rFonts w:hint="eastAsia" w:ascii="宋体" w:hAnsi="宋体"/>
        </w:rPr>
        <w:t>区：文保单位保护范围、历史文化街区核心保护区</w:t>
      </w:r>
      <w:r>
        <w:rPr>
          <w:rFonts w:hint="eastAsia" w:ascii="宋体" w:hAnsi="宋体"/>
          <w:lang w:eastAsia="zh-CN"/>
        </w:rPr>
        <w:t>，建筑高度维持原高</w:t>
      </w:r>
      <w:r>
        <w:rPr>
          <w:rFonts w:hint="eastAsia" w:ascii="宋体" w:hAnsi="宋体"/>
        </w:rPr>
        <w:t>。</w:t>
      </w:r>
    </w:p>
    <w:p w14:paraId="6ADF3265">
      <w:pPr>
        <w:ind w:firstLine="480"/>
        <w:rPr>
          <w:rFonts w:hint="eastAsia" w:ascii="宋体" w:hAnsi="宋体" w:eastAsia="宋体"/>
          <w:lang w:val="en-US" w:eastAsia="zh-CN"/>
        </w:rPr>
      </w:pPr>
      <w:r>
        <w:rPr>
          <w:rFonts w:hint="eastAsia" w:ascii="宋体" w:hAnsi="宋体"/>
        </w:rPr>
        <w:t>（2）</w:t>
      </w:r>
      <w:r>
        <w:rPr>
          <w:rFonts w:hint="eastAsia" w:ascii="宋体" w:hAnsi="宋体"/>
          <w:lang w:eastAsia="zh-CN"/>
        </w:rPr>
        <w:t>二</w:t>
      </w:r>
      <w:r>
        <w:rPr>
          <w:rFonts w:hint="eastAsia" w:ascii="宋体" w:hAnsi="宋体"/>
        </w:rPr>
        <w:t>级控制区：历史文化街区建设控制地带，</w:t>
      </w:r>
      <w:r>
        <w:rPr>
          <w:rFonts w:hint="eastAsia" w:ascii="宋体" w:hAnsi="宋体"/>
          <w:lang w:eastAsia="zh-CN"/>
        </w:rPr>
        <w:t>建筑高度按《</w:t>
      </w:r>
      <w:r>
        <w:rPr>
          <w:rFonts w:hint="eastAsia" w:ascii="宋体" w:hAnsi="宋体"/>
        </w:rPr>
        <w:t>威海市城市风貌保护条例</w:t>
      </w:r>
      <w:r>
        <w:rPr>
          <w:rFonts w:hint="eastAsia" w:ascii="宋体" w:hAnsi="宋体"/>
          <w:lang w:eastAsia="zh-CN"/>
        </w:rPr>
        <w:t>》要求控制。</w:t>
      </w:r>
    </w:p>
    <w:p w14:paraId="035F299D">
      <w:pPr>
        <w:ind w:firstLine="480"/>
        <w:rPr>
          <w:rFonts w:ascii="宋体" w:hAnsi="宋体"/>
        </w:rPr>
      </w:pPr>
      <w:r>
        <w:rPr>
          <w:rFonts w:hint="eastAsia" w:ascii="宋体" w:hAnsi="宋体"/>
        </w:rPr>
        <w:t>各控制区内现状建筑在进行城市更新时按本规划要求控制建筑高度。</w:t>
      </w:r>
    </w:p>
    <w:p w14:paraId="1D96BEAF">
      <w:pPr>
        <w:keepNext/>
        <w:keepLines/>
        <w:numPr>
          <w:ilvl w:val="0"/>
          <w:numId w:val="1"/>
        </w:numPr>
        <w:spacing w:before="163" w:beforeLines="50"/>
        <w:ind w:left="426" w:firstLineChars="0"/>
        <w:jc w:val="left"/>
        <w:outlineLvl w:val="2"/>
        <w:rPr>
          <w:rFonts w:ascii="宋体" w:hAnsi="宋体"/>
          <w:b/>
        </w:rPr>
      </w:pPr>
      <w:bookmarkStart w:id="88" w:name="_Toc17737"/>
      <w:r>
        <w:rPr>
          <w:rFonts w:hint="eastAsia" w:ascii="宋体" w:hAnsi="宋体"/>
          <w:b/>
        </w:rPr>
        <w:t>视线通廊控制</w:t>
      </w:r>
      <w:bookmarkEnd w:id="88"/>
    </w:p>
    <w:p w14:paraId="27D20F38">
      <w:pPr>
        <w:ind w:firstLine="480"/>
        <w:rPr>
          <w:rFonts w:ascii="宋体" w:hAnsi="宋体"/>
        </w:rPr>
      </w:pPr>
      <w:r>
        <w:rPr>
          <w:rFonts w:hint="eastAsia" w:ascii="宋体" w:hAnsi="宋体"/>
        </w:rPr>
        <w:t>保护3条视线通廊：</w:t>
      </w:r>
    </w:p>
    <w:p w14:paraId="19DD1CB0">
      <w:pPr>
        <w:ind w:firstLine="480"/>
        <w:rPr>
          <w:rFonts w:ascii="宋体" w:hAnsi="宋体"/>
        </w:rPr>
      </w:pPr>
      <w:r>
        <w:rPr>
          <w:rFonts w:hint="eastAsia" w:ascii="宋体" w:hAnsi="宋体"/>
        </w:rPr>
        <w:t>召文台——峰山公园；</w:t>
      </w:r>
    </w:p>
    <w:p w14:paraId="3593911E">
      <w:pPr>
        <w:ind w:firstLine="480"/>
        <w:rPr>
          <w:rFonts w:ascii="宋体" w:hAnsi="宋体"/>
        </w:rPr>
      </w:pPr>
      <w:r>
        <w:rPr>
          <w:rFonts w:hint="eastAsia" w:ascii="宋体" w:hAnsi="宋体"/>
        </w:rPr>
        <w:t>召文台——万字会；</w:t>
      </w:r>
    </w:p>
    <w:p w14:paraId="5037CB59">
      <w:pPr>
        <w:ind w:firstLine="480"/>
        <w:rPr>
          <w:rFonts w:ascii="宋体" w:hAnsi="宋体"/>
        </w:rPr>
      </w:pPr>
      <w:r>
        <w:rPr>
          <w:rFonts w:hint="eastAsia" w:ascii="宋体" w:hAnsi="宋体"/>
        </w:rPr>
        <w:t>召文台——峰西教堂。</w:t>
      </w:r>
    </w:p>
    <w:p w14:paraId="08B173B7">
      <w:pPr>
        <w:widowControl/>
        <w:ind w:firstLine="480"/>
        <w:jc w:val="left"/>
        <w:rPr>
          <w:rFonts w:ascii="宋体" w:hAnsi="宋体"/>
        </w:rPr>
      </w:pPr>
      <w:r>
        <w:rPr>
          <w:rFonts w:hint="eastAsia" w:ascii="宋体" w:hAnsi="宋体"/>
        </w:rPr>
        <w:t xml:space="preserve">视线通廊内不应出现遮挡视线的新建建筑物和构筑物。在历史文化街区保护规划中，应对保护范围内建筑高度、界面、立面风格等进行控制和引导。 </w:t>
      </w:r>
    </w:p>
    <w:p w14:paraId="12E98A42">
      <w:pPr>
        <w:keepNext/>
        <w:keepLines/>
        <w:numPr>
          <w:ilvl w:val="0"/>
          <w:numId w:val="1"/>
        </w:numPr>
        <w:spacing w:before="163" w:beforeLines="50"/>
        <w:ind w:left="426" w:firstLineChars="0"/>
        <w:jc w:val="left"/>
        <w:outlineLvl w:val="2"/>
        <w:rPr>
          <w:rFonts w:ascii="宋体" w:hAnsi="宋体"/>
          <w:b/>
        </w:rPr>
      </w:pPr>
      <w:bookmarkStart w:id="89" w:name="_Toc26671"/>
      <w:bookmarkStart w:id="90" w:name="_Toc25078"/>
      <w:r>
        <w:rPr>
          <w:rFonts w:hint="eastAsia" w:ascii="宋体" w:hAnsi="宋体"/>
          <w:b/>
        </w:rPr>
        <w:t>市政</w:t>
      </w:r>
      <w:bookmarkEnd w:id="89"/>
      <w:r>
        <w:rPr>
          <w:rFonts w:hint="eastAsia" w:ascii="宋体" w:hAnsi="宋体"/>
          <w:b/>
        </w:rPr>
        <w:t>工程完善</w:t>
      </w:r>
      <w:bookmarkEnd w:id="90"/>
    </w:p>
    <w:p w14:paraId="1AC64BE3">
      <w:pPr>
        <w:ind w:firstLine="480"/>
        <w:rPr>
          <w:rFonts w:ascii="宋体" w:hAnsi="宋体"/>
        </w:rPr>
      </w:pPr>
      <w:r>
        <w:rPr>
          <w:rFonts w:hint="eastAsia" w:ascii="宋体" w:hAnsi="宋体"/>
        </w:rPr>
        <w:t>1、完善市政设施是保持历史城区永续利用的必要前提。</w:t>
      </w:r>
    </w:p>
    <w:p w14:paraId="5A28BCD9">
      <w:pPr>
        <w:ind w:firstLine="480"/>
        <w:rPr>
          <w:rFonts w:ascii="宋体" w:hAnsi="宋体"/>
        </w:rPr>
      </w:pPr>
      <w:r>
        <w:rPr>
          <w:rFonts w:hint="eastAsia" w:ascii="宋体" w:hAnsi="宋体"/>
        </w:rPr>
        <w:t>2、市政管线与设施应根据实际需要和现实条件尽可能采取灵活的特殊方式进行处理，遵循区内自足、干扰最小的原则，保证历史城区、文物保护单位等重要地段的历史风貌保护要求</w:t>
      </w:r>
      <w:r>
        <w:rPr>
          <w:rFonts w:ascii="宋体" w:hAnsi="宋体"/>
        </w:rPr>
        <w:t>。</w:t>
      </w:r>
    </w:p>
    <w:p w14:paraId="2B1C359F">
      <w:pPr>
        <w:ind w:firstLine="480"/>
        <w:rPr>
          <w:rFonts w:ascii="宋体" w:hAnsi="宋体"/>
        </w:rPr>
      </w:pPr>
      <w:r>
        <w:rPr>
          <w:rFonts w:hint="eastAsia" w:ascii="宋体" w:hAnsi="宋体"/>
        </w:rPr>
        <w:t>3、各类市政管线应因地制宜，综合协调。历史文化街区的核心保护范围内，市政管线与街区建筑保护更新统一规划设计，采取符合街区风貌保护要求的处理手法，满足保护控制要求。</w:t>
      </w:r>
    </w:p>
    <w:p w14:paraId="320DFE26">
      <w:pPr>
        <w:keepNext/>
        <w:keepLines/>
        <w:numPr>
          <w:ilvl w:val="0"/>
          <w:numId w:val="1"/>
        </w:numPr>
        <w:spacing w:before="163" w:beforeLines="50"/>
        <w:ind w:left="426" w:firstLineChars="0"/>
        <w:jc w:val="left"/>
        <w:outlineLvl w:val="2"/>
        <w:rPr>
          <w:rFonts w:ascii="宋体" w:hAnsi="宋体"/>
          <w:b/>
        </w:rPr>
      </w:pPr>
      <w:bookmarkStart w:id="91" w:name="_Toc27846"/>
      <w:bookmarkStart w:id="92" w:name="_Toc8402"/>
      <w:r>
        <w:rPr>
          <w:rFonts w:hint="eastAsia" w:ascii="宋体" w:hAnsi="宋体"/>
          <w:b/>
        </w:rPr>
        <w:t>防灾体系构建</w:t>
      </w:r>
      <w:bookmarkEnd w:id="91"/>
      <w:bookmarkEnd w:id="92"/>
    </w:p>
    <w:p w14:paraId="309AC353">
      <w:pPr>
        <w:ind w:firstLine="480"/>
        <w:rPr>
          <w:rFonts w:ascii="宋体" w:hAnsi="宋体"/>
        </w:rPr>
      </w:pPr>
      <w:r>
        <w:rPr>
          <w:rFonts w:hint="eastAsia" w:ascii="宋体" w:hAnsi="宋体"/>
        </w:rPr>
        <w:t>1、推广使用安全、清洁能源，尽可能减少火源。建立由城市消防站、社区消防队、家庭消防员等构成的多层次的消防体系。</w:t>
      </w:r>
    </w:p>
    <w:p w14:paraId="67670AD0">
      <w:pPr>
        <w:ind w:firstLine="480"/>
        <w:rPr>
          <w:rFonts w:ascii="宋体" w:hAnsi="宋体"/>
        </w:rPr>
      </w:pPr>
      <w:r>
        <w:rPr>
          <w:rFonts w:hint="eastAsia" w:ascii="宋体" w:hAnsi="宋体"/>
        </w:rPr>
        <w:t>2、消防车辆不能到达的地段，应建立消火栓系统、手抬式或推车式消防泵、家庭灭火器、消防水池和水缸、砂池和砂桶等消防设备。</w:t>
      </w:r>
    </w:p>
    <w:p w14:paraId="011EF1F0">
      <w:pPr>
        <w:ind w:firstLine="480"/>
        <w:rPr>
          <w:rFonts w:ascii="宋体" w:hAnsi="宋体"/>
        </w:rPr>
      </w:pPr>
      <w:r>
        <w:rPr>
          <w:rFonts w:hint="eastAsia" w:ascii="宋体" w:hAnsi="宋体"/>
        </w:rPr>
        <w:t>3、结合主次干路设置疏散通道，结合现有的停车场、绿地广场等空旷地区设置避难场所</w:t>
      </w:r>
      <w:r>
        <w:rPr>
          <w:rFonts w:ascii="宋体" w:hAnsi="宋体"/>
        </w:rPr>
        <w:t>。</w:t>
      </w:r>
    </w:p>
    <w:p w14:paraId="77BF3A5C">
      <w:pPr>
        <w:keepNext/>
        <w:keepLines/>
        <w:numPr>
          <w:ilvl w:val="0"/>
          <w:numId w:val="4"/>
        </w:numPr>
        <w:spacing w:before="489" w:beforeLines="150" w:after="326" w:afterLines="100" w:line="400" w:lineRule="exact"/>
        <w:ind w:firstLineChars="0"/>
        <w:jc w:val="center"/>
        <w:outlineLvl w:val="0"/>
        <w:rPr>
          <w:rFonts w:ascii="黑体" w:eastAsia="黑体"/>
          <w:b/>
          <w:sz w:val="32"/>
          <w:szCs w:val="32"/>
        </w:rPr>
      </w:pPr>
      <w:bookmarkStart w:id="93" w:name="_Toc31873"/>
      <w:bookmarkStart w:id="94" w:name="_Toc6985"/>
      <w:bookmarkStart w:id="95" w:name="_Toc27115"/>
      <w:r>
        <w:rPr>
          <w:rFonts w:hint="eastAsia" w:ascii="黑体" w:eastAsia="黑体"/>
          <w:b/>
          <w:sz w:val="32"/>
          <w:szCs w:val="32"/>
        </w:rPr>
        <w:t>历史文化街区保护</w:t>
      </w:r>
      <w:bookmarkEnd w:id="93"/>
      <w:bookmarkEnd w:id="94"/>
      <w:bookmarkEnd w:id="95"/>
    </w:p>
    <w:p w14:paraId="62CAEB29">
      <w:pPr>
        <w:keepNext/>
        <w:keepLines/>
        <w:numPr>
          <w:ilvl w:val="0"/>
          <w:numId w:val="1"/>
        </w:numPr>
        <w:spacing w:before="163" w:beforeLines="50"/>
        <w:ind w:left="426" w:firstLineChars="0"/>
        <w:jc w:val="left"/>
        <w:outlineLvl w:val="2"/>
        <w:rPr>
          <w:rFonts w:ascii="宋体" w:hAnsi="宋体"/>
          <w:b/>
        </w:rPr>
      </w:pPr>
      <w:bookmarkStart w:id="96" w:name="_Toc26034"/>
      <w:bookmarkStart w:id="97" w:name="_Toc30508"/>
      <w:r>
        <w:rPr>
          <w:rFonts w:hint="eastAsia" w:ascii="宋体" w:hAnsi="宋体"/>
          <w:b/>
        </w:rPr>
        <w:t>价值特色</w:t>
      </w:r>
      <w:bookmarkEnd w:id="96"/>
    </w:p>
    <w:p w14:paraId="18CB0AFD">
      <w:pPr>
        <w:ind w:firstLine="480"/>
        <w:rPr>
          <w:rFonts w:ascii="宋体" w:hAnsi="宋体"/>
        </w:rPr>
      </w:pPr>
      <w:r>
        <w:rPr>
          <w:rFonts w:hint="eastAsia" w:ascii="宋体" w:hAnsi="宋体"/>
        </w:rPr>
        <w:t>召文台历史文化街区是文登历史节点与文登学文化的集中展示地带，是现代文人墨客聚集目的地，也是向市民展现“老文登”非遗文化、历史记忆的公共文化体验中心，在保护和传承文登历史文化方面具有重要地位。</w:t>
      </w:r>
    </w:p>
    <w:p w14:paraId="3340DEE9">
      <w:pPr>
        <w:keepNext/>
        <w:keepLines/>
        <w:numPr>
          <w:ilvl w:val="0"/>
          <w:numId w:val="1"/>
        </w:numPr>
        <w:spacing w:before="163" w:beforeLines="50"/>
        <w:ind w:left="426" w:firstLineChars="0"/>
        <w:jc w:val="left"/>
        <w:outlineLvl w:val="2"/>
        <w:rPr>
          <w:rFonts w:ascii="宋体" w:hAnsi="宋体"/>
          <w:b/>
        </w:rPr>
      </w:pPr>
      <w:bookmarkStart w:id="98" w:name="_Toc31801"/>
      <w:r>
        <w:rPr>
          <w:rFonts w:hint="eastAsia" w:ascii="宋体" w:hAnsi="宋体"/>
          <w:b/>
        </w:rPr>
        <w:t>保护要求</w:t>
      </w:r>
      <w:bookmarkEnd w:id="97"/>
      <w:bookmarkEnd w:id="98"/>
    </w:p>
    <w:p w14:paraId="45FC46D6">
      <w:pPr>
        <w:ind w:firstLine="480"/>
        <w:rPr>
          <w:rFonts w:ascii="宋体" w:hAnsi="宋体"/>
        </w:rPr>
      </w:pPr>
      <w:r>
        <w:rPr>
          <w:rFonts w:hint="eastAsia" w:ascii="宋体" w:hAnsi="宋体"/>
        </w:rPr>
        <w:t>1、整体保护历史文化街区的空间格局、城市肌理和历史风貌，完整保护街区内的不可移动文物、传统风貌建筑、历史环境要素等。</w:t>
      </w:r>
    </w:p>
    <w:p w14:paraId="140BD490">
      <w:pPr>
        <w:ind w:firstLine="480"/>
        <w:rPr>
          <w:rFonts w:ascii="宋体" w:hAnsi="宋体"/>
        </w:rPr>
      </w:pPr>
      <w:r>
        <w:rPr>
          <w:rFonts w:hint="eastAsia" w:ascii="宋体" w:hAnsi="宋体"/>
        </w:rPr>
        <w:t>2、历史文化街区核心保护范围内的建（构）筑物实行分类保护，分别采取保护、保留、修缮、改善、整治改造等方式进行保护与更新。</w:t>
      </w:r>
    </w:p>
    <w:p w14:paraId="4AF9A7DA">
      <w:pPr>
        <w:ind w:firstLine="480"/>
        <w:rPr>
          <w:rFonts w:ascii="宋体" w:hAnsi="宋体"/>
        </w:rPr>
      </w:pPr>
      <w:r>
        <w:rPr>
          <w:rFonts w:hint="eastAsia" w:ascii="宋体" w:hAnsi="宋体"/>
        </w:rPr>
        <w:t xml:space="preserve">3、历史文化街区保护范围内，新建、扩建的基础设施和公共服务设施，应与历史文化街区整体风貌相协调。 </w:t>
      </w:r>
    </w:p>
    <w:p w14:paraId="77384352">
      <w:pPr>
        <w:ind w:firstLine="480"/>
        <w:rPr>
          <w:rFonts w:ascii="宋体" w:hAnsi="宋体"/>
        </w:rPr>
      </w:pPr>
      <w:r>
        <w:rPr>
          <w:rFonts w:hint="eastAsia" w:ascii="宋体" w:hAnsi="宋体"/>
        </w:rPr>
        <w:t xml:space="preserve">4、历史文化街区建设控制地带内的新建、改建建筑在高度、体量、色彩等方面应与街区历史风貌相协调，逐步恢复街区的历史空间格局和环境肌理。 </w:t>
      </w:r>
    </w:p>
    <w:p w14:paraId="78E6B114">
      <w:pPr>
        <w:ind w:firstLine="480"/>
        <w:rPr>
          <w:rFonts w:ascii="宋体" w:hAnsi="宋体"/>
        </w:rPr>
      </w:pPr>
      <w:r>
        <w:rPr>
          <w:rFonts w:hint="eastAsia" w:ascii="宋体" w:hAnsi="宋体"/>
        </w:rPr>
        <w:t>5、历史文化街区应按照要求，单独编制街区保护规划。</w:t>
      </w:r>
    </w:p>
    <w:p w14:paraId="11C74CE2">
      <w:pPr>
        <w:keepNext/>
        <w:keepLines/>
        <w:numPr>
          <w:ilvl w:val="0"/>
          <w:numId w:val="1"/>
        </w:numPr>
        <w:spacing w:before="163" w:beforeLines="50"/>
        <w:ind w:left="426" w:firstLineChars="0"/>
        <w:jc w:val="left"/>
        <w:outlineLvl w:val="2"/>
        <w:rPr>
          <w:rFonts w:ascii="宋体" w:hAnsi="宋体"/>
          <w:b/>
        </w:rPr>
      </w:pPr>
      <w:bookmarkStart w:id="99" w:name="_Toc4362"/>
      <w:bookmarkStart w:id="100" w:name="_Toc11725"/>
      <w:r>
        <w:rPr>
          <w:rFonts w:hint="eastAsia" w:ascii="宋体" w:hAnsi="宋体"/>
          <w:b/>
        </w:rPr>
        <w:t>保护范围及保护控制措施</w:t>
      </w:r>
      <w:bookmarkEnd w:id="99"/>
      <w:bookmarkEnd w:id="100"/>
    </w:p>
    <w:p w14:paraId="75433AB0">
      <w:pPr>
        <w:ind w:firstLine="480"/>
        <w:rPr>
          <w:rFonts w:ascii="宋体" w:hAnsi="宋体"/>
        </w:rPr>
      </w:pPr>
      <w:r>
        <w:rPr>
          <w:rFonts w:hint="eastAsia" w:ascii="宋体" w:hAnsi="宋体"/>
        </w:rPr>
        <w:t>1、召文台历史文化街区保护范围：东至峰西路，西至石马街，南至天福路，北至双山路，总面积17.9公顷。街区包括核心保护范围和建设控制地带两个层级。</w:t>
      </w:r>
    </w:p>
    <w:p w14:paraId="6CE2AAED">
      <w:pPr>
        <w:ind w:firstLine="480"/>
        <w:rPr>
          <w:rFonts w:ascii="宋体" w:hAnsi="宋体"/>
        </w:rPr>
      </w:pPr>
      <w:r>
        <w:rPr>
          <w:rFonts w:hint="eastAsia" w:ascii="宋体" w:hAnsi="宋体"/>
        </w:rPr>
        <w:t>2、核心保护范围：包括召文台、万字会、峰西教堂3个地块，总面积5.5公顷。</w:t>
      </w:r>
    </w:p>
    <w:p w14:paraId="79DAAE76">
      <w:pPr>
        <w:ind w:firstLine="480"/>
        <w:rPr>
          <w:rFonts w:ascii="宋体" w:hAnsi="宋体"/>
        </w:rPr>
      </w:pPr>
      <w:r>
        <w:rPr>
          <w:rFonts w:hint="eastAsia" w:ascii="宋体" w:hAnsi="宋体"/>
        </w:rPr>
        <w:t>3、</w:t>
      </w:r>
      <w:r>
        <w:rPr>
          <w:rFonts w:hint="eastAsia" w:ascii="宋体" w:hAnsi="宋体"/>
          <w:szCs w:val="20"/>
        </w:rPr>
        <w:t>建设控制地带范围：东至峰西路，南至天福路，西至石马街，北至双山路，面积12.4公顷（不包括核心保护范围）。</w:t>
      </w:r>
    </w:p>
    <w:p w14:paraId="6363EB20">
      <w:pPr>
        <w:ind w:firstLine="480"/>
        <w:rPr>
          <w:rFonts w:ascii="宋体" w:hAnsi="宋体"/>
        </w:rPr>
      </w:pPr>
      <w:r>
        <w:rPr>
          <w:rFonts w:hint="eastAsia" w:ascii="宋体" w:hAnsi="宋体"/>
        </w:rPr>
        <w:t>4、保护控制要求</w:t>
      </w:r>
    </w:p>
    <w:p w14:paraId="4098192B">
      <w:pPr>
        <w:ind w:firstLine="480"/>
        <w:rPr>
          <w:rFonts w:ascii="宋体" w:hAnsi="宋体"/>
        </w:rPr>
      </w:pPr>
      <w:r>
        <w:rPr>
          <w:rFonts w:hint="eastAsia" w:ascii="宋体" w:hAnsi="宋体"/>
        </w:rPr>
        <w:t>（1）不可移动文物严格按照相关法律法规要求进行保护。</w:t>
      </w:r>
    </w:p>
    <w:p w14:paraId="549B92F0">
      <w:pPr>
        <w:ind w:firstLine="480"/>
        <w:rPr>
          <w:rFonts w:ascii="宋体" w:hAnsi="宋体"/>
        </w:rPr>
      </w:pPr>
      <w:r>
        <w:rPr>
          <w:rFonts w:hint="eastAsia" w:ascii="宋体" w:hAnsi="宋体"/>
        </w:rPr>
        <w:t>（2）在核心保护区范围内除确需建造的必要的基础设施和公共服务设施外，不得进行新建、扩建、改建活动。进行新建、扩建、改建活动，建筑高度应不高于区内文物建筑的高度，如涉及文物保护单位及其保护范围和建设控制地带的建设活动，须按文物保护相关要求执行。</w:t>
      </w:r>
    </w:p>
    <w:p w14:paraId="4D08DE1A">
      <w:pPr>
        <w:ind w:firstLine="480"/>
        <w:rPr>
          <w:rFonts w:ascii="宋体" w:hAnsi="宋体"/>
        </w:rPr>
      </w:pPr>
      <w:r>
        <w:rPr>
          <w:rFonts w:hint="eastAsia" w:ascii="宋体" w:hAnsi="宋体"/>
        </w:rPr>
        <w:t>（3）建设控制地带内进行新建、扩建活动的，建筑高度应按《威海市城市风貌保护条例》要求控制，其体量、色彩、材质等方面与历史风貌相协调，不得破坏传统格局和历史风貌。</w:t>
      </w:r>
    </w:p>
    <w:p w14:paraId="187C3E2D">
      <w:pPr>
        <w:ind w:firstLine="480"/>
        <w:rPr>
          <w:rFonts w:ascii="宋体" w:hAnsi="宋体"/>
        </w:rPr>
      </w:pPr>
      <w:r>
        <w:rPr>
          <w:rFonts w:hint="eastAsia" w:ascii="宋体" w:hAnsi="宋体"/>
        </w:rPr>
        <w:t>（4）不得擅自新建、扩建道路，对现有道路进行改建时，应当保持或者恢复其原有的道路格局和景观特征。</w:t>
      </w:r>
    </w:p>
    <w:p w14:paraId="7DB6FD78">
      <w:pPr>
        <w:ind w:firstLine="480"/>
        <w:rPr>
          <w:rFonts w:ascii="宋体" w:hAnsi="宋体"/>
        </w:rPr>
      </w:pPr>
      <w:r>
        <w:rPr>
          <w:rFonts w:hint="eastAsia" w:ascii="宋体" w:hAnsi="宋体"/>
        </w:rPr>
        <w:t>（5）严格管控招牌的设置，不得遮挡、覆盖具有传统特色的建筑立面，不得破坏建筑空间环境和景观，不符合历史文化街区保护要求的应当拆除或限期改正。</w:t>
      </w:r>
    </w:p>
    <w:p w14:paraId="409CC1BB">
      <w:pPr>
        <w:ind w:firstLine="480"/>
        <w:rPr>
          <w:rFonts w:ascii="宋体" w:hAnsi="宋体"/>
        </w:rPr>
      </w:pPr>
      <w:r>
        <w:rPr>
          <w:rFonts w:hint="eastAsia" w:ascii="宋体" w:hAnsi="宋体"/>
        </w:rPr>
        <w:t>（6）街区保护范围内禁止大规模拆除建设，倡导小规模渐进式的更新模式。进行建设活动应当符合保护规划。</w:t>
      </w:r>
    </w:p>
    <w:p w14:paraId="457D77F6">
      <w:pPr>
        <w:keepNext/>
        <w:keepLines/>
        <w:numPr>
          <w:ilvl w:val="0"/>
          <w:numId w:val="1"/>
        </w:numPr>
        <w:spacing w:before="163" w:beforeLines="50"/>
        <w:ind w:left="426" w:firstLineChars="0"/>
        <w:jc w:val="left"/>
        <w:outlineLvl w:val="2"/>
        <w:rPr>
          <w:rFonts w:ascii="宋体" w:hAnsi="宋体"/>
          <w:b/>
        </w:rPr>
      </w:pPr>
      <w:bookmarkStart w:id="101" w:name="_Toc30282"/>
      <w:r>
        <w:rPr>
          <w:rFonts w:hint="eastAsia" w:ascii="宋体" w:hAnsi="宋体"/>
          <w:b/>
        </w:rPr>
        <w:t>历史文化街区整体保护结构</w:t>
      </w:r>
      <w:bookmarkEnd w:id="101"/>
    </w:p>
    <w:p w14:paraId="4639EEDF">
      <w:pPr>
        <w:ind w:firstLine="480"/>
        <w:rPr>
          <w:rFonts w:ascii="宋体" w:hAnsi="宋体"/>
        </w:rPr>
      </w:pPr>
      <w:r>
        <w:rPr>
          <w:rFonts w:hint="eastAsia" w:ascii="宋体" w:hAnsi="宋体"/>
        </w:rPr>
        <w:t>1、召文台历史文化街区整体保护结构为“一轴、三核、多点”。</w:t>
      </w:r>
    </w:p>
    <w:p w14:paraId="49ED70D5">
      <w:pPr>
        <w:ind w:firstLine="480"/>
        <w:rPr>
          <w:rFonts w:ascii="宋体" w:hAnsi="宋体"/>
        </w:rPr>
      </w:pPr>
      <w:r>
        <w:rPr>
          <w:rFonts w:hint="eastAsia" w:ascii="宋体" w:hAnsi="宋体"/>
        </w:rPr>
        <w:t>（1）一轴：永安街轴线。</w:t>
      </w:r>
    </w:p>
    <w:p w14:paraId="414A920F">
      <w:pPr>
        <w:ind w:firstLine="480"/>
        <w:rPr>
          <w:rFonts w:ascii="宋体" w:hAnsi="宋体"/>
        </w:rPr>
      </w:pPr>
      <w:r>
        <w:rPr>
          <w:rFonts w:hint="eastAsia" w:ascii="宋体" w:hAnsi="宋体"/>
        </w:rPr>
        <w:t>（2）三核：召文台核心保护区、万字会旧址核心保护区、峰西教堂核心保护区。</w:t>
      </w:r>
    </w:p>
    <w:p w14:paraId="1EF373F9">
      <w:pPr>
        <w:ind w:firstLine="480"/>
        <w:rPr>
          <w:rFonts w:ascii="宋体" w:hAnsi="宋体"/>
        </w:rPr>
      </w:pPr>
      <w:r>
        <w:rPr>
          <w:rFonts w:hint="eastAsia" w:ascii="宋体" w:hAnsi="宋体"/>
        </w:rPr>
        <w:t>（3）多点：指分布在街区保护范围内的不可移动文物和历史环境要素等。</w:t>
      </w:r>
    </w:p>
    <w:p w14:paraId="755DD264">
      <w:pPr>
        <w:ind w:firstLine="480"/>
        <w:rPr>
          <w:rFonts w:ascii="宋体" w:hAnsi="宋体"/>
        </w:rPr>
      </w:pPr>
      <w:r>
        <w:rPr>
          <w:rFonts w:hint="eastAsia" w:ascii="宋体" w:hAnsi="宋体"/>
        </w:rPr>
        <w:t>2、街巷格局保护与控制要求</w:t>
      </w:r>
    </w:p>
    <w:p w14:paraId="303D69CE">
      <w:pPr>
        <w:ind w:firstLine="480"/>
        <w:rPr>
          <w:rFonts w:ascii="宋体" w:hAnsi="宋体"/>
        </w:rPr>
      </w:pPr>
      <w:r>
        <w:rPr>
          <w:rFonts w:hint="eastAsia" w:ascii="宋体" w:hAnsi="宋体"/>
        </w:rPr>
        <w:t>（1）严格保护召文台历史文化街区“一轴、三核、多点”的整体格局。</w:t>
      </w:r>
    </w:p>
    <w:p w14:paraId="167253DC">
      <w:pPr>
        <w:ind w:firstLine="480"/>
        <w:rPr>
          <w:rFonts w:ascii="宋体" w:hAnsi="宋体"/>
        </w:rPr>
      </w:pPr>
      <w:r>
        <w:rPr>
          <w:rFonts w:hint="eastAsia" w:ascii="宋体" w:hAnsi="宋体"/>
        </w:rPr>
        <w:t>（2）街区保护范围内不得擅自新建、扩建道路，保持和延续既有街巷的历史格局和空间尺度，包括其高宽比、建筑色彩、铺装等要素，并保持历史街巷名称。</w:t>
      </w:r>
    </w:p>
    <w:p w14:paraId="10D896F3">
      <w:pPr>
        <w:ind w:firstLine="480"/>
        <w:rPr>
          <w:rFonts w:ascii="宋体" w:hAnsi="宋体"/>
        </w:rPr>
      </w:pPr>
      <w:r>
        <w:rPr>
          <w:rFonts w:hint="eastAsia" w:ascii="宋体" w:hAnsi="宋体"/>
        </w:rPr>
        <w:t>（3）将永安街规划为步行街，通过规划万字会至峰西教堂的步行景观轴线，增强万字会和峰西教堂两片区的联系，实现街区空间融合。</w:t>
      </w:r>
    </w:p>
    <w:p w14:paraId="5E4AF75D">
      <w:pPr>
        <w:keepNext/>
        <w:keepLines/>
        <w:numPr>
          <w:ilvl w:val="0"/>
          <w:numId w:val="1"/>
        </w:numPr>
        <w:spacing w:before="163" w:beforeLines="50"/>
        <w:ind w:left="426" w:firstLineChars="0"/>
        <w:jc w:val="left"/>
        <w:outlineLvl w:val="2"/>
        <w:rPr>
          <w:rFonts w:ascii="宋体" w:hAnsi="宋体"/>
          <w:b/>
        </w:rPr>
      </w:pPr>
      <w:bookmarkStart w:id="102" w:name="_Toc3861"/>
      <w:bookmarkStart w:id="103" w:name="_Toc20354"/>
      <w:r>
        <w:rPr>
          <w:rFonts w:hint="eastAsia" w:ascii="宋体" w:hAnsi="宋体"/>
          <w:b/>
        </w:rPr>
        <w:t>建筑高度控制</w:t>
      </w:r>
      <w:bookmarkEnd w:id="102"/>
    </w:p>
    <w:p w14:paraId="1322BADE">
      <w:pPr>
        <w:ind w:firstLine="480"/>
        <w:rPr>
          <w:rFonts w:ascii="宋体" w:hAnsi="宋体"/>
        </w:rPr>
      </w:pPr>
      <w:r>
        <w:rPr>
          <w:rFonts w:hint="eastAsia" w:ascii="宋体" w:hAnsi="宋体"/>
        </w:rPr>
        <w:t>1、建筑高度控制应遵循“整体协调、分类分区严控”的原则。</w:t>
      </w:r>
    </w:p>
    <w:p w14:paraId="3E9E6C2A">
      <w:pPr>
        <w:ind w:firstLine="480"/>
        <w:rPr>
          <w:rFonts w:ascii="宋体" w:hAnsi="宋体"/>
        </w:rPr>
      </w:pPr>
      <w:r>
        <w:rPr>
          <w:rFonts w:hint="eastAsia" w:ascii="宋体" w:hAnsi="宋体"/>
        </w:rPr>
        <w:t>2、历史文化街区核心保护范围内，新建或扩建必要的公共服务设施高度不应高于文物建筑的高度。</w:t>
      </w:r>
    </w:p>
    <w:p w14:paraId="37FF485E">
      <w:pPr>
        <w:ind w:firstLine="480"/>
        <w:rPr>
          <w:rFonts w:ascii="宋体" w:hAnsi="宋体"/>
        </w:rPr>
      </w:pPr>
      <w:r>
        <w:rPr>
          <w:rFonts w:hint="eastAsia" w:ascii="宋体" w:hAnsi="宋体"/>
        </w:rPr>
        <w:t>3、历史文化街区的建设控制地带内，新建或扩建的建筑高度应按《威海市城市风貌保护条例》要求控制，同时应满足文物保护单位保护规划对其周边建筑高度的要求，以及城市街景、对景等对建筑高度的要求。</w:t>
      </w:r>
    </w:p>
    <w:p w14:paraId="2B6DE866">
      <w:pPr>
        <w:keepNext/>
        <w:keepLines/>
        <w:numPr>
          <w:ilvl w:val="0"/>
          <w:numId w:val="1"/>
        </w:numPr>
        <w:spacing w:before="163" w:beforeLines="50"/>
        <w:ind w:left="426" w:firstLineChars="0"/>
        <w:jc w:val="left"/>
        <w:outlineLvl w:val="2"/>
        <w:rPr>
          <w:rFonts w:ascii="宋体" w:hAnsi="宋体"/>
          <w:b/>
          <w:u w:val="single"/>
        </w:rPr>
      </w:pPr>
      <w:bookmarkStart w:id="104" w:name="_Toc4124"/>
      <w:r>
        <w:rPr>
          <w:rFonts w:hint="eastAsia" w:ascii="宋体" w:hAnsi="宋体"/>
          <w:b/>
        </w:rPr>
        <w:t>风貌整治</w:t>
      </w:r>
      <w:bookmarkEnd w:id="103"/>
      <w:r>
        <w:rPr>
          <w:rFonts w:hint="eastAsia" w:ascii="宋体" w:hAnsi="宋体"/>
          <w:b/>
        </w:rPr>
        <w:t>策略</w:t>
      </w:r>
      <w:bookmarkEnd w:id="104"/>
    </w:p>
    <w:p w14:paraId="5CCE6178">
      <w:pPr>
        <w:numPr>
          <w:ilvl w:val="0"/>
          <w:numId w:val="9"/>
        </w:numPr>
        <w:ind w:firstLine="480"/>
        <w:rPr>
          <w:rFonts w:ascii="宋体" w:hAnsi="宋体"/>
        </w:rPr>
      </w:pPr>
      <w:r>
        <w:rPr>
          <w:rFonts w:hint="eastAsia" w:ascii="宋体" w:hAnsi="宋体"/>
        </w:rPr>
        <w:t>建筑保护整治措施</w:t>
      </w:r>
    </w:p>
    <w:p w14:paraId="450A1BF1">
      <w:pPr>
        <w:ind w:firstLine="480"/>
        <w:rPr>
          <w:rFonts w:ascii="宋体" w:hAnsi="宋体"/>
        </w:rPr>
      </w:pPr>
      <w:r>
        <w:rPr>
          <w:rFonts w:hint="eastAsia" w:ascii="宋体" w:hAnsi="宋体"/>
        </w:rPr>
        <w:t>（1）不可移动文物保护</w:t>
      </w:r>
    </w:p>
    <w:p w14:paraId="4FF67A43">
      <w:pPr>
        <w:ind w:firstLine="480"/>
        <w:rPr>
          <w:rFonts w:ascii="宋体" w:hAnsi="宋体"/>
        </w:rPr>
      </w:pPr>
      <w:r>
        <w:rPr>
          <w:rFonts w:hint="eastAsia" w:ascii="宋体" w:hAnsi="宋体"/>
        </w:rPr>
        <w:t>历史文化街区内的不可移动文物应按照《中华人民共和国文物保护法》</w:t>
      </w:r>
      <w:bookmarkStart w:id="160" w:name="_GoBack"/>
      <w:bookmarkEnd w:id="160"/>
      <w:r>
        <w:rPr>
          <w:rFonts w:hint="eastAsia" w:ascii="宋体" w:hAnsi="宋体"/>
        </w:rPr>
        <w:t>、《中华人民共和国文物保护法实施条例》、《中国文物古迹保护准则》等文物保护相关的法规、规章、文件进行保护。</w:t>
      </w:r>
    </w:p>
    <w:p w14:paraId="79165965">
      <w:pPr>
        <w:ind w:firstLine="480"/>
        <w:rPr>
          <w:rFonts w:ascii="宋体" w:hAnsi="宋体"/>
        </w:rPr>
      </w:pPr>
      <w:r>
        <w:rPr>
          <w:rFonts w:hint="eastAsia" w:ascii="宋体" w:hAnsi="宋体"/>
        </w:rPr>
        <w:t>（2）核心保护区内建筑建议根据具体情况进行维修、修缮和改善。改善类建筑应保持原有高度、体量、外观形象及色彩；建筑主要立面、体现历史风貌特色的部位、材料、构造、装饰不得改变。修缮类建筑在修缮过程中，主要立面、主体结构、平面布局和特色装饰、历史环境要素基本不得改变。在符合相关法律、法规要求的前提下，内部可根据功能需求予以改善更新。对传统风貌建筑的利用应按照有关规定办理审批手续。</w:t>
      </w:r>
    </w:p>
    <w:p w14:paraId="273CF290">
      <w:pPr>
        <w:ind w:firstLine="480"/>
        <w:rPr>
          <w:rFonts w:ascii="宋体" w:hAnsi="宋体"/>
        </w:rPr>
      </w:pPr>
      <w:r>
        <w:rPr>
          <w:rFonts w:hint="eastAsia" w:ascii="宋体" w:hAnsi="宋体"/>
        </w:rPr>
        <w:t>（3）建设控制地带内建筑建议根据具体情况进行整治，使其与街区风格相协调。</w:t>
      </w:r>
    </w:p>
    <w:p w14:paraId="145DDF12">
      <w:pPr>
        <w:ind w:firstLine="480"/>
        <w:rPr>
          <w:rFonts w:ascii="宋体" w:hAnsi="宋体"/>
        </w:rPr>
      </w:pPr>
      <w:r>
        <w:rPr>
          <w:rFonts w:hint="eastAsia" w:ascii="宋体" w:hAnsi="宋体"/>
        </w:rPr>
        <w:t>2、历史环境要素保护</w:t>
      </w:r>
    </w:p>
    <w:p w14:paraId="68B7AD3A">
      <w:pPr>
        <w:ind w:firstLine="480"/>
        <w:rPr>
          <w:rFonts w:ascii="宋体" w:hAnsi="宋体"/>
        </w:rPr>
      </w:pPr>
      <w:r>
        <w:rPr>
          <w:rFonts w:hint="eastAsia" w:ascii="宋体" w:hAnsi="宋体"/>
        </w:rPr>
        <w:t>保护与历史环境紧密相关的围墙、石阶、雕塑及建筑构件，不得擅自拆除或改造。确需整治的，需用原材料和原工艺恢复其原有面貌。积极推动古树名木的申报工作，对古树名木应统一挂牌保护。</w:t>
      </w:r>
    </w:p>
    <w:p w14:paraId="5F0CCD72">
      <w:pPr>
        <w:keepNext/>
        <w:keepLines/>
        <w:numPr>
          <w:ilvl w:val="0"/>
          <w:numId w:val="1"/>
        </w:numPr>
        <w:spacing w:before="163" w:beforeLines="50"/>
        <w:ind w:left="426" w:firstLineChars="0"/>
        <w:jc w:val="left"/>
        <w:outlineLvl w:val="2"/>
        <w:rPr>
          <w:rFonts w:ascii="宋体" w:hAnsi="宋体"/>
          <w:b/>
        </w:rPr>
      </w:pPr>
      <w:bookmarkStart w:id="105" w:name="_Toc1090"/>
      <w:bookmarkStart w:id="106" w:name="_Toc15637"/>
      <w:r>
        <w:rPr>
          <w:rFonts w:hint="eastAsia" w:ascii="宋体" w:hAnsi="宋体"/>
          <w:b/>
        </w:rPr>
        <w:t>土地使用与规划控制</w:t>
      </w:r>
      <w:bookmarkEnd w:id="105"/>
      <w:bookmarkEnd w:id="106"/>
    </w:p>
    <w:p w14:paraId="515EAF1B">
      <w:pPr>
        <w:ind w:firstLine="480"/>
        <w:rPr>
          <w:rFonts w:ascii="宋体" w:hAnsi="宋体"/>
        </w:rPr>
      </w:pPr>
      <w:r>
        <w:rPr>
          <w:rFonts w:hint="eastAsia" w:ascii="宋体" w:hAnsi="宋体"/>
        </w:rPr>
        <w:t>优化用地结构，</w:t>
      </w:r>
      <w:r>
        <w:rPr>
          <w:rFonts w:hint="eastAsia" w:ascii="宋体" w:hAnsi="宋体"/>
          <w:szCs w:val="20"/>
        </w:rPr>
        <w:t>增加与文化展览、休闲旅游功能相适应的公共服务类用地。</w:t>
      </w:r>
      <w:r>
        <w:rPr>
          <w:rFonts w:hint="eastAsia" w:ascii="宋体" w:hAnsi="宋体"/>
        </w:rPr>
        <w:t>在不影响街区整体保护和风貌格局的前提下，可设置促进街区活力的混合用地。同时鼓励建筑多功能使用；不可移动文物可兼容公共服务功能；其它建筑可适度兼容文化、商业、公共服务设施等多种混合功能。</w:t>
      </w:r>
    </w:p>
    <w:p w14:paraId="3CCEF4D7">
      <w:pPr>
        <w:keepNext/>
        <w:keepLines/>
        <w:numPr>
          <w:ilvl w:val="0"/>
          <w:numId w:val="1"/>
        </w:numPr>
        <w:spacing w:before="163" w:beforeLines="50"/>
        <w:ind w:left="426" w:firstLineChars="0"/>
        <w:jc w:val="left"/>
        <w:outlineLvl w:val="2"/>
        <w:rPr>
          <w:rFonts w:ascii="宋体" w:hAnsi="宋体"/>
          <w:b/>
        </w:rPr>
      </w:pPr>
      <w:bookmarkStart w:id="107" w:name="_Toc30163"/>
      <w:bookmarkStart w:id="108" w:name="_Toc20953"/>
      <w:r>
        <w:rPr>
          <w:rFonts w:hint="eastAsia" w:ascii="宋体" w:hAnsi="宋体"/>
          <w:b/>
        </w:rPr>
        <w:t>设施与环境改善规划</w:t>
      </w:r>
      <w:bookmarkEnd w:id="107"/>
      <w:bookmarkEnd w:id="108"/>
    </w:p>
    <w:p w14:paraId="3E17763B">
      <w:pPr>
        <w:ind w:firstLine="480"/>
        <w:rPr>
          <w:rFonts w:ascii="宋体" w:hAnsi="宋体"/>
        </w:rPr>
      </w:pPr>
      <w:r>
        <w:rPr>
          <w:rFonts w:hint="eastAsia" w:ascii="宋体" w:hAnsi="宋体"/>
        </w:rPr>
        <w:t>1、道路交通规划</w:t>
      </w:r>
    </w:p>
    <w:p w14:paraId="5C5053A9">
      <w:pPr>
        <w:ind w:firstLine="480"/>
        <w:rPr>
          <w:rFonts w:ascii="宋体" w:hAnsi="宋体"/>
        </w:rPr>
      </w:pPr>
      <w:r>
        <w:rPr>
          <w:rFonts w:hint="eastAsia" w:ascii="宋体" w:hAnsi="宋体"/>
        </w:rPr>
        <w:t>（1）城市主干道、次干道、支路以继承既有规划为主。理清道路结构、等级功能，形成路网的整体协同，合理交通分流，达到街区保护的目的。</w:t>
      </w:r>
    </w:p>
    <w:p w14:paraId="67EDB37A">
      <w:pPr>
        <w:ind w:firstLine="480"/>
        <w:rPr>
          <w:rFonts w:ascii="宋体" w:hAnsi="宋体"/>
        </w:rPr>
      </w:pPr>
      <w:r>
        <w:rPr>
          <w:rFonts w:hint="eastAsia" w:ascii="宋体" w:hAnsi="宋体"/>
        </w:rPr>
        <w:t>（3）街区内部除城市道路（主干道、次干道、支路）外，原则上其他道路以步行和非机动车交通为主。</w:t>
      </w:r>
    </w:p>
    <w:p w14:paraId="70C5A117">
      <w:pPr>
        <w:ind w:firstLine="480"/>
        <w:rPr>
          <w:rFonts w:ascii="宋体" w:hAnsi="宋体"/>
        </w:rPr>
      </w:pPr>
      <w:r>
        <w:rPr>
          <w:rFonts w:hint="eastAsia" w:ascii="宋体" w:hAnsi="宋体"/>
        </w:rPr>
        <w:t>（4）优先发展公共交通，强化街区内的接驳设施功能。街区内规划停车场，满足游客及居民停车需求。</w:t>
      </w:r>
    </w:p>
    <w:p w14:paraId="3943190A">
      <w:pPr>
        <w:ind w:firstLine="480"/>
        <w:rPr>
          <w:rFonts w:ascii="宋体" w:hAnsi="宋体"/>
        </w:rPr>
      </w:pPr>
      <w:r>
        <w:rPr>
          <w:rFonts w:hint="eastAsia" w:ascii="宋体" w:hAnsi="宋体"/>
        </w:rPr>
        <w:t>（5）</w:t>
      </w:r>
      <w:r>
        <w:rPr>
          <w:rFonts w:hint="eastAsia" w:ascii="宋体" w:hAnsi="宋体"/>
          <w:kern w:val="0"/>
          <w:szCs w:val="20"/>
        </w:rPr>
        <w:t>构建步行交通网，保证街区完整性，满足步行及非机动车通行。除消防、救护等应急车辆外，其他机动车辆禁止进入，</w:t>
      </w:r>
      <w:r>
        <w:rPr>
          <w:rFonts w:hint="eastAsia" w:ascii="宋体" w:hAnsi="宋体"/>
        </w:rPr>
        <w:t>营造舒适宜人的步行街道空间。</w:t>
      </w:r>
    </w:p>
    <w:p w14:paraId="42A6726B">
      <w:pPr>
        <w:ind w:firstLine="480"/>
        <w:rPr>
          <w:rFonts w:ascii="宋体" w:hAnsi="宋体"/>
        </w:rPr>
      </w:pPr>
      <w:r>
        <w:rPr>
          <w:rFonts w:hint="eastAsia" w:ascii="宋体" w:hAnsi="宋体"/>
        </w:rPr>
        <w:t>2、公共服务设施规划</w:t>
      </w:r>
    </w:p>
    <w:p w14:paraId="5D320168">
      <w:pPr>
        <w:ind w:firstLine="480"/>
        <w:rPr>
          <w:rFonts w:ascii="宋体" w:hAnsi="宋体"/>
        </w:rPr>
      </w:pPr>
      <w:r>
        <w:rPr>
          <w:rFonts w:hint="eastAsia" w:ascii="宋体" w:hAnsi="宋体"/>
          <w:szCs w:val="22"/>
        </w:rPr>
        <w:t>完善街区公共服务设施，包括公共服务中心、广场、公厕</w:t>
      </w:r>
      <w:r>
        <w:rPr>
          <w:rFonts w:hint="eastAsia" w:ascii="宋体" w:hAnsi="宋体"/>
        </w:rPr>
        <w:t>，满足游客和居民的多重需求。</w:t>
      </w:r>
    </w:p>
    <w:p w14:paraId="363AB4AE">
      <w:pPr>
        <w:ind w:firstLine="480"/>
        <w:rPr>
          <w:rFonts w:ascii="宋体" w:hAnsi="宋体"/>
        </w:rPr>
      </w:pPr>
      <w:r>
        <w:rPr>
          <w:rFonts w:hint="eastAsia" w:ascii="宋体" w:hAnsi="宋体"/>
        </w:rPr>
        <w:t>3、市政基础设施规划</w:t>
      </w:r>
    </w:p>
    <w:p w14:paraId="05E4411C">
      <w:pPr>
        <w:ind w:firstLine="480"/>
        <w:rPr>
          <w:rFonts w:ascii="宋体" w:hAnsi="宋体"/>
        </w:rPr>
      </w:pPr>
      <w:r>
        <w:rPr>
          <w:rFonts w:hint="eastAsia" w:ascii="宋体" w:hAnsi="宋体"/>
        </w:rPr>
        <w:t>根据居民需求合理确定市政管线的优先次序，建议结合街区微改造逐步统一敷设综合管线。地块内污水就近排至道路市政排水管线，建议整片区结合旧城改造进行管网承载力分析，完善排水管网建设。</w:t>
      </w:r>
    </w:p>
    <w:p w14:paraId="4BEC9716">
      <w:pPr>
        <w:ind w:firstLine="480"/>
        <w:rPr>
          <w:rFonts w:ascii="宋体" w:hAnsi="宋体"/>
        </w:rPr>
      </w:pPr>
      <w:r>
        <w:rPr>
          <w:rFonts w:hint="eastAsia" w:ascii="宋体" w:hAnsi="宋体"/>
        </w:rPr>
        <w:t>4、公共安全设施规划</w:t>
      </w:r>
    </w:p>
    <w:p w14:paraId="5FF7123D">
      <w:pPr>
        <w:ind w:firstLine="480"/>
        <w:rPr>
          <w:rFonts w:ascii="宋体" w:hAnsi="宋体"/>
        </w:rPr>
      </w:pPr>
      <w:r>
        <w:rPr>
          <w:rFonts w:hint="eastAsia" w:ascii="宋体" w:hAnsi="宋体"/>
        </w:rPr>
        <w:t>结合主次干路设置疏散通道，结合现有的停车场、绿地广场等空旷地区设置避难场所</w:t>
      </w:r>
      <w:r>
        <w:rPr>
          <w:rFonts w:ascii="宋体" w:hAnsi="宋体"/>
        </w:rPr>
        <w:t>。</w:t>
      </w:r>
    </w:p>
    <w:p w14:paraId="393E9DF0">
      <w:pPr>
        <w:keepNext/>
        <w:keepLines/>
        <w:numPr>
          <w:ilvl w:val="0"/>
          <w:numId w:val="1"/>
        </w:numPr>
        <w:spacing w:before="163" w:beforeLines="50"/>
        <w:ind w:left="426" w:firstLineChars="0"/>
        <w:jc w:val="left"/>
        <w:outlineLvl w:val="2"/>
        <w:rPr>
          <w:rFonts w:ascii="宋体" w:hAnsi="宋体"/>
          <w:b/>
        </w:rPr>
      </w:pPr>
      <w:bookmarkStart w:id="109" w:name="_Toc23554"/>
      <w:r>
        <w:rPr>
          <w:rFonts w:hint="eastAsia" w:ascii="宋体" w:hAnsi="宋体"/>
          <w:b/>
        </w:rPr>
        <w:t>发展引导</w:t>
      </w:r>
      <w:bookmarkEnd w:id="109"/>
    </w:p>
    <w:p w14:paraId="066B1EF1">
      <w:pPr>
        <w:ind w:firstLine="480"/>
        <w:rPr>
          <w:rFonts w:ascii="宋体" w:hAnsi="宋体"/>
        </w:rPr>
      </w:pPr>
      <w:r>
        <w:rPr>
          <w:rFonts w:hint="eastAsia" w:ascii="宋体" w:hAnsi="宋体"/>
        </w:rPr>
        <w:t>1、产业发展指引</w:t>
      </w:r>
    </w:p>
    <w:p w14:paraId="6ABCBB43">
      <w:pPr>
        <w:ind w:firstLine="480"/>
        <w:rPr>
          <w:rFonts w:ascii="宋体" w:hAnsi="宋体"/>
        </w:rPr>
      </w:pPr>
      <w:r>
        <w:rPr>
          <w:rFonts w:hint="eastAsia" w:ascii="宋体" w:hAnsi="宋体"/>
        </w:rPr>
        <w:t>结合城市更新，建议重点发展文化创意、旅游休闲、商业服务等功能，沿天福路、永安街建议发展特色商业，万字会旧址、峰西教堂周边建议发展文化休闲等功能。</w:t>
      </w:r>
    </w:p>
    <w:p w14:paraId="77A89670">
      <w:pPr>
        <w:ind w:firstLine="480"/>
        <w:rPr>
          <w:rFonts w:ascii="宋体" w:hAnsi="宋体"/>
        </w:rPr>
      </w:pPr>
      <w:r>
        <w:rPr>
          <w:rFonts w:hint="eastAsia" w:ascii="宋体" w:hAnsi="宋体"/>
        </w:rPr>
        <w:t>2、建筑改造指引</w:t>
      </w:r>
    </w:p>
    <w:p w14:paraId="77DC7039">
      <w:pPr>
        <w:ind w:firstLine="480"/>
        <w:rPr>
          <w:rFonts w:ascii="宋体" w:hAnsi="宋体"/>
        </w:rPr>
      </w:pPr>
      <w:r>
        <w:rPr>
          <w:rFonts w:hint="eastAsia" w:ascii="宋体" w:hAnsi="宋体"/>
        </w:rPr>
        <w:t>分类型保护与活化利用街区内的建筑。鼓励社会和市场力量参与建筑改造与活化利用，提升街区活力，优先活化利用公有产权建筑，鼓励私有产权建筑功能升级。</w:t>
      </w:r>
    </w:p>
    <w:p w14:paraId="61134375">
      <w:pPr>
        <w:ind w:firstLine="480"/>
        <w:rPr>
          <w:rFonts w:ascii="宋体" w:hAnsi="宋体"/>
        </w:rPr>
      </w:pPr>
      <w:r>
        <w:rPr>
          <w:rFonts w:hint="eastAsia" w:ascii="宋体" w:hAnsi="宋体"/>
        </w:rPr>
        <w:t>3、功能混合指引</w:t>
      </w:r>
    </w:p>
    <w:p w14:paraId="232B0F51">
      <w:pPr>
        <w:ind w:firstLine="480"/>
        <w:rPr>
          <w:rFonts w:ascii="宋体" w:hAnsi="宋体"/>
        </w:rPr>
      </w:pPr>
      <w:r>
        <w:rPr>
          <w:rFonts w:hint="eastAsia" w:ascii="宋体" w:hAnsi="宋体"/>
        </w:rPr>
        <w:t>永安街沿街可采用“文、商、旅”相结合方式，设置多种功能。万字会旧址和峰西教堂周边可以采取“微改造”模式保护和活化历史文化资源，鼓励结合传统民居，发展特色产业，兼容公共服务与文化活动功能。</w:t>
      </w:r>
    </w:p>
    <w:p w14:paraId="38730871">
      <w:pPr>
        <w:keepNext/>
        <w:keepLines/>
        <w:numPr>
          <w:ilvl w:val="0"/>
          <w:numId w:val="1"/>
        </w:numPr>
        <w:spacing w:before="163" w:beforeLines="50"/>
        <w:ind w:left="426" w:firstLineChars="0"/>
        <w:jc w:val="left"/>
        <w:outlineLvl w:val="2"/>
        <w:rPr>
          <w:rFonts w:ascii="宋体" w:hAnsi="宋体"/>
          <w:b/>
        </w:rPr>
      </w:pPr>
      <w:r>
        <w:rPr>
          <w:rFonts w:hint="eastAsia" w:ascii="宋体" w:hAnsi="宋体"/>
          <w:b/>
        </w:rPr>
        <w:t xml:space="preserve"> </w:t>
      </w:r>
      <w:bookmarkStart w:id="110" w:name="_Toc18943"/>
      <w:bookmarkStart w:id="111" w:name="_Toc21325"/>
      <w:r>
        <w:rPr>
          <w:rFonts w:hint="eastAsia" w:ascii="宋体" w:hAnsi="宋体"/>
          <w:b/>
        </w:rPr>
        <w:t>实施策略与建议</w:t>
      </w:r>
      <w:bookmarkEnd w:id="110"/>
      <w:bookmarkEnd w:id="111"/>
    </w:p>
    <w:p w14:paraId="52C0812B">
      <w:pPr>
        <w:ind w:firstLine="480"/>
        <w:rPr>
          <w:rFonts w:ascii="宋体" w:hAnsi="宋体"/>
        </w:rPr>
      </w:pPr>
      <w:r>
        <w:rPr>
          <w:rFonts w:hint="eastAsia" w:ascii="宋体" w:hAnsi="宋体"/>
        </w:rPr>
        <w:t>1、实施策略</w:t>
      </w:r>
    </w:p>
    <w:p w14:paraId="1212461B">
      <w:pPr>
        <w:ind w:firstLine="480"/>
        <w:rPr>
          <w:rFonts w:ascii="宋体" w:hAnsi="宋体"/>
        </w:rPr>
      </w:pPr>
      <w:r>
        <w:rPr>
          <w:rFonts w:hint="eastAsia" w:ascii="宋体" w:hAnsi="宋体"/>
        </w:rPr>
        <w:t>采取 “渐进改造、有机更新”的实施策略，按照“政府主导、多方参与”的实施模式，推进街区历史文化保护和更新利用的有机结合。</w:t>
      </w:r>
    </w:p>
    <w:p w14:paraId="36AFFB1C">
      <w:pPr>
        <w:ind w:firstLine="480"/>
        <w:rPr>
          <w:rFonts w:ascii="宋体" w:hAnsi="宋体"/>
        </w:rPr>
      </w:pPr>
      <w:r>
        <w:rPr>
          <w:rFonts w:hint="eastAsia" w:ascii="宋体" w:hAnsi="宋体"/>
        </w:rPr>
        <w:t>2、实施建议</w:t>
      </w:r>
    </w:p>
    <w:p w14:paraId="171C47E7">
      <w:pPr>
        <w:ind w:firstLine="480"/>
        <w:rPr>
          <w:rFonts w:ascii="宋体" w:hAnsi="宋体"/>
          <w:u w:val="single"/>
        </w:rPr>
      </w:pPr>
      <w:r>
        <w:rPr>
          <w:rFonts w:hint="eastAsia" w:ascii="宋体" w:hAnsi="宋体"/>
        </w:rPr>
        <w:t>拓展资金来源渠道，鼓励多元化的投融资体系，建立政府引导、政策保障、市场运作的运营管理机制。通过政策引导、资金资助、手续简化等方式，吸引社会资本和个人共同参与保护利用。</w:t>
      </w:r>
    </w:p>
    <w:p w14:paraId="0C492B1A">
      <w:pPr>
        <w:keepNext/>
        <w:keepLines/>
        <w:numPr>
          <w:ilvl w:val="0"/>
          <w:numId w:val="4"/>
        </w:numPr>
        <w:spacing w:before="489" w:beforeLines="150" w:after="326" w:afterLines="100" w:line="400" w:lineRule="exact"/>
        <w:ind w:firstLineChars="0"/>
        <w:jc w:val="center"/>
        <w:outlineLvl w:val="0"/>
        <w:rPr>
          <w:rFonts w:ascii="黑体" w:eastAsia="黑体"/>
          <w:b/>
          <w:sz w:val="32"/>
          <w:szCs w:val="32"/>
        </w:rPr>
      </w:pPr>
      <w:bookmarkStart w:id="112" w:name="_Toc5885"/>
      <w:bookmarkStart w:id="113" w:name="_Toc27359"/>
      <w:r>
        <w:rPr>
          <w:rFonts w:hint="eastAsia" w:ascii="黑体" w:eastAsia="黑体"/>
          <w:b/>
          <w:sz w:val="32"/>
          <w:szCs w:val="32"/>
        </w:rPr>
        <w:t>历史文化名村和传统村落保护</w:t>
      </w:r>
      <w:bookmarkEnd w:id="112"/>
      <w:bookmarkEnd w:id="113"/>
    </w:p>
    <w:p w14:paraId="3E0A19C2">
      <w:pPr>
        <w:keepNext/>
        <w:keepLines/>
        <w:numPr>
          <w:ilvl w:val="0"/>
          <w:numId w:val="1"/>
        </w:numPr>
        <w:spacing w:before="163" w:beforeLines="50"/>
        <w:ind w:left="426" w:firstLineChars="0"/>
        <w:jc w:val="left"/>
        <w:outlineLvl w:val="2"/>
        <w:rPr>
          <w:rFonts w:ascii="宋体" w:hAnsi="宋体"/>
          <w:b/>
        </w:rPr>
      </w:pPr>
      <w:bookmarkStart w:id="114" w:name="_Toc20099"/>
      <w:bookmarkStart w:id="115" w:name="_Toc8811"/>
      <w:r>
        <w:rPr>
          <w:rFonts w:hint="eastAsia" w:ascii="宋体" w:hAnsi="宋体"/>
          <w:b/>
        </w:rPr>
        <w:t>保护内容</w:t>
      </w:r>
      <w:bookmarkEnd w:id="114"/>
      <w:bookmarkEnd w:id="115"/>
    </w:p>
    <w:p w14:paraId="2F24EF54">
      <w:pPr>
        <w:ind w:firstLine="480"/>
        <w:rPr>
          <w:rFonts w:ascii="宋体" w:hAnsi="宋体"/>
        </w:rPr>
      </w:pPr>
      <w:r>
        <w:rPr>
          <w:rFonts w:hint="eastAsia" w:ascii="宋体" w:hAnsi="宋体"/>
        </w:rPr>
        <w:t>省级历史文化名村、国家级传统村落——万家村。</w:t>
      </w:r>
    </w:p>
    <w:p w14:paraId="3094E9EF">
      <w:pPr>
        <w:ind w:firstLine="480"/>
        <w:rPr>
          <w:rFonts w:ascii="宋体" w:hAnsi="宋体"/>
          <w:b/>
        </w:rPr>
      </w:pPr>
      <w:r>
        <w:rPr>
          <w:rFonts w:hint="eastAsia" w:ascii="宋体" w:hAnsi="宋体"/>
        </w:rPr>
        <w:t>9处省级传统村落，包括高村镇慈口观村、莲花城村；葛家镇东于疃村；文登营镇沟于家村；界石镇梧桐庵村、六度寺村、三瓣石村；宋村镇山东村；埠口镇下埠前村；米山镇长山村、西后山村。</w:t>
      </w:r>
    </w:p>
    <w:p w14:paraId="43D59923">
      <w:pPr>
        <w:keepNext/>
        <w:keepLines/>
        <w:numPr>
          <w:ilvl w:val="0"/>
          <w:numId w:val="1"/>
        </w:numPr>
        <w:spacing w:before="163" w:beforeLines="50"/>
        <w:ind w:left="426" w:firstLineChars="0"/>
        <w:jc w:val="left"/>
        <w:outlineLvl w:val="2"/>
        <w:rPr>
          <w:rFonts w:ascii="宋体" w:hAnsi="宋体"/>
          <w:b/>
        </w:rPr>
      </w:pPr>
      <w:bookmarkStart w:id="116" w:name="_Toc23861"/>
      <w:bookmarkStart w:id="117" w:name="_Toc28122"/>
      <w:r>
        <w:rPr>
          <w:rFonts w:hint="eastAsia" w:ascii="宋体" w:hAnsi="宋体"/>
          <w:b/>
        </w:rPr>
        <w:t>保护要求</w:t>
      </w:r>
      <w:bookmarkEnd w:id="116"/>
      <w:bookmarkEnd w:id="117"/>
    </w:p>
    <w:p w14:paraId="164CBC5A">
      <w:pPr>
        <w:numPr>
          <w:ilvl w:val="0"/>
          <w:numId w:val="10"/>
        </w:numPr>
        <w:ind w:firstLine="480"/>
        <w:rPr>
          <w:rFonts w:ascii="宋体" w:hAnsi="宋体"/>
        </w:rPr>
      </w:pPr>
      <w:r>
        <w:rPr>
          <w:rFonts w:hint="eastAsia" w:ascii="宋体" w:hAnsi="宋体"/>
        </w:rPr>
        <w:t>保护和延续传统格局、历史风貌和空间尺度，改善交通条件与基础设施，不得改变与其相互依赖的自然景观和环境。采用多种方式传承历史文化信息，鼓励适度开发利用。</w:t>
      </w:r>
    </w:p>
    <w:p w14:paraId="1EDBFB37">
      <w:pPr>
        <w:numPr>
          <w:ilvl w:val="0"/>
          <w:numId w:val="10"/>
        </w:numPr>
        <w:ind w:firstLine="480"/>
        <w:rPr>
          <w:rFonts w:ascii="宋体" w:hAnsi="宋体"/>
        </w:rPr>
      </w:pPr>
      <w:r>
        <w:rPr>
          <w:rFonts w:hint="eastAsia" w:ascii="宋体" w:hAnsi="宋体"/>
        </w:rPr>
        <w:t>重点保护村内的传统格局、地方风貌特色、不可移动文物、传统院落和民居建筑等。</w:t>
      </w:r>
    </w:p>
    <w:p w14:paraId="1755224F">
      <w:pPr>
        <w:ind w:firstLine="480"/>
        <w:rPr>
          <w:rFonts w:ascii="宋体" w:hAnsi="宋体"/>
        </w:rPr>
      </w:pPr>
      <w:r>
        <w:rPr>
          <w:rFonts w:hint="eastAsia" w:ascii="宋体" w:hAnsi="宋体"/>
        </w:rPr>
        <w:t xml:space="preserve">2、保护历史文化名村和传统村落应按《历史文化名城名镇名村保护条例》、《关于切实加强中国传统村落保护的指导意见》等相关文件的要求执行，编制各村保护规划，在保护规划中划定保护界线，制定具体保护措施。 </w:t>
      </w:r>
    </w:p>
    <w:p w14:paraId="34174605">
      <w:pPr>
        <w:ind w:firstLine="480"/>
        <w:rPr>
          <w:rFonts w:ascii="宋体" w:hAnsi="宋体"/>
        </w:rPr>
      </w:pPr>
      <w:r>
        <w:rPr>
          <w:rFonts w:hint="eastAsia" w:ascii="宋体" w:hAnsi="宋体"/>
        </w:rPr>
        <w:t xml:space="preserve">3、同时为同等级历史文化名村和传统村落的村庄，保护措施应按《历史文化名城名镇名村保护条例》执行。 </w:t>
      </w:r>
    </w:p>
    <w:p w14:paraId="343AA45F">
      <w:pPr>
        <w:ind w:firstLine="480"/>
        <w:rPr>
          <w:rFonts w:ascii="宋体" w:hAnsi="宋体"/>
        </w:rPr>
      </w:pPr>
      <w:r>
        <w:rPr>
          <w:rFonts w:hint="eastAsia" w:ascii="宋体" w:hAnsi="宋体"/>
        </w:rPr>
        <w:t xml:space="preserve">4、持续做好历史文化名村和传统村落的普查、认定和公布工作， 并逐步申报各级名村和传统村落。 </w:t>
      </w:r>
    </w:p>
    <w:p w14:paraId="1AB696C2">
      <w:pPr>
        <w:ind w:firstLine="480"/>
        <w:rPr>
          <w:rFonts w:ascii="宋体" w:hAnsi="宋体"/>
        </w:rPr>
      </w:pPr>
    </w:p>
    <w:p w14:paraId="7355501E">
      <w:pPr>
        <w:keepNext/>
        <w:keepLines/>
        <w:numPr>
          <w:ilvl w:val="0"/>
          <w:numId w:val="4"/>
        </w:numPr>
        <w:spacing w:before="489" w:beforeLines="150" w:after="326" w:afterLines="100" w:line="400" w:lineRule="exact"/>
        <w:ind w:firstLineChars="0"/>
        <w:jc w:val="center"/>
        <w:outlineLvl w:val="0"/>
        <w:rPr>
          <w:rFonts w:ascii="黑体" w:eastAsia="黑体"/>
          <w:b/>
          <w:sz w:val="32"/>
          <w:szCs w:val="32"/>
        </w:rPr>
      </w:pPr>
      <w:bookmarkStart w:id="118" w:name="_Toc25187"/>
      <w:bookmarkStart w:id="119" w:name="_Toc5387"/>
      <w:bookmarkStart w:id="120" w:name="_Toc14523"/>
      <w:r>
        <w:rPr>
          <w:rFonts w:hint="eastAsia" w:ascii="黑体" w:eastAsia="黑体"/>
          <w:b/>
          <w:sz w:val="32"/>
          <w:szCs w:val="32"/>
        </w:rPr>
        <w:t>不可移动文物保护</w:t>
      </w:r>
      <w:bookmarkEnd w:id="118"/>
      <w:bookmarkEnd w:id="119"/>
      <w:bookmarkEnd w:id="120"/>
    </w:p>
    <w:p w14:paraId="6E0F9ADC">
      <w:pPr>
        <w:keepNext/>
        <w:keepLines/>
        <w:numPr>
          <w:ilvl w:val="0"/>
          <w:numId w:val="1"/>
        </w:numPr>
        <w:spacing w:before="163" w:beforeLines="50"/>
        <w:ind w:left="426" w:firstLineChars="0"/>
        <w:jc w:val="left"/>
        <w:outlineLvl w:val="2"/>
        <w:rPr>
          <w:rFonts w:ascii="宋体" w:hAnsi="宋体"/>
          <w:b/>
        </w:rPr>
      </w:pPr>
      <w:bookmarkStart w:id="121" w:name="_Toc12776"/>
      <w:bookmarkStart w:id="122" w:name="_Toc13514"/>
      <w:r>
        <w:rPr>
          <w:rFonts w:hint="eastAsia" w:ascii="宋体" w:hAnsi="宋体"/>
          <w:b/>
        </w:rPr>
        <w:t>保护方针</w:t>
      </w:r>
      <w:bookmarkEnd w:id="121"/>
    </w:p>
    <w:p w14:paraId="0CFE6B80">
      <w:pPr>
        <w:ind w:firstLine="480"/>
        <w:rPr>
          <w:rFonts w:ascii="宋体" w:hAnsi="宋体"/>
          <w:b/>
        </w:rPr>
      </w:pPr>
      <w:r>
        <w:rPr>
          <w:rFonts w:hint="eastAsia" w:ascii="宋体" w:hAnsi="宋体"/>
        </w:rPr>
        <w:t>应贯彻“保护为主、抢救第一、合理利用、加强管理”的方针。</w:t>
      </w:r>
    </w:p>
    <w:p w14:paraId="7FCB6E3B">
      <w:pPr>
        <w:keepNext/>
        <w:keepLines/>
        <w:numPr>
          <w:ilvl w:val="0"/>
          <w:numId w:val="1"/>
        </w:numPr>
        <w:spacing w:before="163" w:beforeLines="50"/>
        <w:ind w:left="426" w:firstLineChars="0"/>
        <w:jc w:val="left"/>
        <w:outlineLvl w:val="2"/>
        <w:rPr>
          <w:rFonts w:ascii="宋体" w:hAnsi="宋体"/>
          <w:b/>
        </w:rPr>
      </w:pPr>
      <w:bookmarkStart w:id="123" w:name="_Toc21713"/>
      <w:r>
        <w:rPr>
          <w:rFonts w:hint="eastAsia" w:ascii="宋体" w:hAnsi="宋体"/>
          <w:b/>
        </w:rPr>
        <w:t>保护内容</w:t>
      </w:r>
      <w:bookmarkEnd w:id="122"/>
      <w:bookmarkEnd w:id="123"/>
    </w:p>
    <w:p w14:paraId="19E21131">
      <w:pPr>
        <w:ind w:firstLine="480"/>
        <w:rPr>
          <w:rFonts w:ascii="宋体" w:hAnsi="宋体"/>
        </w:rPr>
      </w:pPr>
      <w:r>
        <w:rPr>
          <w:rFonts w:hint="eastAsia" w:ascii="宋体" w:hAnsi="宋体"/>
        </w:rPr>
        <w:t>文登现有不可移动文物102处，文物保护单位共计31处，包括国家级重点文物保护单位1处，省级重点文物保护单位13处</w:t>
      </w:r>
      <w:r>
        <w:rPr>
          <w:rFonts w:hint="eastAsia" w:ascii="宋体" w:hAnsi="宋体"/>
          <w:szCs w:val="20"/>
        </w:rPr>
        <w:t>，市、县级文物保护单位17处。</w:t>
      </w:r>
    </w:p>
    <w:p w14:paraId="545B8901">
      <w:pPr>
        <w:keepNext/>
        <w:keepLines/>
        <w:numPr>
          <w:ilvl w:val="0"/>
          <w:numId w:val="1"/>
        </w:numPr>
        <w:spacing w:before="163" w:beforeLines="50"/>
        <w:ind w:left="426" w:firstLineChars="0"/>
        <w:jc w:val="left"/>
        <w:outlineLvl w:val="2"/>
        <w:rPr>
          <w:rFonts w:ascii="宋体" w:hAnsi="宋体"/>
          <w:b/>
        </w:rPr>
      </w:pPr>
      <w:bookmarkStart w:id="124" w:name="_Toc26881"/>
      <w:bookmarkStart w:id="125" w:name="_Toc27580"/>
      <w:r>
        <w:rPr>
          <w:rFonts w:hint="eastAsia" w:ascii="宋体" w:hAnsi="宋体"/>
          <w:b/>
        </w:rPr>
        <w:t>保护</w:t>
      </w:r>
      <w:bookmarkEnd w:id="124"/>
      <w:r>
        <w:rPr>
          <w:rFonts w:hint="eastAsia" w:ascii="宋体" w:hAnsi="宋体"/>
          <w:b/>
        </w:rPr>
        <w:t>界限</w:t>
      </w:r>
      <w:bookmarkEnd w:id="125"/>
    </w:p>
    <w:p w14:paraId="584ECD6F">
      <w:pPr>
        <w:ind w:firstLine="480"/>
        <w:rPr>
          <w:rFonts w:ascii="宋体" w:hAnsi="宋体"/>
        </w:rPr>
      </w:pPr>
      <w:r>
        <w:rPr>
          <w:rFonts w:hint="eastAsia" w:ascii="宋体" w:hAnsi="宋体"/>
        </w:rPr>
        <w:t>文物保护单位和地下文物埋藏区应划定保护范围。根据保护文物的实际需要，可以在文物保护单位的周围划出一定的建设控制地带。</w:t>
      </w:r>
    </w:p>
    <w:p w14:paraId="3A22258E">
      <w:pPr>
        <w:keepNext/>
        <w:keepLines/>
        <w:numPr>
          <w:ilvl w:val="0"/>
          <w:numId w:val="1"/>
        </w:numPr>
        <w:spacing w:before="163" w:beforeLines="50"/>
        <w:ind w:left="426" w:firstLineChars="0"/>
        <w:jc w:val="left"/>
        <w:outlineLvl w:val="2"/>
        <w:rPr>
          <w:rFonts w:ascii="宋体" w:hAnsi="宋体"/>
          <w:b/>
        </w:rPr>
      </w:pPr>
      <w:bookmarkStart w:id="126" w:name="_Toc31204"/>
      <w:bookmarkStart w:id="127" w:name="_Toc26423"/>
      <w:r>
        <w:rPr>
          <w:rFonts w:hint="eastAsia" w:ascii="宋体" w:hAnsi="宋体"/>
          <w:b/>
        </w:rPr>
        <w:t>保护要求</w:t>
      </w:r>
      <w:bookmarkEnd w:id="126"/>
      <w:bookmarkEnd w:id="127"/>
    </w:p>
    <w:p w14:paraId="33F37624">
      <w:pPr>
        <w:widowControl/>
        <w:ind w:firstLine="480"/>
        <w:jc w:val="left"/>
        <w:rPr>
          <w:rFonts w:ascii="宋体" w:hAnsi="宋体"/>
        </w:rPr>
      </w:pPr>
      <w:r>
        <w:rPr>
          <w:rFonts w:hint="eastAsia" w:ascii="宋体" w:hAnsi="宋体"/>
        </w:rPr>
        <w:t>1、文物保护单位的保护范围和建设控制地带内，一切修缮和新建行为必须严格按照《文物保护法》和《山东省文物保护条例》执行。</w:t>
      </w:r>
    </w:p>
    <w:p w14:paraId="4142C0C6">
      <w:pPr>
        <w:widowControl/>
        <w:ind w:firstLine="480"/>
        <w:jc w:val="left"/>
        <w:rPr>
          <w:rFonts w:ascii="宋体" w:hAnsi="宋体"/>
        </w:rPr>
      </w:pPr>
      <w:r>
        <w:rPr>
          <w:rFonts w:hint="eastAsia" w:ascii="宋体" w:hAnsi="宋体"/>
        </w:rPr>
        <w:t>2、文物保护单位建设控制地带内各类建设工程不得破坏文物保护单位的历史风貌。</w:t>
      </w:r>
    </w:p>
    <w:p w14:paraId="02768BDD">
      <w:pPr>
        <w:widowControl/>
        <w:ind w:firstLine="480"/>
        <w:jc w:val="left"/>
        <w:rPr>
          <w:rFonts w:ascii="宋体" w:hAnsi="宋体"/>
        </w:rPr>
      </w:pPr>
      <w:r>
        <w:rPr>
          <w:rFonts w:hint="eastAsia" w:ascii="宋体" w:hAnsi="宋体"/>
        </w:rPr>
        <w:t>3、文物保护单位的保护范围内不得进行其他建设工程。现有影响文物风貌的建（构）筑物，必须拆除，并进行综合环境整治。</w:t>
      </w:r>
    </w:p>
    <w:p w14:paraId="5D7CCFEF">
      <w:pPr>
        <w:widowControl/>
        <w:ind w:firstLine="480"/>
        <w:jc w:val="left"/>
        <w:rPr>
          <w:rFonts w:ascii="宋体" w:hAnsi="宋体"/>
        </w:rPr>
      </w:pPr>
      <w:r>
        <w:rPr>
          <w:rFonts w:hint="eastAsia" w:ascii="宋体" w:hAnsi="宋体"/>
        </w:rPr>
        <w:t xml:space="preserve">4、地下文物埋藏区保护界线范围内的道路交通设施建设、市政管线建设、房屋建设、绿化建设以及农业活动等提出相应的管控措施，不得危及地下文物的安全。 </w:t>
      </w:r>
    </w:p>
    <w:p w14:paraId="3D0FD7AF">
      <w:pPr>
        <w:widowControl/>
        <w:ind w:firstLine="480"/>
        <w:jc w:val="left"/>
        <w:rPr>
          <w:rFonts w:ascii="宋体" w:hAnsi="宋体"/>
        </w:rPr>
      </w:pPr>
      <w:r>
        <w:rPr>
          <w:rFonts w:hint="eastAsia" w:ascii="宋体" w:hAnsi="宋体"/>
        </w:rPr>
        <w:t xml:space="preserve">5、不可移动文物不得擅自迁移、拆除，因建设工程确需迁移、拆除的，应当严格按照文物保护法律法规的规定办理相关手续。 </w:t>
      </w:r>
    </w:p>
    <w:p w14:paraId="589B892A">
      <w:pPr>
        <w:keepNext/>
        <w:keepLines/>
        <w:numPr>
          <w:ilvl w:val="0"/>
          <w:numId w:val="1"/>
        </w:numPr>
        <w:spacing w:before="163" w:beforeLines="50"/>
        <w:ind w:left="426" w:firstLineChars="0"/>
        <w:jc w:val="left"/>
        <w:outlineLvl w:val="2"/>
        <w:rPr>
          <w:rFonts w:ascii="宋体" w:hAnsi="宋体"/>
          <w:b/>
        </w:rPr>
      </w:pPr>
      <w:bookmarkStart w:id="128" w:name="_Toc30929"/>
      <w:bookmarkStart w:id="129" w:name="_Toc13950"/>
      <w:r>
        <w:rPr>
          <w:rFonts w:hint="eastAsia" w:ascii="宋体" w:hAnsi="宋体"/>
          <w:b/>
        </w:rPr>
        <w:t>未核定等级的登记不可移动文物的保护</w:t>
      </w:r>
      <w:bookmarkEnd w:id="128"/>
      <w:bookmarkEnd w:id="129"/>
    </w:p>
    <w:p w14:paraId="60044BC8">
      <w:pPr>
        <w:ind w:firstLine="480"/>
      </w:pPr>
      <w:r>
        <w:rPr>
          <w:rFonts w:hint="eastAsia"/>
        </w:rPr>
        <w:t>参照文物保护单位的相应要求进行保护，未划定保护范围的文物普查点，应按照相应法规、程序和实际情况具体划定。</w:t>
      </w:r>
    </w:p>
    <w:p w14:paraId="3C0DD4AD">
      <w:pPr>
        <w:keepNext/>
        <w:keepLines/>
        <w:numPr>
          <w:ilvl w:val="0"/>
          <w:numId w:val="4"/>
        </w:numPr>
        <w:spacing w:before="489" w:beforeLines="150" w:after="326" w:afterLines="100" w:line="400" w:lineRule="exact"/>
        <w:ind w:firstLineChars="0"/>
        <w:jc w:val="center"/>
        <w:outlineLvl w:val="0"/>
        <w:rPr>
          <w:rFonts w:ascii="黑体" w:eastAsia="黑体"/>
          <w:b/>
          <w:sz w:val="32"/>
          <w:szCs w:val="32"/>
        </w:rPr>
      </w:pPr>
      <w:bookmarkStart w:id="130" w:name="_Toc3749"/>
      <w:bookmarkStart w:id="131" w:name="_Toc15412"/>
      <w:bookmarkStart w:id="132" w:name="_Toc9650"/>
      <w:r>
        <w:rPr>
          <w:rFonts w:hint="eastAsia" w:ascii="黑体" w:eastAsia="黑体"/>
          <w:b/>
          <w:sz w:val="32"/>
          <w:szCs w:val="32"/>
        </w:rPr>
        <w:t>历史建筑和传统风貌建筑保护</w:t>
      </w:r>
      <w:bookmarkEnd w:id="130"/>
      <w:bookmarkEnd w:id="131"/>
      <w:bookmarkEnd w:id="132"/>
    </w:p>
    <w:p w14:paraId="5616BF16">
      <w:pPr>
        <w:keepNext/>
        <w:keepLines/>
        <w:numPr>
          <w:ilvl w:val="0"/>
          <w:numId w:val="1"/>
        </w:numPr>
        <w:spacing w:before="163" w:beforeLines="50"/>
        <w:ind w:left="426" w:firstLineChars="0"/>
        <w:jc w:val="left"/>
        <w:outlineLvl w:val="2"/>
        <w:rPr>
          <w:rFonts w:ascii="宋体" w:hAnsi="宋体"/>
          <w:b/>
        </w:rPr>
      </w:pPr>
      <w:bookmarkStart w:id="133" w:name="_Toc26205"/>
      <w:bookmarkStart w:id="134" w:name="_Toc10475"/>
      <w:r>
        <w:rPr>
          <w:rFonts w:hint="eastAsia" w:ascii="宋体" w:hAnsi="宋体"/>
          <w:b/>
        </w:rPr>
        <w:t>历史建筑保护</w:t>
      </w:r>
      <w:bookmarkEnd w:id="133"/>
      <w:bookmarkEnd w:id="134"/>
    </w:p>
    <w:p w14:paraId="3E765BC8">
      <w:pPr>
        <w:ind w:firstLine="480"/>
        <w:rPr>
          <w:rFonts w:ascii="宋体" w:hAnsi="宋体"/>
        </w:rPr>
      </w:pPr>
      <w:r>
        <w:rPr>
          <w:rFonts w:hint="eastAsia" w:ascii="宋体" w:hAnsi="宋体"/>
        </w:rPr>
        <w:t>1、保护内容</w:t>
      </w:r>
    </w:p>
    <w:p w14:paraId="05B18974">
      <w:pPr>
        <w:ind w:firstLine="480"/>
        <w:rPr>
          <w:rFonts w:ascii="宋体" w:hAnsi="宋体"/>
        </w:rPr>
      </w:pPr>
      <w:r>
        <w:rPr>
          <w:rFonts w:hint="eastAsia" w:ascii="宋体" w:hAnsi="宋体"/>
        </w:rPr>
        <w:t>需要保护的历史建筑共计12处。</w:t>
      </w:r>
    </w:p>
    <w:p w14:paraId="4F919AFC">
      <w:pPr>
        <w:ind w:firstLine="480"/>
        <w:rPr>
          <w:rFonts w:ascii="宋体" w:hAnsi="宋体"/>
        </w:rPr>
      </w:pPr>
      <w:r>
        <w:rPr>
          <w:rFonts w:hint="eastAsia" w:ascii="宋体" w:hAnsi="宋体"/>
        </w:rPr>
        <w:t>2、保护界限</w:t>
      </w:r>
    </w:p>
    <w:p w14:paraId="5B4F93EA">
      <w:pPr>
        <w:ind w:firstLine="480"/>
        <w:rPr>
          <w:rFonts w:ascii="宋体" w:hAnsi="宋体"/>
        </w:rPr>
      </w:pPr>
      <w:r>
        <w:rPr>
          <w:rFonts w:hint="eastAsia" w:ascii="宋体" w:hAnsi="宋体"/>
        </w:rPr>
        <w:t xml:space="preserve">划定历史建筑保护范围。历史文化街区内历史建筑的保护范围应为历史建筑本身，历史文化街区外历史建筑的保护范围应包括历史建筑本身和必要的建设控制地带。 </w:t>
      </w:r>
    </w:p>
    <w:p w14:paraId="1D311CF1">
      <w:pPr>
        <w:ind w:firstLine="480"/>
        <w:rPr>
          <w:rFonts w:ascii="宋体" w:hAnsi="宋体"/>
        </w:rPr>
      </w:pPr>
      <w:r>
        <w:rPr>
          <w:rFonts w:hint="eastAsia" w:ascii="宋体" w:hAnsi="宋体"/>
        </w:rPr>
        <w:t>2、保护措施</w:t>
      </w:r>
    </w:p>
    <w:p w14:paraId="3DBE319A">
      <w:pPr>
        <w:ind w:firstLine="480"/>
        <w:rPr>
          <w:rFonts w:ascii="宋体" w:hAnsi="宋体"/>
        </w:rPr>
      </w:pPr>
      <w:r>
        <w:rPr>
          <w:rFonts w:hint="eastAsia" w:ascii="宋体" w:hAnsi="宋体"/>
        </w:rPr>
        <w:t>（1）按照《历史文化名城名镇名村保护条例》的有关条款规定，市、县人民政府应尽快确定公布一批具有一定保护价值，能够反映历史风貌和地方特色的历史建筑。</w:t>
      </w:r>
    </w:p>
    <w:p w14:paraId="642C9DF4">
      <w:pPr>
        <w:ind w:firstLine="480"/>
        <w:rPr>
          <w:rFonts w:ascii="宋体" w:hAnsi="宋体"/>
        </w:rPr>
      </w:pPr>
      <w:r>
        <w:rPr>
          <w:rFonts w:hint="eastAsia" w:ascii="宋体" w:hAnsi="宋体"/>
        </w:rPr>
        <w:t>（2）历史建筑应当设置保护标志，建立历史建筑档案。根据历史、科学和艺术价值以及完好程度，可将文登区的历史建筑进行分类，分别采取不同的保护和改造措施。</w:t>
      </w:r>
    </w:p>
    <w:p w14:paraId="029F8652">
      <w:pPr>
        <w:ind w:firstLine="480"/>
        <w:rPr>
          <w:rFonts w:ascii="宋体" w:hAnsi="宋体"/>
        </w:rPr>
      </w:pPr>
      <w:r>
        <w:rPr>
          <w:rFonts w:hint="eastAsia" w:ascii="宋体" w:hAnsi="宋体"/>
        </w:rPr>
        <w:t>（3）历史建筑应当保持原有的体量、外观、色彩、结构和室内有价值的部件。加强对历史建筑的保护修缮，拆除不协调添加物和改变立面的装饰物，在不改变原有结构和外立面的前提下可增加必要的采暖、厨卫等生活必需设施。</w:t>
      </w:r>
    </w:p>
    <w:p w14:paraId="564AEBD3">
      <w:pPr>
        <w:ind w:firstLine="480"/>
        <w:rPr>
          <w:rFonts w:ascii="宋体" w:hAnsi="宋体"/>
        </w:rPr>
      </w:pPr>
      <w:r>
        <w:rPr>
          <w:rFonts w:hint="eastAsia" w:ascii="宋体" w:hAnsi="宋体"/>
        </w:rPr>
        <w:t>（4）保护范围内除确需建造的附属设施外，不得进行新建、扩建活动。周边建筑的高度、体量、用途、色调、建筑风格应当与历史建筑相协调，与原有空间景观相和谐。</w:t>
      </w:r>
    </w:p>
    <w:p w14:paraId="3BC7DC43">
      <w:pPr>
        <w:ind w:firstLine="480"/>
        <w:rPr>
          <w:rFonts w:ascii="宋体" w:hAnsi="宋体"/>
        </w:rPr>
      </w:pPr>
      <w:r>
        <w:rPr>
          <w:rFonts w:hint="eastAsia" w:ascii="宋体" w:hAnsi="宋体"/>
        </w:rPr>
        <w:t>（5）在历史建筑的周边建设控制范围内新建、扩建、改建建筑的，应当在使用性质、高度、体量、立面、材料、色彩等方面与历史建筑相协调，不得改变建筑周围原有的空间景观特征，不得影响历史建筑的正常使用。</w:t>
      </w:r>
    </w:p>
    <w:p w14:paraId="0ED4866B">
      <w:pPr>
        <w:ind w:firstLine="480"/>
        <w:rPr>
          <w:rFonts w:ascii="宋体" w:hAnsi="宋体"/>
        </w:rPr>
      </w:pPr>
      <w:r>
        <w:rPr>
          <w:rFonts w:hint="eastAsia" w:ascii="宋体" w:hAnsi="宋体"/>
        </w:rPr>
        <w:t>（6）历史建筑可以结合其自身特点进行保护性利用。鼓励利用历史建筑开设博物馆、陈列馆、纪念馆和传统作坊、传统商铺等，对历史文化遗产进行展示。历史建筑的保护性利用应当与其历史价值、内部结构相适应，不得擅自改变历史建筑主体结构和外观，不得危害历史建筑及其附属设施的安全。</w:t>
      </w:r>
    </w:p>
    <w:p w14:paraId="6B59643A">
      <w:pPr>
        <w:keepNext/>
        <w:keepLines/>
        <w:numPr>
          <w:ilvl w:val="0"/>
          <w:numId w:val="1"/>
        </w:numPr>
        <w:spacing w:before="163" w:beforeLines="50"/>
        <w:ind w:left="426" w:firstLineChars="0"/>
        <w:jc w:val="left"/>
        <w:outlineLvl w:val="2"/>
        <w:rPr>
          <w:rFonts w:ascii="宋体" w:hAnsi="宋体"/>
          <w:b/>
        </w:rPr>
      </w:pPr>
      <w:bookmarkStart w:id="135" w:name="_Toc13366"/>
      <w:bookmarkStart w:id="136" w:name="_Toc12078"/>
      <w:r>
        <w:rPr>
          <w:rFonts w:hint="eastAsia" w:ascii="宋体" w:hAnsi="宋体"/>
          <w:b/>
        </w:rPr>
        <w:t>传统风貌建筑保护</w:t>
      </w:r>
      <w:bookmarkEnd w:id="135"/>
      <w:bookmarkEnd w:id="136"/>
    </w:p>
    <w:p w14:paraId="61A65EC3">
      <w:pPr>
        <w:ind w:firstLine="480"/>
        <w:rPr>
          <w:rFonts w:ascii="宋体" w:hAnsi="宋体"/>
        </w:rPr>
      </w:pPr>
      <w:r>
        <w:rPr>
          <w:rFonts w:hint="eastAsia" w:ascii="宋体" w:hAnsi="宋体"/>
        </w:rPr>
        <w:t>传统风貌建筑是指具有一定建成历史，能够反映历史风貌和地方特色的建筑物。</w:t>
      </w:r>
    </w:p>
    <w:p w14:paraId="2AAEB451">
      <w:pPr>
        <w:ind w:firstLine="480"/>
        <w:rPr>
          <w:rFonts w:ascii="宋体" w:hAnsi="宋体"/>
        </w:rPr>
      </w:pPr>
      <w:r>
        <w:rPr>
          <w:rFonts w:hint="eastAsia" w:ascii="宋体" w:hAnsi="宋体"/>
        </w:rPr>
        <w:t>针对传统风貌建筑，应当保护其风貌特征，对传统风貌建筑改造应当以恢复风貌特色、改善建筑质量和内部设施为目的。</w:t>
      </w:r>
    </w:p>
    <w:p w14:paraId="07C6B12F">
      <w:pPr>
        <w:keepNext/>
        <w:keepLines/>
        <w:numPr>
          <w:ilvl w:val="0"/>
          <w:numId w:val="4"/>
        </w:numPr>
        <w:spacing w:before="489" w:beforeLines="150" w:after="326" w:afterLines="100" w:line="400" w:lineRule="exact"/>
        <w:ind w:firstLineChars="0"/>
        <w:jc w:val="center"/>
        <w:outlineLvl w:val="0"/>
        <w:rPr>
          <w:rFonts w:ascii="黑体" w:eastAsia="黑体"/>
          <w:b/>
          <w:sz w:val="32"/>
          <w:szCs w:val="32"/>
        </w:rPr>
      </w:pPr>
      <w:r>
        <w:rPr>
          <w:rFonts w:hint="eastAsia" w:ascii="黑体" w:eastAsia="黑体"/>
          <w:b/>
          <w:sz w:val="32"/>
          <w:szCs w:val="32"/>
        </w:rPr>
        <w:t xml:space="preserve"> </w:t>
      </w:r>
      <w:bookmarkStart w:id="137" w:name="_Toc18724"/>
      <w:bookmarkStart w:id="138" w:name="_Toc28052"/>
      <w:bookmarkStart w:id="139" w:name="_Toc11042"/>
      <w:r>
        <w:rPr>
          <w:rFonts w:hint="eastAsia" w:ascii="黑体" w:eastAsia="黑体"/>
          <w:b/>
          <w:sz w:val="32"/>
          <w:szCs w:val="32"/>
        </w:rPr>
        <w:t>非物质文化遗产保护</w:t>
      </w:r>
      <w:bookmarkEnd w:id="137"/>
      <w:bookmarkEnd w:id="138"/>
      <w:bookmarkEnd w:id="139"/>
    </w:p>
    <w:p w14:paraId="0C5A51EA">
      <w:pPr>
        <w:keepNext/>
        <w:keepLines/>
        <w:numPr>
          <w:ilvl w:val="0"/>
          <w:numId w:val="1"/>
        </w:numPr>
        <w:spacing w:before="163" w:beforeLines="50"/>
        <w:ind w:left="426" w:firstLineChars="0"/>
        <w:jc w:val="left"/>
        <w:outlineLvl w:val="2"/>
        <w:rPr>
          <w:rFonts w:ascii="宋体" w:hAnsi="宋体"/>
          <w:b/>
        </w:rPr>
      </w:pPr>
      <w:bookmarkStart w:id="140" w:name="_Toc5286"/>
      <w:bookmarkStart w:id="141" w:name="_Toc18429"/>
      <w:r>
        <w:rPr>
          <w:rFonts w:hint="eastAsia" w:ascii="宋体" w:hAnsi="宋体"/>
          <w:b/>
        </w:rPr>
        <w:t>保护方针</w:t>
      </w:r>
      <w:bookmarkEnd w:id="140"/>
    </w:p>
    <w:p w14:paraId="6628472B">
      <w:pPr>
        <w:ind w:firstLine="480"/>
        <w:rPr>
          <w:rFonts w:ascii="宋体" w:hAnsi="宋体"/>
          <w:b/>
        </w:rPr>
      </w:pPr>
      <w:r>
        <w:rPr>
          <w:rFonts w:hint="eastAsia" w:ascii="宋体" w:hAnsi="宋体"/>
        </w:rPr>
        <w:t>贯彻“保护为主、抢救第一、合理利用、传承发展</w:t>
      </w:r>
      <w:r>
        <w:rPr>
          <w:rFonts w:ascii="宋体" w:hAnsi="宋体"/>
        </w:rPr>
        <w:t>”</w:t>
      </w:r>
      <w:r>
        <w:rPr>
          <w:rFonts w:hint="eastAsia" w:ascii="宋体" w:hAnsi="宋体"/>
        </w:rPr>
        <w:t>的保护方针。</w:t>
      </w:r>
    </w:p>
    <w:p w14:paraId="6A7068F6">
      <w:pPr>
        <w:keepNext/>
        <w:keepLines/>
        <w:numPr>
          <w:ilvl w:val="0"/>
          <w:numId w:val="1"/>
        </w:numPr>
        <w:spacing w:before="163" w:beforeLines="50"/>
        <w:ind w:left="426" w:firstLineChars="0"/>
        <w:jc w:val="left"/>
        <w:outlineLvl w:val="2"/>
        <w:rPr>
          <w:rFonts w:ascii="宋体" w:hAnsi="宋体"/>
          <w:b/>
        </w:rPr>
      </w:pPr>
      <w:bookmarkStart w:id="142" w:name="_Toc24114"/>
      <w:r>
        <w:rPr>
          <w:rFonts w:hint="eastAsia" w:ascii="宋体" w:hAnsi="宋体"/>
          <w:b/>
        </w:rPr>
        <w:t>保护原则</w:t>
      </w:r>
      <w:bookmarkEnd w:id="141"/>
      <w:bookmarkEnd w:id="142"/>
    </w:p>
    <w:p w14:paraId="0FF53DDC">
      <w:pPr>
        <w:ind w:firstLine="480"/>
        <w:rPr>
          <w:rFonts w:ascii="宋体" w:hAnsi="宋体"/>
        </w:rPr>
      </w:pPr>
      <w:r>
        <w:rPr>
          <w:rFonts w:hint="eastAsia" w:ascii="宋体" w:hAnsi="宋体"/>
        </w:rPr>
        <w:t>非物质文化遗产保护应以“保护为主、抢救第一、合理利用、传承发展” 为指导方针，坚持真实性、整体性和传承性的保护原则。将保护非物质文化遗产作为城乡文化建设的重要组成部分，通过维护、传承文化传统，提升全民素质，展现文登历史文化名城特色。</w:t>
      </w:r>
    </w:p>
    <w:p w14:paraId="250C42FD">
      <w:pPr>
        <w:keepNext/>
        <w:keepLines/>
        <w:numPr>
          <w:ilvl w:val="0"/>
          <w:numId w:val="1"/>
        </w:numPr>
        <w:spacing w:before="163" w:beforeLines="50"/>
        <w:ind w:left="426" w:firstLineChars="0"/>
        <w:jc w:val="left"/>
        <w:outlineLvl w:val="2"/>
        <w:rPr>
          <w:rFonts w:ascii="宋体" w:hAnsi="宋体"/>
          <w:b/>
        </w:rPr>
      </w:pPr>
      <w:bookmarkStart w:id="143" w:name="_Toc23667"/>
      <w:bookmarkStart w:id="144" w:name="_Toc17812"/>
      <w:r>
        <w:rPr>
          <w:rFonts w:hint="eastAsia" w:ascii="宋体" w:hAnsi="宋体"/>
          <w:b/>
        </w:rPr>
        <w:t>保护内容</w:t>
      </w:r>
      <w:bookmarkEnd w:id="143"/>
      <w:bookmarkEnd w:id="144"/>
    </w:p>
    <w:p w14:paraId="0A1835B8">
      <w:pPr>
        <w:ind w:firstLine="480"/>
        <w:rPr>
          <w:rFonts w:ascii="宋体" w:hAnsi="宋体"/>
        </w:rPr>
      </w:pPr>
      <w:r>
        <w:rPr>
          <w:rFonts w:hint="eastAsia" w:ascii="宋体" w:hAnsi="宋体"/>
        </w:rPr>
        <w:t>文登非物质文化遗产丰富，属国家级非物质文化遗产2项、山东省级非物质文化遗产6项，威海市级非物质文化遗产16项、文登区级非物质文化遗产43项。</w:t>
      </w:r>
    </w:p>
    <w:p w14:paraId="4F702A00">
      <w:pPr>
        <w:keepNext/>
        <w:keepLines/>
        <w:numPr>
          <w:ilvl w:val="0"/>
          <w:numId w:val="1"/>
        </w:numPr>
        <w:spacing w:before="163" w:beforeLines="50"/>
        <w:ind w:left="426" w:firstLineChars="0"/>
        <w:jc w:val="left"/>
        <w:outlineLvl w:val="2"/>
        <w:rPr>
          <w:rFonts w:ascii="宋体" w:hAnsi="宋体"/>
          <w:b/>
        </w:rPr>
      </w:pPr>
      <w:bookmarkStart w:id="145" w:name="_Toc3527"/>
      <w:bookmarkStart w:id="146" w:name="_Toc18805"/>
      <w:r>
        <w:rPr>
          <w:rFonts w:hint="eastAsia" w:ascii="宋体" w:hAnsi="宋体"/>
          <w:b/>
        </w:rPr>
        <w:t>保护措施</w:t>
      </w:r>
      <w:bookmarkEnd w:id="145"/>
      <w:bookmarkEnd w:id="146"/>
    </w:p>
    <w:p w14:paraId="6AE3592D">
      <w:pPr>
        <w:ind w:firstLine="480"/>
        <w:rPr>
          <w:rFonts w:ascii="宋体" w:hAnsi="宋体"/>
        </w:rPr>
      </w:pPr>
      <w:r>
        <w:rPr>
          <w:rFonts w:hint="eastAsia" w:ascii="宋体" w:hAnsi="宋体"/>
        </w:rPr>
        <w:t xml:space="preserve">1、加强非物质文化遗产的普查和申报工作，逐步建立完善的保护名录体系。保护和适当恢复历史城区、历史文化街区内街巷的历史名称。 </w:t>
      </w:r>
    </w:p>
    <w:p w14:paraId="3EEDC9B1">
      <w:pPr>
        <w:ind w:firstLine="480"/>
        <w:rPr>
          <w:rFonts w:ascii="宋体" w:hAnsi="宋体"/>
        </w:rPr>
      </w:pPr>
      <w:r>
        <w:rPr>
          <w:rFonts w:hint="eastAsia" w:ascii="宋体" w:hAnsi="宋体"/>
        </w:rPr>
        <w:t>2、将非物质文化遗产的保护传承与名城历史文化遗产保护利用有机结合，积极保护非物质文化遗产及其栖息地，为非物质文化遗产提供空间载体。</w:t>
      </w:r>
    </w:p>
    <w:p w14:paraId="386568AB">
      <w:pPr>
        <w:ind w:firstLine="480"/>
        <w:rPr>
          <w:rFonts w:ascii="宋体" w:hAnsi="宋体"/>
        </w:rPr>
      </w:pPr>
      <w:r>
        <w:rPr>
          <w:rFonts w:hint="eastAsia" w:ascii="宋体" w:hAnsi="宋体"/>
        </w:rPr>
        <w:t xml:space="preserve">3、大力宣传和传播非物质文化遗产，将非物质文化遗产保护作为城市文化政策的一部分，鼓励政府、非政府组织、社区、团体和个人保护和宣传非物质文化遗产。 </w:t>
      </w:r>
    </w:p>
    <w:p w14:paraId="7328788B">
      <w:pPr>
        <w:ind w:firstLine="480"/>
        <w:rPr>
          <w:rFonts w:ascii="宋体" w:hAnsi="宋体"/>
        </w:rPr>
      </w:pPr>
      <w:r>
        <w:rPr>
          <w:rFonts w:hint="eastAsia" w:ascii="宋体" w:hAnsi="宋体"/>
        </w:rPr>
        <w:t xml:space="preserve">4、加强对传承人的培养，制定实施代表性传承人目录制度和传承人资助计划，鼓励支持非物质文化遗产传习活动，促进非物质文化遗产的传承发展。 </w:t>
      </w:r>
    </w:p>
    <w:p w14:paraId="2BC97FA6">
      <w:pPr>
        <w:ind w:firstLine="480"/>
        <w:rPr>
          <w:rFonts w:ascii="宋体" w:hAnsi="宋体"/>
        </w:rPr>
      </w:pPr>
    </w:p>
    <w:p w14:paraId="167A89D4">
      <w:pPr>
        <w:keepNext/>
        <w:keepLines/>
        <w:numPr>
          <w:ilvl w:val="0"/>
          <w:numId w:val="4"/>
        </w:numPr>
        <w:spacing w:before="489" w:beforeLines="150" w:after="326" w:afterLines="100" w:line="400" w:lineRule="exact"/>
        <w:ind w:firstLineChars="0"/>
        <w:jc w:val="center"/>
        <w:outlineLvl w:val="0"/>
        <w:rPr>
          <w:rFonts w:ascii="黑体" w:eastAsia="黑体"/>
          <w:b/>
          <w:sz w:val="32"/>
          <w:szCs w:val="32"/>
        </w:rPr>
      </w:pPr>
      <w:r>
        <w:rPr>
          <w:rFonts w:hint="eastAsia" w:ascii="黑体" w:eastAsia="黑体"/>
          <w:b/>
          <w:sz w:val="32"/>
          <w:szCs w:val="32"/>
        </w:rPr>
        <w:t xml:space="preserve"> </w:t>
      </w:r>
      <w:bookmarkStart w:id="147" w:name="_Toc31199"/>
      <w:bookmarkStart w:id="148" w:name="_Toc8655"/>
      <w:bookmarkStart w:id="149" w:name="_Toc31738"/>
      <w:r>
        <w:rPr>
          <w:rFonts w:hint="eastAsia" w:ascii="黑体" w:eastAsia="黑体"/>
          <w:b/>
          <w:sz w:val="32"/>
          <w:szCs w:val="32"/>
        </w:rPr>
        <w:t>历史文化遗产展示利用规划</w:t>
      </w:r>
      <w:bookmarkEnd w:id="147"/>
      <w:bookmarkEnd w:id="148"/>
      <w:bookmarkEnd w:id="149"/>
    </w:p>
    <w:p w14:paraId="52B93FB8">
      <w:pPr>
        <w:keepNext/>
        <w:keepLines/>
        <w:numPr>
          <w:ilvl w:val="0"/>
          <w:numId w:val="1"/>
        </w:numPr>
        <w:spacing w:before="163" w:beforeLines="50"/>
        <w:ind w:left="426" w:firstLineChars="0"/>
        <w:jc w:val="left"/>
        <w:outlineLvl w:val="2"/>
        <w:rPr>
          <w:rFonts w:ascii="宋体" w:hAnsi="宋体"/>
          <w:b/>
        </w:rPr>
      </w:pPr>
      <w:bookmarkStart w:id="150" w:name="_Toc30358"/>
      <w:bookmarkStart w:id="151" w:name="_Toc32748"/>
      <w:r>
        <w:rPr>
          <w:rFonts w:hint="eastAsia" w:ascii="宋体" w:hAnsi="宋体"/>
          <w:b/>
        </w:rPr>
        <w:t>展示与利用目标</w:t>
      </w:r>
      <w:bookmarkEnd w:id="150"/>
      <w:bookmarkEnd w:id="151"/>
    </w:p>
    <w:p w14:paraId="116F8D1D">
      <w:pPr>
        <w:ind w:firstLine="480"/>
        <w:rPr>
          <w:rFonts w:ascii="宋体" w:hAnsi="宋体"/>
          <w:b/>
        </w:rPr>
      </w:pPr>
      <w:r>
        <w:rPr>
          <w:rFonts w:hint="eastAsia" w:ascii="宋体" w:hAnsi="宋体"/>
        </w:rPr>
        <w:t>全面彰显文登历史文化名城价值和文化特色，提升城市文化软实力；延续和传承城市历史文脉，提升城市综合竞争力。</w:t>
      </w:r>
    </w:p>
    <w:p w14:paraId="75897562">
      <w:pPr>
        <w:keepNext/>
        <w:keepLines/>
        <w:numPr>
          <w:ilvl w:val="0"/>
          <w:numId w:val="1"/>
        </w:numPr>
        <w:spacing w:before="163" w:beforeLines="50"/>
        <w:ind w:left="426" w:firstLineChars="0"/>
        <w:jc w:val="left"/>
        <w:outlineLvl w:val="2"/>
        <w:rPr>
          <w:rFonts w:ascii="宋体" w:hAnsi="宋体"/>
          <w:b/>
        </w:rPr>
      </w:pPr>
      <w:bookmarkStart w:id="152" w:name="_Toc24481"/>
      <w:bookmarkStart w:id="153" w:name="_Toc27376"/>
      <w:r>
        <w:rPr>
          <w:rFonts w:hint="eastAsia" w:ascii="宋体" w:hAnsi="宋体"/>
          <w:b/>
        </w:rPr>
        <w:t>历史文化街区展示</w:t>
      </w:r>
      <w:bookmarkEnd w:id="152"/>
      <w:r>
        <w:rPr>
          <w:rFonts w:hint="eastAsia" w:ascii="宋体" w:hAnsi="宋体"/>
          <w:b/>
        </w:rPr>
        <w:t>利用</w:t>
      </w:r>
      <w:bookmarkEnd w:id="153"/>
    </w:p>
    <w:p w14:paraId="18ED52D7">
      <w:pPr>
        <w:ind w:firstLine="480"/>
        <w:rPr>
          <w:rFonts w:ascii="宋体" w:hAnsi="宋体"/>
        </w:rPr>
      </w:pPr>
      <w:r>
        <w:rPr>
          <w:rFonts w:hint="eastAsia" w:ascii="宋体" w:hAnsi="宋体"/>
        </w:rPr>
        <w:t>尽量保持街区原有的居住和商业功能；适当发展商业、旅游和文化产业；合理利用街区的传统建筑，发挥其历史文化价值；增加绿化用地和公共空间；同时考虑土地和建筑混合功能的复合利用。</w:t>
      </w:r>
    </w:p>
    <w:p w14:paraId="0010D178">
      <w:pPr>
        <w:keepNext/>
        <w:keepLines/>
        <w:numPr>
          <w:ilvl w:val="0"/>
          <w:numId w:val="1"/>
        </w:numPr>
        <w:spacing w:before="163" w:beforeLines="50"/>
        <w:ind w:left="426" w:firstLineChars="0"/>
        <w:jc w:val="left"/>
        <w:outlineLvl w:val="2"/>
        <w:rPr>
          <w:rFonts w:ascii="宋体" w:hAnsi="宋体"/>
          <w:b/>
        </w:rPr>
      </w:pPr>
      <w:bookmarkStart w:id="154" w:name="_Toc14415"/>
      <w:bookmarkStart w:id="155" w:name="_Toc20801"/>
      <w:r>
        <w:rPr>
          <w:rFonts w:hint="eastAsia" w:ascii="宋体" w:hAnsi="宋体"/>
          <w:b/>
        </w:rPr>
        <w:t>文物古迹展示利用</w:t>
      </w:r>
      <w:bookmarkEnd w:id="154"/>
      <w:bookmarkEnd w:id="155"/>
    </w:p>
    <w:p w14:paraId="36481BB4">
      <w:pPr>
        <w:ind w:firstLine="480"/>
        <w:rPr>
          <w:rFonts w:ascii="宋体" w:hAnsi="宋体"/>
        </w:rPr>
      </w:pPr>
      <w:r>
        <w:rPr>
          <w:rFonts w:hint="eastAsia" w:ascii="宋体" w:hAnsi="宋体"/>
        </w:rPr>
        <w:t>文物利用应当体现文物自身价值，尊重科学和社会公德，满足公众基本文化需求，传承中华优秀传统文化，弘扬社会主义核心价值观，发挥引领风尚、教育人民、服务社会、推动发展的作用。</w:t>
      </w:r>
    </w:p>
    <w:p w14:paraId="168EFE0B">
      <w:pPr>
        <w:keepNext/>
        <w:keepLines/>
        <w:numPr>
          <w:ilvl w:val="0"/>
          <w:numId w:val="1"/>
        </w:numPr>
        <w:spacing w:before="163" w:beforeLines="50"/>
        <w:ind w:left="426" w:firstLineChars="0"/>
        <w:jc w:val="left"/>
        <w:outlineLvl w:val="2"/>
        <w:rPr>
          <w:rFonts w:ascii="宋体" w:hAnsi="宋体"/>
          <w:b/>
        </w:rPr>
      </w:pPr>
      <w:bookmarkStart w:id="156" w:name="_Toc22416"/>
      <w:bookmarkStart w:id="157" w:name="_Toc16862"/>
      <w:r>
        <w:rPr>
          <w:rFonts w:hint="eastAsia" w:ascii="宋体" w:hAnsi="宋体"/>
          <w:b/>
        </w:rPr>
        <w:t>非物质文化遗产展示利用</w:t>
      </w:r>
      <w:bookmarkEnd w:id="156"/>
      <w:bookmarkEnd w:id="157"/>
    </w:p>
    <w:p w14:paraId="0B904140">
      <w:pPr>
        <w:ind w:firstLine="480"/>
      </w:pPr>
      <w:r>
        <w:rPr>
          <w:rFonts w:hint="eastAsia" w:ascii="宋体" w:hAnsi="宋体"/>
        </w:rPr>
        <w:t>1、</w:t>
      </w:r>
      <w:r>
        <w:rPr>
          <w:rFonts w:hint="eastAsia"/>
        </w:rPr>
        <w:t>展示内容：文登学文化、海防军事文化、红色文化、民俗文化、自然山水等。</w:t>
      </w:r>
    </w:p>
    <w:p w14:paraId="3DB0A171">
      <w:pPr>
        <w:ind w:firstLine="480"/>
      </w:pPr>
      <w:r>
        <w:rPr>
          <w:rFonts w:hint="eastAsia" w:ascii="宋体" w:hAnsi="宋体"/>
        </w:rPr>
        <w:t>2、</w:t>
      </w:r>
      <w:r>
        <w:rPr>
          <w:rFonts w:hint="eastAsia"/>
        </w:rPr>
        <w:t>展示措施：通过文化公园、展览馆、体验式街区等方式，展现文登悠久的学说、海防军事、红色教育、温泉养生、胶东民俗等文化。</w:t>
      </w:r>
    </w:p>
    <w:p w14:paraId="02E6F6C8">
      <w:pPr>
        <w:keepNext/>
        <w:keepLines/>
        <w:numPr>
          <w:ilvl w:val="0"/>
          <w:numId w:val="1"/>
        </w:numPr>
        <w:spacing w:before="163" w:beforeLines="50"/>
        <w:ind w:left="426" w:firstLineChars="0"/>
        <w:jc w:val="left"/>
        <w:outlineLvl w:val="2"/>
        <w:rPr>
          <w:rFonts w:ascii="宋体" w:hAnsi="宋体"/>
          <w:b/>
        </w:rPr>
      </w:pPr>
      <w:bookmarkStart w:id="158" w:name="_Toc31813"/>
      <w:bookmarkStart w:id="159" w:name="_Toc3037"/>
      <w:r>
        <w:rPr>
          <w:rFonts w:hint="eastAsia" w:ascii="宋体" w:hAnsi="宋体"/>
          <w:b/>
        </w:rPr>
        <w:t>展示路线规划</w:t>
      </w:r>
      <w:bookmarkEnd w:id="158"/>
      <w:bookmarkEnd w:id="159"/>
    </w:p>
    <w:p w14:paraId="7A250FE5">
      <w:pPr>
        <w:ind w:firstLine="480"/>
        <w:rPr>
          <w:rFonts w:ascii="宋体" w:hAnsi="宋体"/>
        </w:rPr>
      </w:pPr>
      <w:r>
        <w:rPr>
          <w:rFonts w:hint="eastAsia" w:ascii="宋体" w:hAnsi="宋体"/>
        </w:rPr>
        <w:t>依托交通网络格局，串联重要的历史文化景点及历史文化街区。通过不同历史文化主题的展示，串联各时期的历史遗迹、景点等内容，为人们展示多彩的文登文化。</w:t>
      </w:r>
    </w:p>
    <w:p w14:paraId="4B1EB2F2">
      <w:pPr>
        <w:ind w:firstLine="480"/>
        <w:rPr>
          <w:rFonts w:ascii="宋体" w:hAnsi="宋体"/>
        </w:rPr>
      </w:pPr>
      <w:r>
        <w:rPr>
          <w:rFonts w:hint="eastAsia" w:ascii="宋体" w:hAnsi="宋体"/>
        </w:rPr>
        <w:t>推荐展示路线：昆嵛山——圣经山——母猪河——天福山——中心城区——万家村——南部海岸带。</w:t>
      </w:r>
    </w:p>
    <w:sectPr>
      <w:headerReference r:id="rId5" w:type="default"/>
      <w:footerReference r:id="rId6" w:type="default"/>
      <w:pgSz w:w="11906" w:h="16838"/>
      <w:pgMar w:top="1440" w:right="1800" w:bottom="1440" w:left="1800" w:header="851" w:footer="992" w:gutter="0"/>
      <w:pgNumType w:start="1"/>
      <w:cols w:space="425" w:num="1"/>
      <w:docGrid w:type="lines" w:linePitch="326"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BB4181">
    <w:pPr>
      <w:pStyle w:val="21"/>
      <w:tabs>
        <w:tab w:val="center" w:pos="4333"/>
      </w:tabs>
      <w:ind w:firstLine="360"/>
    </w:pPr>
    <w:r>
      <w:pict>
        <v:shape id="_x0000_s4098" o:spid="_x0000_s4098"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path/>
          <v:fill on="f" focussize="0,0"/>
          <v:stroke on="f" weight="0.5pt" joinstyle="miter"/>
          <v:imagedata o:title=""/>
          <o:lock v:ext="edit"/>
          <v:textbox inset="0mm,0mm,0mm,0mm" style="mso-fit-shape-to-text:t;">
            <w:txbxContent>
              <w:p w14:paraId="08660882">
                <w:pPr>
                  <w:pStyle w:val="21"/>
                  <w:ind w:firstLine="360"/>
                </w:pPr>
                <w:r>
                  <w:fldChar w:fldCharType="begin"/>
                </w:r>
                <w:r>
                  <w:instrText xml:space="preserve"> PAGE  \* MERGEFORMAT </w:instrText>
                </w:r>
                <w:r>
                  <w:fldChar w:fldCharType="separate"/>
                </w:r>
                <w:r>
                  <w:t>20</w:t>
                </w:r>
                <w:r>
                  <w:fldChar w:fldCharType="end"/>
                </w:r>
              </w:p>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E6AE49">
    <w:pPr>
      <w:pStyle w:val="22"/>
      <w:ind w:firstLine="360"/>
      <w:jc w:val="right"/>
      <w:rPr>
        <w:rFonts w:ascii="黑体" w:hAnsi="黑体" w:eastAsia="黑体"/>
      </w:rPr>
    </w:pPr>
    <w:r>
      <w:rPr>
        <w:rFonts w:hint="eastAsia"/>
      </w:rPr>
      <w:t xml:space="preserve"> </w:t>
    </w:r>
    <w:r>
      <w:t xml:space="preserve">                                 </w:t>
    </w:r>
    <w:r>
      <w:rPr>
        <w:rFonts w:hint="eastAsia" w:ascii="黑体" w:hAnsi="黑体" w:eastAsia="黑体"/>
        <w:color w:val="FFFFFF" w:themeColor="background1"/>
        <w:shd w:val="clear" w:color="auto" w:fill="767171" w:themeFill="background2" w:themeFillShade="80"/>
      </w:rPr>
      <w:t>文登历史文化名城保护规划</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442030"/>
    <w:multiLevelType w:val="singleLevel"/>
    <w:tmpl w:val="88442030"/>
    <w:lvl w:ilvl="0" w:tentative="0">
      <w:start w:val="2"/>
      <w:numFmt w:val="decimal"/>
      <w:suff w:val="nothing"/>
      <w:lvlText w:val="%1、"/>
      <w:lvlJc w:val="left"/>
    </w:lvl>
  </w:abstractNum>
  <w:abstractNum w:abstractNumId="1">
    <w:nsid w:val="99A27C9D"/>
    <w:multiLevelType w:val="singleLevel"/>
    <w:tmpl w:val="99A27C9D"/>
    <w:lvl w:ilvl="0" w:tentative="0">
      <w:start w:val="1"/>
      <w:numFmt w:val="decimal"/>
      <w:suff w:val="nothing"/>
      <w:lvlText w:val="%1、"/>
      <w:lvlJc w:val="left"/>
    </w:lvl>
  </w:abstractNum>
  <w:abstractNum w:abstractNumId="2">
    <w:nsid w:val="C0B169F5"/>
    <w:multiLevelType w:val="singleLevel"/>
    <w:tmpl w:val="C0B169F5"/>
    <w:lvl w:ilvl="0" w:tentative="0">
      <w:start w:val="1"/>
      <w:numFmt w:val="decimal"/>
      <w:suff w:val="nothing"/>
      <w:lvlText w:val="%1、"/>
      <w:lvlJc w:val="left"/>
    </w:lvl>
  </w:abstractNum>
  <w:abstractNum w:abstractNumId="3">
    <w:nsid w:val="C5C5706C"/>
    <w:multiLevelType w:val="singleLevel"/>
    <w:tmpl w:val="C5C5706C"/>
    <w:lvl w:ilvl="0" w:tentative="0">
      <w:start w:val="1"/>
      <w:numFmt w:val="decimal"/>
      <w:suff w:val="nothing"/>
      <w:lvlText w:val="%1、"/>
      <w:lvlJc w:val="left"/>
    </w:lvl>
  </w:abstractNum>
  <w:abstractNum w:abstractNumId="4">
    <w:nsid w:val="C65871D8"/>
    <w:multiLevelType w:val="singleLevel"/>
    <w:tmpl w:val="C65871D8"/>
    <w:lvl w:ilvl="0" w:tentative="0">
      <w:start w:val="1"/>
      <w:numFmt w:val="decimal"/>
      <w:suff w:val="nothing"/>
      <w:lvlText w:val="%1、"/>
      <w:lvlJc w:val="left"/>
    </w:lvl>
  </w:abstractNum>
  <w:abstractNum w:abstractNumId="5">
    <w:nsid w:val="06D713AA"/>
    <w:multiLevelType w:val="multilevel"/>
    <w:tmpl w:val="06D713AA"/>
    <w:lvl w:ilvl="0" w:tentative="0">
      <w:start w:val="1"/>
      <w:numFmt w:val="chineseCountingThousand"/>
      <w:pStyle w:val="4"/>
      <w:suff w:val="space"/>
      <w:lvlText w:val="第%1条 "/>
      <w:lvlJc w:val="left"/>
      <w:pPr>
        <w:ind w:left="562" w:hanging="420"/>
      </w:pPr>
      <w:rPr>
        <w:rFonts w:hint="eastAsia" w:eastAsia="黑体"/>
        <w:sz w:val="24"/>
        <w:szCs w:val="24"/>
        <w:lang w:val="en-US"/>
      </w:rPr>
    </w:lvl>
    <w:lvl w:ilvl="1" w:tentative="0">
      <w:start w:val="1"/>
      <w:numFmt w:val="lowerLetter"/>
      <w:lvlText w:val="%2)"/>
      <w:lvlJc w:val="left"/>
      <w:pPr>
        <w:ind w:left="-2563" w:hanging="420"/>
      </w:pPr>
      <w:rPr>
        <w:rFonts w:hint="eastAsia"/>
      </w:rPr>
    </w:lvl>
    <w:lvl w:ilvl="2" w:tentative="0">
      <w:start w:val="1"/>
      <w:numFmt w:val="lowerRoman"/>
      <w:lvlText w:val="%3."/>
      <w:lvlJc w:val="right"/>
      <w:pPr>
        <w:ind w:left="-2143" w:hanging="420"/>
      </w:pPr>
      <w:rPr>
        <w:rFonts w:hint="eastAsia"/>
      </w:rPr>
    </w:lvl>
    <w:lvl w:ilvl="3" w:tentative="0">
      <w:start w:val="1"/>
      <w:numFmt w:val="decimal"/>
      <w:lvlText w:val="%4."/>
      <w:lvlJc w:val="left"/>
      <w:pPr>
        <w:ind w:left="-1723" w:hanging="420"/>
      </w:pPr>
      <w:rPr>
        <w:rFonts w:hint="eastAsia"/>
      </w:rPr>
    </w:lvl>
    <w:lvl w:ilvl="4" w:tentative="0">
      <w:start w:val="1"/>
      <w:numFmt w:val="lowerLetter"/>
      <w:lvlText w:val="%5)"/>
      <w:lvlJc w:val="left"/>
      <w:pPr>
        <w:ind w:left="-1303" w:hanging="420"/>
      </w:pPr>
      <w:rPr>
        <w:rFonts w:hint="eastAsia"/>
      </w:rPr>
    </w:lvl>
    <w:lvl w:ilvl="5" w:tentative="0">
      <w:start w:val="1"/>
      <w:numFmt w:val="lowerRoman"/>
      <w:lvlText w:val="%6."/>
      <w:lvlJc w:val="right"/>
      <w:pPr>
        <w:ind w:left="-883" w:hanging="420"/>
      </w:pPr>
      <w:rPr>
        <w:rFonts w:hint="eastAsia"/>
      </w:rPr>
    </w:lvl>
    <w:lvl w:ilvl="6" w:tentative="0">
      <w:start w:val="1"/>
      <w:numFmt w:val="decimal"/>
      <w:lvlText w:val="%7."/>
      <w:lvlJc w:val="left"/>
      <w:pPr>
        <w:ind w:left="-463" w:hanging="420"/>
      </w:pPr>
      <w:rPr>
        <w:rFonts w:hint="eastAsia"/>
      </w:rPr>
    </w:lvl>
    <w:lvl w:ilvl="7" w:tentative="0">
      <w:start w:val="1"/>
      <w:numFmt w:val="lowerLetter"/>
      <w:lvlText w:val="%8)"/>
      <w:lvlJc w:val="left"/>
      <w:pPr>
        <w:ind w:left="-43" w:hanging="420"/>
      </w:pPr>
      <w:rPr>
        <w:rFonts w:hint="eastAsia"/>
      </w:rPr>
    </w:lvl>
    <w:lvl w:ilvl="8" w:tentative="0">
      <w:start w:val="1"/>
      <w:numFmt w:val="lowerRoman"/>
      <w:lvlText w:val="%9."/>
      <w:lvlJc w:val="right"/>
      <w:pPr>
        <w:ind w:left="377" w:hanging="420"/>
      </w:pPr>
      <w:rPr>
        <w:rFonts w:hint="eastAsia"/>
      </w:rPr>
    </w:lvl>
  </w:abstractNum>
  <w:abstractNum w:abstractNumId="6">
    <w:nsid w:val="0F4EE57B"/>
    <w:multiLevelType w:val="multilevel"/>
    <w:tmpl w:val="0F4EE57B"/>
    <w:lvl w:ilvl="0" w:tentative="0">
      <w:start w:val="1"/>
      <w:numFmt w:val="chineseCounting"/>
      <w:suff w:val="nothing"/>
      <w:lvlText w:val="第%1章 "/>
      <w:lvlJc w:val="left"/>
      <w:pPr>
        <w:ind w:left="0" w:firstLine="402"/>
      </w:pPr>
      <w:rPr>
        <w:rFonts w:hint="eastAsia"/>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7">
    <w:nsid w:val="15DC3F0E"/>
    <w:multiLevelType w:val="multilevel"/>
    <w:tmpl w:val="15DC3F0E"/>
    <w:lvl w:ilvl="0" w:tentative="0">
      <w:start w:val="1"/>
      <w:numFmt w:val="chineseCountingThousand"/>
      <w:pStyle w:val="2"/>
      <w:suff w:val="space"/>
      <w:lvlText w:val="第%1条 "/>
      <w:lvlJc w:val="left"/>
      <w:pPr>
        <w:ind w:left="3965" w:hanging="420"/>
      </w:pPr>
      <w:rPr>
        <w:rFonts w:hint="eastAsia" w:eastAsia="黑体"/>
        <w:lang w:val="en-US"/>
      </w:rPr>
    </w:lvl>
    <w:lvl w:ilvl="1" w:tentative="0">
      <w:start w:val="1"/>
      <w:numFmt w:val="lowerLetter"/>
      <w:pStyle w:val="3"/>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pStyle w:val="6"/>
      <w:lvlText w:val="%5)"/>
      <w:lvlJc w:val="left"/>
      <w:pPr>
        <w:ind w:left="2100" w:hanging="420"/>
      </w:pPr>
      <w:rPr>
        <w:rFonts w:hint="eastAsia"/>
      </w:rPr>
    </w:lvl>
    <w:lvl w:ilvl="5" w:tentative="0">
      <w:start w:val="1"/>
      <w:numFmt w:val="lowerRoman"/>
      <w:pStyle w:val="7"/>
      <w:lvlText w:val="%6."/>
      <w:lvlJc w:val="right"/>
      <w:pPr>
        <w:ind w:left="2520" w:hanging="420"/>
      </w:pPr>
      <w:rPr>
        <w:rFonts w:hint="eastAsia"/>
      </w:rPr>
    </w:lvl>
    <w:lvl w:ilvl="6" w:tentative="0">
      <w:start w:val="1"/>
      <w:numFmt w:val="decimal"/>
      <w:pStyle w:val="8"/>
      <w:lvlText w:val="%7."/>
      <w:lvlJc w:val="left"/>
      <w:pPr>
        <w:ind w:left="2940" w:hanging="420"/>
      </w:pPr>
      <w:rPr>
        <w:rFonts w:hint="eastAsia"/>
      </w:rPr>
    </w:lvl>
    <w:lvl w:ilvl="7" w:tentative="0">
      <w:start w:val="1"/>
      <w:numFmt w:val="lowerLetter"/>
      <w:pStyle w:val="9"/>
      <w:lvlText w:val="%8)"/>
      <w:lvlJc w:val="left"/>
      <w:pPr>
        <w:ind w:left="3360" w:hanging="420"/>
      </w:pPr>
      <w:rPr>
        <w:rFonts w:hint="eastAsia"/>
      </w:rPr>
    </w:lvl>
    <w:lvl w:ilvl="8" w:tentative="0">
      <w:start w:val="1"/>
      <w:numFmt w:val="lowerRoman"/>
      <w:pStyle w:val="10"/>
      <w:lvlText w:val="%9."/>
      <w:lvlJc w:val="right"/>
      <w:pPr>
        <w:ind w:left="3780" w:hanging="420"/>
      </w:pPr>
      <w:rPr>
        <w:rFonts w:hint="eastAsia"/>
      </w:rPr>
    </w:lvl>
  </w:abstractNum>
  <w:abstractNum w:abstractNumId="8">
    <w:nsid w:val="1D9940AB"/>
    <w:multiLevelType w:val="singleLevel"/>
    <w:tmpl w:val="1D9940AB"/>
    <w:lvl w:ilvl="0" w:tentative="0">
      <w:start w:val="3"/>
      <w:numFmt w:val="decimal"/>
      <w:suff w:val="nothing"/>
      <w:lvlText w:val="%1、"/>
      <w:lvlJc w:val="left"/>
    </w:lvl>
  </w:abstractNum>
  <w:abstractNum w:abstractNumId="9">
    <w:nsid w:val="232F09FF"/>
    <w:multiLevelType w:val="multilevel"/>
    <w:tmpl w:val="232F09FF"/>
    <w:lvl w:ilvl="0" w:tentative="0">
      <w:start w:val="1"/>
      <w:numFmt w:val="chineseCountingThousand"/>
      <w:pStyle w:val="64"/>
      <w:suff w:val="space"/>
      <w:lvlText w:val="第%1条 "/>
      <w:lvlJc w:val="left"/>
      <w:pPr>
        <w:ind w:left="3965" w:hanging="420"/>
      </w:pPr>
      <w:rPr>
        <w:rFonts w:hint="eastAsia" w:eastAsia="黑体"/>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7"/>
  </w:num>
  <w:num w:numId="2">
    <w:abstractNumId w:val="5"/>
  </w:num>
  <w:num w:numId="3">
    <w:abstractNumId w:val="9"/>
  </w:num>
  <w:num w:numId="4">
    <w:abstractNumId w:val="6"/>
  </w:num>
  <w:num w:numId="5">
    <w:abstractNumId w:val="0"/>
  </w:num>
  <w:num w:numId="6">
    <w:abstractNumId w:val="3"/>
  </w:num>
  <w:num w:numId="7">
    <w:abstractNumId w:val="8"/>
  </w:num>
  <w:num w:numId="8">
    <w:abstractNumId w:val="4"/>
  </w:num>
  <w:num w:numId="9">
    <w:abstractNumId w:val="2"/>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20"/>
  <w:drawingGridVerticalSpacing w:val="163"/>
  <w:noPunctuationKerning w:val="1"/>
  <w:characterSpacingControl w:val="compressPunctuation"/>
  <w:hdrShapeDefaults>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1E0AB3"/>
    <w:rsid w:val="0005434F"/>
    <w:rsid w:val="0006115D"/>
    <w:rsid w:val="00177FB6"/>
    <w:rsid w:val="001E0AB3"/>
    <w:rsid w:val="002262FD"/>
    <w:rsid w:val="0024064A"/>
    <w:rsid w:val="002A6211"/>
    <w:rsid w:val="00390832"/>
    <w:rsid w:val="003B6710"/>
    <w:rsid w:val="004129A1"/>
    <w:rsid w:val="00445CE3"/>
    <w:rsid w:val="0054296C"/>
    <w:rsid w:val="005955C6"/>
    <w:rsid w:val="00617267"/>
    <w:rsid w:val="0076353A"/>
    <w:rsid w:val="00806426"/>
    <w:rsid w:val="009061B9"/>
    <w:rsid w:val="00956F77"/>
    <w:rsid w:val="0096782E"/>
    <w:rsid w:val="00986CD8"/>
    <w:rsid w:val="009B6AC8"/>
    <w:rsid w:val="00A142E8"/>
    <w:rsid w:val="00A27255"/>
    <w:rsid w:val="00B70B05"/>
    <w:rsid w:val="00B825DD"/>
    <w:rsid w:val="00BD78F6"/>
    <w:rsid w:val="00C53FD0"/>
    <w:rsid w:val="00C848E2"/>
    <w:rsid w:val="00DD53E1"/>
    <w:rsid w:val="00E73338"/>
    <w:rsid w:val="00F30E59"/>
    <w:rsid w:val="00FE2595"/>
    <w:rsid w:val="01491921"/>
    <w:rsid w:val="016928AC"/>
    <w:rsid w:val="01B575CF"/>
    <w:rsid w:val="021358C1"/>
    <w:rsid w:val="04232929"/>
    <w:rsid w:val="04872BF5"/>
    <w:rsid w:val="065243FE"/>
    <w:rsid w:val="069D531A"/>
    <w:rsid w:val="08884CF1"/>
    <w:rsid w:val="08E31DEB"/>
    <w:rsid w:val="0931384D"/>
    <w:rsid w:val="09C277C9"/>
    <w:rsid w:val="09CC66CD"/>
    <w:rsid w:val="0A3D42BB"/>
    <w:rsid w:val="0A6C2BD5"/>
    <w:rsid w:val="0B04049C"/>
    <w:rsid w:val="0B9730A7"/>
    <w:rsid w:val="0C5A3317"/>
    <w:rsid w:val="0CDA522B"/>
    <w:rsid w:val="0D5474A5"/>
    <w:rsid w:val="0D9444D9"/>
    <w:rsid w:val="0E2B70F9"/>
    <w:rsid w:val="0E7346B6"/>
    <w:rsid w:val="0FF42676"/>
    <w:rsid w:val="11A175E1"/>
    <w:rsid w:val="11AA6C33"/>
    <w:rsid w:val="12D66456"/>
    <w:rsid w:val="132D23D5"/>
    <w:rsid w:val="139F04B9"/>
    <w:rsid w:val="13E2620B"/>
    <w:rsid w:val="14085F8D"/>
    <w:rsid w:val="14227736"/>
    <w:rsid w:val="14C1020A"/>
    <w:rsid w:val="150F3DC3"/>
    <w:rsid w:val="1529147E"/>
    <w:rsid w:val="16FF3576"/>
    <w:rsid w:val="170C7473"/>
    <w:rsid w:val="17162014"/>
    <w:rsid w:val="177A53C7"/>
    <w:rsid w:val="17D349C8"/>
    <w:rsid w:val="194C4819"/>
    <w:rsid w:val="19BC7F7F"/>
    <w:rsid w:val="1A1C0F80"/>
    <w:rsid w:val="1C395D8D"/>
    <w:rsid w:val="1D7E4081"/>
    <w:rsid w:val="1E0778C3"/>
    <w:rsid w:val="1EDC23C2"/>
    <w:rsid w:val="1F8201AC"/>
    <w:rsid w:val="20052259"/>
    <w:rsid w:val="20BD60CC"/>
    <w:rsid w:val="20C33B8A"/>
    <w:rsid w:val="212106FE"/>
    <w:rsid w:val="21243D0C"/>
    <w:rsid w:val="216D7193"/>
    <w:rsid w:val="22595631"/>
    <w:rsid w:val="247D0DCA"/>
    <w:rsid w:val="24B93204"/>
    <w:rsid w:val="24BF4068"/>
    <w:rsid w:val="24C42713"/>
    <w:rsid w:val="26D1038E"/>
    <w:rsid w:val="270C3E45"/>
    <w:rsid w:val="280976DC"/>
    <w:rsid w:val="28956780"/>
    <w:rsid w:val="29126A54"/>
    <w:rsid w:val="29227F5B"/>
    <w:rsid w:val="2ACA003E"/>
    <w:rsid w:val="2B563863"/>
    <w:rsid w:val="2BA00ED5"/>
    <w:rsid w:val="2C1118E7"/>
    <w:rsid w:val="2C8239B7"/>
    <w:rsid w:val="2CD92BAE"/>
    <w:rsid w:val="2D564FC2"/>
    <w:rsid w:val="2F304C8C"/>
    <w:rsid w:val="30237AD1"/>
    <w:rsid w:val="30872292"/>
    <w:rsid w:val="30F4244C"/>
    <w:rsid w:val="31625702"/>
    <w:rsid w:val="316658FB"/>
    <w:rsid w:val="327F226A"/>
    <w:rsid w:val="32F760B7"/>
    <w:rsid w:val="335378E7"/>
    <w:rsid w:val="33544218"/>
    <w:rsid w:val="33FE7EF0"/>
    <w:rsid w:val="34523C80"/>
    <w:rsid w:val="34652AB1"/>
    <w:rsid w:val="34F023BC"/>
    <w:rsid w:val="3501436D"/>
    <w:rsid w:val="35471447"/>
    <w:rsid w:val="355E1622"/>
    <w:rsid w:val="358C665D"/>
    <w:rsid w:val="35931F23"/>
    <w:rsid w:val="37E02162"/>
    <w:rsid w:val="385E4FB1"/>
    <w:rsid w:val="39757F0B"/>
    <w:rsid w:val="39903B84"/>
    <w:rsid w:val="3ACD7E0F"/>
    <w:rsid w:val="3ADE796B"/>
    <w:rsid w:val="3AEB0A77"/>
    <w:rsid w:val="3B4E0125"/>
    <w:rsid w:val="3D7E5C8A"/>
    <w:rsid w:val="3ECB316F"/>
    <w:rsid w:val="3F8D1016"/>
    <w:rsid w:val="40B61763"/>
    <w:rsid w:val="4134312B"/>
    <w:rsid w:val="422E1633"/>
    <w:rsid w:val="42514D6F"/>
    <w:rsid w:val="441020BE"/>
    <w:rsid w:val="44362C9B"/>
    <w:rsid w:val="4457069E"/>
    <w:rsid w:val="458C5C2B"/>
    <w:rsid w:val="46F45669"/>
    <w:rsid w:val="475B4B20"/>
    <w:rsid w:val="47AB6085"/>
    <w:rsid w:val="480524B7"/>
    <w:rsid w:val="48943227"/>
    <w:rsid w:val="49BB2DB4"/>
    <w:rsid w:val="4AB71CE9"/>
    <w:rsid w:val="4B9600CA"/>
    <w:rsid w:val="4BB071A5"/>
    <w:rsid w:val="4CF82EFE"/>
    <w:rsid w:val="4E3071A6"/>
    <w:rsid w:val="4FC91A94"/>
    <w:rsid w:val="50023B24"/>
    <w:rsid w:val="50490A3D"/>
    <w:rsid w:val="50AD3E2C"/>
    <w:rsid w:val="50B21BAA"/>
    <w:rsid w:val="50DD07A8"/>
    <w:rsid w:val="50FA1227"/>
    <w:rsid w:val="5199004C"/>
    <w:rsid w:val="527415CE"/>
    <w:rsid w:val="52D86129"/>
    <w:rsid w:val="52EB0CCC"/>
    <w:rsid w:val="530249F5"/>
    <w:rsid w:val="534D6EF1"/>
    <w:rsid w:val="539F39D3"/>
    <w:rsid w:val="54A440DA"/>
    <w:rsid w:val="55D1085D"/>
    <w:rsid w:val="5669492A"/>
    <w:rsid w:val="56A30315"/>
    <w:rsid w:val="57302D7E"/>
    <w:rsid w:val="57826C95"/>
    <w:rsid w:val="59C42E30"/>
    <w:rsid w:val="5B8037CF"/>
    <w:rsid w:val="5C57247B"/>
    <w:rsid w:val="5C8058F5"/>
    <w:rsid w:val="5D0E3B0B"/>
    <w:rsid w:val="5D5E7387"/>
    <w:rsid w:val="5D8F3D13"/>
    <w:rsid w:val="5DB339E8"/>
    <w:rsid w:val="5E406E82"/>
    <w:rsid w:val="5E565BA2"/>
    <w:rsid w:val="600A49E0"/>
    <w:rsid w:val="603E2C7E"/>
    <w:rsid w:val="60880E8B"/>
    <w:rsid w:val="61E7798E"/>
    <w:rsid w:val="62070FA1"/>
    <w:rsid w:val="624A1CE2"/>
    <w:rsid w:val="634E7922"/>
    <w:rsid w:val="64193211"/>
    <w:rsid w:val="64AD11D7"/>
    <w:rsid w:val="65282352"/>
    <w:rsid w:val="66845F34"/>
    <w:rsid w:val="66C22AA3"/>
    <w:rsid w:val="675533F8"/>
    <w:rsid w:val="67A31806"/>
    <w:rsid w:val="67B11BF2"/>
    <w:rsid w:val="67C92E46"/>
    <w:rsid w:val="689B1124"/>
    <w:rsid w:val="68A66319"/>
    <w:rsid w:val="68C950F9"/>
    <w:rsid w:val="6A397DA1"/>
    <w:rsid w:val="6B20569D"/>
    <w:rsid w:val="6B4E1409"/>
    <w:rsid w:val="6B9207A0"/>
    <w:rsid w:val="6C5A2A88"/>
    <w:rsid w:val="6CD079DB"/>
    <w:rsid w:val="6D996305"/>
    <w:rsid w:val="6DAF3725"/>
    <w:rsid w:val="6EDA5D32"/>
    <w:rsid w:val="6FEB0EFA"/>
    <w:rsid w:val="6FF0632D"/>
    <w:rsid w:val="70190FDE"/>
    <w:rsid w:val="702A6D7B"/>
    <w:rsid w:val="70E52089"/>
    <w:rsid w:val="710C1E17"/>
    <w:rsid w:val="715428DA"/>
    <w:rsid w:val="719D6FD6"/>
    <w:rsid w:val="71CD5C16"/>
    <w:rsid w:val="73873E48"/>
    <w:rsid w:val="73971336"/>
    <w:rsid w:val="744A1F8C"/>
    <w:rsid w:val="74ED1906"/>
    <w:rsid w:val="750B5CA0"/>
    <w:rsid w:val="78E4561A"/>
    <w:rsid w:val="79C14470"/>
    <w:rsid w:val="79F73722"/>
    <w:rsid w:val="7A94432C"/>
    <w:rsid w:val="7AE22ED1"/>
    <w:rsid w:val="7B3206B6"/>
    <w:rsid w:val="7B626BF8"/>
    <w:rsid w:val="7BB462CF"/>
    <w:rsid w:val="7D230B8E"/>
    <w:rsid w:val="7DCB2ACE"/>
    <w:rsid w:val="7E2F6E7A"/>
    <w:rsid w:val="7F043554"/>
    <w:rsid w:val="7FC667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9"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Calibri" w:hAnsi="Calibri" w:eastAsia="宋体" w:cs="Times New Roman"/>
      <w:kern w:val="2"/>
      <w:sz w:val="24"/>
      <w:szCs w:val="24"/>
      <w:lang w:val="en-US" w:eastAsia="zh-CN" w:bidi="ar-SA"/>
    </w:rPr>
  </w:style>
  <w:style w:type="paragraph" w:styleId="2">
    <w:name w:val="heading 1"/>
    <w:basedOn w:val="1"/>
    <w:next w:val="1"/>
    <w:link w:val="35"/>
    <w:qFormat/>
    <w:uiPriority w:val="0"/>
    <w:pPr>
      <w:keepNext/>
      <w:keepLines/>
      <w:numPr>
        <w:ilvl w:val="0"/>
        <w:numId w:val="1"/>
      </w:numPr>
      <w:spacing w:beforeLines="150" w:afterLines="100" w:line="400" w:lineRule="exact"/>
      <w:ind w:left="468" w:hanging="468" w:hangingChars="468"/>
      <w:jc w:val="center"/>
      <w:outlineLvl w:val="0"/>
    </w:pPr>
    <w:rPr>
      <w:rFonts w:ascii="黑体" w:eastAsia="黑体"/>
      <w:b/>
      <w:color w:val="000000"/>
      <w:sz w:val="32"/>
      <w:szCs w:val="32"/>
    </w:rPr>
  </w:style>
  <w:style w:type="paragraph" w:styleId="3">
    <w:name w:val="heading 2"/>
    <w:basedOn w:val="1"/>
    <w:next w:val="1"/>
    <w:link w:val="36"/>
    <w:qFormat/>
    <w:uiPriority w:val="0"/>
    <w:pPr>
      <w:keepNext/>
      <w:keepLines/>
      <w:numPr>
        <w:ilvl w:val="1"/>
        <w:numId w:val="1"/>
      </w:numPr>
      <w:spacing w:before="260" w:after="260" w:line="415" w:lineRule="auto"/>
      <w:ind w:firstLine="0" w:firstLineChars="0"/>
      <w:jc w:val="center"/>
      <w:outlineLvl w:val="1"/>
    </w:pPr>
    <w:rPr>
      <w:rFonts w:ascii="Arial" w:hAnsi="Arial" w:eastAsia="黑体"/>
      <w:bCs/>
      <w:sz w:val="30"/>
      <w:szCs w:val="30"/>
    </w:rPr>
  </w:style>
  <w:style w:type="paragraph" w:styleId="4">
    <w:name w:val="heading 3"/>
    <w:basedOn w:val="1"/>
    <w:next w:val="1"/>
    <w:link w:val="37"/>
    <w:qFormat/>
    <w:uiPriority w:val="9"/>
    <w:pPr>
      <w:keepNext/>
      <w:keepLines/>
      <w:numPr>
        <w:ilvl w:val="0"/>
        <w:numId w:val="2"/>
      </w:numPr>
      <w:spacing w:beforeLines="50"/>
      <w:ind w:firstLine="0" w:firstLineChars="0"/>
      <w:jc w:val="left"/>
      <w:outlineLvl w:val="2"/>
    </w:pPr>
    <w:rPr>
      <w:bCs/>
    </w:rPr>
  </w:style>
  <w:style w:type="paragraph" w:styleId="5">
    <w:name w:val="heading 4"/>
    <w:basedOn w:val="1"/>
    <w:next w:val="1"/>
    <w:link w:val="38"/>
    <w:qFormat/>
    <w:uiPriority w:val="0"/>
    <w:pPr>
      <w:ind w:firstLine="480"/>
      <w:outlineLvl w:val="3"/>
    </w:pPr>
  </w:style>
  <w:style w:type="paragraph" w:styleId="6">
    <w:name w:val="heading 5"/>
    <w:basedOn w:val="1"/>
    <w:next w:val="1"/>
    <w:link w:val="39"/>
    <w:qFormat/>
    <w:uiPriority w:val="0"/>
    <w:pPr>
      <w:keepNext/>
      <w:keepLines/>
      <w:numPr>
        <w:ilvl w:val="4"/>
        <w:numId w:val="1"/>
      </w:numPr>
      <w:spacing w:before="280" w:after="290" w:line="376" w:lineRule="auto"/>
      <w:outlineLvl w:val="4"/>
    </w:pPr>
    <w:rPr>
      <w:b/>
      <w:bCs/>
      <w:sz w:val="28"/>
      <w:szCs w:val="28"/>
    </w:rPr>
  </w:style>
  <w:style w:type="paragraph" w:styleId="7">
    <w:name w:val="heading 6"/>
    <w:basedOn w:val="1"/>
    <w:next w:val="1"/>
    <w:link w:val="40"/>
    <w:qFormat/>
    <w:uiPriority w:val="0"/>
    <w:pPr>
      <w:keepNext/>
      <w:keepLines/>
      <w:numPr>
        <w:ilvl w:val="5"/>
        <w:numId w:val="1"/>
      </w:numPr>
      <w:spacing w:before="240" w:after="64" w:line="320" w:lineRule="auto"/>
      <w:outlineLvl w:val="5"/>
    </w:pPr>
    <w:rPr>
      <w:rFonts w:ascii="Arial" w:hAnsi="Arial" w:eastAsia="黑体"/>
      <w:b/>
      <w:bCs/>
    </w:rPr>
  </w:style>
  <w:style w:type="paragraph" w:styleId="8">
    <w:name w:val="heading 7"/>
    <w:basedOn w:val="1"/>
    <w:next w:val="1"/>
    <w:link w:val="41"/>
    <w:qFormat/>
    <w:uiPriority w:val="0"/>
    <w:pPr>
      <w:keepNext/>
      <w:keepLines/>
      <w:numPr>
        <w:ilvl w:val="6"/>
        <w:numId w:val="1"/>
      </w:numPr>
      <w:spacing w:before="240" w:after="64" w:line="320" w:lineRule="auto"/>
      <w:outlineLvl w:val="6"/>
    </w:pPr>
    <w:rPr>
      <w:b/>
      <w:bCs/>
    </w:rPr>
  </w:style>
  <w:style w:type="paragraph" w:styleId="9">
    <w:name w:val="heading 8"/>
    <w:basedOn w:val="1"/>
    <w:next w:val="1"/>
    <w:link w:val="42"/>
    <w:qFormat/>
    <w:uiPriority w:val="0"/>
    <w:pPr>
      <w:keepNext/>
      <w:keepLines/>
      <w:numPr>
        <w:ilvl w:val="7"/>
        <w:numId w:val="1"/>
      </w:numPr>
      <w:spacing w:before="240" w:after="64" w:line="320" w:lineRule="auto"/>
      <w:outlineLvl w:val="7"/>
    </w:pPr>
    <w:rPr>
      <w:rFonts w:ascii="Arial" w:hAnsi="Arial" w:eastAsia="黑体"/>
    </w:rPr>
  </w:style>
  <w:style w:type="paragraph" w:styleId="10">
    <w:name w:val="heading 9"/>
    <w:basedOn w:val="1"/>
    <w:next w:val="1"/>
    <w:link w:val="43"/>
    <w:qFormat/>
    <w:uiPriority w:val="0"/>
    <w:pPr>
      <w:keepNext/>
      <w:keepLines/>
      <w:numPr>
        <w:ilvl w:val="8"/>
        <w:numId w:val="1"/>
      </w:numPr>
      <w:spacing w:before="240" w:after="64" w:line="320" w:lineRule="auto"/>
      <w:outlineLvl w:val="8"/>
    </w:pPr>
    <w:rPr>
      <w:rFonts w:ascii="Arial" w:hAnsi="Arial" w:eastAsia="黑体"/>
      <w:sz w:val="21"/>
      <w:szCs w:val="21"/>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unhideWhenUsed/>
    <w:qFormat/>
    <w:uiPriority w:val="39"/>
    <w:pPr>
      <w:spacing w:line="240" w:lineRule="auto"/>
      <w:ind w:left="2520" w:leftChars="1200" w:firstLine="0" w:firstLineChars="0"/>
    </w:pPr>
    <w:rPr>
      <w:rFonts w:ascii="等线" w:hAnsi="等线" w:eastAsia="等线"/>
      <w:sz w:val="21"/>
      <w:szCs w:val="22"/>
    </w:rPr>
  </w:style>
  <w:style w:type="paragraph" w:styleId="12">
    <w:name w:val="caption"/>
    <w:basedOn w:val="1"/>
    <w:next w:val="1"/>
    <w:link w:val="44"/>
    <w:qFormat/>
    <w:uiPriority w:val="0"/>
    <w:pPr>
      <w:spacing w:line="240" w:lineRule="auto"/>
      <w:ind w:firstLine="420"/>
    </w:pPr>
    <w:rPr>
      <w:rFonts w:ascii="Cambria" w:hAnsi="Cambria" w:eastAsia="黑体"/>
      <w:sz w:val="20"/>
      <w:szCs w:val="20"/>
    </w:rPr>
  </w:style>
  <w:style w:type="paragraph" w:styleId="13">
    <w:name w:val="Document Map"/>
    <w:basedOn w:val="1"/>
    <w:link w:val="45"/>
    <w:qFormat/>
    <w:uiPriority w:val="0"/>
    <w:pPr>
      <w:shd w:val="clear" w:color="auto" w:fill="000080"/>
    </w:pPr>
  </w:style>
  <w:style w:type="paragraph" w:styleId="14">
    <w:name w:val="Body Text Indent"/>
    <w:basedOn w:val="1"/>
    <w:link w:val="46"/>
    <w:qFormat/>
    <w:uiPriority w:val="0"/>
    <w:pPr>
      <w:spacing w:line="320" w:lineRule="exact"/>
      <w:ind w:firstLine="600"/>
    </w:pPr>
    <w:rPr>
      <w:sz w:val="30"/>
      <w:szCs w:val="21"/>
    </w:rPr>
  </w:style>
  <w:style w:type="paragraph" w:styleId="15">
    <w:name w:val="toc 5"/>
    <w:basedOn w:val="1"/>
    <w:next w:val="1"/>
    <w:unhideWhenUsed/>
    <w:qFormat/>
    <w:uiPriority w:val="39"/>
    <w:pPr>
      <w:spacing w:line="240" w:lineRule="auto"/>
      <w:ind w:left="1680" w:leftChars="800" w:firstLine="0" w:firstLineChars="0"/>
    </w:pPr>
    <w:rPr>
      <w:rFonts w:ascii="等线" w:hAnsi="等线" w:eastAsia="等线"/>
      <w:sz w:val="21"/>
      <w:szCs w:val="22"/>
    </w:rPr>
  </w:style>
  <w:style w:type="paragraph" w:styleId="16">
    <w:name w:val="toc 3"/>
    <w:basedOn w:val="1"/>
    <w:next w:val="1"/>
    <w:unhideWhenUsed/>
    <w:qFormat/>
    <w:uiPriority w:val="39"/>
    <w:pPr>
      <w:ind w:left="840" w:leftChars="400"/>
    </w:pPr>
  </w:style>
  <w:style w:type="paragraph" w:styleId="17">
    <w:name w:val="Plain Text"/>
    <w:basedOn w:val="1"/>
    <w:link w:val="47"/>
    <w:qFormat/>
    <w:uiPriority w:val="0"/>
    <w:pPr>
      <w:spacing w:line="240" w:lineRule="auto"/>
      <w:ind w:firstLine="420"/>
    </w:pPr>
    <w:rPr>
      <w:rFonts w:ascii="宋体" w:hAnsi="Courier New"/>
      <w:sz w:val="21"/>
      <w:szCs w:val="20"/>
    </w:rPr>
  </w:style>
  <w:style w:type="paragraph" w:styleId="18">
    <w:name w:val="toc 8"/>
    <w:basedOn w:val="1"/>
    <w:next w:val="1"/>
    <w:unhideWhenUsed/>
    <w:qFormat/>
    <w:uiPriority w:val="39"/>
    <w:pPr>
      <w:spacing w:line="240" w:lineRule="auto"/>
      <w:ind w:left="2940" w:leftChars="1400" w:firstLine="0" w:firstLineChars="0"/>
    </w:pPr>
    <w:rPr>
      <w:rFonts w:ascii="等线" w:hAnsi="等线" w:eastAsia="等线"/>
      <w:sz w:val="21"/>
      <w:szCs w:val="22"/>
    </w:rPr>
  </w:style>
  <w:style w:type="paragraph" w:styleId="19">
    <w:name w:val="Date"/>
    <w:basedOn w:val="1"/>
    <w:next w:val="1"/>
    <w:link w:val="48"/>
    <w:qFormat/>
    <w:uiPriority w:val="0"/>
    <w:pPr>
      <w:spacing w:line="240" w:lineRule="auto"/>
      <w:ind w:firstLine="0" w:firstLineChars="0"/>
    </w:pPr>
    <w:rPr>
      <w:szCs w:val="20"/>
    </w:rPr>
  </w:style>
  <w:style w:type="paragraph" w:styleId="20">
    <w:name w:val="Balloon Text"/>
    <w:basedOn w:val="1"/>
    <w:link w:val="49"/>
    <w:unhideWhenUsed/>
    <w:qFormat/>
    <w:uiPriority w:val="99"/>
    <w:pPr>
      <w:spacing w:line="240" w:lineRule="auto"/>
      <w:ind w:firstLine="420"/>
    </w:pPr>
    <w:rPr>
      <w:sz w:val="18"/>
      <w:szCs w:val="18"/>
    </w:rPr>
  </w:style>
  <w:style w:type="paragraph" w:styleId="21">
    <w:name w:val="footer"/>
    <w:basedOn w:val="1"/>
    <w:link w:val="50"/>
    <w:qFormat/>
    <w:uiPriority w:val="99"/>
    <w:pPr>
      <w:tabs>
        <w:tab w:val="center" w:pos="4153"/>
        <w:tab w:val="right" w:pos="8306"/>
      </w:tabs>
      <w:snapToGrid w:val="0"/>
      <w:spacing w:line="240" w:lineRule="auto"/>
      <w:jc w:val="left"/>
    </w:pPr>
    <w:rPr>
      <w:sz w:val="18"/>
      <w:szCs w:val="18"/>
    </w:rPr>
  </w:style>
  <w:style w:type="paragraph" w:styleId="22">
    <w:name w:val="header"/>
    <w:basedOn w:val="1"/>
    <w:link w:val="51"/>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23">
    <w:name w:val="toc 1"/>
    <w:basedOn w:val="1"/>
    <w:next w:val="1"/>
    <w:qFormat/>
    <w:uiPriority w:val="39"/>
    <w:pPr>
      <w:ind w:firstLine="717" w:firstLineChars="163"/>
    </w:pPr>
  </w:style>
  <w:style w:type="paragraph" w:styleId="24">
    <w:name w:val="toc 4"/>
    <w:basedOn w:val="1"/>
    <w:next w:val="1"/>
    <w:unhideWhenUsed/>
    <w:qFormat/>
    <w:uiPriority w:val="39"/>
    <w:pPr>
      <w:spacing w:line="240" w:lineRule="auto"/>
      <w:ind w:left="1260" w:leftChars="600" w:firstLine="0" w:firstLineChars="0"/>
    </w:pPr>
    <w:rPr>
      <w:rFonts w:ascii="等线" w:hAnsi="等线" w:eastAsia="等线"/>
      <w:sz w:val="21"/>
      <w:szCs w:val="22"/>
    </w:rPr>
  </w:style>
  <w:style w:type="paragraph" w:styleId="25">
    <w:name w:val="toc 6"/>
    <w:basedOn w:val="1"/>
    <w:next w:val="1"/>
    <w:unhideWhenUsed/>
    <w:qFormat/>
    <w:uiPriority w:val="39"/>
    <w:pPr>
      <w:spacing w:line="240" w:lineRule="auto"/>
      <w:ind w:left="2100" w:leftChars="1000" w:firstLine="0" w:firstLineChars="0"/>
    </w:pPr>
    <w:rPr>
      <w:rFonts w:ascii="等线" w:hAnsi="等线" w:eastAsia="等线"/>
      <w:sz w:val="21"/>
      <w:szCs w:val="22"/>
    </w:rPr>
  </w:style>
  <w:style w:type="paragraph" w:styleId="26">
    <w:name w:val="Body Text Indent 3"/>
    <w:basedOn w:val="1"/>
    <w:link w:val="52"/>
    <w:qFormat/>
    <w:uiPriority w:val="0"/>
    <w:pPr>
      <w:ind w:left="-1" w:leftChars="-267" w:hanging="560" w:hangingChars="200"/>
    </w:pPr>
    <w:rPr>
      <w:sz w:val="28"/>
    </w:rPr>
  </w:style>
  <w:style w:type="paragraph" w:styleId="27">
    <w:name w:val="toc 2"/>
    <w:basedOn w:val="1"/>
    <w:next w:val="1"/>
    <w:qFormat/>
    <w:uiPriority w:val="39"/>
    <w:pPr>
      <w:ind w:left="420" w:leftChars="200"/>
    </w:pPr>
  </w:style>
  <w:style w:type="paragraph" w:styleId="28">
    <w:name w:val="toc 9"/>
    <w:basedOn w:val="1"/>
    <w:next w:val="1"/>
    <w:unhideWhenUsed/>
    <w:qFormat/>
    <w:uiPriority w:val="39"/>
    <w:pPr>
      <w:spacing w:line="240" w:lineRule="auto"/>
      <w:ind w:left="3360" w:leftChars="1600" w:firstLine="0" w:firstLineChars="0"/>
    </w:pPr>
    <w:rPr>
      <w:rFonts w:ascii="等线" w:hAnsi="等线" w:eastAsia="等线"/>
      <w:sz w:val="21"/>
      <w:szCs w:val="22"/>
    </w:rPr>
  </w:style>
  <w:style w:type="paragraph" w:styleId="29">
    <w:name w:val="Normal (Web)"/>
    <w:basedOn w:val="1"/>
    <w:qFormat/>
    <w:uiPriority w:val="0"/>
    <w:pPr>
      <w:widowControl/>
      <w:spacing w:before="100" w:beforeAutospacing="1" w:after="100" w:afterAutospacing="1" w:line="240" w:lineRule="auto"/>
      <w:ind w:firstLine="420"/>
      <w:jc w:val="left"/>
    </w:pPr>
    <w:rPr>
      <w:rFonts w:ascii="宋体" w:hAnsi="宋体" w:cs="宋体"/>
      <w:kern w:val="0"/>
      <w:szCs w:val="20"/>
    </w:rPr>
  </w:style>
  <w:style w:type="table" w:styleId="31">
    <w:name w:val="Table Grid"/>
    <w:basedOn w:val="30"/>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page number"/>
    <w:basedOn w:val="32"/>
    <w:qFormat/>
    <w:uiPriority w:val="0"/>
  </w:style>
  <w:style w:type="character" w:styleId="34">
    <w:name w:val="Hyperlink"/>
    <w:qFormat/>
    <w:uiPriority w:val="99"/>
    <w:rPr>
      <w:color w:val="0000FF"/>
      <w:u w:val="single"/>
    </w:rPr>
  </w:style>
  <w:style w:type="character" w:customStyle="1" w:styleId="35">
    <w:name w:val="标题 1 字符"/>
    <w:basedOn w:val="32"/>
    <w:link w:val="2"/>
    <w:qFormat/>
    <w:uiPriority w:val="0"/>
    <w:rPr>
      <w:rFonts w:ascii="黑体" w:hAnsi="Calibri" w:eastAsia="黑体" w:cs="Times New Roman"/>
      <w:b/>
      <w:color w:val="000000"/>
      <w:sz w:val="32"/>
      <w:szCs w:val="32"/>
    </w:rPr>
  </w:style>
  <w:style w:type="character" w:customStyle="1" w:styleId="36">
    <w:name w:val="标题 2 字符"/>
    <w:basedOn w:val="32"/>
    <w:link w:val="3"/>
    <w:qFormat/>
    <w:uiPriority w:val="0"/>
    <w:rPr>
      <w:rFonts w:ascii="Arial" w:hAnsi="Arial" w:eastAsia="黑体" w:cs="Times New Roman"/>
      <w:bCs/>
      <w:sz w:val="30"/>
      <w:szCs w:val="30"/>
    </w:rPr>
  </w:style>
  <w:style w:type="character" w:customStyle="1" w:styleId="37">
    <w:name w:val="标题 3 字符"/>
    <w:basedOn w:val="32"/>
    <w:link w:val="4"/>
    <w:qFormat/>
    <w:uiPriority w:val="9"/>
    <w:rPr>
      <w:rFonts w:ascii="Calibri" w:hAnsi="Calibri" w:eastAsia="宋体" w:cs="Times New Roman"/>
      <w:bCs/>
      <w:sz w:val="24"/>
      <w:szCs w:val="24"/>
    </w:rPr>
  </w:style>
  <w:style w:type="character" w:customStyle="1" w:styleId="38">
    <w:name w:val="标题 4 字符"/>
    <w:basedOn w:val="32"/>
    <w:link w:val="5"/>
    <w:qFormat/>
    <w:uiPriority w:val="0"/>
    <w:rPr>
      <w:rFonts w:ascii="Calibri" w:hAnsi="Calibri" w:eastAsia="宋体" w:cs="Times New Roman"/>
      <w:sz w:val="24"/>
      <w:szCs w:val="24"/>
    </w:rPr>
  </w:style>
  <w:style w:type="character" w:customStyle="1" w:styleId="39">
    <w:name w:val="标题 5 字符"/>
    <w:basedOn w:val="32"/>
    <w:link w:val="6"/>
    <w:qFormat/>
    <w:uiPriority w:val="0"/>
    <w:rPr>
      <w:rFonts w:ascii="Calibri" w:hAnsi="Calibri" w:eastAsia="宋体" w:cs="Times New Roman"/>
      <w:b/>
      <w:bCs/>
      <w:sz w:val="28"/>
      <w:szCs w:val="28"/>
    </w:rPr>
  </w:style>
  <w:style w:type="character" w:customStyle="1" w:styleId="40">
    <w:name w:val="标题 6 字符"/>
    <w:basedOn w:val="32"/>
    <w:link w:val="7"/>
    <w:qFormat/>
    <w:uiPriority w:val="0"/>
    <w:rPr>
      <w:rFonts w:ascii="Arial" w:hAnsi="Arial" w:eastAsia="黑体" w:cs="Times New Roman"/>
      <w:b/>
      <w:bCs/>
      <w:sz w:val="24"/>
      <w:szCs w:val="24"/>
    </w:rPr>
  </w:style>
  <w:style w:type="character" w:customStyle="1" w:styleId="41">
    <w:name w:val="标题 7 字符"/>
    <w:basedOn w:val="32"/>
    <w:link w:val="8"/>
    <w:qFormat/>
    <w:uiPriority w:val="0"/>
    <w:rPr>
      <w:rFonts w:ascii="Calibri" w:hAnsi="Calibri" w:eastAsia="宋体" w:cs="Times New Roman"/>
      <w:b/>
      <w:bCs/>
      <w:sz w:val="24"/>
      <w:szCs w:val="24"/>
    </w:rPr>
  </w:style>
  <w:style w:type="character" w:customStyle="1" w:styleId="42">
    <w:name w:val="标题 8 字符"/>
    <w:basedOn w:val="32"/>
    <w:link w:val="9"/>
    <w:qFormat/>
    <w:uiPriority w:val="0"/>
    <w:rPr>
      <w:rFonts w:ascii="Arial" w:hAnsi="Arial" w:eastAsia="黑体" w:cs="Times New Roman"/>
      <w:sz w:val="24"/>
      <w:szCs w:val="24"/>
    </w:rPr>
  </w:style>
  <w:style w:type="character" w:customStyle="1" w:styleId="43">
    <w:name w:val="标题 9 字符"/>
    <w:basedOn w:val="32"/>
    <w:link w:val="10"/>
    <w:qFormat/>
    <w:uiPriority w:val="0"/>
    <w:rPr>
      <w:rFonts w:ascii="Arial" w:hAnsi="Arial" w:eastAsia="黑体" w:cs="Times New Roman"/>
      <w:szCs w:val="21"/>
    </w:rPr>
  </w:style>
  <w:style w:type="character" w:customStyle="1" w:styleId="44">
    <w:name w:val="题注 字符"/>
    <w:link w:val="12"/>
    <w:qFormat/>
    <w:uiPriority w:val="0"/>
    <w:rPr>
      <w:rFonts w:ascii="Cambria" w:hAnsi="Cambria" w:eastAsia="黑体" w:cs="Times New Roman"/>
      <w:sz w:val="20"/>
      <w:szCs w:val="20"/>
    </w:rPr>
  </w:style>
  <w:style w:type="character" w:customStyle="1" w:styleId="45">
    <w:name w:val="文档结构图 字符"/>
    <w:basedOn w:val="32"/>
    <w:link w:val="13"/>
    <w:qFormat/>
    <w:uiPriority w:val="0"/>
    <w:rPr>
      <w:rFonts w:ascii="Calibri" w:hAnsi="Calibri" w:eastAsia="宋体" w:cs="Times New Roman"/>
      <w:sz w:val="24"/>
      <w:szCs w:val="24"/>
      <w:shd w:val="clear" w:color="auto" w:fill="000080"/>
    </w:rPr>
  </w:style>
  <w:style w:type="character" w:customStyle="1" w:styleId="46">
    <w:name w:val="正文文本缩进 字符"/>
    <w:basedOn w:val="32"/>
    <w:link w:val="14"/>
    <w:qFormat/>
    <w:uiPriority w:val="0"/>
    <w:rPr>
      <w:rFonts w:ascii="Calibri" w:hAnsi="Calibri" w:eastAsia="宋体" w:cs="Times New Roman"/>
      <w:sz w:val="30"/>
      <w:szCs w:val="21"/>
    </w:rPr>
  </w:style>
  <w:style w:type="character" w:customStyle="1" w:styleId="47">
    <w:name w:val="纯文本 字符"/>
    <w:basedOn w:val="32"/>
    <w:link w:val="17"/>
    <w:qFormat/>
    <w:uiPriority w:val="0"/>
    <w:rPr>
      <w:rFonts w:ascii="宋体" w:hAnsi="Courier New" w:eastAsia="宋体" w:cs="Times New Roman"/>
      <w:szCs w:val="20"/>
    </w:rPr>
  </w:style>
  <w:style w:type="character" w:customStyle="1" w:styleId="48">
    <w:name w:val="日期 字符"/>
    <w:basedOn w:val="32"/>
    <w:link w:val="19"/>
    <w:qFormat/>
    <w:uiPriority w:val="0"/>
    <w:rPr>
      <w:rFonts w:ascii="Calibri" w:hAnsi="Calibri" w:eastAsia="宋体" w:cs="Times New Roman"/>
      <w:sz w:val="24"/>
      <w:szCs w:val="20"/>
    </w:rPr>
  </w:style>
  <w:style w:type="character" w:customStyle="1" w:styleId="49">
    <w:name w:val="批注框文本 字符"/>
    <w:basedOn w:val="32"/>
    <w:link w:val="20"/>
    <w:qFormat/>
    <w:uiPriority w:val="99"/>
    <w:rPr>
      <w:rFonts w:ascii="Calibri" w:hAnsi="Calibri" w:eastAsia="宋体" w:cs="Times New Roman"/>
      <w:sz w:val="18"/>
      <w:szCs w:val="18"/>
    </w:rPr>
  </w:style>
  <w:style w:type="character" w:customStyle="1" w:styleId="50">
    <w:name w:val="页脚 字符"/>
    <w:basedOn w:val="32"/>
    <w:link w:val="21"/>
    <w:qFormat/>
    <w:uiPriority w:val="99"/>
    <w:rPr>
      <w:rFonts w:ascii="Calibri" w:hAnsi="Calibri" w:eastAsia="宋体" w:cs="Times New Roman"/>
      <w:sz w:val="18"/>
      <w:szCs w:val="18"/>
    </w:rPr>
  </w:style>
  <w:style w:type="character" w:customStyle="1" w:styleId="51">
    <w:name w:val="页眉 字符"/>
    <w:basedOn w:val="32"/>
    <w:link w:val="22"/>
    <w:qFormat/>
    <w:uiPriority w:val="99"/>
    <w:rPr>
      <w:rFonts w:ascii="Calibri" w:hAnsi="Calibri" w:eastAsia="宋体" w:cs="Times New Roman"/>
      <w:sz w:val="18"/>
      <w:szCs w:val="18"/>
    </w:rPr>
  </w:style>
  <w:style w:type="character" w:customStyle="1" w:styleId="52">
    <w:name w:val="正文文本缩进 3 字符"/>
    <w:basedOn w:val="32"/>
    <w:link w:val="26"/>
    <w:qFormat/>
    <w:uiPriority w:val="0"/>
    <w:rPr>
      <w:rFonts w:ascii="Calibri" w:hAnsi="Calibri" w:eastAsia="宋体" w:cs="Times New Roman"/>
      <w:sz w:val="28"/>
      <w:szCs w:val="24"/>
    </w:rPr>
  </w:style>
  <w:style w:type="character" w:customStyle="1" w:styleId="53">
    <w:name w:val="a标准 Char Char"/>
    <w:link w:val="54"/>
    <w:qFormat/>
    <w:uiPriority w:val="0"/>
    <w:rPr>
      <w:sz w:val="24"/>
      <w:szCs w:val="40"/>
    </w:rPr>
  </w:style>
  <w:style w:type="paragraph" w:customStyle="1" w:styleId="54">
    <w:name w:val="a标准 Char"/>
    <w:basedOn w:val="1"/>
    <w:link w:val="53"/>
    <w:qFormat/>
    <w:uiPriority w:val="0"/>
    <w:rPr>
      <w:rFonts w:asciiTheme="minorHAnsi" w:hAnsiTheme="minorHAnsi" w:eastAsiaTheme="minorEastAsia" w:cstheme="minorBidi"/>
      <w:szCs w:val="40"/>
    </w:rPr>
  </w:style>
  <w:style w:type="character" w:customStyle="1" w:styleId="55">
    <w:name w:val="未处理的提及1"/>
    <w:unhideWhenUsed/>
    <w:qFormat/>
    <w:uiPriority w:val="99"/>
    <w:rPr>
      <w:color w:val="605E5C"/>
      <w:shd w:val="clear" w:color="auto" w:fill="E1DFDD"/>
    </w:rPr>
  </w:style>
  <w:style w:type="character" w:customStyle="1" w:styleId="56">
    <w:name w:val="样式 正文序号 + 行距: 多倍行距 1.4 字行 Char"/>
    <w:link w:val="57"/>
    <w:qFormat/>
    <w:uiPriority w:val="0"/>
    <w:rPr>
      <w:sz w:val="24"/>
    </w:rPr>
  </w:style>
  <w:style w:type="paragraph" w:customStyle="1" w:styleId="57">
    <w:name w:val="样式 正文序号 + 行距: 多倍行距 1.4 字行"/>
    <w:basedOn w:val="1"/>
    <w:link w:val="56"/>
    <w:qFormat/>
    <w:uiPriority w:val="0"/>
    <w:pPr>
      <w:spacing w:line="336" w:lineRule="auto"/>
      <w:ind w:firstLine="480"/>
    </w:pPr>
    <w:rPr>
      <w:rFonts w:asciiTheme="minorHAnsi" w:hAnsiTheme="minorHAnsi" w:eastAsiaTheme="minorEastAsia" w:cstheme="minorBidi"/>
      <w:szCs w:val="22"/>
    </w:rPr>
  </w:style>
  <w:style w:type="character" w:customStyle="1" w:styleId="58">
    <w:name w:val="表 Char Char"/>
    <w:link w:val="59"/>
    <w:qFormat/>
    <w:uiPriority w:val="0"/>
    <w:rPr>
      <w:rFonts w:eastAsia="宋体"/>
      <w:szCs w:val="21"/>
    </w:rPr>
  </w:style>
  <w:style w:type="paragraph" w:customStyle="1" w:styleId="59">
    <w:name w:val="表"/>
    <w:basedOn w:val="1"/>
    <w:next w:val="1"/>
    <w:link w:val="58"/>
    <w:qFormat/>
    <w:uiPriority w:val="0"/>
    <w:pPr>
      <w:spacing w:line="240" w:lineRule="auto"/>
      <w:ind w:firstLine="0" w:firstLineChars="0"/>
      <w:jc w:val="left"/>
    </w:pPr>
    <w:rPr>
      <w:rFonts w:asciiTheme="minorHAnsi" w:hAnsiTheme="minorHAnsi" w:cstheme="minorBidi"/>
      <w:sz w:val="21"/>
      <w:szCs w:val="21"/>
    </w:rPr>
  </w:style>
  <w:style w:type="character" w:customStyle="1" w:styleId="60">
    <w:name w:val="fontstyle01"/>
    <w:qFormat/>
    <w:uiPriority w:val="0"/>
    <w:rPr>
      <w:rFonts w:hint="eastAsia" w:ascii="仿宋" w:hAnsi="仿宋" w:eastAsia="仿宋"/>
      <w:color w:val="000000"/>
      <w:sz w:val="28"/>
      <w:szCs w:val="28"/>
    </w:rPr>
  </w:style>
  <w:style w:type="character" w:customStyle="1" w:styleId="61">
    <w:name w:val="-正文+——+ Char"/>
    <w:link w:val="62"/>
    <w:qFormat/>
    <w:uiPriority w:val="0"/>
    <w:rPr>
      <w:rFonts w:ascii="Arial" w:hAnsi="Arial"/>
      <w:bCs/>
      <w:spacing w:val="21"/>
      <w:kern w:val="24"/>
    </w:rPr>
  </w:style>
  <w:style w:type="paragraph" w:customStyle="1" w:styleId="62">
    <w:name w:val="-正文+——+"/>
    <w:basedOn w:val="1"/>
    <w:next w:val="1"/>
    <w:link w:val="61"/>
    <w:qFormat/>
    <w:uiPriority w:val="0"/>
    <w:pPr>
      <w:tabs>
        <w:tab w:val="left" w:pos="960"/>
      </w:tabs>
      <w:adjustRightInd w:val="0"/>
      <w:ind w:right="240" w:firstLine="564"/>
    </w:pPr>
    <w:rPr>
      <w:rFonts w:ascii="Arial" w:hAnsi="Arial" w:eastAsiaTheme="minorEastAsia" w:cstheme="minorBidi"/>
      <w:bCs/>
      <w:spacing w:val="21"/>
      <w:kern w:val="24"/>
      <w:sz w:val="21"/>
      <w:szCs w:val="22"/>
    </w:rPr>
  </w:style>
  <w:style w:type="paragraph" w:customStyle="1" w:styleId="63">
    <w:name w:val="L-正文"/>
    <w:basedOn w:val="1"/>
    <w:qFormat/>
    <w:uiPriority w:val="0"/>
    <w:pPr>
      <w:spacing w:line="400" w:lineRule="exact"/>
      <w:ind w:firstLine="420"/>
    </w:pPr>
    <w:rPr>
      <w:rFonts w:ascii="楷体_GB2312" w:hAnsi="宋体"/>
      <w:color w:val="000000"/>
      <w:sz w:val="21"/>
    </w:rPr>
  </w:style>
  <w:style w:type="paragraph" w:customStyle="1" w:styleId="64">
    <w:name w:val="正文-第几条"/>
    <w:basedOn w:val="1"/>
    <w:qFormat/>
    <w:uiPriority w:val="0"/>
    <w:pPr>
      <w:numPr>
        <w:ilvl w:val="0"/>
        <w:numId w:val="3"/>
      </w:numPr>
      <w:tabs>
        <w:tab w:val="left" w:pos="1021"/>
      </w:tabs>
      <w:ind w:firstLine="0" w:firstLineChars="0"/>
    </w:pPr>
  </w:style>
  <w:style w:type="paragraph" w:customStyle="1" w:styleId="65">
    <w:name w:val="样式1"/>
    <w:basedOn w:val="1"/>
    <w:qFormat/>
    <w:uiPriority w:val="0"/>
    <w:pPr>
      <w:spacing w:line="400" w:lineRule="exact"/>
      <w:ind w:firstLine="480"/>
      <w:jc w:val="left"/>
      <w:outlineLvl w:val="1"/>
    </w:pPr>
    <w:rPr>
      <w:rFonts w:eastAsia="楷体_GB2312"/>
      <w:color w:val="000000"/>
    </w:rPr>
  </w:style>
  <w:style w:type="paragraph" w:customStyle="1" w:styleId="66">
    <w:name w:val="样式 首行缩进:  0.77 厘米 行距: 1.5 倍行距"/>
    <w:basedOn w:val="1"/>
    <w:qFormat/>
    <w:uiPriority w:val="0"/>
    <w:pPr>
      <w:spacing w:beforeLines="50"/>
      <w:ind w:firstLine="482" w:firstLineChars="0"/>
      <w:jc w:val="left"/>
    </w:pPr>
    <w:rPr>
      <w:rFonts w:cs="宋体"/>
    </w:rPr>
  </w:style>
  <w:style w:type="paragraph" w:styleId="67">
    <w:name w:val="List Paragraph"/>
    <w:basedOn w:val="1"/>
    <w:link w:val="68"/>
    <w:qFormat/>
    <w:uiPriority w:val="34"/>
    <w:pPr>
      <w:spacing w:line="240" w:lineRule="auto"/>
      <w:ind w:firstLine="420"/>
    </w:pPr>
    <w:rPr>
      <w:sz w:val="21"/>
      <w:szCs w:val="22"/>
    </w:rPr>
  </w:style>
  <w:style w:type="character" w:customStyle="1" w:styleId="68">
    <w:name w:val="列表段落 字符"/>
    <w:link w:val="67"/>
    <w:qFormat/>
    <w:uiPriority w:val="34"/>
    <w:rPr>
      <w:rFonts w:ascii="Calibri" w:hAnsi="Calibri" w:eastAsia="宋体" w:cs="Times New Roman"/>
    </w:rPr>
  </w:style>
  <w:style w:type="paragraph" w:customStyle="1" w:styleId="69">
    <w:name w:val="附表"/>
    <w:basedOn w:val="1"/>
    <w:next w:val="1"/>
    <w:qFormat/>
    <w:uiPriority w:val="0"/>
    <w:pPr>
      <w:outlineLvl w:val="1"/>
    </w:pPr>
    <w:rPr>
      <w:rFonts w:eastAsia="黑体"/>
      <w:sz w:val="28"/>
      <w:szCs w:val="28"/>
    </w:rPr>
  </w:style>
  <w:style w:type="paragraph" w:customStyle="1" w:styleId="70">
    <w:name w:val="Char"/>
    <w:basedOn w:val="1"/>
    <w:qFormat/>
    <w:uiPriority w:val="0"/>
    <w:pPr>
      <w:spacing w:line="240" w:lineRule="auto"/>
      <w:ind w:firstLine="0" w:firstLineChars="0"/>
    </w:pPr>
    <w:rPr>
      <w:rFonts w:ascii="宋体" w:hAnsi="宋体" w:cs="Courier New"/>
      <w:sz w:val="32"/>
      <w:szCs w:val="32"/>
    </w:rPr>
  </w:style>
  <w:style w:type="paragraph" w:customStyle="1" w:styleId="71">
    <w:name w:val="正文2"/>
    <w:basedOn w:val="1"/>
    <w:qFormat/>
    <w:uiPriority w:val="0"/>
    <w:pPr>
      <w:ind w:left="480" w:leftChars="200" w:firstLine="482" w:firstLineChars="0"/>
      <w:jc w:val="left"/>
    </w:pPr>
    <w:rPr>
      <w:rFonts w:ascii="仿宋" w:hAnsi="仿宋" w:eastAsia="仿宋"/>
      <w:spacing w:val="-4"/>
      <w:szCs w:val="28"/>
    </w:rPr>
  </w:style>
  <w:style w:type="character" w:customStyle="1" w:styleId="72">
    <w:name w:val="图片 Char Char"/>
    <w:link w:val="73"/>
    <w:qFormat/>
    <w:uiPriority w:val="0"/>
    <w:rPr>
      <w:rFonts w:ascii="宋体" w:hAnsi="宋体"/>
      <w:szCs w:val="21"/>
    </w:rPr>
  </w:style>
  <w:style w:type="paragraph" w:customStyle="1" w:styleId="73">
    <w:name w:val="图片"/>
    <w:basedOn w:val="1"/>
    <w:link w:val="72"/>
    <w:qFormat/>
    <w:uiPriority w:val="0"/>
    <w:pPr>
      <w:spacing w:line="240" w:lineRule="atLeast"/>
      <w:ind w:firstLine="420"/>
      <w:jc w:val="left"/>
    </w:pPr>
    <w:rPr>
      <w:rFonts w:ascii="宋体" w:hAnsi="宋体" w:eastAsiaTheme="minorEastAsia" w:cstheme="minorBidi"/>
      <w:sz w:val="21"/>
      <w:szCs w:val="21"/>
    </w:rPr>
  </w:style>
  <w:style w:type="character" w:customStyle="1" w:styleId="74">
    <w:name w:val="表T Char Char"/>
    <w:link w:val="75"/>
    <w:qFormat/>
    <w:uiPriority w:val="0"/>
    <w:rPr>
      <w:rFonts w:ascii="黑体" w:eastAsia="黑体"/>
      <w:b/>
      <w:szCs w:val="24"/>
    </w:rPr>
  </w:style>
  <w:style w:type="paragraph" w:customStyle="1" w:styleId="75">
    <w:name w:val="表T"/>
    <w:basedOn w:val="1"/>
    <w:next w:val="1"/>
    <w:link w:val="74"/>
    <w:qFormat/>
    <w:uiPriority w:val="0"/>
    <w:pPr>
      <w:spacing w:beforeLines="50" w:line="240" w:lineRule="auto"/>
      <w:ind w:firstLine="4691" w:firstLineChars="2225"/>
    </w:pPr>
    <w:rPr>
      <w:rFonts w:ascii="黑体" w:eastAsia="黑体" w:hAnsiTheme="minorHAnsi" w:cstheme="minorBidi"/>
      <w:b/>
      <w:sz w:val="21"/>
    </w:rPr>
  </w:style>
  <w:style w:type="character" w:customStyle="1" w:styleId="76">
    <w:name w:val="批注框文本 字符1"/>
    <w:semiHidden/>
    <w:qFormat/>
    <w:uiPriority w:val="99"/>
    <w:rPr>
      <w:kern w:val="2"/>
      <w:sz w:val="18"/>
      <w:szCs w:val="18"/>
    </w:rPr>
  </w:style>
  <w:style w:type="paragraph" w:customStyle="1" w:styleId="77">
    <w:name w:val="Char Char Char Char Char Char Char Char Char Char Char Char Char"/>
    <w:basedOn w:val="3"/>
    <w:qFormat/>
    <w:uiPriority w:val="0"/>
    <w:pPr>
      <w:widowControl/>
      <w:numPr>
        <w:ilvl w:val="0"/>
        <w:numId w:val="0"/>
      </w:numPr>
      <w:spacing w:beforeLines="300" w:after="0" w:line="240" w:lineRule="auto"/>
      <w:ind w:right="5103" w:firstLine="420" w:firstLineChars="200"/>
      <w:jc w:val="left"/>
    </w:pPr>
    <w:rPr>
      <w:b/>
    </w:rPr>
  </w:style>
  <w:style w:type="paragraph" w:customStyle="1" w:styleId="78">
    <w:name w:val="表格啊"/>
    <w:basedOn w:val="1"/>
    <w:qFormat/>
    <w:uiPriority w:val="0"/>
    <w:pPr>
      <w:snapToGrid w:val="0"/>
      <w:spacing w:line="240" w:lineRule="auto"/>
      <w:ind w:firstLine="0" w:firstLineChars="0"/>
      <w:jc w:val="left"/>
    </w:pPr>
    <w:rPr>
      <w:rFonts w:ascii="宋体" w:hAnsi="宋体"/>
      <w:sz w:val="21"/>
      <w:szCs w:val="21"/>
    </w:rPr>
  </w:style>
  <w:style w:type="paragraph" w:customStyle="1" w:styleId="79">
    <w:name w:val="默认段落字体 Para Char"/>
    <w:basedOn w:val="1"/>
    <w:next w:val="1"/>
    <w:qFormat/>
    <w:uiPriority w:val="0"/>
    <w:rPr>
      <w:rFonts w:ascii="宋体" w:hAnsi="宋体" w:cs="宋体"/>
      <w:szCs w:val="20"/>
    </w:rPr>
  </w:style>
  <w:style w:type="paragraph" w:customStyle="1" w:styleId="80">
    <w:name w:val="-表格"/>
    <w:next w:val="1"/>
    <w:qFormat/>
    <w:uiPriority w:val="0"/>
    <w:pPr>
      <w:widowControl w:val="0"/>
      <w:adjustRightInd w:val="0"/>
      <w:jc w:val="both"/>
    </w:pPr>
    <w:rPr>
      <w:rFonts w:ascii="宋体" w:hAnsi="宋体" w:eastAsia="宋体" w:cs="Times New Roman"/>
      <w:spacing w:val="-14"/>
      <w:sz w:val="21"/>
      <w:szCs w:val="18"/>
      <w:lang w:val="en-US" w:eastAsia="zh-CN" w:bidi="ar-SA"/>
    </w:rPr>
  </w:style>
  <w:style w:type="paragraph" w:customStyle="1" w:styleId="81">
    <w:name w:val="表头"/>
    <w:qFormat/>
    <w:uiPriority w:val="0"/>
    <w:pPr>
      <w:widowControl w:val="0"/>
      <w:tabs>
        <w:tab w:val="left" w:pos="900"/>
      </w:tabs>
      <w:spacing w:beforeLines="50" w:line="400" w:lineRule="exact"/>
      <w:outlineLvl w:val="2"/>
    </w:pPr>
    <w:rPr>
      <w:rFonts w:ascii="Arial" w:hAnsi="Arial" w:eastAsia="黑体" w:cs="Times New Roman"/>
      <w:kern w:val="2"/>
      <w:sz w:val="28"/>
      <w:szCs w:val="28"/>
      <w:lang w:val="en-US" w:eastAsia="zh-CN" w:bidi="ar-SA"/>
    </w:rPr>
  </w:style>
  <w:style w:type="paragraph" w:customStyle="1" w:styleId="82">
    <w:name w:val="样式 黑体 四号 加粗 左 段前: 15.6 磅 段后: 15.6 磅 行距: 固定值 20 磅"/>
    <w:basedOn w:val="1"/>
    <w:qFormat/>
    <w:uiPriority w:val="0"/>
    <w:pPr>
      <w:spacing w:before="312" w:after="312" w:line="400" w:lineRule="exact"/>
      <w:ind w:firstLine="0" w:firstLineChars="0"/>
      <w:jc w:val="left"/>
    </w:pPr>
    <w:rPr>
      <w:rFonts w:ascii="黑体" w:eastAsia="黑体" w:cs="宋体"/>
      <w:b/>
      <w:bCs/>
      <w:sz w:val="28"/>
      <w:szCs w:val="20"/>
    </w:rPr>
  </w:style>
  <w:style w:type="paragraph" w:customStyle="1" w:styleId="83">
    <w:name w:val="Default"/>
    <w:qFormat/>
    <w:uiPriority w:val="0"/>
    <w:pPr>
      <w:widowControl w:val="0"/>
      <w:autoSpaceDE w:val="0"/>
      <w:autoSpaceDN w:val="0"/>
      <w:adjustRightInd w:val="0"/>
    </w:pPr>
    <w:rPr>
      <w:rFonts w:ascii="黑体" w:hAnsi="Calibri" w:eastAsia="黑体" w:cs="黑体"/>
      <w:color w:val="000000"/>
      <w:sz w:val="24"/>
      <w:szCs w:val="24"/>
      <w:lang w:val="en-US" w:eastAsia="zh-CN" w:bidi="ar-SA"/>
    </w:rPr>
  </w:style>
  <w:style w:type="paragraph" w:customStyle="1" w:styleId="84">
    <w:name w:val="TOC 标题1"/>
    <w:basedOn w:val="2"/>
    <w:next w:val="1"/>
    <w:unhideWhenUsed/>
    <w:qFormat/>
    <w:uiPriority w:val="39"/>
    <w:pPr>
      <w:widowControl/>
      <w:numPr>
        <w:numId w:val="0"/>
      </w:numPr>
      <w:spacing w:beforeLines="0" w:afterLines="0" w:line="259" w:lineRule="auto"/>
      <w:jc w:val="left"/>
      <w:outlineLvl w:val="9"/>
    </w:pPr>
    <w:rPr>
      <w:rFonts w:asciiTheme="majorHAnsi" w:hAnsiTheme="majorHAnsi" w:eastAsiaTheme="majorEastAsia" w:cstheme="majorBidi"/>
      <w:b w:val="0"/>
      <w:color w:val="2F5496" w:themeColor="accent1" w:themeShade="BF"/>
      <w:kern w:val="0"/>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4098"/>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C79D900-208A-4700-A666-4FAB5A5A11E6}">
  <ds:schemaRefs/>
</ds:datastoreItem>
</file>

<file path=docProps/app.xml><?xml version="1.0" encoding="utf-8"?>
<Properties xmlns="http://schemas.openxmlformats.org/officeDocument/2006/extended-properties" xmlns:vt="http://schemas.openxmlformats.org/officeDocument/2006/docPropsVTypes">
  <Template>Normal.dotm</Template>
  <Pages>23</Pages>
  <Words>12372</Words>
  <Characters>12508</Characters>
  <Lines>214</Lines>
  <Paragraphs>60</Paragraphs>
  <TotalTime>20</TotalTime>
  <ScaleCrop>false</ScaleCrop>
  <LinksUpToDate>false</LinksUpToDate>
  <CharactersWithSpaces>12850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2021-06-03T01:20:00Z</dcterms:created>
  <dc:creator>admin</dc:creator>
  <cp:lastModifiedBy>灰。咖啡</cp:lastModifiedBy>
  <dcterms:modified xsi:type="dcterms:W3CDTF">2025-09-16T09:09:51Z</dcterms:modified>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ECA84AA1F1374C05A322DAD6131C22DD</vt:lpwstr>
  </property>
  <property fmtid="{D5CDD505-2E9C-101B-9397-08002B2CF9AE}" pid="4" name="KSOTemplateDocerSaveRecord">
    <vt:lpwstr>eyJoZGlkIjoiYjM2YjY1MmUzZTEyYTBiZDYyZWJhMDAyM2Q5MzBlOTkiLCJ1c2VySWQiOiI3MTgzNjU2OTYifQ==</vt:lpwstr>
  </property>
</Properties>
</file>