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7F0A51">
      <w:pPr>
        <w:keepNext w:val="0"/>
        <w:keepLines w:val="0"/>
        <w:pageBreakBefore w:val="0"/>
        <w:topLinePunct w:val="0"/>
        <w:autoSpaceDE w:val="0"/>
        <w:autoSpaceDN w:val="0"/>
        <w:bidi w:val="0"/>
        <w:adjustRightInd w:val="0"/>
        <w:snapToGrid w:val="0"/>
        <w:spacing w:line="760" w:lineRule="exact"/>
        <w:jc w:val="left"/>
        <w:textAlignment w:val="baseline"/>
        <w:rPr>
          <w:rFonts w:hint="default" w:ascii="黑体" w:hAnsi="黑体" w:eastAsia="黑体" w:cs="黑体"/>
          <w:color w:val="auto"/>
          <w:spacing w:val="0"/>
          <w:sz w:val="32"/>
          <w:szCs w:val="32"/>
          <w:lang w:val="en-US" w:eastAsia="zh-CN"/>
        </w:rPr>
      </w:pPr>
      <w:r>
        <w:rPr>
          <w:rFonts w:hint="eastAsia" w:ascii="黑体" w:hAnsi="黑体" w:eastAsia="黑体" w:cs="黑体"/>
          <w:color w:val="auto"/>
          <w:spacing w:val="0"/>
          <w:sz w:val="32"/>
          <w:szCs w:val="32"/>
          <w:lang w:val="en-US" w:eastAsia="zh-CN"/>
        </w:rPr>
        <w:t>WDDR-2024-0030002</w:t>
      </w:r>
    </w:p>
    <w:p w14:paraId="31FF7F38">
      <w:pPr>
        <w:keepNext w:val="0"/>
        <w:keepLines w:val="0"/>
        <w:pageBreakBefore w:val="0"/>
        <w:widowControl w:val="0"/>
        <w:kinsoku/>
        <w:wordWrap/>
        <w:overflowPunct w:val="0"/>
        <w:topLinePunct w:val="0"/>
        <w:autoSpaceDE w:val="0"/>
        <w:autoSpaceDN w:val="0"/>
        <w:bidi w:val="0"/>
        <w:adjustRightInd w:val="0"/>
        <w:snapToGrid w:val="0"/>
        <w:spacing w:before="0" w:beforeLines="100" w:line="560" w:lineRule="exact"/>
        <w:jc w:val="center"/>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威文发改发〔202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108</w:t>
      </w:r>
      <w:r>
        <w:rPr>
          <w:rFonts w:hint="default" w:ascii="Times New Roman" w:hAnsi="Times New Roman" w:eastAsia="仿宋_GB2312" w:cs="Times New Roman"/>
          <w:sz w:val="32"/>
          <w:szCs w:val="32"/>
        </w:rPr>
        <w:t>号</w:t>
      </w:r>
    </w:p>
    <w:p w14:paraId="3AFE20E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color w:val="auto"/>
          <w:sz w:val="44"/>
          <w:szCs w:val="44"/>
          <w:highlight w:val="none"/>
          <w:lang w:val="en-US" w:eastAsia="zh-CN"/>
        </w:rPr>
      </w:pPr>
    </w:p>
    <w:p w14:paraId="5AE44B8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color w:val="auto"/>
          <w:sz w:val="44"/>
          <w:szCs w:val="44"/>
          <w:highlight w:val="none"/>
          <w:lang w:val="en-US" w:eastAsia="zh-CN"/>
        </w:rPr>
      </w:pPr>
      <w:r>
        <w:rPr>
          <w:rFonts w:hint="eastAsia" w:ascii="Times New Roman" w:hAnsi="Times New Roman" w:eastAsia="方正小标宋简体" w:cs="Times New Roman"/>
          <w:color w:val="auto"/>
          <w:sz w:val="44"/>
          <w:szCs w:val="44"/>
          <w:highlight w:val="none"/>
          <w:lang w:val="en-US" w:eastAsia="zh-CN"/>
        </w:rPr>
        <w:t>威海市文登区发展和改革局</w:t>
      </w:r>
    </w:p>
    <w:p w14:paraId="12413A3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highlight w:val="none"/>
          <w:lang w:val="en-US" w:eastAsia="zh-CN"/>
        </w:rPr>
      </w:pPr>
      <w:r>
        <w:rPr>
          <w:rFonts w:hint="eastAsia" w:ascii="Times New Roman" w:hAnsi="Times New Roman" w:eastAsia="方正小标宋简体" w:cs="Times New Roman"/>
          <w:color w:val="auto"/>
          <w:sz w:val="44"/>
          <w:szCs w:val="44"/>
          <w:highlight w:val="none"/>
          <w:lang w:val="en-US" w:eastAsia="zh-CN"/>
        </w:rPr>
        <w:t>威海市文登区财政局  威海市文登区水利局</w:t>
      </w:r>
    </w:p>
    <w:p w14:paraId="1DF50B7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z w:val="44"/>
          <w:szCs w:val="44"/>
          <w:highlight w:val="none"/>
          <w:lang w:val="en-US" w:eastAsia="zh-CN"/>
        </w:rPr>
      </w:pPr>
      <w:r>
        <w:rPr>
          <w:rFonts w:hint="default" w:ascii="Times New Roman" w:hAnsi="Times New Roman" w:eastAsia="方正小标宋简体" w:cs="Times New Roman"/>
          <w:color w:val="auto"/>
          <w:sz w:val="44"/>
          <w:szCs w:val="44"/>
          <w:highlight w:val="none"/>
          <w:lang w:val="en-US" w:eastAsia="zh-CN"/>
        </w:rPr>
        <w:t>关于调整文登区供水价格的通知</w:t>
      </w:r>
    </w:p>
    <w:p w14:paraId="3B2A32BB">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仿宋_GB2312" w:cs="Times New Roman"/>
          <w:color w:val="auto"/>
          <w:sz w:val="32"/>
          <w:szCs w:val="32"/>
          <w:highlight w:val="none"/>
          <w:lang w:val="en-US" w:eastAsia="zh-CN"/>
        </w:rPr>
      </w:pPr>
    </w:p>
    <w:p w14:paraId="28C1C235">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各</w:t>
      </w:r>
      <w:r>
        <w:rPr>
          <w:rFonts w:hint="eastAsia" w:ascii="Times New Roman" w:hAnsi="Times New Roman" w:eastAsia="仿宋_GB2312" w:cs="Times New Roman"/>
          <w:color w:val="auto"/>
          <w:sz w:val="32"/>
          <w:szCs w:val="32"/>
          <w:highlight w:val="none"/>
          <w:lang w:val="en-US" w:eastAsia="zh-CN"/>
        </w:rPr>
        <w:t>有</w:t>
      </w:r>
      <w:r>
        <w:rPr>
          <w:rFonts w:hint="default" w:ascii="Times New Roman" w:hAnsi="Times New Roman" w:eastAsia="仿宋_GB2312" w:cs="Times New Roman"/>
          <w:color w:val="auto"/>
          <w:sz w:val="32"/>
          <w:szCs w:val="32"/>
          <w:highlight w:val="none"/>
          <w:lang w:val="en-US" w:eastAsia="zh-CN"/>
        </w:rPr>
        <w:t>关供水单位：</w:t>
      </w:r>
    </w:p>
    <w:p w14:paraId="6A9042E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为进一步疏导供水价格矛盾，促进城镇和农村供水事业发展，节约和保护水资源，根据《国家发展改革委关于创新和完善促进绿色发展价格机制的意见》（发改价格规〔2018〕943号）、《山东省发展和改革委员会 山东省住房和城乡建设厅关于印发&lt;山东省城镇供水价格管理实施办法&gt;的通知》（鲁发改价格〔2021〕1089号）、《山东省发展和改革委员会关于全面加强农村供水价格管理的通知》（鲁发改价格〔2023〕722号）、《威海市节约用水条例》等相关规定，经区政府同意，决定调整</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我</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区（含南海新区）供水价格。现将有关事项通知如下：</w:t>
      </w:r>
    </w:p>
    <w:p w14:paraId="2D0F30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t>一、公共供水分类</w:t>
      </w:r>
    </w:p>
    <w:p w14:paraId="0CD5FA2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居民生活用水</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主要指居民住宅家庭的日常生活用水，也包括</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部队、学校、</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幼儿园、托育机构、</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社会福利场所和城乡社区居</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村</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民委员会等生活办公用水</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p>
    <w:p w14:paraId="0C6A647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特种用水，</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主要</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包括洗车、洗浴</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含宾馆、饭店等内设洗浴场所用水</w:t>
      </w:r>
      <w:r>
        <w:rPr>
          <w:rFonts w:hint="eastAsia"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以自来水为原料的</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纯净水</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生产、</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高尔夫球场</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和</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滑雪场用水</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等</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p>
    <w:p w14:paraId="07ED1CF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3．</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非居民用水，除居民生活用水、特种用水以外的其它各类用水</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p>
    <w:p w14:paraId="27C4B42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kern w:val="2"/>
          <w:sz w:val="32"/>
          <w:szCs w:val="32"/>
          <w:highlight w:val="none"/>
          <w:u w:val="none"/>
          <w:lang w:val="en-US" w:eastAsia="zh-CN" w:bidi="ar-SA"/>
          <w14:textFill>
            <w14:solidFill>
              <w14:schemeClr w14:val="tx1"/>
            </w14:solidFill>
          </w14:textFill>
        </w:rPr>
      </w:pPr>
      <w:r>
        <w:rPr>
          <w:rFonts w:hint="default" w:ascii="Times New Roman" w:hAnsi="Times New Roman" w:eastAsia="黑体" w:cs="Times New Roman"/>
          <w:color w:val="000000" w:themeColor="text1"/>
          <w:sz w:val="32"/>
          <w:szCs w:val="32"/>
          <w:highlight w:val="none"/>
          <w:u w:val="none"/>
          <w:lang w:val="en-US" w:eastAsia="zh-CN"/>
          <w14:textFill>
            <w14:solidFill>
              <w14:schemeClr w14:val="tx1"/>
            </w14:solidFill>
          </w14:textFill>
        </w:rPr>
        <w:t>二、</w:t>
      </w:r>
      <w:r>
        <w:rPr>
          <w:rFonts w:hint="default" w:ascii="Times New Roman" w:hAnsi="Times New Roman" w:eastAsia="黑体" w:cs="Times New Roman"/>
          <w:color w:val="000000" w:themeColor="text1"/>
          <w:kern w:val="2"/>
          <w:sz w:val="32"/>
          <w:szCs w:val="32"/>
          <w:highlight w:val="none"/>
          <w:u w:val="none"/>
          <w:lang w:val="en-US" w:eastAsia="zh-CN" w:bidi="ar-SA"/>
          <w14:textFill>
            <w14:solidFill>
              <w14:schemeClr w14:val="tx1"/>
            </w14:solidFill>
          </w14:textFill>
        </w:rPr>
        <w:t>城镇公共</w:t>
      </w:r>
      <w:r>
        <w:rPr>
          <w:rFonts w:hint="default" w:ascii="Times New Roman" w:hAnsi="Times New Roman" w:eastAsia="黑体" w:cs="Times New Roman"/>
          <w:color w:val="000000" w:themeColor="text1"/>
          <w:sz w:val="32"/>
          <w:szCs w:val="32"/>
          <w:highlight w:val="none"/>
          <w:u w:val="none"/>
          <w:lang w:val="en-US" w:eastAsia="zh-CN"/>
          <w14:textFill>
            <w14:solidFill>
              <w14:schemeClr w14:val="tx1"/>
            </w14:solidFill>
          </w14:textFill>
        </w:rPr>
        <w:t>供水</w:t>
      </w:r>
      <w:r>
        <w:rPr>
          <w:rFonts w:hint="default" w:ascii="Times New Roman" w:hAnsi="Times New Roman" w:eastAsia="黑体" w:cs="Times New Roman"/>
          <w:color w:val="000000" w:themeColor="text1"/>
          <w:kern w:val="2"/>
          <w:sz w:val="32"/>
          <w:szCs w:val="32"/>
          <w:highlight w:val="none"/>
          <w:u w:val="none"/>
          <w:lang w:val="en-US" w:eastAsia="zh-CN" w:bidi="ar-SA"/>
          <w14:textFill>
            <w14:solidFill>
              <w14:schemeClr w14:val="tx1"/>
            </w14:solidFill>
          </w14:textFill>
        </w:rPr>
        <w:t>（含城市供水管网延伸工程）</w:t>
      </w:r>
      <w:r>
        <w:rPr>
          <w:rFonts w:hint="default" w:ascii="Times New Roman" w:hAnsi="Times New Roman" w:eastAsia="黑体" w:cs="Times New Roman"/>
          <w:color w:val="000000" w:themeColor="text1"/>
          <w:sz w:val="32"/>
          <w:szCs w:val="32"/>
          <w:highlight w:val="none"/>
          <w:u w:val="none"/>
          <w:lang w:val="en-US" w:eastAsia="zh-CN"/>
          <w14:textFill>
            <w14:solidFill>
              <w14:schemeClr w14:val="tx1"/>
            </w14:solidFill>
          </w14:textFill>
        </w:rPr>
        <w:t>价格</w:t>
      </w:r>
    </w:p>
    <w:p w14:paraId="02F9AA3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（一）居民生活用水</w:t>
      </w:r>
    </w:p>
    <w:p w14:paraId="168F237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1．对实现一户一表直接抄表收费到户的居民用户，实行阶梯水价制度，按居民用户年度用水量分三个阶梯。第一阶梯为户年用水量144立方米（含）以内的部分，综合水价由每立方米3.05元调整为3.50元，其中自来水价格</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含税，下同）2.55元，污水处理费0.95元；第二阶梯为户年用水量144－204立方米（含）之间的部分，综合水价由每立方米4.00元调整为4.55元，其中自来水价格3.60元，污水处理费0.95元；第三阶梯为户年用水量超过204立方米以上的部分，综合水价由每立方米6.45元调整为7.80元，其中自来水价格6.85元，污水处理费0.95元。</w:t>
      </w:r>
    </w:p>
    <w:p w14:paraId="55398A9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居民阶梯水价以年度为执行周期，用水量在周期之间不累计、不结转。户籍人口超过4人（不含）的家庭用户，每增加1人，户年用水量基数相应增加36立方米。</w:t>
      </w:r>
    </w:p>
    <w:p w14:paraId="3A336BD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2．对尚未实施一户一表改造的居民用户，不实行阶梯水价制度，执行居民生活用水第一阶梯综合水价即每立方米3.50元，其中自来水价格2.55元，污水处理费0.95元。</w:t>
      </w:r>
    </w:p>
    <w:p w14:paraId="050536F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3．对城乡低保和特困家庭用户，不实行阶梯水价，综合水价不做调整，仍按每立方米3.05元执行，其中自来水价格2.10元，污水处理费0.95元。</w:t>
      </w:r>
    </w:p>
    <w:p w14:paraId="7CC4422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4．对部队、学校、幼儿园、托育机构、社会福利场所和城乡社区居（村）民委员会等按规定执行居民用水价格的非居民用户，不实行阶梯水价制度，综合水价在居民生活用水第一阶梯价格的基础上每立方米加价0.20元，即每立方米3.70元，其中自来水价格2.75元，污水处理费0.95元。</w:t>
      </w:r>
    </w:p>
    <w:p w14:paraId="1228FDE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（二）特种用水</w:t>
      </w:r>
    </w:p>
    <w:p w14:paraId="0547706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特种用水综合水价由每立方米6.80元调整为10.50元，其中自来水价格9.10元，污水处理费1.40元。</w:t>
      </w:r>
    </w:p>
    <w:p w14:paraId="4C0F478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（三）非居民用水</w:t>
      </w:r>
    </w:p>
    <w:p w14:paraId="4463708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非居民用水综合水价由每立方米3.90元调整为4.70元，其中自来水价格3.30元，污水处理费1.40元。</w:t>
      </w:r>
    </w:p>
    <w:p w14:paraId="4489DDC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城市公共供水管网延伸工程用水户，向各镇排水与污水处理设施排水的，污水处理费执行居民每立方米0.85元、非居民用水及特种用水每立方米1.20元标准。</w:t>
      </w:r>
    </w:p>
    <w:p w14:paraId="48961E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黑体" w:cs="Times New Roman"/>
          <w:color w:val="000000" w:themeColor="text1"/>
          <w:kern w:val="2"/>
          <w:sz w:val="32"/>
          <w:szCs w:val="32"/>
          <w:lang w:val="en-US" w:eastAsia="zh-CN" w:bidi="ar-SA"/>
          <w14:textFill>
            <w14:solidFill>
              <w14:schemeClr w14:val="tx1"/>
            </w14:solidFill>
          </w14:textFill>
        </w:rPr>
        <w:t>三、</w:t>
      </w:r>
      <w:r>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t>农村公共供水价格</w:t>
      </w:r>
    </w:p>
    <w:p w14:paraId="7E6B7C3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（一）供水水价</w:t>
      </w:r>
    </w:p>
    <w:p w14:paraId="30CA682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u w:val="singl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千吨万人”以上的集中供水工程供水水价，与城镇公共供水自来水执行同一价格；不足“千吨万人”的联村和单村供水工程供水水价实行政府指导价，价格区间为每立方米1.80元－2.40元，具体标准由供水用水双方在指导价格范围内协商确定。</w:t>
      </w:r>
    </w:p>
    <w:p w14:paraId="00A3190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themeColor="text1"/>
          <w:kern w:val="2"/>
          <w:sz w:val="32"/>
          <w:szCs w:val="32"/>
          <w:lang w:val="en-US" w:eastAsia="zh-CN" w:bidi="ar-SA"/>
          <w14:textFill>
            <w14:solidFill>
              <w14:schemeClr w14:val="tx1"/>
            </w14:solidFill>
          </w14:textFill>
        </w:rPr>
      </w:pPr>
      <w:r>
        <w:rPr>
          <w:rFonts w:hint="default" w:ascii="Times New Roman" w:hAnsi="Times New Roman" w:eastAsia="楷体_GB2312" w:cs="Times New Roman"/>
          <w:color w:val="000000" w:themeColor="text1"/>
          <w:kern w:val="2"/>
          <w:sz w:val="32"/>
          <w:szCs w:val="32"/>
          <w:lang w:val="en-US" w:eastAsia="zh-CN" w:bidi="ar-SA"/>
          <w14:textFill>
            <w14:solidFill>
              <w14:schemeClr w14:val="tx1"/>
            </w14:solidFill>
          </w14:textFill>
        </w:rPr>
        <w:t>（二）污水处理费</w:t>
      </w:r>
    </w:p>
    <w:p w14:paraId="7E36C1C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向城区排水与污水处理设施排水的，污水处理费标准居民生活用水每立方米0.95元、非居民用水及特种用水每立方米1.40元；向各镇排水与污水处理设施排水的，污水处理费标准为居民生活用水每立方米0.85元、非居民用水及特种用水每立方米1.20元。</w:t>
      </w:r>
    </w:p>
    <w:p w14:paraId="56DA503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黑体" w:cs="Times New Roman"/>
          <w:color w:val="000000" w:themeColor="text1"/>
          <w:kern w:val="2"/>
          <w:sz w:val="32"/>
          <w:szCs w:val="32"/>
          <w:lang w:val="en-US" w:eastAsia="zh-CN" w:bidi="ar-SA"/>
          <w14:textFill>
            <w14:solidFill>
              <w14:schemeClr w14:val="tx1"/>
            </w14:solidFill>
          </w14:textFill>
        </w:rPr>
        <w:t>四、</w:t>
      </w:r>
      <w:r>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t>超定额（计划）用水累进加价标准</w:t>
      </w:r>
    </w:p>
    <w:p w14:paraId="513D19A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公共管网用水单位超定额（计划）用水的，除据实缴纳水费外，还应缴纳超定额（计划）加价水费，具体加价标准为：超定额（计划）数量10%（含）以下部分，按照水价的1倍缴纳；超定额（计划）10－30%（含）部分，按照水价的2倍缴纳；超定额（计划）数量30%以上部分，按照水价的3倍缴纳。</w:t>
      </w:r>
    </w:p>
    <w:p w14:paraId="0D3E16B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kern w:val="2"/>
          <w:sz w:val="32"/>
          <w:szCs w:val="32"/>
          <w:highlight w:val="none"/>
          <w:lang w:val="en-US" w:eastAsia="zh-CN" w:bidi="ar-SA"/>
          <w14:textFill>
            <w14:solidFill>
              <w14:schemeClr w14:val="tx1"/>
            </w14:solidFill>
          </w14:textFill>
        </w:rPr>
      </w:pPr>
      <w:r>
        <w:rPr>
          <w:rFonts w:hint="default" w:ascii="Times New Roman" w:hAnsi="Times New Roman" w:eastAsia="黑体" w:cs="Times New Roman"/>
          <w:color w:val="000000" w:themeColor="text1"/>
          <w:kern w:val="2"/>
          <w:sz w:val="32"/>
          <w:szCs w:val="32"/>
          <w:highlight w:val="none"/>
          <w:lang w:val="en-US" w:eastAsia="zh-CN" w:bidi="ar-SA"/>
          <w14:textFill>
            <w14:solidFill>
              <w14:schemeClr w14:val="tx1"/>
            </w14:solidFill>
          </w14:textFill>
        </w:rPr>
        <w:t>五、自备水源污水处理费</w:t>
      </w:r>
    </w:p>
    <w:p w14:paraId="6EF1890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（一）地下水用户</w:t>
      </w:r>
    </w:p>
    <w:p w14:paraId="75A3745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向城区排水与污水处理设施排水的，污水处理费标准为居民生活用水每立方米3.40元、非居民用水每立方米4.40元、特种用水每立方米8.40元；向各镇排水与污水处理设施排水的，污水处理费标准为居民生活用水每立方米0.85元、非居民用水及特种用水每立方米1.20元。</w:t>
      </w:r>
    </w:p>
    <w:p w14:paraId="12CF7BB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楷体_GB2312" w:cs="Times New Roman"/>
          <w:color w:val="000000" w:themeColor="text1"/>
          <w:sz w:val="32"/>
          <w:szCs w:val="32"/>
          <w:highlight w:val="none"/>
          <w:lang w:val="en-US" w:eastAsia="zh-CN"/>
          <w14:textFill>
            <w14:solidFill>
              <w14:schemeClr w14:val="tx1"/>
            </w14:solidFill>
          </w14:textFill>
        </w:rPr>
        <w:t>（二）地表水用户</w:t>
      </w:r>
    </w:p>
    <w:p w14:paraId="55B9D3D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向城区排水与污水处理设施排水的，污水处理费标准为非居民用水及特种用水每立方米1.40元；向各镇排水与污水处理设施排水的，污水处理费标准为非居民用水及特种用水每立方米1.20元。</w:t>
      </w:r>
    </w:p>
    <w:p w14:paraId="4F8B99C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highlight w:val="none"/>
          <w:lang w:val="en-US" w:eastAsia="zh-CN"/>
          <w14:textFill>
            <w14:solidFill>
              <w14:schemeClr w14:val="tx1"/>
            </w14:solidFill>
          </w14:textFill>
        </w:rPr>
        <w:t>六、其他事项</w:t>
      </w:r>
    </w:p>
    <w:p w14:paraId="58C2A62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（一）城乡公共供水用户污水处理费由公共供水企业收取水费时代征，自备水源用水用户污水处理费由区水利局征收，代征污水处理费要及时上缴财政专户，代征单位不得挤占、挪用和随意减免。</w:t>
      </w:r>
    </w:p>
    <w:p w14:paraId="7958896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二）超定额（计划）用水量标准由区水利局根据下达的年度用水计划及上级下达的用水定额确定。超定额（计划）用水加价水费由区水利局负责收缴，纳入政府非税收入管理，专项用于节约用水设施、设备的建设和管理。</w:t>
      </w:r>
    </w:p>
    <w:p w14:paraId="339A8D7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本通知自</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2025</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年</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月</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日起施行。原文登区物价局、财政局、住房和城乡建设局、水利局《关于调整水资源费和污水处理费标准完善居民生活用水阶梯价格制度的通知》（文价工发〔2016〕3号）、《关于调整非居民用水和特种行业用水综合水价的通知》（文价工发〔2017〕5号）、《关于明确镇污水处理费标准的通知》（文价工发〔2017〕12号），文登区发展和改革局、水利局《关于文登区农村公共供水水价的通知》（威文发改发〔2020〕24号）以及原文登区物价局制定的</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大水泊、张家产、米山、</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侯家、埠口、高村、葛家</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等乡镇</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自来水价格以及文登区发展和改革局制定的昆嵛水务、界石、泽库、宋村等乡镇自来水价格文件同时废止。</w:t>
      </w:r>
    </w:p>
    <w:p w14:paraId="0E9FBBE4">
      <w:pPr>
        <w:rPr>
          <w:rFonts w:hint="eastAsia" w:ascii="仿宋_GB2312" w:hAnsi="仿宋_GB2312" w:eastAsia="仿宋_GB2312" w:cs="仿宋_GB2312"/>
          <w:sz w:val="32"/>
          <w:szCs w:val="32"/>
          <w:lang w:val="en-US" w:eastAsia="zh-CN"/>
        </w:rPr>
      </w:pPr>
    </w:p>
    <w:p w14:paraId="3171E441">
      <w:pPr>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威海市文登区发展和改革局   威海市文登区财政局</w:t>
      </w:r>
    </w:p>
    <w:p w14:paraId="2F2666A9">
      <w:pPr>
        <w:jc w:val="left"/>
        <w:rPr>
          <w:rFonts w:hint="eastAsia" w:ascii="仿宋_GB2312" w:hAnsi="仿宋_GB2312" w:eastAsia="仿宋_GB2312" w:cs="仿宋_GB2312"/>
          <w:sz w:val="32"/>
          <w:szCs w:val="32"/>
          <w:lang w:val="en-US" w:eastAsia="zh-CN"/>
        </w:rPr>
      </w:pPr>
    </w:p>
    <w:p w14:paraId="195E512B">
      <w:pPr>
        <w:jc w:val="left"/>
        <w:rPr>
          <w:rFonts w:hint="eastAsia" w:ascii="仿宋_GB2312" w:hAnsi="仿宋_GB2312" w:eastAsia="仿宋_GB2312" w:cs="仿宋_GB2312"/>
          <w:sz w:val="32"/>
          <w:szCs w:val="32"/>
          <w:lang w:val="en-US" w:eastAsia="zh-CN"/>
        </w:rPr>
      </w:pPr>
    </w:p>
    <w:p w14:paraId="272E52A9">
      <w:pPr>
        <w:ind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威海市文登区水利局</w:t>
      </w:r>
    </w:p>
    <w:p w14:paraId="4CC9719B">
      <w:pPr>
        <w:ind w:firstLine="5120" w:firstLineChars="1600"/>
        <w:jc w:val="lef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2024年1</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29</w:t>
      </w:r>
      <w:r>
        <w:rPr>
          <w:rFonts w:hint="default" w:ascii="Times New Roman" w:hAnsi="Times New Roman" w:eastAsia="仿宋_GB2312" w:cs="Times New Roman"/>
          <w:sz w:val="32"/>
          <w:szCs w:val="32"/>
          <w:lang w:val="en-US" w:eastAsia="zh-CN"/>
        </w:rPr>
        <w:t>日</w:t>
      </w:r>
    </w:p>
    <w:p w14:paraId="618B4E9C">
      <w:pPr>
        <w:widowControl w:val="0"/>
        <w:snapToGrid w:val="0"/>
        <w:spacing w:line="560" w:lineRule="exact"/>
        <w:ind w:firstLine="560" w:firstLineChars="200"/>
        <w:rPr>
          <w:rFonts w:hint="default" w:ascii="Times New Roman" w:hAnsi="Times New Roman" w:eastAsia="仿宋_GB2312" w:cs="Times New Roman"/>
          <w:sz w:val="28"/>
          <w:szCs w:val="28"/>
        </w:rPr>
      </w:pPr>
    </w:p>
    <w:p w14:paraId="1BED04B8">
      <w:pPr>
        <w:widowControl w:val="0"/>
        <w:snapToGrid w:val="0"/>
        <w:spacing w:line="560" w:lineRule="exact"/>
        <w:ind w:firstLine="560" w:firstLineChars="200"/>
        <w:rPr>
          <w:rFonts w:hint="default" w:ascii="Times New Roman" w:hAnsi="Times New Roman" w:eastAsia="仿宋_GB2312" w:cs="Times New Roman"/>
          <w:sz w:val="28"/>
          <w:szCs w:val="28"/>
        </w:rPr>
      </w:pPr>
    </w:p>
    <w:p w14:paraId="09E2C050">
      <w:pPr>
        <w:widowControl w:val="0"/>
        <w:snapToGrid w:val="0"/>
        <w:spacing w:line="560" w:lineRule="exact"/>
        <w:ind w:firstLine="560" w:firstLineChars="200"/>
        <w:rPr>
          <w:rFonts w:hint="default" w:ascii="Times New Roman" w:hAnsi="Times New Roman" w:eastAsia="仿宋_GB2312" w:cs="Times New Roman"/>
          <w:sz w:val="28"/>
          <w:szCs w:val="28"/>
        </w:rPr>
      </w:pPr>
    </w:p>
    <w:p w14:paraId="261DD0E9">
      <w:pPr>
        <w:widowControl w:val="0"/>
        <w:snapToGrid w:val="0"/>
        <w:spacing w:line="560" w:lineRule="exact"/>
        <w:ind w:firstLine="560" w:firstLineChars="200"/>
        <w:rPr>
          <w:rFonts w:hint="default" w:ascii="Times New Roman" w:hAnsi="Times New Roman" w:eastAsia="仿宋_GB2312" w:cs="Times New Roman"/>
          <w:sz w:val="28"/>
          <w:szCs w:val="28"/>
        </w:rPr>
      </w:pPr>
    </w:p>
    <w:p w14:paraId="0CC4E88D">
      <w:pPr>
        <w:widowControl w:val="0"/>
        <w:snapToGrid w:val="0"/>
        <w:spacing w:line="560" w:lineRule="exact"/>
        <w:ind w:firstLine="560" w:firstLineChars="200"/>
        <w:rPr>
          <w:rFonts w:hint="default" w:ascii="Times New Roman" w:hAnsi="Times New Roman" w:eastAsia="仿宋_GB2312" w:cs="Times New Roman"/>
          <w:sz w:val="28"/>
          <w:szCs w:val="28"/>
        </w:rPr>
      </w:pPr>
    </w:p>
    <w:p w14:paraId="406D2E14">
      <w:pPr>
        <w:widowControl w:val="0"/>
        <w:snapToGrid w:val="0"/>
        <w:spacing w:line="560" w:lineRule="exact"/>
        <w:ind w:firstLine="560" w:firstLineChars="200"/>
        <w:rPr>
          <w:rFonts w:hint="default" w:ascii="Times New Roman" w:hAnsi="Times New Roman" w:eastAsia="仿宋_GB2312" w:cs="Times New Roman"/>
          <w:sz w:val="28"/>
          <w:szCs w:val="28"/>
        </w:rPr>
      </w:pPr>
    </w:p>
    <w:p w14:paraId="464B1694">
      <w:pPr>
        <w:widowControl w:val="0"/>
        <w:snapToGrid w:val="0"/>
        <w:spacing w:line="560" w:lineRule="exact"/>
        <w:ind w:firstLine="560" w:firstLineChars="200"/>
        <w:rPr>
          <w:rFonts w:hint="default" w:ascii="Times New Roman" w:hAnsi="Times New Roman" w:eastAsia="仿宋_GB2312" w:cs="Times New Roman"/>
          <w:sz w:val="28"/>
          <w:szCs w:val="28"/>
        </w:rPr>
      </w:pPr>
    </w:p>
    <w:p w14:paraId="3A00ED7B">
      <w:pPr>
        <w:widowControl w:val="0"/>
        <w:snapToGrid w:val="0"/>
        <w:spacing w:line="560" w:lineRule="exact"/>
        <w:ind w:firstLine="560" w:firstLineChars="200"/>
        <w:rPr>
          <w:rFonts w:hint="default" w:ascii="Times New Roman" w:hAnsi="Times New Roman" w:eastAsia="仿宋_GB2312" w:cs="Times New Roman"/>
          <w:sz w:val="28"/>
          <w:szCs w:val="28"/>
        </w:rPr>
      </w:pPr>
    </w:p>
    <w:p w14:paraId="1C87459E">
      <w:pPr>
        <w:widowControl w:val="0"/>
        <w:snapToGrid w:val="0"/>
        <w:spacing w:line="560" w:lineRule="exact"/>
        <w:ind w:firstLine="560" w:firstLineChars="200"/>
        <w:rPr>
          <w:rFonts w:hint="default" w:ascii="Times New Roman" w:hAnsi="Times New Roman" w:eastAsia="仿宋_GB2312" w:cs="Times New Roman"/>
          <w:sz w:val="28"/>
          <w:szCs w:val="28"/>
        </w:rPr>
      </w:pPr>
    </w:p>
    <w:p w14:paraId="36D6DF30">
      <w:pPr>
        <w:widowControl w:val="0"/>
        <w:snapToGrid w:val="0"/>
        <w:spacing w:line="560" w:lineRule="exact"/>
        <w:ind w:firstLine="560" w:firstLineChars="200"/>
        <w:rPr>
          <w:rFonts w:hint="default" w:ascii="Times New Roman" w:hAnsi="Times New Roman" w:eastAsia="仿宋_GB2312" w:cs="Times New Roman"/>
          <w:sz w:val="28"/>
          <w:szCs w:val="28"/>
        </w:rPr>
      </w:pPr>
      <w:bookmarkStart w:id="0" w:name="_GoBack"/>
      <w:bookmarkEnd w:id="0"/>
    </w:p>
    <w:p w14:paraId="45C64096">
      <w:pPr>
        <w:widowControl w:val="0"/>
        <w:snapToGrid w:val="0"/>
        <w:spacing w:line="560" w:lineRule="exact"/>
        <w:ind w:firstLine="560" w:firstLineChars="200"/>
        <w:rPr>
          <w:rFonts w:hint="default" w:ascii="Times New Roman" w:hAnsi="Times New Roman" w:eastAsia="仿宋_GB2312" w:cs="Times New Roman"/>
          <w:sz w:val="28"/>
          <w:szCs w:val="28"/>
        </w:rPr>
      </w:pPr>
    </w:p>
    <w:p w14:paraId="7612D02D">
      <w:pPr>
        <w:widowControl w:val="0"/>
        <w:snapToGrid w:val="0"/>
        <w:spacing w:line="560" w:lineRule="exact"/>
        <w:jc w:val="both"/>
        <w:rPr>
          <w:rFonts w:hint="eastAsia"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u w:val="none" w:color="auto"/>
        </w:rPr>
        <mc:AlternateContent>
          <mc:Choice Requires="wps">
            <w:drawing>
              <wp:anchor distT="0" distB="0" distL="114300" distR="114300" simplePos="0" relativeHeight="251665408" behindDoc="0" locked="0" layoutInCell="1" allowOverlap="1">
                <wp:simplePos x="0" y="0"/>
                <wp:positionH relativeFrom="column">
                  <wp:posOffset>7620</wp:posOffset>
                </wp:positionH>
                <wp:positionV relativeFrom="paragraph">
                  <wp:posOffset>51435</wp:posOffset>
                </wp:positionV>
                <wp:extent cx="5715000" cy="0"/>
                <wp:effectExtent l="0" t="5080" r="0" b="4445"/>
                <wp:wrapNone/>
                <wp:docPr id="12" name="直接连接符 12"/>
                <wp:cNvGraphicFramePr/>
                <a:graphic xmlns:a="http://schemas.openxmlformats.org/drawingml/2006/main">
                  <a:graphicData uri="http://schemas.microsoft.com/office/word/2010/wordprocessingShape">
                    <wps:wsp>
                      <wps:cNvCnPr/>
                      <wps:spPr>
                        <a:xfrm>
                          <a:off x="0" y="0"/>
                          <a:ext cx="57150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6pt;margin-top:4.05pt;height:0pt;width:450pt;z-index:251665408;mso-width-relative:page;mso-height-relative:page;" filled="f" stroked="t" coordsize="21600,21600" o:gfxdata="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rEJJF9AAAAAFAQAADwAAAAAAAAABACAAAAAiAAAAZHJzL2Rvd25yZXYueG1sUEsBAhQAFAAAAAgA&#10;h07iQHTF1tL0AQAA5gMAAA4AAAAAAAAAAQAgAAAAHwEAAGRycy9lMm9Eb2MueG1sUEsFBgAAAAAG&#10;AAYAWQEAAIU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lang w:val="en-US" w:eastAsia="zh-CN"/>
        </w:rPr>
        <w:t xml:space="preserve">  抄送：市发展改革委，</w:t>
      </w:r>
      <w:r>
        <w:rPr>
          <w:rFonts w:hint="eastAsia" w:ascii="Times New Roman" w:hAnsi="Times New Roman" w:eastAsia="仿宋_GB2312" w:cs="Times New Roman"/>
          <w:sz w:val="28"/>
          <w:szCs w:val="28"/>
          <w:lang w:val="en-US" w:eastAsia="zh-CN"/>
        </w:rPr>
        <w:t>区政府办公室，各镇人民政府，各街道办事处，</w:t>
      </w:r>
    </w:p>
    <w:p w14:paraId="2FAE2956">
      <w:pPr>
        <w:widowControl w:val="0"/>
        <w:snapToGrid w:val="0"/>
        <w:spacing w:line="560" w:lineRule="exact"/>
        <w:ind w:firstLine="1120" w:firstLineChars="400"/>
        <w:jc w:val="both"/>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南海新区、经济开发区管委，金山综合服务中心，西部智造产业</w:t>
      </w:r>
    </w:p>
    <w:p w14:paraId="0865F807">
      <w:pPr>
        <w:widowControl w:val="0"/>
        <w:snapToGrid w:val="0"/>
        <w:spacing w:line="560" w:lineRule="exact"/>
        <w:ind w:firstLine="1120" w:firstLineChars="400"/>
        <w:jc w:val="both"/>
        <w:rPr>
          <w:rFonts w:hint="default" w:ascii="Times New Roman" w:hAnsi="Times New Roman" w:eastAsia="仿宋_GB2312" w:cs="Times New Roman"/>
          <w:sz w:val="28"/>
          <w:szCs w:val="28"/>
          <w:lang w:val="en-US"/>
        </w:rPr>
      </w:pPr>
      <w:r>
        <w:rPr>
          <w:rFonts w:hint="eastAsia" w:ascii="Times New Roman" w:hAnsi="Times New Roman" w:eastAsia="仿宋_GB2312" w:cs="Times New Roman"/>
          <w:sz w:val="28"/>
          <w:szCs w:val="28"/>
          <w:lang w:val="en-US" w:eastAsia="zh-CN"/>
        </w:rPr>
        <w:t>发展服务中心，区直各部门、驻文各单位</w:t>
      </w:r>
      <w:r>
        <w:rPr>
          <w:rFonts w:hint="default" w:ascii="Times New Roman" w:hAnsi="Times New Roman" w:eastAsia="仿宋_GB2312" w:cs="Times New Roman"/>
          <w:sz w:val="28"/>
          <w:szCs w:val="28"/>
          <w:lang w:val="en-US" w:eastAsia="zh-CN"/>
        </w:rPr>
        <w:t>。</w:t>
      </w:r>
    </w:p>
    <w:p w14:paraId="6CC5AC7C">
      <w:pPr>
        <w:widowControl w:val="0"/>
        <w:snapToGrid w:val="0"/>
        <w:spacing w:line="560" w:lineRule="exact"/>
        <w:jc w:val="left"/>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sz w:val="28"/>
          <w:szCs w:val="28"/>
          <w:lang w:val="en-US" w:eastAsia="zh-CN"/>
        </w:rPr>
        <w:t xml:space="preserve">  </w:t>
      </w:r>
      <w:r>
        <w:rPr>
          <w:rFonts w:hint="default" w:ascii="Times New Roman" w:hAnsi="Times New Roman" w:eastAsia="仿宋_GB2312" w:cs="Times New Roman"/>
          <w:sz w:val="28"/>
          <w:szCs w:val="28"/>
          <w:u w:val="none" w:color="auto"/>
        </w:rPr>
        <mc:AlternateContent>
          <mc:Choice Requires="wps">
            <w:drawing>
              <wp:anchor distT="0" distB="0" distL="114300" distR="114300" simplePos="0" relativeHeight="251664384" behindDoc="0" locked="0" layoutInCell="1" allowOverlap="1">
                <wp:simplePos x="0" y="0"/>
                <wp:positionH relativeFrom="column">
                  <wp:posOffset>38100</wp:posOffset>
                </wp:positionH>
                <wp:positionV relativeFrom="paragraph">
                  <wp:posOffset>51435</wp:posOffset>
                </wp:positionV>
                <wp:extent cx="5715000" cy="0"/>
                <wp:effectExtent l="0" t="5080" r="0" b="4445"/>
                <wp:wrapNone/>
                <wp:docPr id="4" name="直接连接符 4"/>
                <wp:cNvGraphicFramePr/>
                <a:graphic xmlns:a="http://schemas.openxmlformats.org/drawingml/2006/main">
                  <a:graphicData uri="http://schemas.microsoft.com/office/word/2010/wordprocessingShape">
                    <wps:wsp>
                      <wps:cNvCnPr/>
                      <wps:spPr>
                        <a:xfrm>
                          <a:off x="0" y="0"/>
                          <a:ext cx="57150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pt;margin-top:4.05pt;height:0pt;width:450pt;z-index:251664384;mso-width-relative:page;mso-height-relative:page;" filled="f" stroked="t" coordsize="21600,21600" o:gfxdata="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eIbeR9IAAAAFAQAADwAAAAAAAAABACAAAAAiAAAAZHJzL2Rvd25yZXYueG1sUEsBAhQAFAAA&#10;AAgAh07iQPoxiOn1AQAA5AMAAA4AAAAAAAAAAQAgAAAAIQEAAGRycy9lMm9Eb2MueG1sUEsFBgAA&#10;AAAGAAYAWQEAAIg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u w:val="none" w:color="auto"/>
        </w:rPr>
        <mc:AlternateContent>
          <mc:Choice Requires="wps">
            <w:drawing>
              <wp:anchor distT="0" distB="0" distL="114300" distR="114300" simplePos="0" relativeHeight="251663360" behindDoc="0" locked="0" layoutInCell="1" allowOverlap="1">
                <wp:simplePos x="0" y="0"/>
                <wp:positionH relativeFrom="column">
                  <wp:posOffset>30480</wp:posOffset>
                </wp:positionH>
                <wp:positionV relativeFrom="paragraph">
                  <wp:posOffset>371475</wp:posOffset>
                </wp:positionV>
                <wp:extent cx="5715000" cy="0"/>
                <wp:effectExtent l="0" t="5080" r="0" b="4445"/>
                <wp:wrapNone/>
                <wp:docPr id="5" name="直接连接符 5"/>
                <wp:cNvGraphicFramePr/>
                <a:graphic xmlns:a="http://schemas.openxmlformats.org/drawingml/2006/main">
                  <a:graphicData uri="http://schemas.microsoft.com/office/word/2010/wordprocessingShape">
                    <wps:wsp>
                      <wps:cNvCnPr/>
                      <wps:spPr>
                        <a:xfrm>
                          <a:off x="0" y="0"/>
                          <a:ext cx="57150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4pt;margin-top:29.25pt;height:0pt;width:450pt;z-index:251663360;mso-width-relative:page;mso-height-relative:page;" filled="f" stroked="t" coordsize="21600,21600" o:gfxdata="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ND3sj9MAAAAHAQAADwAAAAAAAAABACAAAAAiAAAAZHJzL2Rvd25yZXYueG1sUEsBAhQAFAAA&#10;AAgAh07iQOta7IT0AQAA5AMAAA4AAAAAAAAAAQAgAAAAIgEAAGRycy9lMm9Eb2MueG1sUEsFBgAA&#10;AAAGAAYAWQEAAIg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u w:val="none" w:color="auto"/>
        </w:rPr>
        <mc:AlternateContent>
          <mc:Choice Requires="wps">
            <w:drawing>
              <wp:anchor distT="0" distB="0" distL="114300" distR="114300" simplePos="0" relativeHeight="251662336" behindDoc="0" locked="0" layoutInCell="1" allowOverlap="1">
                <wp:simplePos x="0" y="0"/>
                <wp:positionH relativeFrom="column">
                  <wp:posOffset>1313180</wp:posOffset>
                </wp:positionH>
                <wp:positionV relativeFrom="paragraph">
                  <wp:posOffset>9565640</wp:posOffset>
                </wp:positionV>
                <wp:extent cx="5715000" cy="0"/>
                <wp:effectExtent l="0" t="6350" r="0" b="6350"/>
                <wp:wrapNone/>
                <wp:docPr id="6" name="直接连接符 6"/>
                <wp:cNvGraphicFramePr/>
                <a:graphic xmlns:a="http://schemas.openxmlformats.org/drawingml/2006/main">
                  <a:graphicData uri="http://schemas.microsoft.com/office/word/2010/wordprocessingShape">
                    <wps:wsp>
                      <wps:cNvCnPr/>
                      <wps:spPr>
                        <a:xfrm>
                          <a:off x="0" y="0"/>
                          <a:ext cx="5715000" cy="0"/>
                        </a:xfrm>
                        <a:prstGeom prst="line">
                          <a:avLst/>
                        </a:prstGeom>
                        <a:ln>
                          <a:headEnd type="none" w="med" len="med"/>
                          <a:tailEnd type="none" w="med" len="med"/>
                        </a:ln>
                      </wps:spPr>
                      <wps:style>
                        <a:lnRef idx="2">
                          <a:schemeClr val="accent1"/>
                        </a:lnRef>
                        <a:fillRef idx="0">
                          <a:srgbClr val="FFFFFF"/>
                        </a:fillRef>
                        <a:effectRef idx="0">
                          <a:srgbClr val="FFFFFF"/>
                        </a:effectRef>
                        <a:fontRef idx="minor">
                          <a:schemeClr val="tx1"/>
                        </a:fontRef>
                      </wps:style>
                      <wps:bodyPr upright="1"/>
                    </wps:wsp>
                  </a:graphicData>
                </a:graphic>
              </wp:anchor>
            </w:drawing>
          </mc:Choice>
          <mc:Fallback>
            <w:pict>
              <v:line id="_x0000_s1026" o:spid="_x0000_s1026" o:spt="20" style="position:absolute;left:0pt;margin-left:103.4pt;margin-top:753.2pt;height:0pt;width:450pt;z-index:251662336;mso-width-relative:page;mso-height-relative:page;" filled="f" stroked="t" coordsize="21600,21600" o:gfxdata="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DlrWvbVAAAADgEAAA8AAAAAAAAAAQAg&#10;AAAAIgAAAGRycy9kb3ducmV2LnhtbFBLAQIUABQAAAAIAIdO4kCGCAhzEQIAABIEAAAOAAAAAAAA&#10;AAEAIAAAACQBAABkcnMvZTJvRG9jLnhtbFBLBQYAAAAABgAGAFkBAACnBQAAAAA=&#10;">
                <v:fill on="f" focussize="0,0"/>
                <v:stroke weight="1pt" color="#4874CB [3204]" miterlimit="8" joinstyle="miter"/>
                <v:imagedata o:title=""/>
                <o:lock v:ext="edit" aspectratio="f"/>
              </v:line>
            </w:pict>
          </mc:Fallback>
        </mc:AlternateContent>
      </w:r>
      <w:r>
        <w:rPr>
          <w:rFonts w:hint="default" w:ascii="Times New Roman" w:hAnsi="Times New Roman" w:eastAsia="仿宋_GB2312" w:cs="Times New Roman"/>
          <w:sz w:val="28"/>
          <w:szCs w:val="28"/>
          <w:u w:val="none" w:color="auto"/>
        </w:rPr>
        <mc:AlternateContent>
          <mc:Choice Requires="wps">
            <w:drawing>
              <wp:anchor distT="0" distB="0" distL="114300" distR="114300" simplePos="0" relativeHeight="251661312" behindDoc="0" locked="0" layoutInCell="1" allowOverlap="1">
                <wp:simplePos x="0" y="0"/>
                <wp:positionH relativeFrom="column">
                  <wp:posOffset>1160780</wp:posOffset>
                </wp:positionH>
                <wp:positionV relativeFrom="paragraph">
                  <wp:posOffset>9413240</wp:posOffset>
                </wp:positionV>
                <wp:extent cx="5715000" cy="0"/>
                <wp:effectExtent l="0" t="6350" r="0" b="6350"/>
                <wp:wrapNone/>
                <wp:docPr id="8" name="直接连接符 8"/>
                <wp:cNvGraphicFramePr/>
                <a:graphic xmlns:a="http://schemas.openxmlformats.org/drawingml/2006/main">
                  <a:graphicData uri="http://schemas.microsoft.com/office/word/2010/wordprocessingShape">
                    <wps:wsp>
                      <wps:cNvCnPr/>
                      <wps:spPr>
                        <a:xfrm>
                          <a:off x="0" y="0"/>
                          <a:ext cx="5715000" cy="0"/>
                        </a:xfrm>
                        <a:prstGeom prst="line">
                          <a:avLst/>
                        </a:prstGeom>
                        <a:ln>
                          <a:headEnd type="none" w="med" len="med"/>
                          <a:tailEnd type="none" w="med" len="med"/>
                        </a:ln>
                      </wps:spPr>
                      <wps:style>
                        <a:lnRef idx="2">
                          <a:schemeClr val="accent1"/>
                        </a:lnRef>
                        <a:fillRef idx="0">
                          <a:srgbClr val="FFFFFF"/>
                        </a:fillRef>
                        <a:effectRef idx="0">
                          <a:srgbClr val="FFFFFF"/>
                        </a:effectRef>
                        <a:fontRef idx="minor">
                          <a:schemeClr val="tx1"/>
                        </a:fontRef>
                      </wps:style>
                      <wps:bodyPr upright="1"/>
                    </wps:wsp>
                  </a:graphicData>
                </a:graphic>
              </wp:anchor>
            </w:drawing>
          </mc:Choice>
          <mc:Fallback>
            <w:pict>
              <v:line id="_x0000_s1026" o:spid="_x0000_s1026" o:spt="20" style="position:absolute;left:0pt;margin-left:91.4pt;margin-top:741.2pt;height:0pt;width:450pt;z-index:251661312;mso-width-relative:page;mso-height-relative:page;" filled="f" stroked="t" coordsize="21600,21600" o:gfxdata="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kk4uB1QAAAA4BAAAPAAAAAAAAAAEAIAAA&#10;ACIAAABkcnMvZG93bnJldi54bWxQSwECFAAUAAAACACHTuJAIYT+Dw8CAAASBAAADgAAAAAAAAAB&#10;ACAAAAAkAQAAZHJzL2Uyb0RvYy54bWxQSwUGAAAAAAYABgBZAQAApQUAAAAA&#10;">
                <v:fill on="f" focussize="0,0"/>
                <v:stroke weight="1pt" color="#4874CB [3204]" miterlimit="8" joinstyle="miter"/>
                <v:imagedata o:title=""/>
                <o:lock v:ext="edit" aspectratio="f"/>
              </v:line>
            </w:pict>
          </mc:Fallback>
        </mc:AlternateContent>
      </w:r>
      <w:r>
        <w:rPr>
          <w:rFonts w:hint="default" w:ascii="Times New Roman" w:hAnsi="Times New Roman" w:eastAsia="仿宋_GB2312" w:cs="Times New Roman"/>
          <w:sz w:val="28"/>
          <w:szCs w:val="28"/>
          <w:u w:val="none" w:color="auto"/>
        </w:rPr>
        <mc:AlternateContent>
          <mc:Choice Requires="wps">
            <w:drawing>
              <wp:anchor distT="0" distB="0" distL="114300" distR="114300" simplePos="0" relativeHeight="251660288" behindDoc="0" locked="0" layoutInCell="1" allowOverlap="1">
                <wp:simplePos x="0" y="0"/>
                <wp:positionH relativeFrom="column">
                  <wp:posOffset>1008380</wp:posOffset>
                </wp:positionH>
                <wp:positionV relativeFrom="paragraph">
                  <wp:posOffset>9260840</wp:posOffset>
                </wp:positionV>
                <wp:extent cx="5715000" cy="0"/>
                <wp:effectExtent l="0" t="5080" r="0" b="4445"/>
                <wp:wrapNone/>
                <wp:docPr id="9" name="直接连接符 9"/>
                <wp:cNvGraphicFramePr/>
                <a:graphic xmlns:a="http://schemas.openxmlformats.org/drawingml/2006/main">
                  <a:graphicData uri="http://schemas.microsoft.com/office/word/2010/wordprocessingShape">
                    <wps:wsp>
                      <wps:cNvCnPr/>
                      <wps:spPr>
                        <a:xfrm>
                          <a:off x="0" y="0"/>
                          <a:ext cx="57150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79.4pt;margin-top:729.2pt;height:0pt;width:450pt;z-index:251660288;mso-width-relative:page;mso-height-relative:page;" filled="f" stroked="t" coordsize="21600,21600" o:gfxdata="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E7Y+ELWAAAADgEAAA8AAAAAAAAAAQAgAAAAIgAAAGRycy9kb3ducmV2LnhtbFBLAQIU&#10;ABQAAAAIAIdO4kDkpM039QEAAOQDAAAOAAAAAAAAAAEAIAAAACUBAABkcnMvZTJvRG9jLnhtbFBL&#10;BQYAAAAABgAGAFkBAACMBQ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rPr>
        <w:t>威海市文登区发展和改革局办公室</w:t>
      </w:r>
      <w:r>
        <w:rPr>
          <w:rFonts w:hint="default" w:ascii="Times New Roman" w:hAnsi="Times New Roman" w:eastAsia="仿宋_GB2312" w:cs="Times New Roman"/>
          <w:sz w:val="28"/>
          <w:szCs w:val="28"/>
          <w:lang w:val="en-US" w:eastAsia="zh-CN"/>
        </w:rPr>
        <w:t xml:space="preserve">          </w:t>
      </w:r>
      <w:r>
        <w:rPr>
          <w:rFonts w:hint="default" w:ascii="Times New Roman" w:hAnsi="Times New Roman" w:eastAsia="仿宋_GB2312" w:cs="Times New Roman"/>
          <w:sz w:val="28"/>
          <w:szCs w:val="28"/>
        </w:rPr>
        <w:t>202</w:t>
      </w:r>
      <w:r>
        <w:rPr>
          <w:rFonts w:hint="default" w:ascii="Times New Roman" w:hAnsi="Times New Roman" w:eastAsia="仿宋_GB2312" w:cs="Times New Roman"/>
          <w:sz w:val="28"/>
          <w:szCs w:val="28"/>
          <w:lang w:val="en-US" w:eastAsia="zh-CN"/>
        </w:rPr>
        <w:t>4</w:t>
      </w:r>
      <w:r>
        <w:rPr>
          <w:rFonts w:hint="default" w:ascii="Times New Roman" w:hAnsi="Times New Roman" w:eastAsia="仿宋_GB2312" w:cs="Times New Roman"/>
          <w:sz w:val="28"/>
          <w:szCs w:val="28"/>
        </w:rPr>
        <w:t>年</w:t>
      </w:r>
      <w:r>
        <w:rPr>
          <w:rFonts w:hint="eastAsia" w:ascii="Times New Roman" w:hAnsi="Times New Roman" w:eastAsia="仿宋_GB2312" w:cs="Times New Roman"/>
          <w:sz w:val="28"/>
          <w:szCs w:val="28"/>
          <w:lang w:val="en-US" w:eastAsia="zh-CN"/>
        </w:rPr>
        <w:t>11</w:t>
      </w:r>
      <w:r>
        <w:rPr>
          <w:rFonts w:hint="default" w:ascii="Times New Roman" w:hAnsi="Times New Roman" w:eastAsia="仿宋_GB2312" w:cs="Times New Roman"/>
          <w:sz w:val="28"/>
          <w:szCs w:val="28"/>
        </w:rPr>
        <w:t>月</w:t>
      </w:r>
      <w:r>
        <w:rPr>
          <w:rFonts w:hint="eastAsia" w:ascii="Times New Roman" w:hAnsi="Times New Roman" w:eastAsia="仿宋_GB2312" w:cs="Times New Roman"/>
          <w:sz w:val="28"/>
          <w:szCs w:val="28"/>
          <w:lang w:val="en-US" w:eastAsia="zh-CN"/>
        </w:rPr>
        <w:t>29</w:t>
      </w:r>
      <w:r>
        <w:rPr>
          <w:rFonts w:hint="default" w:ascii="Times New Roman" w:hAnsi="Times New Roman" w:eastAsia="仿宋_GB2312" w:cs="Times New Roman"/>
          <w:sz w:val="28"/>
          <w:szCs w:val="28"/>
        </w:rPr>
        <w:t>日印发</w:t>
      </w:r>
    </w:p>
    <w:sectPr>
      <w:footerReference r:id="rId3" w:type="default"/>
      <w:pgSz w:w="11906" w:h="16838"/>
      <w:pgMar w:top="2154" w:right="1531" w:bottom="1871" w:left="1531"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DD3F91">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2561590</wp:posOffset>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D1D0A3">
                          <w:pPr>
                            <w:pStyle w:val="3"/>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01.7pt;margin-top:-30pt;height:144pt;width:144pt;mso-position-horizontal-relative:margin;mso-wrap-style:none;z-index:251659264;mso-width-relative:page;mso-height-relative:page;" filled="f" stroked="f" coordsize="21600,21600" o:gfxdata="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fQUfXtgAAAALAQAADwAAAAAAAAABACAAAAAiAAAAZHJzL2Rvd25yZXYueG1s&#10;UEsBAhQAFAAAAAgAh07iQGuF+fsxAgAAYQQAAA4AAAAAAAAAAQAgAAAAJwEAAGRycy9lMm9Eb2Mu&#10;eG1sUEsFBgAAAAAGAAYAWQEAAMoFAAAAAA==&#10;">
              <v:fill on="f" focussize="0,0"/>
              <v:stroke on="f" weight="0.5pt"/>
              <v:imagedata o:title=""/>
              <o:lock v:ext="edit" aspectratio="f"/>
              <v:textbox inset="0mm,0mm,0mm,0mm" style="mso-fit-shape-to-text:t;">
                <w:txbxContent>
                  <w:p w14:paraId="66D1D0A3">
                    <w:pPr>
                      <w:pStyle w:val="3"/>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E0ZDJkNDNjNzViZTQ5YWRiNjQzOTQzMDU3ZDgyODUifQ=="/>
  </w:docVars>
  <w:rsids>
    <w:rsidRoot w:val="27C23D51"/>
    <w:rsid w:val="02693B88"/>
    <w:rsid w:val="02820350"/>
    <w:rsid w:val="029118A3"/>
    <w:rsid w:val="02EA7E22"/>
    <w:rsid w:val="031D2908"/>
    <w:rsid w:val="034321D6"/>
    <w:rsid w:val="053054F4"/>
    <w:rsid w:val="097A7FD3"/>
    <w:rsid w:val="0B1526A9"/>
    <w:rsid w:val="0C3E79DE"/>
    <w:rsid w:val="0D4F522E"/>
    <w:rsid w:val="0D86163D"/>
    <w:rsid w:val="0DB77CAA"/>
    <w:rsid w:val="0E005852"/>
    <w:rsid w:val="0EE20EB4"/>
    <w:rsid w:val="0FC226D4"/>
    <w:rsid w:val="12C92970"/>
    <w:rsid w:val="139873AC"/>
    <w:rsid w:val="161B13E4"/>
    <w:rsid w:val="166E1C0C"/>
    <w:rsid w:val="17235D85"/>
    <w:rsid w:val="17EA1E9B"/>
    <w:rsid w:val="189C7F66"/>
    <w:rsid w:val="1A6F4A1C"/>
    <w:rsid w:val="1AC13CB4"/>
    <w:rsid w:val="1AD819AE"/>
    <w:rsid w:val="1BEE1E63"/>
    <w:rsid w:val="1C790DC6"/>
    <w:rsid w:val="1DA340AC"/>
    <w:rsid w:val="1E4738E4"/>
    <w:rsid w:val="202503F4"/>
    <w:rsid w:val="221565E1"/>
    <w:rsid w:val="223D6083"/>
    <w:rsid w:val="22BC7475"/>
    <w:rsid w:val="251D5997"/>
    <w:rsid w:val="263B5F44"/>
    <w:rsid w:val="27131AA3"/>
    <w:rsid w:val="27C23D51"/>
    <w:rsid w:val="28405395"/>
    <w:rsid w:val="28571A9C"/>
    <w:rsid w:val="28BA7F95"/>
    <w:rsid w:val="29D777E2"/>
    <w:rsid w:val="2A2F23EB"/>
    <w:rsid w:val="2ACC2CA6"/>
    <w:rsid w:val="2B807A31"/>
    <w:rsid w:val="2CC05D24"/>
    <w:rsid w:val="2D2F23D2"/>
    <w:rsid w:val="2D5B7F37"/>
    <w:rsid w:val="2DB15E0A"/>
    <w:rsid w:val="2DD1025A"/>
    <w:rsid w:val="2E9F5C62"/>
    <w:rsid w:val="2F0F169D"/>
    <w:rsid w:val="2FEE3AFA"/>
    <w:rsid w:val="302F7F70"/>
    <w:rsid w:val="30F80591"/>
    <w:rsid w:val="314515D0"/>
    <w:rsid w:val="33237F18"/>
    <w:rsid w:val="333C5AD4"/>
    <w:rsid w:val="340071A3"/>
    <w:rsid w:val="34F671ED"/>
    <w:rsid w:val="35804E01"/>
    <w:rsid w:val="36744066"/>
    <w:rsid w:val="37765E4B"/>
    <w:rsid w:val="381F40A2"/>
    <w:rsid w:val="391B05DB"/>
    <w:rsid w:val="39200D4A"/>
    <w:rsid w:val="3AC32CD9"/>
    <w:rsid w:val="3ADB0022"/>
    <w:rsid w:val="3BE949C1"/>
    <w:rsid w:val="3C1C71F5"/>
    <w:rsid w:val="3C737C25"/>
    <w:rsid w:val="3C925059"/>
    <w:rsid w:val="3CEA6713"/>
    <w:rsid w:val="3E04402F"/>
    <w:rsid w:val="3EBE70E6"/>
    <w:rsid w:val="3F4F0723"/>
    <w:rsid w:val="3FB172E0"/>
    <w:rsid w:val="40EF38DB"/>
    <w:rsid w:val="41E975B0"/>
    <w:rsid w:val="43585209"/>
    <w:rsid w:val="44922365"/>
    <w:rsid w:val="44995A08"/>
    <w:rsid w:val="461A4955"/>
    <w:rsid w:val="46295822"/>
    <w:rsid w:val="46C50AE3"/>
    <w:rsid w:val="47484BAC"/>
    <w:rsid w:val="47952C56"/>
    <w:rsid w:val="47C77590"/>
    <w:rsid w:val="47D76015"/>
    <w:rsid w:val="49045AD0"/>
    <w:rsid w:val="4A5E2CA9"/>
    <w:rsid w:val="4ABF0B30"/>
    <w:rsid w:val="4AD36F68"/>
    <w:rsid w:val="4B907252"/>
    <w:rsid w:val="4BC73CDE"/>
    <w:rsid w:val="4D7E1450"/>
    <w:rsid w:val="4E0A2203"/>
    <w:rsid w:val="4E8F764A"/>
    <w:rsid w:val="4FBC4620"/>
    <w:rsid w:val="4FD9320F"/>
    <w:rsid w:val="50BE6D04"/>
    <w:rsid w:val="51A87F87"/>
    <w:rsid w:val="51F66757"/>
    <w:rsid w:val="528278EA"/>
    <w:rsid w:val="54C50C39"/>
    <w:rsid w:val="54D46FE6"/>
    <w:rsid w:val="55AF1ADA"/>
    <w:rsid w:val="57790E97"/>
    <w:rsid w:val="57E10104"/>
    <w:rsid w:val="59196469"/>
    <w:rsid w:val="59844650"/>
    <w:rsid w:val="5A581238"/>
    <w:rsid w:val="5A704FA6"/>
    <w:rsid w:val="5BC01E24"/>
    <w:rsid w:val="5E215EC1"/>
    <w:rsid w:val="60A6600A"/>
    <w:rsid w:val="612461EF"/>
    <w:rsid w:val="61534507"/>
    <w:rsid w:val="61E3782C"/>
    <w:rsid w:val="630809C9"/>
    <w:rsid w:val="636035F0"/>
    <w:rsid w:val="651B55A8"/>
    <w:rsid w:val="653B18C6"/>
    <w:rsid w:val="67DC2A1F"/>
    <w:rsid w:val="6B514D03"/>
    <w:rsid w:val="6BD46EF8"/>
    <w:rsid w:val="6C2A22A2"/>
    <w:rsid w:val="6C682933"/>
    <w:rsid w:val="6CA6001D"/>
    <w:rsid w:val="6F8F6179"/>
    <w:rsid w:val="70CB6638"/>
    <w:rsid w:val="72320906"/>
    <w:rsid w:val="7250629E"/>
    <w:rsid w:val="740659FF"/>
    <w:rsid w:val="742D211D"/>
    <w:rsid w:val="761A613E"/>
    <w:rsid w:val="77DD5DB5"/>
    <w:rsid w:val="78136114"/>
    <w:rsid w:val="788B141B"/>
    <w:rsid w:val="78A66CCF"/>
    <w:rsid w:val="79296E9E"/>
    <w:rsid w:val="7A4827C8"/>
    <w:rsid w:val="7A6A63AB"/>
    <w:rsid w:val="7AD52447"/>
    <w:rsid w:val="7B575818"/>
    <w:rsid w:val="7DAE004D"/>
    <w:rsid w:val="7DCF7789"/>
    <w:rsid w:val="7DE7028A"/>
    <w:rsid w:val="7E465F94"/>
    <w:rsid w:val="7E527BC8"/>
    <w:rsid w:val="7E5C6097"/>
    <w:rsid w:val="7FDB599C"/>
    <w:rsid w:val="7FF60F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90"/>
      <w:szCs w:val="90"/>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2464</Words>
  <Characters>2680</Characters>
  <Lines>0</Lines>
  <Paragraphs>0</Paragraphs>
  <TotalTime>74</TotalTime>
  <ScaleCrop>false</ScaleCrop>
  <LinksUpToDate>false</LinksUpToDate>
  <CharactersWithSpaces>2720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2024-03-08T01:46:00Z</dcterms:created>
  <dc:creator>Administrator</dc:creator>
  <cp:lastModifiedBy>种草的兔叽</cp:lastModifiedBy>
  <cp:lastPrinted>2024-11-26T09:45:00Z</cp:lastPrinted>
  <dcterms:modified xsi:type="dcterms:W3CDTF">2024-12-13T06:50:12Z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EB2F40BEE656495DAE1283247F72D219_13</vt:lpwstr>
  </property>
</Properties>
</file>