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09C156">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i w:val="0"/>
          <w:caps w:val="0"/>
          <w:color w:val="3D3D3D"/>
          <w:spacing w:val="0"/>
          <w:kern w:val="0"/>
          <w:sz w:val="44"/>
          <w:szCs w:val="44"/>
          <w:shd w:val="clear" w:fill="FFFFFF"/>
          <w:lang w:val="en-US" w:eastAsia="zh-CN" w:bidi="ar"/>
        </w:rPr>
      </w:pPr>
    </w:p>
    <w:p w14:paraId="048DC40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i w:val="0"/>
          <w:caps w:val="0"/>
          <w:color w:val="auto"/>
          <w:spacing w:val="0"/>
          <w:kern w:val="0"/>
          <w:sz w:val="44"/>
          <w:szCs w:val="44"/>
          <w:shd w:val="clear" w:fill="FFFFFF"/>
          <w:lang w:val="en-US" w:eastAsia="zh-CN" w:bidi="ar"/>
        </w:rPr>
      </w:pPr>
      <w:r>
        <w:rPr>
          <w:rFonts w:hint="eastAsia" w:ascii="方正小标宋简体" w:hAnsi="方正小标宋简体" w:eastAsia="方正小标宋简体" w:cs="方正小标宋简体"/>
          <w:b w:val="0"/>
          <w:bCs w:val="0"/>
          <w:i w:val="0"/>
          <w:caps w:val="0"/>
          <w:color w:val="auto"/>
          <w:spacing w:val="0"/>
          <w:kern w:val="0"/>
          <w:sz w:val="44"/>
          <w:szCs w:val="44"/>
          <w:shd w:val="clear" w:fill="FFFFFF"/>
          <w:lang w:val="en-US" w:eastAsia="zh-CN" w:bidi="ar"/>
        </w:rPr>
        <w:t>威海市文登区发展和改革局</w:t>
      </w:r>
    </w:p>
    <w:p w14:paraId="3311547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i w:val="0"/>
          <w:caps w:val="0"/>
          <w:color w:val="auto"/>
          <w:spacing w:val="0"/>
          <w:kern w:val="0"/>
          <w:sz w:val="44"/>
          <w:szCs w:val="44"/>
          <w:shd w:val="clear" w:fill="FFFFFF"/>
          <w:lang w:val="en-US" w:eastAsia="zh-CN" w:bidi="ar"/>
        </w:rPr>
      </w:pPr>
      <w:r>
        <w:rPr>
          <w:rFonts w:hint="eastAsia" w:ascii="方正小标宋简体" w:hAnsi="方正小标宋简体" w:eastAsia="方正小标宋简体" w:cs="方正小标宋简体"/>
          <w:b w:val="0"/>
          <w:bCs w:val="0"/>
          <w:i w:val="0"/>
          <w:caps w:val="0"/>
          <w:color w:val="auto"/>
          <w:spacing w:val="0"/>
          <w:kern w:val="0"/>
          <w:sz w:val="44"/>
          <w:szCs w:val="44"/>
          <w:shd w:val="clear" w:fill="FFFFFF"/>
          <w:lang w:val="en-US" w:eastAsia="zh-CN" w:bidi="ar"/>
        </w:rPr>
        <w:t>2021年政府信息公开工作年度报告</w:t>
      </w:r>
    </w:p>
    <w:p w14:paraId="694AF80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小标宋简体" w:hAnsi="方正小标宋简体" w:eastAsia="方正小标宋简体" w:cs="方正小标宋简体"/>
          <w:i w:val="0"/>
          <w:caps w:val="0"/>
          <w:color w:val="3D3D3D"/>
          <w:spacing w:val="0"/>
          <w:kern w:val="0"/>
          <w:sz w:val="32"/>
          <w:szCs w:val="32"/>
          <w:shd w:val="clear" w:fill="FFFFFF"/>
          <w:lang w:val="en-US" w:eastAsia="zh-CN" w:bidi="ar"/>
        </w:rPr>
      </w:pPr>
    </w:p>
    <w:p w14:paraId="0F1620F4">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kern w:val="0"/>
          <w:sz w:val="32"/>
          <w:szCs w:val="32"/>
        </w:rPr>
      </w:pPr>
      <w:r>
        <w:rPr>
          <w:rFonts w:hint="eastAsia" w:ascii="Times New Roman" w:hAnsi="Times New Roman" w:eastAsia="仿宋_GB2312" w:cs="仿宋_GB2312"/>
          <w:kern w:val="0"/>
          <w:sz w:val="32"/>
          <w:szCs w:val="32"/>
          <w:lang w:val="en-US" w:eastAsia="zh-CN"/>
        </w:rPr>
        <w:t>根据《中华人民共和国政府信息公开条例》（以下简称《条例》）的要求，现公布威海市文登区发展和改革局202</w:t>
      </w:r>
      <w:r>
        <w:rPr>
          <w:rFonts w:hint="eastAsia" w:eastAsia="仿宋_GB2312" w:cs="仿宋_GB2312"/>
          <w:kern w:val="0"/>
          <w:sz w:val="32"/>
          <w:szCs w:val="32"/>
          <w:lang w:val="en-US" w:eastAsia="zh-CN"/>
        </w:rPr>
        <w:t>1</w:t>
      </w:r>
      <w:r>
        <w:rPr>
          <w:rFonts w:hint="eastAsia" w:ascii="Times New Roman" w:hAnsi="Times New Roman" w:eastAsia="仿宋_GB2312" w:cs="仿宋_GB2312"/>
          <w:kern w:val="0"/>
          <w:sz w:val="32"/>
          <w:szCs w:val="32"/>
          <w:lang w:val="en-US" w:eastAsia="zh-CN"/>
        </w:rPr>
        <w:t>年政府信息公开工作报告。</w:t>
      </w:r>
    </w:p>
    <w:p w14:paraId="1E855218">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本报告由总体情况，主动公开政府信息情况</w:t>
      </w:r>
      <w:r>
        <w:rPr>
          <w:rFonts w:hint="eastAsia" w:eastAsia="仿宋_GB2312" w:cs="仿宋_GB2312"/>
          <w:kern w:val="0"/>
          <w:sz w:val="32"/>
          <w:szCs w:val="32"/>
          <w:lang w:val="en-US" w:eastAsia="zh-CN"/>
        </w:rPr>
        <w:t>，</w:t>
      </w:r>
      <w:r>
        <w:rPr>
          <w:rFonts w:hint="eastAsia" w:ascii="Times New Roman" w:hAnsi="Times New Roman" w:eastAsia="仿宋_GB2312" w:cs="仿宋_GB2312"/>
          <w:kern w:val="0"/>
          <w:sz w:val="32"/>
          <w:szCs w:val="32"/>
          <w:lang w:val="en-US" w:eastAsia="zh-CN"/>
        </w:rPr>
        <w:t>收到和处理政府信息公开申请情况</w:t>
      </w:r>
      <w:r>
        <w:rPr>
          <w:rFonts w:hint="eastAsia" w:eastAsia="仿宋_GB2312" w:cs="仿宋_GB2312"/>
          <w:kern w:val="0"/>
          <w:sz w:val="32"/>
          <w:szCs w:val="32"/>
          <w:lang w:val="en-US" w:eastAsia="zh-CN"/>
        </w:rPr>
        <w:t>，</w:t>
      </w:r>
      <w:r>
        <w:rPr>
          <w:rFonts w:hint="eastAsia" w:ascii="Times New Roman" w:hAnsi="Times New Roman" w:eastAsia="仿宋_GB2312" w:cs="仿宋_GB2312"/>
          <w:kern w:val="0"/>
          <w:sz w:val="32"/>
          <w:szCs w:val="32"/>
          <w:lang w:val="en-US" w:eastAsia="zh-CN"/>
        </w:rPr>
        <w:t>政府信息公开行政复议、行政诉讼情况</w:t>
      </w:r>
      <w:r>
        <w:rPr>
          <w:rFonts w:hint="eastAsia" w:eastAsia="仿宋_GB2312" w:cs="仿宋_GB2312"/>
          <w:kern w:val="0"/>
          <w:sz w:val="32"/>
          <w:szCs w:val="32"/>
          <w:lang w:val="en-US" w:eastAsia="zh-CN"/>
        </w:rPr>
        <w:t>，</w:t>
      </w:r>
      <w:r>
        <w:rPr>
          <w:rFonts w:hint="eastAsia" w:ascii="Times New Roman" w:hAnsi="Times New Roman" w:eastAsia="仿宋_GB2312" w:cs="仿宋_GB2312"/>
          <w:kern w:val="0"/>
          <w:sz w:val="32"/>
          <w:szCs w:val="32"/>
          <w:lang w:val="en-US" w:eastAsia="zh-CN"/>
        </w:rPr>
        <w:t>存在的主要问题及改进措施</w:t>
      </w:r>
      <w:r>
        <w:rPr>
          <w:rFonts w:hint="eastAsia" w:eastAsia="仿宋_GB2312" w:cs="仿宋_GB2312"/>
          <w:kern w:val="0"/>
          <w:sz w:val="32"/>
          <w:szCs w:val="32"/>
          <w:lang w:val="en-US" w:eastAsia="zh-CN"/>
        </w:rPr>
        <w:t>，</w:t>
      </w:r>
      <w:r>
        <w:rPr>
          <w:rFonts w:hint="eastAsia" w:ascii="Times New Roman" w:hAnsi="Times New Roman" w:eastAsia="仿宋_GB2312" w:cs="仿宋_GB2312"/>
          <w:kern w:val="0"/>
          <w:sz w:val="32"/>
          <w:szCs w:val="32"/>
          <w:lang w:val="en-US" w:eastAsia="zh-CN"/>
        </w:rPr>
        <w:t>其他需要报告的事项共6部分组成。</w:t>
      </w:r>
    </w:p>
    <w:p w14:paraId="79906CAE">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本报告中所列数据的统计时限自20</w:t>
      </w:r>
      <w:r>
        <w:rPr>
          <w:rFonts w:hint="eastAsia" w:eastAsia="仿宋_GB2312" w:cs="仿宋_GB2312"/>
          <w:kern w:val="0"/>
          <w:sz w:val="32"/>
          <w:szCs w:val="32"/>
          <w:lang w:val="en-US" w:eastAsia="zh-CN"/>
        </w:rPr>
        <w:t>21</w:t>
      </w:r>
      <w:r>
        <w:rPr>
          <w:rFonts w:hint="eastAsia" w:ascii="Times New Roman" w:hAnsi="Times New Roman" w:eastAsia="仿宋_GB2312" w:cs="仿宋_GB2312"/>
          <w:kern w:val="0"/>
          <w:sz w:val="32"/>
          <w:szCs w:val="32"/>
          <w:lang w:val="en-US" w:eastAsia="zh-CN"/>
        </w:rPr>
        <w:t>年1月1日起至20</w:t>
      </w:r>
      <w:r>
        <w:rPr>
          <w:rFonts w:hint="eastAsia" w:eastAsia="仿宋_GB2312" w:cs="仿宋_GB2312"/>
          <w:kern w:val="0"/>
          <w:sz w:val="32"/>
          <w:szCs w:val="32"/>
          <w:lang w:val="en-US" w:eastAsia="zh-CN"/>
        </w:rPr>
        <w:t>21</w:t>
      </w:r>
      <w:r>
        <w:rPr>
          <w:rFonts w:hint="eastAsia" w:ascii="Times New Roman" w:hAnsi="Times New Roman" w:eastAsia="仿宋_GB2312" w:cs="仿宋_GB2312"/>
          <w:kern w:val="0"/>
          <w:sz w:val="32"/>
          <w:szCs w:val="32"/>
          <w:lang w:val="en-US" w:eastAsia="zh-CN"/>
        </w:rPr>
        <w:t>年12月31日止。本报告的电子版可在威海市文登区人民政府门户网站（http://www.wendeng.gov.cn）</w:t>
      </w:r>
      <w:r>
        <w:rPr>
          <w:rFonts w:hint="eastAsia" w:eastAsia="仿宋_GB2312" w:cs="仿宋_GB2312"/>
          <w:kern w:val="0"/>
          <w:sz w:val="32"/>
          <w:szCs w:val="32"/>
          <w:lang w:val="en-US" w:eastAsia="zh-CN"/>
        </w:rPr>
        <w:t>政府</w:t>
      </w:r>
      <w:r>
        <w:rPr>
          <w:rFonts w:hint="eastAsia" w:ascii="Times New Roman" w:hAnsi="Times New Roman" w:eastAsia="仿宋_GB2312" w:cs="仿宋_GB2312"/>
          <w:kern w:val="0"/>
          <w:sz w:val="32"/>
          <w:szCs w:val="32"/>
          <w:lang w:val="en-US" w:eastAsia="zh-CN"/>
        </w:rPr>
        <w:t>信息公开专栏查阅。如对本报告有疑问，请与威海市文登区发展和改革局办公室联系（地址：威海市文登区世纪大道86号，邮编：264400，电话：0631—8451301）。</w:t>
      </w:r>
    </w:p>
    <w:p w14:paraId="67B71BA3">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kern w:val="0"/>
          <w:sz w:val="32"/>
          <w:szCs w:val="32"/>
        </w:rPr>
      </w:pPr>
      <w:r>
        <w:rPr>
          <w:rFonts w:hint="eastAsia" w:ascii="黑体" w:hAnsi="黑体" w:eastAsia="黑体" w:cs="黑体"/>
          <w:kern w:val="0"/>
          <w:sz w:val="32"/>
          <w:szCs w:val="32"/>
          <w:lang w:eastAsia="zh-CN"/>
        </w:rPr>
        <w:t>一、总体情况</w:t>
      </w:r>
    </w:p>
    <w:p w14:paraId="4FCFDBC7">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202</w:t>
      </w:r>
      <w:r>
        <w:rPr>
          <w:rFonts w:hint="eastAsia" w:eastAsia="仿宋_GB2312" w:cs="仿宋_GB2312"/>
          <w:kern w:val="0"/>
          <w:sz w:val="32"/>
          <w:szCs w:val="32"/>
          <w:lang w:val="en-US" w:eastAsia="zh-CN"/>
        </w:rPr>
        <w:t>1</w:t>
      </w:r>
      <w:r>
        <w:rPr>
          <w:rFonts w:hint="eastAsia" w:ascii="Times New Roman" w:hAnsi="Times New Roman" w:eastAsia="仿宋_GB2312" w:cs="仿宋_GB2312"/>
          <w:kern w:val="0"/>
          <w:sz w:val="32"/>
          <w:szCs w:val="32"/>
          <w:lang w:val="en-US" w:eastAsia="zh-CN"/>
        </w:rPr>
        <w:t>年，威海市文登区发展和改革局</w:t>
      </w:r>
      <w:r>
        <w:rPr>
          <w:rFonts w:hint="eastAsia" w:eastAsia="仿宋_GB2312" w:cs="仿宋_GB2312"/>
          <w:kern w:val="0"/>
          <w:sz w:val="32"/>
          <w:szCs w:val="32"/>
          <w:lang w:val="en-US" w:eastAsia="zh-CN"/>
        </w:rPr>
        <w:t>按照区委、区政府</w:t>
      </w:r>
      <w:r>
        <w:rPr>
          <w:rFonts w:hint="eastAsia" w:ascii="Times New Roman" w:hAnsi="Times New Roman" w:eastAsia="仿宋_GB2312" w:cs="仿宋_GB2312"/>
          <w:kern w:val="0"/>
          <w:sz w:val="32"/>
          <w:szCs w:val="32"/>
          <w:lang w:val="en-US" w:eastAsia="zh-CN"/>
        </w:rPr>
        <w:t>的部署要求，</w:t>
      </w:r>
      <w:r>
        <w:rPr>
          <w:rFonts w:hint="eastAsia" w:eastAsia="仿宋_GB2312" w:cs="仿宋_GB2312"/>
          <w:kern w:val="0"/>
          <w:sz w:val="32"/>
          <w:szCs w:val="32"/>
          <w:lang w:val="en-US" w:eastAsia="zh-CN"/>
        </w:rPr>
        <w:t>围绕我局中心工作及群众关切，坚持公开为常态，不公开为意外，及时、全面、高效地公开政府信息，做到应公开尽公开，不断提升</w:t>
      </w:r>
      <w:r>
        <w:rPr>
          <w:rFonts w:hint="eastAsia" w:ascii="Times New Roman" w:hAnsi="Times New Roman" w:eastAsia="仿宋_GB2312" w:cs="仿宋_GB2312"/>
          <w:kern w:val="0"/>
          <w:sz w:val="32"/>
          <w:szCs w:val="32"/>
          <w:lang w:val="en-US" w:eastAsia="zh-CN"/>
        </w:rPr>
        <w:t>信息公开</w:t>
      </w:r>
      <w:r>
        <w:rPr>
          <w:rFonts w:hint="eastAsia" w:eastAsia="仿宋_GB2312" w:cs="仿宋_GB2312"/>
          <w:kern w:val="0"/>
          <w:sz w:val="32"/>
          <w:szCs w:val="32"/>
          <w:lang w:val="en-US" w:eastAsia="zh-CN"/>
        </w:rPr>
        <w:t>质量</w:t>
      </w:r>
      <w:r>
        <w:rPr>
          <w:rFonts w:hint="eastAsia" w:ascii="Times New Roman" w:hAnsi="Times New Roman" w:eastAsia="仿宋_GB2312" w:cs="仿宋_GB2312"/>
          <w:kern w:val="0"/>
          <w:sz w:val="32"/>
          <w:szCs w:val="32"/>
          <w:lang w:val="en-US" w:eastAsia="zh-CN"/>
        </w:rPr>
        <w:t>，</w:t>
      </w:r>
      <w:r>
        <w:rPr>
          <w:rFonts w:hint="eastAsia" w:eastAsia="仿宋_GB2312" w:cs="仿宋_GB2312"/>
          <w:kern w:val="0"/>
          <w:sz w:val="32"/>
          <w:szCs w:val="32"/>
          <w:lang w:val="en-US" w:eastAsia="zh-CN"/>
        </w:rPr>
        <w:t>有力促进了我局政府信息公开工作的高效开展。</w:t>
      </w:r>
    </w:p>
    <w:p w14:paraId="7792F242">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（一）主动公开情况</w:t>
      </w:r>
    </w:p>
    <w:p w14:paraId="7F0E23CD">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202</w:t>
      </w:r>
      <w:r>
        <w:rPr>
          <w:rFonts w:hint="eastAsia" w:eastAsia="仿宋_GB2312" w:cs="仿宋_GB2312"/>
          <w:kern w:val="0"/>
          <w:sz w:val="32"/>
          <w:szCs w:val="32"/>
          <w:lang w:val="en-US" w:eastAsia="zh-CN"/>
        </w:rPr>
        <w:t>1</w:t>
      </w:r>
      <w:r>
        <w:rPr>
          <w:rFonts w:hint="eastAsia" w:ascii="Times New Roman" w:hAnsi="Times New Roman" w:eastAsia="仿宋_GB2312" w:cs="仿宋_GB2312"/>
          <w:kern w:val="0"/>
          <w:sz w:val="32"/>
          <w:szCs w:val="32"/>
          <w:lang w:val="en-US" w:eastAsia="zh-CN"/>
        </w:rPr>
        <w:t>年，文登区发展和改革局</w:t>
      </w:r>
      <w:r>
        <w:rPr>
          <w:rFonts w:hint="eastAsia" w:eastAsia="仿宋_GB2312" w:cs="仿宋_GB2312"/>
          <w:kern w:val="0"/>
          <w:sz w:val="32"/>
          <w:szCs w:val="32"/>
          <w:lang w:val="en-US" w:eastAsia="zh-CN"/>
        </w:rPr>
        <w:t>根</w:t>
      </w:r>
      <w:r>
        <w:rPr>
          <w:rFonts w:hint="eastAsia" w:ascii="Times New Roman" w:hAnsi="Times New Roman" w:eastAsia="仿宋_GB2312" w:cs="仿宋_GB2312"/>
          <w:kern w:val="0"/>
          <w:sz w:val="32"/>
          <w:szCs w:val="32"/>
          <w:lang w:val="en-US" w:eastAsia="zh-CN"/>
        </w:rPr>
        <w:t>据《中华人民共和国政府信息公开条例》</w:t>
      </w:r>
      <w:r>
        <w:rPr>
          <w:rFonts w:hint="eastAsia" w:eastAsia="仿宋_GB2312" w:cs="仿宋_GB2312"/>
          <w:kern w:val="0"/>
          <w:sz w:val="32"/>
          <w:szCs w:val="32"/>
          <w:lang w:val="en-US" w:eastAsia="zh-CN"/>
        </w:rPr>
        <w:t>等有关规定</w:t>
      </w:r>
      <w:r>
        <w:rPr>
          <w:rFonts w:hint="eastAsia" w:ascii="Times New Roman" w:hAnsi="Times New Roman" w:eastAsia="仿宋_GB2312" w:cs="仿宋_GB2312"/>
          <w:kern w:val="0"/>
          <w:sz w:val="32"/>
          <w:szCs w:val="32"/>
          <w:lang w:val="en-US" w:eastAsia="zh-CN"/>
        </w:rPr>
        <w:t>，</w:t>
      </w:r>
      <w:r>
        <w:rPr>
          <w:rFonts w:hint="eastAsia" w:eastAsia="仿宋_GB2312" w:cs="仿宋_GB2312"/>
          <w:kern w:val="0"/>
          <w:sz w:val="32"/>
          <w:szCs w:val="32"/>
          <w:lang w:val="en-US" w:eastAsia="zh-CN"/>
        </w:rPr>
        <w:t>健全完善《</w:t>
      </w:r>
      <w:r>
        <w:rPr>
          <w:rFonts w:hint="eastAsia" w:ascii="Times New Roman" w:hAnsi="Times New Roman" w:eastAsia="仿宋_GB2312" w:cs="仿宋_GB2312"/>
          <w:kern w:val="0"/>
          <w:sz w:val="32"/>
          <w:szCs w:val="32"/>
          <w:lang w:val="en-US" w:eastAsia="zh-CN"/>
        </w:rPr>
        <w:t>威海市文登区发展和改革局政府信息公开保密审查制度</w:t>
      </w:r>
      <w:r>
        <w:rPr>
          <w:rFonts w:hint="eastAsia" w:eastAsia="仿宋_GB2312" w:cs="仿宋_GB2312"/>
          <w:kern w:val="0"/>
          <w:sz w:val="32"/>
          <w:szCs w:val="32"/>
          <w:lang w:val="en-US" w:eastAsia="zh-CN"/>
        </w:rPr>
        <w:t>》《威海市文登区发展和改革局政府信息发布协调工作制度》《威海市文登区发展和改革局政府信息依申请公开制度》，确保政府信息公开工作有序推进。全年共主动公开各类法律法规、业务工作、重点领域信息等政府服务信息152条，其中工作动态60条，公告公示20条，政策文件及解读20条，重点领域信息公开16条，其他信息36条。</w:t>
      </w:r>
    </w:p>
    <w:p w14:paraId="6960BF01">
      <w:pPr>
        <w:keepNext w:val="0"/>
        <w:keepLines w:val="0"/>
        <w:pageBreakBefore w:val="0"/>
        <w:kinsoku/>
        <w:wordWrap/>
        <w:overflowPunct/>
        <w:topLinePunct w:val="0"/>
        <w:autoSpaceDE/>
        <w:autoSpaceDN/>
        <w:bidi w:val="0"/>
        <w:adjustRightInd/>
        <w:snapToGrid/>
        <w:spacing w:line="240" w:lineRule="auto"/>
        <w:jc w:val="center"/>
        <w:textAlignment w:val="auto"/>
        <w:rPr>
          <w:rFonts w:hint="eastAsia" w:eastAsiaTheme="minorEastAsia"/>
          <w:lang w:eastAsia="zh-CN"/>
        </w:rPr>
      </w:pPr>
      <w:r>
        <w:rPr>
          <w:rFonts w:hint="eastAsia" w:eastAsiaTheme="minorEastAsia"/>
          <w:lang w:eastAsia="zh-CN"/>
        </w:rPr>
        <w:drawing>
          <wp:inline distT="0" distB="0" distL="114300" distR="114300">
            <wp:extent cx="5583555" cy="4073525"/>
            <wp:effectExtent l="0" t="0" r="9525" b="10795"/>
            <wp:docPr id="1" name="图片 1" descr="对比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对比图"/>
                    <pic:cNvPicPr>
                      <a:picLocks noChangeAspect="1"/>
                    </pic:cNvPicPr>
                  </pic:nvPicPr>
                  <pic:blipFill>
                    <a:blip r:embed="rId4"/>
                    <a:stretch>
                      <a:fillRect/>
                    </a:stretch>
                  </pic:blipFill>
                  <pic:spPr>
                    <a:xfrm>
                      <a:off x="0" y="0"/>
                      <a:ext cx="5583555" cy="4073525"/>
                    </a:xfrm>
                    <a:prstGeom prst="rect">
                      <a:avLst/>
                    </a:prstGeom>
                  </pic:spPr>
                </pic:pic>
              </a:graphicData>
            </a:graphic>
          </wp:inline>
        </w:drawing>
      </w:r>
    </w:p>
    <w:p w14:paraId="191272E9">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drawing>
          <wp:inline distT="0" distB="0" distL="114300" distR="114300">
            <wp:extent cx="5614670" cy="4031615"/>
            <wp:effectExtent l="0" t="0" r="8890" b="6985"/>
            <wp:docPr id="4" name="图片 4" descr="网站"/>
            <wp:cNvGraphicFramePr/>
            <a:graphic xmlns:a="http://schemas.openxmlformats.org/drawingml/2006/main">
              <a:graphicData uri="http://schemas.openxmlformats.org/drawingml/2006/picture">
                <pic:pic xmlns:pic="http://schemas.openxmlformats.org/drawingml/2006/picture">
                  <pic:nvPicPr>
                    <pic:cNvPr id="4" name="图片 4" descr="网站"/>
                    <pic:cNvPicPr/>
                  </pic:nvPicPr>
                  <pic:blipFill>
                    <a:blip r:embed="rId5"/>
                    <a:stretch>
                      <a:fillRect/>
                    </a:stretch>
                  </pic:blipFill>
                  <pic:spPr>
                    <a:xfrm>
                      <a:off x="0" y="0"/>
                      <a:ext cx="5614670" cy="4031615"/>
                    </a:xfrm>
                    <a:prstGeom prst="rect">
                      <a:avLst/>
                    </a:prstGeom>
                  </pic:spPr>
                </pic:pic>
              </a:graphicData>
            </a:graphic>
          </wp:inline>
        </w:drawing>
      </w:r>
    </w:p>
    <w:p w14:paraId="1536FE4D">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（二）依申请公开情况</w:t>
      </w:r>
    </w:p>
    <w:p w14:paraId="76346B59">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202</w:t>
      </w:r>
      <w:r>
        <w:rPr>
          <w:rFonts w:hint="eastAsia" w:eastAsia="仿宋_GB2312" w:cs="仿宋_GB2312"/>
          <w:kern w:val="0"/>
          <w:sz w:val="32"/>
          <w:szCs w:val="32"/>
          <w:lang w:val="en-US" w:eastAsia="zh-CN"/>
        </w:rPr>
        <w:t>1</w:t>
      </w:r>
      <w:r>
        <w:rPr>
          <w:rFonts w:hint="eastAsia" w:ascii="Times New Roman" w:hAnsi="Times New Roman" w:eastAsia="仿宋_GB2312" w:cs="仿宋_GB2312"/>
          <w:kern w:val="0"/>
          <w:sz w:val="32"/>
          <w:szCs w:val="32"/>
          <w:lang w:val="en-US" w:eastAsia="zh-CN"/>
        </w:rPr>
        <w:t>年度，我局共受理政府信息公开申请</w:t>
      </w:r>
      <w:r>
        <w:rPr>
          <w:rFonts w:hint="eastAsia" w:eastAsia="仿宋_GB2312" w:cs="仿宋_GB2312"/>
          <w:kern w:val="0"/>
          <w:sz w:val="32"/>
          <w:szCs w:val="32"/>
          <w:lang w:val="en-US" w:eastAsia="zh-CN"/>
        </w:rPr>
        <w:t>2件</w:t>
      </w:r>
      <w:r>
        <w:rPr>
          <w:rFonts w:hint="eastAsia" w:ascii="Times New Roman" w:hAnsi="Times New Roman" w:eastAsia="仿宋_GB2312" w:cs="仿宋_GB2312"/>
          <w:kern w:val="0"/>
          <w:sz w:val="32"/>
          <w:szCs w:val="32"/>
          <w:lang w:val="en-US" w:eastAsia="zh-CN"/>
        </w:rPr>
        <w:t>，</w:t>
      </w:r>
      <w:r>
        <w:rPr>
          <w:rFonts w:hint="eastAsia" w:eastAsia="仿宋_GB2312" w:cs="仿宋_GB2312"/>
          <w:kern w:val="0"/>
          <w:sz w:val="32"/>
          <w:szCs w:val="32"/>
          <w:lang w:val="en-US" w:eastAsia="zh-CN"/>
        </w:rPr>
        <w:t>比去年减少2件，申请内容为相关项目立项批复文件及申报材料，分别作出部分公开和无法提供的答复，并按规定</w:t>
      </w:r>
      <w:r>
        <w:rPr>
          <w:rFonts w:hint="eastAsia" w:ascii="Times New Roman" w:hAnsi="Times New Roman" w:eastAsia="仿宋_GB2312" w:cs="仿宋_GB2312"/>
          <w:kern w:val="0"/>
          <w:sz w:val="32"/>
          <w:szCs w:val="32"/>
          <w:lang w:val="en-US" w:eastAsia="zh-CN"/>
        </w:rPr>
        <w:t>收取政府信息公开信息处理费，全年未发生行政复议、行政诉讼等情况。</w:t>
      </w:r>
    </w:p>
    <w:p w14:paraId="0338B05B">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仿宋_GB2312"/>
          <w:color w:val="0000FF"/>
          <w:kern w:val="0"/>
          <w:sz w:val="32"/>
          <w:szCs w:val="32"/>
          <w:lang w:val="en-US" w:eastAsia="zh-CN"/>
        </w:rPr>
      </w:pPr>
      <w:r>
        <w:rPr>
          <w:rFonts w:hint="eastAsia" w:ascii="楷体_GB2312" w:hAnsi="楷体_GB2312" w:eastAsia="楷体_GB2312" w:cs="楷体_GB2312"/>
          <w:kern w:val="0"/>
          <w:sz w:val="32"/>
          <w:szCs w:val="32"/>
          <w:lang w:val="en-US" w:eastAsia="zh-CN"/>
        </w:rPr>
        <w:t>（三）政府信息管理情况</w:t>
      </w:r>
    </w:p>
    <w:p w14:paraId="19A7EB42">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我局政府信息公开工作制度健全，工作流程规范，工作纪律严格，专人专岗进行平台维护，严格遵守保密规定，多人多级进行信息发布校对、审核，各项工作高效规范开展。加强规范性文件审查管理，2021年我局</w:t>
      </w:r>
      <w:r>
        <w:rPr>
          <w:rFonts w:hint="eastAsia" w:eastAsia="仿宋_GB2312" w:cs="仿宋_GB2312"/>
          <w:kern w:val="0"/>
          <w:sz w:val="32"/>
          <w:szCs w:val="32"/>
          <w:lang w:val="en-US" w:eastAsia="zh-CN"/>
        </w:rPr>
        <w:t>共制发</w:t>
      </w:r>
      <w:r>
        <w:rPr>
          <w:rFonts w:hint="eastAsia" w:ascii="Times New Roman" w:hAnsi="Times New Roman" w:eastAsia="仿宋_GB2312" w:cs="仿宋_GB2312"/>
          <w:kern w:val="0"/>
          <w:sz w:val="32"/>
          <w:szCs w:val="32"/>
          <w:lang w:val="en-US" w:eastAsia="zh-CN"/>
        </w:rPr>
        <w:t>6</w:t>
      </w:r>
      <w:r>
        <w:rPr>
          <w:rFonts w:hint="eastAsia" w:eastAsia="仿宋_GB2312" w:cs="仿宋_GB2312"/>
          <w:kern w:val="0"/>
          <w:sz w:val="32"/>
          <w:szCs w:val="32"/>
          <w:lang w:val="en-US" w:eastAsia="zh-CN"/>
        </w:rPr>
        <w:t>件</w:t>
      </w:r>
      <w:r>
        <w:rPr>
          <w:rFonts w:hint="eastAsia" w:ascii="Times New Roman" w:hAnsi="Times New Roman" w:eastAsia="仿宋_GB2312" w:cs="仿宋_GB2312"/>
          <w:kern w:val="0"/>
          <w:sz w:val="32"/>
          <w:szCs w:val="32"/>
          <w:lang w:val="en-US" w:eastAsia="zh-CN"/>
        </w:rPr>
        <w:t>规范性文件，废止</w:t>
      </w:r>
      <w:r>
        <w:rPr>
          <w:rFonts w:hint="eastAsia" w:eastAsia="仿宋_GB2312" w:cs="仿宋_GB2312"/>
          <w:kern w:val="0"/>
          <w:sz w:val="32"/>
          <w:szCs w:val="32"/>
          <w:lang w:val="en-US" w:eastAsia="zh-CN"/>
        </w:rPr>
        <w:t>2件</w:t>
      </w:r>
      <w:r>
        <w:rPr>
          <w:rFonts w:hint="eastAsia" w:ascii="Times New Roman" w:hAnsi="Times New Roman" w:eastAsia="仿宋_GB2312" w:cs="仿宋_GB2312"/>
          <w:kern w:val="0"/>
          <w:sz w:val="32"/>
          <w:szCs w:val="32"/>
          <w:lang w:val="en-US" w:eastAsia="zh-CN"/>
        </w:rPr>
        <w:t>，</w:t>
      </w:r>
      <w:r>
        <w:rPr>
          <w:rFonts w:hint="eastAsia" w:eastAsia="仿宋_GB2312" w:cs="仿宋_GB2312"/>
          <w:kern w:val="0"/>
          <w:sz w:val="32"/>
          <w:szCs w:val="32"/>
          <w:lang w:val="en-US" w:eastAsia="zh-CN"/>
        </w:rPr>
        <w:t>并及时在政府</w:t>
      </w:r>
      <w:r>
        <w:rPr>
          <w:rFonts w:hint="eastAsia" w:ascii="Times New Roman" w:hAnsi="Times New Roman" w:eastAsia="仿宋_GB2312" w:cs="仿宋_GB2312"/>
          <w:kern w:val="0"/>
          <w:sz w:val="32"/>
          <w:szCs w:val="32"/>
          <w:lang w:val="en-US" w:eastAsia="zh-CN"/>
        </w:rPr>
        <w:t>网站公示。</w:t>
      </w:r>
    </w:p>
    <w:p w14:paraId="4E7DC9FE">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（四）平台建设情况</w:t>
      </w:r>
    </w:p>
    <w:p w14:paraId="63BB7747">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我局依托</w:t>
      </w:r>
      <w:r>
        <w:rPr>
          <w:rFonts w:hint="default" w:ascii="Times New Roman" w:hAnsi="Times New Roman" w:eastAsia="仿宋_GB2312" w:cs="仿宋_GB2312"/>
          <w:kern w:val="0"/>
          <w:sz w:val="32"/>
          <w:szCs w:val="32"/>
          <w:lang w:val="en-US" w:eastAsia="zh-CN"/>
        </w:rPr>
        <w:t>威海市文登区人民政府门户网站，</w:t>
      </w:r>
      <w:r>
        <w:rPr>
          <w:rFonts w:hint="eastAsia" w:eastAsia="仿宋_GB2312" w:cs="仿宋_GB2312"/>
          <w:kern w:val="0"/>
          <w:sz w:val="32"/>
          <w:szCs w:val="32"/>
          <w:lang w:val="en-US" w:eastAsia="zh-CN"/>
        </w:rPr>
        <w:t>与“威海市文登区发展和改革局”</w:t>
      </w:r>
      <w:r>
        <w:rPr>
          <w:rFonts w:hint="eastAsia" w:ascii="Times New Roman" w:hAnsi="Times New Roman" w:eastAsia="仿宋_GB2312" w:cs="仿宋_GB2312"/>
          <w:kern w:val="0"/>
          <w:sz w:val="32"/>
          <w:szCs w:val="32"/>
          <w:lang w:val="en-US" w:eastAsia="zh-CN"/>
        </w:rPr>
        <w:t>微信公众号</w:t>
      </w:r>
      <w:r>
        <w:rPr>
          <w:rFonts w:hint="eastAsia" w:eastAsia="仿宋_GB2312" w:cs="仿宋_GB2312"/>
          <w:kern w:val="0"/>
          <w:sz w:val="32"/>
          <w:szCs w:val="32"/>
          <w:lang w:val="en-US" w:eastAsia="zh-CN"/>
        </w:rPr>
        <w:t>相辅相成，互联互通，通过及时更新工作动态、政策文件解读等各类政府信息，提供政务服务、建言献策等便民服务，有效搭建我局与群众沟通的一体化平台，</w:t>
      </w:r>
      <w:r>
        <w:rPr>
          <w:rFonts w:hint="eastAsia" w:ascii="Times New Roman" w:hAnsi="Times New Roman" w:eastAsia="仿宋_GB2312" w:cs="仿宋_GB2312"/>
          <w:kern w:val="0"/>
          <w:sz w:val="32"/>
          <w:szCs w:val="32"/>
          <w:lang w:val="en-US" w:eastAsia="zh-CN"/>
        </w:rPr>
        <w:t>全年通过</w:t>
      </w:r>
      <w:r>
        <w:rPr>
          <w:rFonts w:hint="eastAsia" w:eastAsia="仿宋_GB2312" w:cs="仿宋_GB2312"/>
          <w:kern w:val="0"/>
          <w:sz w:val="32"/>
          <w:szCs w:val="32"/>
          <w:lang w:val="en-US" w:eastAsia="zh-CN"/>
        </w:rPr>
        <w:t>“威海市文登区发展和改革局”</w:t>
      </w:r>
      <w:r>
        <w:rPr>
          <w:rFonts w:hint="eastAsia" w:ascii="Times New Roman" w:hAnsi="Times New Roman" w:eastAsia="仿宋_GB2312" w:cs="仿宋_GB2312"/>
          <w:kern w:val="0"/>
          <w:sz w:val="32"/>
          <w:szCs w:val="32"/>
          <w:lang w:val="en-US" w:eastAsia="zh-CN"/>
        </w:rPr>
        <w:t>微信公众号共发布信息</w:t>
      </w:r>
      <w:r>
        <w:rPr>
          <w:rFonts w:hint="eastAsia" w:eastAsia="仿宋_GB2312" w:cs="仿宋_GB2312"/>
          <w:kern w:val="0"/>
          <w:sz w:val="32"/>
          <w:szCs w:val="32"/>
          <w:lang w:val="en-US" w:eastAsia="zh-CN"/>
        </w:rPr>
        <w:t>177</w:t>
      </w:r>
      <w:r>
        <w:rPr>
          <w:rFonts w:hint="eastAsia" w:ascii="Times New Roman" w:hAnsi="Times New Roman" w:eastAsia="仿宋_GB2312" w:cs="仿宋_GB2312"/>
          <w:kern w:val="0"/>
          <w:sz w:val="32"/>
          <w:szCs w:val="32"/>
          <w:lang w:val="en-US" w:eastAsia="zh-CN"/>
        </w:rPr>
        <w:t>条</w:t>
      </w:r>
      <w:r>
        <w:rPr>
          <w:rFonts w:hint="eastAsia" w:eastAsia="仿宋_GB2312" w:cs="仿宋_GB2312"/>
          <w:kern w:val="0"/>
          <w:sz w:val="32"/>
          <w:szCs w:val="32"/>
          <w:lang w:val="en-US" w:eastAsia="zh-CN"/>
        </w:rPr>
        <w:t>。同时，综合利用新闻发布会和政府开放日等形式，畅通沟通联系群众渠道，回应群众关切热点，年内举行一场新闻发布会，解读服务业扶持政策，举办一期政府开放日活动，解读收费领域热点问题及相关政策，进一步提高了信息公开的广度和深度。</w:t>
      </w:r>
    </w:p>
    <w:p w14:paraId="42AC372C">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240" w:lineRule="auto"/>
        <w:ind w:firstLine="640" w:firstLineChars="200"/>
        <w:jc w:val="left"/>
        <w:textAlignment w:val="auto"/>
        <w:rPr>
          <w:rFonts w:hint="eastAsia" w:ascii="楷体_GB2312" w:hAnsi="楷体_GB2312" w:eastAsia="楷体_GB2312" w:cs="楷体_GB2312"/>
          <w:b w:val="0"/>
          <w:bCs w:val="0"/>
          <w:color w:val="333333"/>
          <w:kern w:val="0"/>
          <w:sz w:val="32"/>
          <w:szCs w:val="32"/>
          <w:lang w:eastAsia="zh-CN"/>
        </w:rPr>
      </w:pPr>
      <w:r>
        <w:rPr>
          <w:rFonts w:hint="eastAsia" w:ascii="楷体_GB2312" w:hAnsi="楷体_GB2312" w:eastAsia="楷体_GB2312" w:cs="楷体_GB2312"/>
          <w:b w:val="0"/>
          <w:bCs w:val="0"/>
          <w:color w:val="333333"/>
          <w:kern w:val="0"/>
          <w:sz w:val="32"/>
          <w:szCs w:val="32"/>
          <w:lang w:eastAsia="zh-CN"/>
        </w:rPr>
        <w:drawing>
          <wp:inline distT="0" distB="0" distL="114300" distR="114300">
            <wp:extent cx="5250180" cy="3662680"/>
            <wp:effectExtent l="0" t="0" r="7620" b="10160"/>
            <wp:docPr id="5" name="图片 5" descr="公众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公众号"/>
                    <pic:cNvPicPr>
                      <a:picLocks noChangeAspect="1"/>
                    </pic:cNvPicPr>
                  </pic:nvPicPr>
                  <pic:blipFill>
                    <a:blip r:embed="rId6"/>
                    <a:stretch>
                      <a:fillRect/>
                    </a:stretch>
                  </pic:blipFill>
                  <pic:spPr>
                    <a:xfrm>
                      <a:off x="0" y="0"/>
                      <a:ext cx="5250180" cy="3662680"/>
                    </a:xfrm>
                    <a:prstGeom prst="rect">
                      <a:avLst/>
                    </a:prstGeom>
                  </pic:spPr>
                </pic:pic>
              </a:graphicData>
            </a:graphic>
          </wp:inline>
        </w:drawing>
      </w:r>
    </w:p>
    <w:p w14:paraId="74AEB898">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240" w:lineRule="auto"/>
        <w:jc w:val="center"/>
        <w:textAlignment w:val="auto"/>
        <w:rPr>
          <w:rFonts w:hint="eastAsia" w:ascii="楷体_GB2312" w:hAnsi="楷体_GB2312" w:eastAsia="楷体_GB2312" w:cs="楷体_GB2312"/>
          <w:b w:val="0"/>
          <w:bCs w:val="0"/>
          <w:color w:val="333333"/>
          <w:kern w:val="0"/>
          <w:sz w:val="32"/>
          <w:szCs w:val="32"/>
          <w:lang w:val="en-US" w:eastAsia="zh-CN"/>
        </w:rPr>
      </w:pPr>
      <w:r>
        <w:rPr>
          <w:rFonts w:hint="eastAsia" w:ascii="楷体_GB2312" w:hAnsi="楷体_GB2312" w:eastAsia="楷体_GB2312" w:cs="楷体_GB2312"/>
          <w:b w:val="0"/>
          <w:bCs w:val="0"/>
          <w:color w:val="333333"/>
          <w:kern w:val="0"/>
          <w:sz w:val="32"/>
          <w:szCs w:val="32"/>
          <w:lang w:val="en-US" w:eastAsia="zh-CN"/>
        </w:rPr>
        <w:drawing>
          <wp:inline distT="0" distB="0" distL="114300" distR="114300">
            <wp:extent cx="5612765" cy="3741420"/>
            <wp:effectExtent l="0" t="0" r="10795" b="7620"/>
            <wp:docPr id="6" name="图片 6" descr="新闻发布会"/>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新闻发布会"/>
                    <pic:cNvPicPr>
                      <a:picLocks noChangeAspect="1"/>
                    </pic:cNvPicPr>
                  </pic:nvPicPr>
                  <pic:blipFill>
                    <a:blip r:embed="rId7"/>
                    <a:stretch>
                      <a:fillRect/>
                    </a:stretch>
                  </pic:blipFill>
                  <pic:spPr>
                    <a:xfrm>
                      <a:off x="0" y="0"/>
                      <a:ext cx="5612765" cy="3741420"/>
                    </a:xfrm>
                    <a:prstGeom prst="rect">
                      <a:avLst/>
                    </a:prstGeom>
                  </pic:spPr>
                </pic:pic>
              </a:graphicData>
            </a:graphic>
          </wp:inline>
        </w:drawing>
      </w:r>
    </w:p>
    <w:p w14:paraId="7A5F9A94">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（五）监督保障情况</w:t>
      </w:r>
    </w:p>
    <w:p w14:paraId="14EEE0E9">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kern w:val="0"/>
          <w:sz w:val="32"/>
          <w:szCs w:val="32"/>
          <w:lang w:val="en-US" w:eastAsia="zh-CN"/>
        </w:rPr>
      </w:pPr>
      <w:r>
        <w:rPr>
          <w:rFonts w:hint="eastAsia" w:eastAsia="仿宋_GB2312" w:cs="仿宋_GB2312"/>
          <w:kern w:val="0"/>
          <w:sz w:val="32"/>
          <w:szCs w:val="32"/>
          <w:lang w:val="en-US" w:eastAsia="zh-CN"/>
        </w:rPr>
        <w:t>我局切实加强对政务公开工作的组织领导，层层压紧压实工作责任，确立了办公室统筹，分管领导和工作人员层层落实的工作制度，确保政府信息规范、全面、准确发布。今年，我局针对依申请工作召开工作培训会，集体学习了《政府信息依申请公开办理答复政策法规和实务指南》和《依申请公开制度》，对工作流程的规范，业务能力的提升，以及信息公开意识的增强起到了重要作用。</w:t>
      </w:r>
    </w:p>
    <w:p w14:paraId="70CFEF1E">
      <w:pPr>
        <w:keepNext w:val="0"/>
        <w:keepLines w:val="0"/>
        <w:pageBreakBefore w:val="0"/>
        <w:numPr>
          <w:ilvl w:val="0"/>
          <w:numId w:val="1"/>
        </w:numPr>
        <w:kinsoku/>
        <w:wordWrap/>
        <w:overflowPunct/>
        <w:topLinePunct w:val="0"/>
        <w:autoSpaceDE/>
        <w:autoSpaceDN/>
        <w:bidi w:val="0"/>
        <w:adjustRightInd/>
        <w:snapToGrid/>
        <w:spacing w:line="560" w:lineRule="exact"/>
        <w:ind w:firstLine="640" w:firstLineChars="200"/>
        <w:textAlignment w:val="auto"/>
        <w:rPr>
          <w:rFonts w:hint="default" w:ascii="黑体" w:hAnsi="黑体" w:eastAsia="黑体" w:cs="黑体"/>
          <w:kern w:val="0"/>
          <w:sz w:val="32"/>
          <w:szCs w:val="32"/>
          <w:lang w:eastAsia="zh-CN"/>
        </w:rPr>
      </w:pPr>
      <w:r>
        <w:rPr>
          <w:rFonts w:hint="default" w:ascii="黑体" w:hAnsi="黑体" w:eastAsia="黑体" w:cs="黑体"/>
          <w:kern w:val="0"/>
          <w:sz w:val="32"/>
          <w:szCs w:val="32"/>
          <w:lang w:eastAsia="zh-CN"/>
        </w:rPr>
        <w:t>主动公开政府信息情况</w:t>
      </w:r>
    </w:p>
    <w:tbl>
      <w:tblPr>
        <w:tblStyle w:val="3"/>
        <w:tblW w:w="8824" w:type="dxa"/>
        <w:tblInd w:w="0" w:type="dxa"/>
        <w:tblLayout w:type="fixed"/>
        <w:tblCellMar>
          <w:top w:w="0" w:type="dxa"/>
          <w:left w:w="108" w:type="dxa"/>
          <w:bottom w:w="0" w:type="dxa"/>
          <w:right w:w="108" w:type="dxa"/>
        </w:tblCellMar>
      </w:tblPr>
      <w:tblGrid>
        <w:gridCol w:w="2206"/>
        <w:gridCol w:w="2206"/>
        <w:gridCol w:w="2206"/>
        <w:gridCol w:w="2206"/>
      </w:tblGrid>
      <w:tr w14:paraId="7AF0A22B">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7216659F">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14:paraId="0270CA59">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189BAA9F">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14:paraId="024FF508">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14:paraId="2D0A6989">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14:paraId="2864D089">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仿宋_GB2312" w:hAnsi="宋体" w:eastAsia="仿宋_GB2312" w:cs="宋体"/>
                <w:color w:val="000000"/>
                <w:kern w:val="0"/>
                <w:szCs w:val="21"/>
              </w:rPr>
            </w:pPr>
            <w:r>
              <w:rPr>
                <w:rFonts w:hint="eastAsia" w:ascii="仿宋_GB2312" w:hAnsi="宋体" w:eastAsia="仿宋_GB2312" w:cs="宋体"/>
                <w:color w:val="000000"/>
                <w:kern w:val="0"/>
                <w:szCs w:val="21"/>
              </w:rPr>
              <w:t>现行有效件数</w:t>
            </w:r>
          </w:p>
        </w:tc>
      </w:tr>
      <w:tr w14:paraId="4C6F411B">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665B659">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14:paraId="177F8E7B">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5E68412B">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312CD1C2">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Calibri" w:eastAsia="仿宋_GB2312" w:cs="Calibri"/>
                <w:color w:val="000000"/>
                <w:kern w:val="0"/>
                <w:szCs w:val="21"/>
                <w:lang w:val="en-US" w:eastAsia="zh-CN"/>
              </w:rPr>
            </w:pPr>
            <w:r>
              <w:rPr>
                <w:rFonts w:hint="eastAsia" w:ascii="仿宋_GB2312" w:hAnsi="Calibri" w:eastAsia="仿宋_GB2312" w:cs="Calibri"/>
                <w:color w:val="000000"/>
                <w:kern w:val="0"/>
                <w:szCs w:val="21"/>
                <w:lang w:val="en-US" w:eastAsia="zh-CN"/>
              </w:rPr>
              <w:t>0</w:t>
            </w:r>
          </w:p>
        </w:tc>
      </w:tr>
      <w:tr w14:paraId="46C7AE3A">
        <w:tblPrEx>
          <w:tblCellMar>
            <w:top w:w="0" w:type="dxa"/>
            <w:left w:w="108" w:type="dxa"/>
            <w:bottom w:w="0" w:type="dxa"/>
            <w:right w:w="108" w:type="dxa"/>
          </w:tblCellMar>
        </w:tblPrEx>
        <w:trPr>
          <w:trHeight w:val="567" w:hRule="atLeast"/>
        </w:trPr>
        <w:tc>
          <w:tcPr>
            <w:tcW w:w="2206" w:type="dxa"/>
            <w:tcBorders>
              <w:top w:val="single" w:color="auto" w:sz="8" w:space="0"/>
              <w:left w:val="single" w:color="auto" w:sz="8" w:space="0"/>
              <w:bottom w:val="single" w:color="auto" w:sz="8" w:space="0"/>
              <w:right w:val="single" w:color="auto" w:sz="8" w:space="0"/>
            </w:tcBorders>
            <w:shd w:val="clear" w:color="auto" w:fill="auto"/>
            <w:vAlign w:val="center"/>
          </w:tcPr>
          <w:p w14:paraId="6C241660">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行政规范性文件</w:t>
            </w:r>
          </w:p>
        </w:tc>
        <w:tc>
          <w:tcPr>
            <w:tcW w:w="2206" w:type="dxa"/>
            <w:tcBorders>
              <w:top w:val="single" w:color="auto" w:sz="8" w:space="0"/>
              <w:left w:val="single" w:color="auto" w:sz="8" w:space="0"/>
              <w:bottom w:val="single" w:color="auto" w:sz="8" w:space="0"/>
              <w:right w:val="single" w:color="auto" w:sz="8" w:space="0"/>
            </w:tcBorders>
            <w:shd w:val="clear" w:color="auto" w:fill="auto"/>
            <w:vAlign w:val="center"/>
          </w:tcPr>
          <w:p w14:paraId="39EE4470">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仿宋_GB2312" w:hAnsi="宋体" w:eastAsia="仿宋_GB2312" w:cs="宋体"/>
                <w:color w:val="auto"/>
                <w:kern w:val="0"/>
                <w:szCs w:val="21"/>
                <w:highlight w:val="none"/>
                <w:lang w:val="en-US" w:eastAsia="zh-CN"/>
              </w:rPr>
            </w:pPr>
            <w:r>
              <w:rPr>
                <w:rFonts w:hint="eastAsia" w:ascii="仿宋_GB2312" w:hAnsi="宋体" w:eastAsia="仿宋_GB2312" w:cs="宋体"/>
                <w:color w:val="auto"/>
                <w:kern w:val="0"/>
                <w:szCs w:val="21"/>
                <w:highlight w:val="none"/>
                <w:lang w:val="en-US" w:eastAsia="zh-CN"/>
              </w:rPr>
              <w:t>6</w:t>
            </w:r>
          </w:p>
        </w:tc>
        <w:tc>
          <w:tcPr>
            <w:tcW w:w="2206" w:type="dxa"/>
            <w:tcBorders>
              <w:top w:val="single" w:color="auto" w:sz="8" w:space="0"/>
              <w:left w:val="single" w:color="auto" w:sz="8" w:space="0"/>
              <w:bottom w:val="single" w:color="auto" w:sz="8" w:space="0"/>
              <w:right w:val="single" w:color="auto" w:sz="8" w:space="0"/>
            </w:tcBorders>
            <w:shd w:val="clear" w:color="auto" w:fill="auto"/>
            <w:vAlign w:val="center"/>
          </w:tcPr>
          <w:p w14:paraId="6FA73B65">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宋体" w:eastAsia="仿宋_GB2312" w:cs="宋体"/>
                <w:color w:val="auto"/>
                <w:kern w:val="0"/>
                <w:szCs w:val="21"/>
                <w:highlight w:val="none"/>
                <w:lang w:val="en-US" w:eastAsia="zh-CN"/>
              </w:rPr>
            </w:pPr>
            <w:r>
              <w:rPr>
                <w:rFonts w:hint="eastAsia" w:ascii="仿宋_GB2312" w:hAnsi="宋体" w:eastAsia="仿宋_GB2312" w:cs="宋体"/>
                <w:color w:val="auto"/>
                <w:kern w:val="0"/>
                <w:szCs w:val="21"/>
                <w:highlight w:val="none"/>
                <w:lang w:val="en-US" w:eastAsia="zh-CN"/>
              </w:rPr>
              <w:t>2</w:t>
            </w:r>
          </w:p>
        </w:tc>
        <w:tc>
          <w:tcPr>
            <w:tcW w:w="2206" w:type="dxa"/>
            <w:tcBorders>
              <w:top w:val="single" w:color="auto" w:sz="8" w:space="0"/>
              <w:left w:val="single" w:color="auto" w:sz="8" w:space="0"/>
              <w:bottom w:val="single" w:color="auto" w:sz="8" w:space="0"/>
              <w:right w:val="single" w:color="auto" w:sz="8" w:space="0"/>
            </w:tcBorders>
            <w:shd w:val="clear" w:color="auto" w:fill="auto"/>
            <w:vAlign w:val="center"/>
          </w:tcPr>
          <w:p w14:paraId="51B1559C">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仿宋_GB2312" w:hAnsi="Calibri" w:eastAsia="仿宋_GB2312" w:cs="Calibri"/>
                <w:color w:val="auto"/>
                <w:kern w:val="0"/>
                <w:szCs w:val="21"/>
                <w:highlight w:val="none"/>
                <w:lang w:val="en-US" w:eastAsia="zh-CN"/>
              </w:rPr>
            </w:pPr>
            <w:r>
              <w:rPr>
                <w:rFonts w:hint="eastAsia" w:ascii="仿宋_GB2312" w:hAnsi="Calibri" w:eastAsia="仿宋_GB2312" w:cs="Calibri"/>
                <w:color w:val="auto"/>
                <w:kern w:val="0"/>
                <w:szCs w:val="21"/>
                <w:highlight w:val="none"/>
                <w:lang w:val="en-US" w:eastAsia="zh-CN"/>
              </w:rPr>
              <w:t>30</w:t>
            </w:r>
          </w:p>
        </w:tc>
      </w:tr>
      <w:tr w14:paraId="3413A651">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371CD291">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黑体" w:hAnsi="黑体" w:eastAsia="黑体" w:cs="宋体"/>
                <w:color w:val="000000"/>
                <w:kern w:val="0"/>
                <w:szCs w:val="21"/>
              </w:rPr>
            </w:pPr>
            <w:r>
              <w:rPr>
                <w:rFonts w:hint="eastAsia" w:ascii="黑体" w:hAnsi="黑体" w:eastAsia="黑体" w:cs="宋体"/>
                <w:color w:val="000000"/>
                <w:kern w:val="0"/>
                <w:szCs w:val="21"/>
              </w:rPr>
              <w:t>第二十条第（五）项</w:t>
            </w:r>
          </w:p>
        </w:tc>
      </w:tr>
      <w:tr w14:paraId="7118ABE4">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5922ED9A">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253F9EBA">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14:paraId="2ADA8F22">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1FE7F20E">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5FE9EF39">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Calibri" w:eastAsia="仿宋_GB2312" w:cs="Calibri"/>
                <w:color w:val="000000"/>
                <w:kern w:val="0"/>
                <w:szCs w:val="21"/>
                <w:lang w:val="en-US" w:eastAsia="zh-CN"/>
              </w:rPr>
            </w:pPr>
            <w:r>
              <w:rPr>
                <w:rFonts w:hint="eastAsia" w:ascii="仿宋_GB2312" w:hAnsi="Calibri" w:eastAsia="仿宋_GB2312" w:cs="Calibri"/>
                <w:color w:val="000000"/>
                <w:kern w:val="0"/>
                <w:szCs w:val="21"/>
                <w:lang w:val="en-US" w:eastAsia="zh-CN"/>
              </w:rPr>
              <w:t>0</w:t>
            </w:r>
          </w:p>
        </w:tc>
      </w:tr>
      <w:tr w14:paraId="3B624B0E">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2B186AAE">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黑体" w:hAnsi="黑体" w:eastAsia="黑体" w:cs="宋体"/>
                <w:color w:val="000000"/>
                <w:kern w:val="0"/>
                <w:szCs w:val="21"/>
              </w:rPr>
            </w:pPr>
            <w:r>
              <w:rPr>
                <w:rFonts w:hint="eastAsia" w:ascii="黑体" w:hAnsi="黑体" w:eastAsia="黑体" w:cs="宋体"/>
                <w:color w:val="000000"/>
                <w:kern w:val="0"/>
                <w:szCs w:val="21"/>
              </w:rPr>
              <w:t>第二十条第（六）项</w:t>
            </w:r>
          </w:p>
        </w:tc>
      </w:tr>
      <w:tr w14:paraId="3785A2FC">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704D263C">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675E76AF">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14:paraId="2CE59013">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3BB30979">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76F593FA">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0</w:t>
            </w:r>
          </w:p>
        </w:tc>
      </w:tr>
      <w:tr w14:paraId="6B974EA8">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3CF4D513">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2232F588">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0</w:t>
            </w:r>
          </w:p>
        </w:tc>
      </w:tr>
      <w:tr w14:paraId="145F12E4">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3BE76785">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黑体" w:hAnsi="黑体" w:eastAsia="黑体" w:cs="宋体"/>
                <w:color w:val="000000"/>
                <w:kern w:val="0"/>
                <w:szCs w:val="21"/>
              </w:rPr>
            </w:pPr>
            <w:r>
              <w:rPr>
                <w:rFonts w:hint="eastAsia" w:ascii="黑体" w:hAnsi="黑体" w:eastAsia="黑体" w:cs="宋体"/>
                <w:color w:val="000000"/>
                <w:kern w:val="0"/>
                <w:szCs w:val="21"/>
              </w:rPr>
              <w:t>第二十条第（八）项</w:t>
            </w:r>
          </w:p>
        </w:tc>
      </w:tr>
      <w:tr w14:paraId="3705F33E">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78B44532">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433C96F5">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本年收费金额（单位：万元）</w:t>
            </w:r>
          </w:p>
        </w:tc>
      </w:tr>
      <w:tr w14:paraId="414CD654">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28D42F1">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716E13BE">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Calibri" w:eastAsia="仿宋_GB2312" w:cs="Calibri"/>
                <w:color w:val="000000"/>
                <w:kern w:val="0"/>
                <w:szCs w:val="21"/>
                <w:lang w:val="en-US" w:eastAsia="zh-CN"/>
              </w:rPr>
            </w:pPr>
            <w:r>
              <w:rPr>
                <w:rFonts w:hint="eastAsia" w:ascii="仿宋_GB2312" w:hAnsi="Calibri" w:eastAsia="仿宋_GB2312" w:cs="Calibri"/>
                <w:color w:val="000000"/>
                <w:kern w:val="0"/>
                <w:szCs w:val="21"/>
                <w:lang w:val="en-US" w:eastAsia="zh-CN"/>
              </w:rPr>
              <w:t>0.08万元</w:t>
            </w:r>
          </w:p>
        </w:tc>
      </w:tr>
    </w:tbl>
    <w:p w14:paraId="7F5D5108">
      <w:pPr>
        <w:keepNext w:val="0"/>
        <w:keepLines w:val="0"/>
        <w:pageBreakBefore w:val="0"/>
        <w:numPr>
          <w:ilvl w:val="0"/>
          <w:numId w:val="0"/>
        </w:numPr>
        <w:kinsoku/>
        <w:wordWrap/>
        <w:overflowPunct/>
        <w:topLinePunct w:val="0"/>
        <w:autoSpaceDE/>
        <w:autoSpaceDN/>
        <w:bidi w:val="0"/>
        <w:adjustRightInd/>
        <w:snapToGrid/>
        <w:spacing w:line="560" w:lineRule="exact"/>
        <w:ind w:leftChars="200"/>
        <w:textAlignment w:val="auto"/>
        <w:rPr>
          <w:rFonts w:ascii="仿宋_GB2312" w:eastAsia="仿宋_GB2312"/>
          <w:sz w:val="32"/>
          <w:szCs w:val="32"/>
        </w:rPr>
      </w:pPr>
      <w:r>
        <w:rPr>
          <w:rFonts w:hint="eastAsia" w:ascii="黑体" w:hAnsi="黑体" w:eastAsia="黑体" w:cs="黑体"/>
          <w:kern w:val="0"/>
          <w:sz w:val="32"/>
          <w:szCs w:val="32"/>
          <w:lang w:val="en-US" w:eastAsia="zh-CN"/>
        </w:rPr>
        <w:t>三、</w:t>
      </w:r>
      <w:r>
        <w:rPr>
          <w:rFonts w:hint="default" w:ascii="黑体" w:hAnsi="黑体" w:eastAsia="黑体" w:cs="黑体"/>
          <w:kern w:val="0"/>
          <w:sz w:val="32"/>
          <w:szCs w:val="32"/>
          <w:lang w:eastAsia="zh-CN"/>
        </w:rPr>
        <w:t>收到和处理政府信息公开申请情况</w:t>
      </w:r>
    </w:p>
    <w:tbl>
      <w:tblPr>
        <w:tblStyle w:val="3"/>
        <w:tblW w:w="991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829"/>
        <w:gridCol w:w="567"/>
        <w:gridCol w:w="567"/>
        <w:gridCol w:w="731"/>
        <w:gridCol w:w="708"/>
        <w:gridCol w:w="567"/>
        <w:gridCol w:w="851"/>
      </w:tblGrid>
      <w:tr w14:paraId="59C4AC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14:paraId="106727E8">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楷体_GB2312" w:hAnsi="黑体" w:eastAsia="楷体_GB2312"/>
                <w:kern w:val="0"/>
                <w:szCs w:val="21"/>
              </w:rPr>
            </w:pPr>
            <w:r>
              <w:rPr>
                <w:rFonts w:hint="eastAsia" w:ascii="楷体_GB2312" w:hAnsi="黑体" w:eastAsia="楷体_GB2312"/>
                <w:kern w:val="0"/>
                <w:szCs w:val="21"/>
              </w:rPr>
              <w:t>（本列数据的勾稽关系为：第一项加第二项之和，</w:t>
            </w:r>
          </w:p>
          <w:p w14:paraId="0E24A721">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仿宋_GB2312" w:hAnsi="Times New Roman" w:eastAsia="仿宋_GB2312"/>
                <w:szCs w:val="21"/>
              </w:rPr>
            </w:pPr>
            <w:r>
              <w:rPr>
                <w:rFonts w:hint="eastAsia" w:ascii="楷体_GB2312" w:hAnsi="黑体" w:eastAsia="楷体_GB2312"/>
                <w:kern w:val="0"/>
                <w:szCs w:val="21"/>
              </w:rPr>
              <w:t>等于第三项加第四项之和）</w:t>
            </w:r>
          </w:p>
        </w:tc>
        <w:tc>
          <w:tcPr>
            <w:tcW w:w="4820" w:type="dxa"/>
            <w:gridSpan w:val="7"/>
            <w:shd w:val="clear" w:color="auto" w:fill="auto"/>
            <w:tcMar>
              <w:left w:w="108" w:type="dxa"/>
              <w:right w:w="108" w:type="dxa"/>
            </w:tcMar>
            <w:vAlign w:val="center"/>
          </w:tcPr>
          <w:p w14:paraId="05D88786">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黑体" w:hAnsi="黑体" w:eastAsia="黑体"/>
                <w:szCs w:val="21"/>
              </w:rPr>
            </w:pPr>
            <w:r>
              <w:rPr>
                <w:rFonts w:hint="eastAsia" w:ascii="黑体" w:hAnsi="黑体" w:eastAsia="黑体"/>
                <w:kern w:val="0"/>
                <w:szCs w:val="21"/>
              </w:rPr>
              <w:t>申请人情况</w:t>
            </w:r>
          </w:p>
        </w:tc>
      </w:tr>
      <w:tr w14:paraId="2889C8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14:paraId="5C318AF7">
            <w:pPr>
              <w:keepNext w:val="0"/>
              <w:keepLines w:val="0"/>
              <w:pageBreakBefore w:val="0"/>
              <w:kinsoku/>
              <w:wordWrap/>
              <w:overflowPunct/>
              <w:topLinePunct w:val="0"/>
              <w:autoSpaceDE/>
              <w:autoSpaceDN/>
              <w:bidi w:val="0"/>
              <w:adjustRightInd/>
              <w:snapToGrid/>
              <w:spacing w:line="560" w:lineRule="exact"/>
              <w:jc w:val="center"/>
              <w:textAlignment w:val="auto"/>
              <w:rPr>
                <w:rFonts w:ascii="仿宋_GB2312" w:hAnsi="Times New Roman" w:eastAsia="仿宋_GB2312"/>
                <w:szCs w:val="21"/>
              </w:rPr>
            </w:pPr>
          </w:p>
        </w:tc>
        <w:tc>
          <w:tcPr>
            <w:tcW w:w="829" w:type="dxa"/>
            <w:vMerge w:val="restart"/>
            <w:shd w:val="clear" w:color="auto" w:fill="auto"/>
            <w:tcMar>
              <w:left w:w="108" w:type="dxa"/>
              <w:right w:w="108" w:type="dxa"/>
            </w:tcMar>
            <w:vAlign w:val="center"/>
          </w:tcPr>
          <w:p w14:paraId="75EF4A55">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黑体" w:hAnsi="黑体" w:eastAsia="黑体"/>
                <w:szCs w:val="21"/>
              </w:rPr>
            </w:pPr>
            <w:r>
              <w:rPr>
                <w:rFonts w:hint="eastAsia" w:ascii="黑体" w:hAnsi="黑体" w:eastAsia="黑体"/>
                <w:kern w:val="0"/>
                <w:szCs w:val="21"/>
              </w:rPr>
              <w:t>自然人</w:t>
            </w:r>
          </w:p>
        </w:tc>
        <w:tc>
          <w:tcPr>
            <w:tcW w:w="3140" w:type="dxa"/>
            <w:gridSpan w:val="5"/>
            <w:shd w:val="clear" w:color="auto" w:fill="auto"/>
            <w:tcMar>
              <w:left w:w="108" w:type="dxa"/>
              <w:right w:w="108" w:type="dxa"/>
            </w:tcMar>
            <w:vAlign w:val="center"/>
          </w:tcPr>
          <w:p w14:paraId="0547C38E">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黑体" w:hAnsi="黑体" w:eastAsia="黑体"/>
                <w:szCs w:val="21"/>
              </w:rPr>
            </w:pPr>
            <w:r>
              <w:rPr>
                <w:rFonts w:hint="eastAsia" w:ascii="黑体" w:hAnsi="黑体" w:eastAsia="黑体"/>
                <w:kern w:val="0"/>
                <w:szCs w:val="21"/>
              </w:rPr>
              <w:t>法人或其他组织</w:t>
            </w:r>
          </w:p>
        </w:tc>
        <w:tc>
          <w:tcPr>
            <w:tcW w:w="851" w:type="dxa"/>
            <w:vMerge w:val="restart"/>
            <w:shd w:val="clear" w:color="auto" w:fill="auto"/>
            <w:tcMar>
              <w:left w:w="108" w:type="dxa"/>
              <w:right w:w="108" w:type="dxa"/>
            </w:tcMar>
            <w:vAlign w:val="center"/>
          </w:tcPr>
          <w:p w14:paraId="2B231B41">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黑体" w:hAnsi="黑体" w:eastAsia="黑体"/>
                <w:szCs w:val="21"/>
              </w:rPr>
            </w:pPr>
            <w:r>
              <w:rPr>
                <w:rFonts w:hint="eastAsia" w:ascii="黑体" w:hAnsi="黑体" w:eastAsia="黑体"/>
                <w:kern w:val="0"/>
                <w:szCs w:val="21"/>
              </w:rPr>
              <w:t>总计</w:t>
            </w:r>
          </w:p>
        </w:tc>
      </w:tr>
      <w:tr w14:paraId="051349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14:paraId="36431B2F">
            <w:pPr>
              <w:keepNext w:val="0"/>
              <w:keepLines w:val="0"/>
              <w:pageBreakBefore w:val="0"/>
              <w:kinsoku/>
              <w:wordWrap/>
              <w:overflowPunct/>
              <w:topLinePunct w:val="0"/>
              <w:autoSpaceDE/>
              <w:autoSpaceDN/>
              <w:bidi w:val="0"/>
              <w:adjustRightInd/>
              <w:snapToGrid/>
              <w:spacing w:line="560" w:lineRule="exact"/>
              <w:jc w:val="center"/>
              <w:textAlignment w:val="auto"/>
              <w:rPr>
                <w:rFonts w:ascii="仿宋_GB2312" w:hAnsi="Times New Roman" w:eastAsia="仿宋_GB2312"/>
                <w:szCs w:val="21"/>
              </w:rPr>
            </w:pPr>
          </w:p>
        </w:tc>
        <w:tc>
          <w:tcPr>
            <w:tcW w:w="829" w:type="dxa"/>
            <w:vMerge w:val="continue"/>
            <w:shd w:val="clear" w:color="auto" w:fill="auto"/>
            <w:tcMar>
              <w:left w:w="108" w:type="dxa"/>
              <w:right w:w="108" w:type="dxa"/>
            </w:tcMar>
            <w:vAlign w:val="center"/>
          </w:tcPr>
          <w:p w14:paraId="321318F6">
            <w:pPr>
              <w:keepNext w:val="0"/>
              <w:keepLines w:val="0"/>
              <w:pageBreakBefore w:val="0"/>
              <w:kinsoku/>
              <w:wordWrap/>
              <w:overflowPunct/>
              <w:topLinePunct w:val="0"/>
              <w:autoSpaceDE/>
              <w:autoSpaceDN/>
              <w:bidi w:val="0"/>
              <w:adjustRightInd/>
              <w:snapToGrid/>
              <w:spacing w:line="560" w:lineRule="exact"/>
              <w:jc w:val="center"/>
              <w:textAlignment w:val="auto"/>
              <w:rPr>
                <w:rFonts w:ascii="黑体" w:hAnsi="黑体" w:eastAsia="黑体"/>
                <w:szCs w:val="21"/>
              </w:rPr>
            </w:pPr>
          </w:p>
        </w:tc>
        <w:tc>
          <w:tcPr>
            <w:tcW w:w="567" w:type="dxa"/>
            <w:shd w:val="clear" w:color="auto" w:fill="auto"/>
            <w:tcMar>
              <w:left w:w="108" w:type="dxa"/>
              <w:right w:w="108" w:type="dxa"/>
            </w:tcMar>
            <w:vAlign w:val="center"/>
          </w:tcPr>
          <w:p w14:paraId="4130FC26">
            <w:pPr>
              <w:keepNext w:val="0"/>
              <w:keepLines w:val="0"/>
              <w:pageBreakBefore w:val="0"/>
              <w:widowControl/>
              <w:kinsoku/>
              <w:wordWrap/>
              <w:overflowPunct/>
              <w:topLinePunct w:val="0"/>
              <w:autoSpaceDE/>
              <w:autoSpaceDN/>
              <w:bidi w:val="0"/>
              <w:adjustRightInd/>
              <w:snapToGrid/>
              <w:spacing w:line="560" w:lineRule="exact"/>
              <w:ind w:left="-106" w:leftChars="-51" w:right="-107" w:rightChars="-51" w:hanging="1"/>
              <w:jc w:val="center"/>
              <w:textAlignment w:val="auto"/>
              <w:rPr>
                <w:rFonts w:ascii="黑体" w:hAnsi="黑体" w:eastAsia="黑体"/>
                <w:szCs w:val="21"/>
              </w:rPr>
            </w:pPr>
            <w:r>
              <w:rPr>
                <w:rFonts w:hint="eastAsia" w:ascii="黑体" w:hAnsi="黑体" w:eastAsia="黑体"/>
                <w:kern w:val="0"/>
                <w:szCs w:val="21"/>
              </w:rPr>
              <w:t>商业企业</w:t>
            </w:r>
          </w:p>
        </w:tc>
        <w:tc>
          <w:tcPr>
            <w:tcW w:w="567" w:type="dxa"/>
            <w:shd w:val="clear" w:color="auto" w:fill="auto"/>
            <w:tcMar>
              <w:left w:w="108" w:type="dxa"/>
              <w:right w:w="108" w:type="dxa"/>
            </w:tcMar>
            <w:vAlign w:val="center"/>
          </w:tcPr>
          <w:p w14:paraId="121FC6E3">
            <w:pPr>
              <w:keepNext w:val="0"/>
              <w:keepLines w:val="0"/>
              <w:pageBreakBefore w:val="0"/>
              <w:widowControl/>
              <w:kinsoku/>
              <w:wordWrap/>
              <w:overflowPunct/>
              <w:topLinePunct w:val="0"/>
              <w:autoSpaceDE/>
              <w:autoSpaceDN/>
              <w:bidi w:val="0"/>
              <w:adjustRightInd/>
              <w:snapToGrid/>
              <w:spacing w:line="560" w:lineRule="exact"/>
              <w:ind w:left="-107" w:leftChars="-51" w:right="-107" w:rightChars="-51"/>
              <w:jc w:val="center"/>
              <w:textAlignment w:val="auto"/>
              <w:rPr>
                <w:rFonts w:ascii="黑体" w:hAnsi="黑体" w:eastAsia="黑体"/>
                <w:szCs w:val="21"/>
              </w:rPr>
            </w:pPr>
            <w:r>
              <w:rPr>
                <w:rFonts w:hint="eastAsia" w:ascii="黑体" w:hAnsi="黑体" w:eastAsia="黑体"/>
                <w:kern w:val="0"/>
                <w:szCs w:val="21"/>
              </w:rPr>
              <w:t>科研机构</w:t>
            </w:r>
          </w:p>
        </w:tc>
        <w:tc>
          <w:tcPr>
            <w:tcW w:w="731" w:type="dxa"/>
            <w:shd w:val="clear" w:color="auto" w:fill="auto"/>
            <w:tcMar>
              <w:left w:w="108" w:type="dxa"/>
              <w:right w:w="108" w:type="dxa"/>
            </w:tcMar>
            <w:vAlign w:val="center"/>
          </w:tcPr>
          <w:p w14:paraId="3D2EE633">
            <w:pPr>
              <w:keepNext w:val="0"/>
              <w:keepLines w:val="0"/>
              <w:pageBreakBefore w:val="0"/>
              <w:widowControl/>
              <w:kinsoku/>
              <w:wordWrap/>
              <w:overflowPunct/>
              <w:topLinePunct w:val="0"/>
              <w:autoSpaceDE/>
              <w:autoSpaceDN/>
              <w:bidi w:val="0"/>
              <w:adjustRightInd/>
              <w:snapToGrid/>
              <w:spacing w:line="560" w:lineRule="exact"/>
              <w:ind w:left="-107" w:leftChars="-51" w:right="-107" w:rightChars="-51"/>
              <w:jc w:val="center"/>
              <w:textAlignment w:val="auto"/>
              <w:rPr>
                <w:rFonts w:ascii="黑体" w:hAnsi="黑体" w:eastAsia="黑体"/>
                <w:szCs w:val="21"/>
              </w:rPr>
            </w:pPr>
            <w:r>
              <w:rPr>
                <w:rFonts w:hint="eastAsia" w:ascii="黑体" w:hAnsi="黑体" w:eastAsia="黑体"/>
                <w:kern w:val="0"/>
                <w:szCs w:val="21"/>
              </w:rPr>
              <w:t>社会公益组织</w:t>
            </w:r>
          </w:p>
        </w:tc>
        <w:tc>
          <w:tcPr>
            <w:tcW w:w="708" w:type="dxa"/>
            <w:shd w:val="clear" w:color="auto" w:fill="auto"/>
            <w:tcMar>
              <w:left w:w="108" w:type="dxa"/>
              <w:right w:w="108" w:type="dxa"/>
            </w:tcMar>
            <w:vAlign w:val="center"/>
          </w:tcPr>
          <w:p w14:paraId="6A4D2D84">
            <w:pPr>
              <w:keepNext w:val="0"/>
              <w:keepLines w:val="0"/>
              <w:pageBreakBefore w:val="0"/>
              <w:widowControl/>
              <w:kinsoku/>
              <w:wordWrap/>
              <w:overflowPunct/>
              <w:topLinePunct w:val="0"/>
              <w:autoSpaceDE/>
              <w:autoSpaceDN/>
              <w:bidi w:val="0"/>
              <w:adjustRightInd/>
              <w:snapToGrid/>
              <w:spacing w:line="560" w:lineRule="exact"/>
              <w:ind w:left="-106" w:leftChars="-51" w:right="-107" w:rightChars="-51" w:hanging="1"/>
              <w:jc w:val="center"/>
              <w:textAlignment w:val="auto"/>
              <w:rPr>
                <w:rFonts w:ascii="黑体" w:hAnsi="黑体" w:eastAsia="黑体"/>
                <w:szCs w:val="21"/>
              </w:rPr>
            </w:pPr>
            <w:r>
              <w:rPr>
                <w:rFonts w:hint="eastAsia" w:ascii="黑体" w:hAnsi="黑体" w:eastAsia="黑体"/>
                <w:kern w:val="0"/>
                <w:szCs w:val="21"/>
              </w:rPr>
              <w:t>法律服务机构</w:t>
            </w:r>
          </w:p>
        </w:tc>
        <w:tc>
          <w:tcPr>
            <w:tcW w:w="567" w:type="dxa"/>
            <w:shd w:val="clear" w:color="auto" w:fill="auto"/>
            <w:tcMar>
              <w:left w:w="108" w:type="dxa"/>
              <w:right w:w="108" w:type="dxa"/>
            </w:tcMar>
            <w:vAlign w:val="center"/>
          </w:tcPr>
          <w:p w14:paraId="5B197189">
            <w:pPr>
              <w:keepNext w:val="0"/>
              <w:keepLines w:val="0"/>
              <w:pageBreakBefore w:val="0"/>
              <w:widowControl/>
              <w:kinsoku/>
              <w:wordWrap/>
              <w:overflowPunct/>
              <w:topLinePunct w:val="0"/>
              <w:autoSpaceDE/>
              <w:autoSpaceDN/>
              <w:bidi w:val="0"/>
              <w:adjustRightInd/>
              <w:snapToGrid/>
              <w:spacing w:line="560" w:lineRule="exact"/>
              <w:ind w:left="-63" w:leftChars="-30" w:right="-134" w:rightChars="-64"/>
              <w:jc w:val="center"/>
              <w:textAlignment w:val="auto"/>
              <w:rPr>
                <w:rFonts w:ascii="黑体" w:hAnsi="黑体" w:eastAsia="黑体"/>
                <w:szCs w:val="21"/>
              </w:rPr>
            </w:pPr>
            <w:r>
              <w:rPr>
                <w:rFonts w:hint="eastAsia" w:ascii="黑体" w:hAnsi="黑体" w:eastAsia="黑体"/>
                <w:kern w:val="0"/>
                <w:szCs w:val="21"/>
              </w:rPr>
              <w:t>其他</w:t>
            </w:r>
          </w:p>
        </w:tc>
        <w:tc>
          <w:tcPr>
            <w:tcW w:w="851" w:type="dxa"/>
            <w:vMerge w:val="continue"/>
            <w:shd w:val="clear" w:color="auto" w:fill="auto"/>
            <w:tcMar>
              <w:left w:w="108" w:type="dxa"/>
              <w:right w:w="108" w:type="dxa"/>
            </w:tcMar>
            <w:vAlign w:val="center"/>
          </w:tcPr>
          <w:p w14:paraId="64EE03E2">
            <w:pPr>
              <w:keepNext w:val="0"/>
              <w:keepLines w:val="0"/>
              <w:pageBreakBefore w:val="0"/>
              <w:kinsoku/>
              <w:wordWrap/>
              <w:overflowPunct/>
              <w:topLinePunct w:val="0"/>
              <w:autoSpaceDE/>
              <w:autoSpaceDN/>
              <w:bidi w:val="0"/>
              <w:adjustRightInd/>
              <w:snapToGrid/>
              <w:spacing w:line="560" w:lineRule="exact"/>
              <w:jc w:val="center"/>
              <w:textAlignment w:val="auto"/>
              <w:rPr>
                <w:rFonts w:ascii="仿宋_GB2312" w:hAnsi="Times New Roman" w:eastAsia="仿宋_GB2312"/>
                <w:szCs w:val="21"/>
              </w:rPr>
            </w:pPr>
          </w:p>
        </w:tc>
      </w:tr>
      <w:tr w14:paraId="45B6EA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5EBA0080">
            <w:pPr>
              <w:keepNext w:val="0"/>
              <w:keepLines w:val="0"/>
              <w:pageBreakBefore w:val="0"/>
              <w:widowControl/>
              <w:kinsoku/>
              <w:wordWrap/>
              <w:overflowPunct/>
              <w:topLinePunct w:val="0"/>
              <w:autoSpaceDE/>
              <w:autoSpaceDN/>
              <w:bidi w:val="0"/>
              <w:adjustRightInd/>
              <w:snapToGrid/>
              <w:spacing w:line="560" w:lineRule="exact"/>
              <w:textAlignment w:val="auto"/>
              <w:rPr>
                <w:rFonts w:ascii="黑体" w:hAnsi="黑体" w:eastAsia="黑体"/>
                <w:szCs w:val="21"/>
              </w:rPr>
            </w:pPr>
            <w:r>
              <w:rPr>
                <w:rFonts w:hint="eastAsia" w:ascii="黑体" w:hAnsi="黑体" w:eastAsia="黑体"/>
                <w:kern w:val="0"/>
                <w:szCs w:val="21"/>
              </w:rPr>
              <w:t>一、</w:t>
            </w:r>
            <w:bookmarkStart w:id="0" w:name="_Hlk66973412"/>
            <w:r>
              <w:rPr>
                <w:rFonts w:hint="eastAsia" w:ascii="黑体" w:hAnsi="黑体" w:eastAsia="黑体"/>
                <w:kern w:val="0"/>
                <w:szCs w:val="21"/>
              </w:rPr>
              <w:t>本年新收政府信息公开申请数量</w:t>
            </w:r>
            <w:bookmarkEnd w:id="0"/>
          </w:p>
        </w:tc>
        <w:tc>
          <w:tcPr>
            <w:tcW w:w="829" w:type="dxa"/>
            <w:shd w:val="clear" w:color="auto" w:fill="auto"/>
            <w:tcMar>
              <w:left w:w="108" w:type="dxa"/>
              <w:right w:w="108" w:type="dxa"/>
            </w:tcMar>
            <w:vAlign w:val="center"/>
          </w:tcPr>
          <w:p w14:paraId="13DCE899">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2</w:t>
            </w:r>
          </w:p>
        </w:tc>
        <w:tc>
          <w:tcPr>
            <w:tcW w:w="567" w:type="dxa"/>
            <w:shd w:val="clear" w:color="auto" w:fill="auto"/>
            <w:tcMar>
              <w:left w:w="108" w:type="dxa"/>
              <w:right w:w="108" w:type="dxa"/>
            </w:tcMar>
            <w:vAlign w:val="center"/>
          </w:tcPr>
          <w:p w14:paraId="3E8273E7">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25DBBEDC">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14:paraId="06D0C0F4">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14:paraId="34F94B9D">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192639B9">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14:paraId="20BB5975">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仿宋_GB2312" w:hAnsi="Times New Roman" w:eastAsia="仿宋_GB2312"/>
                <w:szCs w:val="21"/>
                <w:lang w:val="en-US" w:eastAsia="zh-CN"/>
              </w:rPr>
            </w:pPr>
            <w:r>
              <w:rPr>
                <w:rFonts w:hint="eastAsia" w:ascii="仿宋_GB2312" w:eastAsia="仿宋_GB2312"/>
                <w:szCs w:val="21"/>
                <w:lang w:val="en-US" w:eastAsia="zh-CN"/>
              </w:rPr>
              <w:t>2</w:t>
            </w:r>
          </w:p>
        </w:tc>
      </w:tr>
      <w:tr w14:paraId="521F70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3F246184">
            <w:pPr>
              <w:keepNext w:val="0"/>
              <w:keepLines w:val="0"/>
              <w:pageBreakBefore w:val="0"/>
              <w:widowControl/>
              <w:kinsoku/>
              <w:wordWrap/>
              <w:overflowPunct/>
              <w:topLinePunct w:val="0"/>
              <w:autoSpaceDE/>
              <w:autoSpaceDN/>
              <w:bidi w:val="0"/>
              <w:adjustRightInd/>
              <w:snapToGrid/>
              <w:spacing w:line="560" w:lineRule="exact"/>
              <w:textAlignment w:val="auto"/>
              <w:rPr>
                <w:rFonts w:ascii="黑体" w:hAnsi="黑体" w:eastAsia="黑体"/>
                <w:szCs w:val="21"/>
              </w:rPr>
            </w:pPr>
            <w:r>
              <w:rPr>
                <w:rFonts w:hint="eastAsia" w:ascii="黑体" w:hAnsi="黑体" w:eastAsia="黑体"/>
                <w:kern w:val="0"/>
                <w:szCs w:val="21"/>
              </w:rPr>
              <w:t>二、上年结转政府信息公开申请数量</w:t>
            </w:r>
          </w:p>
        </w:tc>
        <w:tc>
          <w:tcPr>
            <w:tcW w:w="829" w:type="dxa"/>
            <w:shd w:val="clear" w:color="auto" w:fill="auto"/>
            <w:tcMar>
              <w:left w:w="108" w:type="dxa"/>
              <w:right w:w="108" w:type="dxa"/>
            </w:tcMar>
            <w:vAlign w:val="center"/>
          </w:tcPr>
          <w:p w14:paraId="0A8545B3">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14ED59AA">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3C69CAB0">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14:paraId="56F6936B">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14:paraId="3A2FDD49">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06FB04C7">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14:paraId="28B50899">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r>
      <w:tr w14:paraId="332DBC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14:paraId="460B12F2">
            <w:pPr>
              <w:keepNext w:val="0"/>
              <w:keepLines w:val="0"/>
              <w:pageBreakBefore w:val="0"/>
              <w:widowControl/>
              <w:kinsoku/>
              <w:wordWrap/>
              <w:overflowPunct/>
              <w:topLinePunct w:val="0"/>
              <w:autoSpaceDE/>
              <w:autoSpaceDN/>
              <w:bidi w:val="0"/>
              <w:adjustRightInd/>
              <w:snapToGrid/>
              <w:spacing w:after="180" w:line="560" w:lineRule="exact"/>
              <w:textAlignment w:val="auto"/>
              <w:rPr>
                <w:rFonts w:ascii="黑体" w:hAnsi="黑体" w:eastAsia="黑体"/>
                <w:szCs w:val="21"/>
              </w:rPr>
            </w:pPr>
            <w:r>
              <w:rPr>
                <w:rFonts w:hint="eastAsia" w:ascii="黑体" w:hAnsi="黑体" w:eastAsia="黑体"/>
                <w:kern w:val="0"/>
                <w:szCs w:val="21"/>
              </w:rPr>
              <w:t>三、本年度办理结果</w:t>
            </w:r>
          </w:p>
        </w:tc>
        <w:tc>
          <w:tcPr>
            <w:tcW w:w="4677" w:type="dxa"/>
            <w:gridSpan w:val="2"/>
            <w:shd w:val="clear" w:color="auto" w:fill="auto"/>
            <w:tcMar>
              <w:left w:w="108" w:type="dxa"/>
              <w:right w:w="108" w:type="dxa"/>
            </w:tcMar>
            <w:vAlign w:val="center"/>
          </w:tcPr>
          <w:p w14:paraId="2D34CCA5">
            <w:pPr>
              <w:keepNext w:val="0"/>
              <w:keepLines w:val="0"/>
              <w:pageBreakBefore w:val="0"/>
              <w:widowControl/>
              <w:kinsoku/>
              <w:wordWrap/>
              <w:overflowPunct/>
              <w:topLinePunct w:val="0"/>
              <w:autoSpaceDE/>
              <w:autoSpaceDN/>
              <w:bidi w:val="0"/>
              <w:adjustRightInd/>
              <w:snapToGrid/>
              <w:spacing w:line="560" w:lineRule="exact"/>
              <w:textAlignment w:val="auto"/>
              <w:rPr>
                <w:rFonts w:ascii="黑体" w:hAnsi="黑体" w:eastAsia="黑体"/>
                <w:szCs w:val="21"/>
              </w:rPr>
            </w:pPr>
            <w:r>
              <w:rPr>
                <w:rFonts w:hint="eastAsia" w:ascii="黑体" w:hAnsi="黑体" w:eastAsia="黑体"/>
                <w:kern w:val="0"/>
                <w:szCs w:val="21"/>
              </w:rPr>
              <w:t>（一）予以公开</w:t>
            </w:r>
          </w:p>
        </w:tc>
        <w:tc>
          <w:tcPr>
            <w:tcW w:w="829" w:type="dxa"/>
            <w:shd w:val="clear" w:color="auto" w:fill="auto"/>
            <w:tcMar>
              <w:left w:w="108" w:type="dxa"/>
              <w:right w:w="108" w:type="dxa"/>
            </w:tcMar>
            <w:vAlign w:val="center"/>
          </w:tcPr>
          <w:p w14:paraId="357E5874">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62D28676">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68316D51">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14:paraId="17E51DF4">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14:paraId="331C671E">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5D2F1440">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14:paraId="46B57390">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r>
      <w:tr w14:paraId="3D0432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3BC1D79F">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4677" w:type="dxa"/>
            <w:gridSpan w:val="2"/>
            <w:shd w:val="clear" w:color="auto" w:fill="auto"/>
            <w:tcMar>
              <w:left w:w="108" w:type="dxa"/>
              <w:right w:w="108" w:type="dxa"/>
            </w:tcMar>
            <w:vAlign w:val="center"/>
          </w:tcPr>
          <w:p w14:paraId="07E700B0">
            <w:pPr>
              <w:keepNext w:val="0"/>
              <w:keepLines w:val="0"/>
              <w:pageBreakBefore w:val="0"/>
              <w:widowControl/>
              <w:kinsoku/>
              <w:wordWrap/>
              <w:overflowPunct/>
              <w:topLinePunct w:val="0"/>
              <w:autoSpaceDE/>
              <w:autoSpaceDN/>
              <w:bidi w:val="0"/>
              <w:adjustRightInd/>
              <w:snapToGrid/>
              <w:spacing w:line="560" w:lineRule="exact"/>
              <w:textAlignment w:val="auto"/>
              <w:rPr>
                <w:rFonts w:ascii="黑体" w:hAnsi="黑体" w:eastAsia="黑体"/>
                <w:szCs w:val="21"/>
              </w:rPr>
            </w:pPr>
            <w:r>
              <w:rPr>
                <w:rFonts w:hint="eastAsia" w:ascii="黑体" w:hAnsi="黑体" w:eastAsia="黑体"/>
                <w:kern w:val="0"/>
                <w:szCs w:val="21"/>
              </w:rPr>
              <w:t>（二）部分公开（</w:t>
            </w:r>
            <w:bookmarkStart w:id="1" w:name="_Hlk66973981"/>
            <w:r>
              <w:rPr>
                <w:rFonts w:hint="eastAsia" w:ascii="黑体" w:hAnsi="黑体" w:eastAsia="黑体"/>
                <w:kern w:val="0"/>
                <w:szCs w:val="21"/>
              </w:rPr>
              <w:t>区分处理的，只计这一情形，不计其他情形</w:t>
            </w:r>
            <w:bookmarkEnd w:id="1"/>
            <w:r>
              <w:rPr>
                <w:rFonts w:hint="eastAsia" w:ascii="黑体" w:hAnsi="黑体" w:eastAsia="黑体"/>
                <w:kern w:val="0"/>
                <w:szCs w:val="21"/>
              </w:rPr>
              <w:t>）</w:t>
            </w:r>
          </w:p>
        </w:tc>
        <w:tc>
          <w:tcPr>
            <w:tcW w:w="829" w:type="dxa"/>
            <w:shd w:val="clear" w:color="auto" w:fill="auto"/>
            <w:tcMar>
              <w:left w:w="108" w:type="dxa"/>
              <w:right w:w="108" w:type="dxa"/>
            </w:tcMar>
            <w:vAlign w:val="center"/>
          </w:tcPr>
          <w:p w14:paraId="01C8E232">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1</w:t>
            </w:r>
          </w:p>
        </w:tc>
        <w:tc>
          <w:tcPr>
            <w:tcW w:w="567" w:type="dxa"/>
            <w:shd w:val="clear" w:color="auto" w:fill="auto"/>
            <w:tcMar>
              <w:left w:w="108" w:type="dxa"/>
              <w:right w:w="108" w:type="dxa"/>
            </w:tcMar>
            <w:vAlign w:val="center"/>
          </w:tcPr>
          <w:p w14:paraId="04EB883B">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0F3406AF">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14:paraId="3E36CCD0">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14:paraId="6B63F71C">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08A6F495">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仿宋_GB2312" w:hAnsi="Times New Roman"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14:paraId="34B7A8CE">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1</w:t>
            </w:r>
          </w:p>
        </w:tc>
      </w:tr>
      <w:tr w14:paraId="2D81EDE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30" w:hRule="exact"/>
          <w:jc w:val="center"/>
        </w:trPr>
        <w:tc>
          <w:tcPr>
            <w:tcW w:w="416" w:type="dxa"/>
            <w:vMerge w:val="continue"/>
            <w:shd w:val="clear" w:color="auto" w:fill="auto"/>
            <w:tcMar>
              <w:left w:w="108" w:type="dxa"/>
              <w:right w:w="108" w:type="dxa"/>
            </w:tcMar>
            <w:vAlign w:val="center"/>
          </w:tcPr>
          <w:p w14:paraId="519A5475">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1701" w:type="dxa"/>
            <w:vMerge w:val="restart"/>
            <w:shd w:val="clear" w:color="auto" w:fill="auto"/>
            <w:tcMar>
              <w:left w:w="108" w:type="dxa"/>
              <w:right w:w="108" w:type="dxa"/>
            </w:tcMar>
            <w:vAlign w:val="center"/>
          </w:tcPr>
          <w:p w14:paraId="7345D5A5">
            <w:pPr>
              <w:keepNext w:val="0"/>
              <w:keepLines w:val="0"/>
              <w:pageBreakBefore w:val="0"/>
              <w:widowControl/>
              <w:kinsoku/>
              <w:wordWrap/>
              <w:overflowPunct/>
              <w:topLinePunct w:val="0"/>
              <w:autoSpaceDE/>
              <w:autoSpaceDN/>
              <w:bidi w:val="0"/>
              <w:adjustRightInd/>
              <w:snapToGrid/>
              <w:spacing w:line="560" w:lineRule="exact"/>
              <w:ind w:left="-107" w:leftChars="-51"/>
              <w:textAlignment w:val="auto"/>
              <w:rPr>
                <w:rFonts w:ascii="黑体" w:hAnsi="黑体" w:eastAsia="黑体"/>
                <w:szCs w:val="21"/>
              </w:rPr>
            </w:pPr>
            <w:r>
              <w:rPr>
                <w:rFonts w:hint="eastAsia" w:ascii="黑体" w:hAnsi="黑体" w:eastAsia="黑体"/>
                <w:kern w:val="0"/>
                <w:szCs w:val="21"/>
              </w:rPr>
              <w:t>（三）不予公开</w:t>
            </w:r>
          </w:p>
        </w:tc>
        <w:tc>
          <w:tcPr>
            <w:tcW w:w="2976" w:type="dxa"/>
            <w:shd w:val="clear" w:color="auto" w:fill="auto"/>
            <w:tcMar>
              <w:left w:w="108" w:type="dxa"/>
              <w:right w:w="108" w:type="dxa"/>
            </w:tcMar>
            <w:vAlign w:val="center"/>
          </w:tcPr>
          <w:p w14:paraId="3A4F2795">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ascii="仿宋_GB2312" w:hAnsi="黑体" w:eastAsia="仿宋_GB2312"/>
                <w:kern w:val="0"/>
                <w:szCs w:val="21"/>
              </w:rPr>
            </w:pPr>
            <w:r>
              <w:rPr>
                <w:rFonts w:hint="eastAsia" w:ascii="仿宋_GB2312" w:hAnsi="黑体" w:eastAsia="仿宋_GB2312"/>
                <w:kern w:val="0"/>
                <w:szCs w:val="21"/>
              </w:rPr>
              <w:t>1.属于国家秘密</w:t>
            </w:r>
          </w:p>
        </w:tc>
        <w:tc>
          <w:tcPr>
            <w:tcW w:w="829" w:type="dxa"/>
            <w:shd w:val="clear" w:color="auto" w:fill="auto"/>
            <w:tcMar>
              <w:left w:w="108" w:type="dxa"/>
              <w:right w:w="108" w:type="dxa"/>
            </w:tcMar>
            <w:vAlign w:val="center"/>
          </w:tcPr>
          <w:p w14:paraId="52A95F6D">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6BC5A27E">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4890F608">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14:paraId="067EA547">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14:paraId="0CFF5BC0">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6784B492">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14:paraId="55B5F33D">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r>
      <w:tr w14:paraId="26E0E4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42" w:hRule="exact"/>
          <w:jc w:val="center"/>
        </w:trPr>
        <w:tc>
          <w:tcPr>
            <w:tcW w:w="416" w:type="dxa"/>
            <w:vMerge w:val="continue"/>
            <w:shd w:val="clear" w:color="auto" w:fill="auto"/>
            <w:tcMar>
              <w:left w:w="108" w:type="dxa"/>
              <w:right w:w="108" w:type="dxa"/>
            </w:tcMar>
            <w:vAlign w:val="center"/>
          </w:tcPr>
          <w:p w14:paraId="61F94E4F">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1701" w:type="dxa"/>
            <w:vMerge w:val="continue"/>
            <w:shd w:val="clear" w:color="auto" w:fill="auto"/>
            <w:tcMar>
              <w:left w:w="108" w:type="dxa"/>
              <w:right w:w="108" w:type="dxa"/>
            </w:tcMar>
            <w:vAlign w:val="center"/>
          </w:tcPr>
          <w:p w14:paraId="621CDBB8">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2976" w:type="dxa"/>
            <w:shd w:val="clear" w:color="auto" w:fill="auto"/>
            <w:tcMar>
              <w:left w:w="108" w:type="dxa"/>
              <w:right w:w="108" w:type="dxa"/>
            </w:tcMar>
            <w:vAlign w:val="center"/>
          </w:tcPr>
          <w:p w14:paraId="66A21D54">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ascii="仿宋_GB2312" w:hAnsi="黑体" w:eastAsia="仿宋_GB2312"/>
                <w:kern w:val="0"/>
                <w:szCs w:val="21"/>
              </w:rPr>
            </w:pPr>
            <w:r>
              <w:rPr>
                <w:rFonts w:hint="eastAsia" w:ascii="仿宋_GB2312" w:hAnsi="黑体" w:eastAsia="仿宋_GB2312"/>
                <w:kern w:val="0"/>
                <w:szCs w:val="21"/>
              </w:rPr>
              <w:t>2.</w:t>
            </w:r>
            <w:bookmarkStart w:id="2" w:name="_Hlk66974104"/>
            <w:r>
              <w:rPr>
                <w:rFonts w:hint="eastAsia" w:ascii="仿宋_GB2312" w:hAnsi="黑体" w:eastAsia="仿宋_GB2312"/>
                <w:kern w:val="0"/>
                <w:szCs w:val="21"/>
              </w:rPr>
              <w:t>其他法律行政法规禁止公开</w:t>
            </w:r>
            <w:bookmarkEnd w:id="2"/>
          </w:p>
        </w:tc>
        <w:tc>
          <w:tcPr>
            <w:tcW w:w="829" w:type="dxa"/>
            <w:shd w:val="clear" w:color="auto" w:fill="auto"/>
            <w:tcMar>
              <w:left w:w="108" w:type="dxa"/>
              <w:right w:w="108" w:type="dxa"/>
            </w:tcMar>
            <w:vAlign w:val="center"/>
          </w:tcPr>
          <w:p w14:paraId="49E66433">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2F29E9BD">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57B62D4D">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14:paraId="06E65B17">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14:paraId="29A63E5B">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356BA70F">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14:paraId="512B4241">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r>
      <w:tr w14:paraId="5E8CF0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54" w:hRule="exact"/>
          <w:jc w:val="center"/>
        </w:trPr>
        <w:tc>
          <w:tcPr>
            <w:tcW w:w="416" w:type="dxa"/>
            <w:vMerge w:val="continue"/>
            <w:shd w:val="clear" w:color="auto" w:fill="auto"/>
            <w:tcMar>
              <w:left w:w="108" w:type="dxa"/>
              <w:right w:w="108" w:type="dxa"/>
            </w:tcMar>
            <w:vAlign w:val="center"/>
          </w:tcPr>
          <w:p w14:paraId="15042536">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1701" w:type="dxa"/>
            <w:vMerge w:val="continue"/>
            <w:shd w:val="clear" w:color="auto" w:fill="auto"/>
            <w:tcMar>
              <w:left w:w="108" w:type="dxa"/>
              <w:right w:w="108" w:type="dxa"/>
            </w:tcMar>
            <w:vAlign w:val="center"/>
          </w:tcPr>
          <w:p w14:paraId="1A94F73A">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2976" w:type="dxa"/>
            <w:shd w:val="clear" w:color="auto" w:fill="auto"/>
            <w:tcMar>
              <w:left w:w="108" w:type="dxa"/>
              <w:right w:w="108" w:type="dxa"/>
            </w:tcMar>
            <w:vAlign w:val="center"/>
          </w:tcPr>
          <w:p w14:paraId="41BEC220">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ascii="仿宋_GB2312" w:hAnsi="黑体" w:eastAsia="仿宋_GB2312"/>
                <w:kern w:val="0"/>
                <w:szCs w:val="21"/>
              </w:rPr>
            </w:pPr>
            <w:r>
              <w:rPr>
                <w:rFonts w:hint="eastAsia" w:ascii="仿宋_GB2312" w:hAnsi="黑体" w:eastAsia="仿宋_GB2312"/>
                <w:kern w:val="0"/>
                <w:szCs w:val="21"/>
              </w:rPr>
              <w:t>3.危及“三安全一稳定”</w:t>
            </w:r>
          </w:p>
        </w:tc>
        <w:tc>
          <w:tcPr>
            <w:tcW w:w="829" w:type="dxa"/>
            <w:shd w:val="clear" w:color="auto" w:fill="auto"/>
            <w:tcMar>
              <w:left w:w="108" w:type="dxa"/>
              <w:right w:w="108" w:type="dxa"/>
            </w:tcMar>
            <w:vAlign w:val="center"/>
          </w:tcPr>
          <w:p w14:paraId="357052FC">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30422F56">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11C3FC4D">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14:paraId="3088A82C">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14:paraId="15CA7E5C">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7B511055">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14:paraId="4B96301C">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r>
      <w:tr w14:paraId="5E28A6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18" w:hRule="exact"/>
          <w:jc w:val="center"/>
        </w:trPr>
        <w:tc>
          <w:tcPr>
            <w:tcW w:w="416" w:type="dxa"/>
            <w:vMerge w:val="continue"/>
            <w:shd w:val="clear" w:color="auto" w:fill="auto"/>
            <w:tcMar>
              <w:left w:w="108" w:type="dxa"/>
              <w:right w:w="108" w:type="dxa"/>
            </w:tcMar>
            <w:vAlign w:val="center"/>
          </w:tcPr>
          <w:p w14:paraId="0F6AEA3A">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1701" w:type="dxa"/>
            <w:vMerge w:val="continue"/>
            <w:shd w:val="clear" w:color="auto" w:fill="auto"/>
            <w:tcMar>
              <w:left w:w="108" w:type="dxa"/>
              <w:right w:w="108" w:type="dxa"/>
            </w:tcMar>
            <w:vAlign w:val="center"/>
          </w:tcPr>
          <w:p w14:paraId="095D20F1">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2976" w:type="dxa"/>
            <w:shd w:val="clear" w:color="auto" w:fill="auto"/>
            <w:tcMar>
              <w:left w:w="108" w:type="dxa"/>
              <w:right w:w="108" w:type="dxa"/>
            </w:tcMar>
            <w:vAlign w:val="center"/>
          </w:tcPr>
          <w:p w14:paraId="28DD7794">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ascii="仿宋_GB2312" w:hAnsi="黑体" w:eastAsia="仿宋_GB2312"/>
                <w:kern w:val="0"/>
                <w:szCs w:val="21"/>
              </w:rPr>
            </w:pPr>
            <w:r>
              <w:rPr>
                <w:rFonts w:hint="eastAsia" w:ascii="仿宋_GB2312" w:hAnsi="黑体" w:eastAsia="仿宋_GB2312"/>
                <w:kern w:val="0"/>
                <w:szCs w:val="21"/>
              </w:rPr>
              <w:t>4.</w:t>
            </w:r>
            <w:bookmarkStart w:id="3" w:name="_Hlk66974290"/>
            <w:r>
              <w:rPr>
                <w:rFonts w:hint="eastAsia" w:ascii="仿宋_GB2312" w:hAnsi="黑体" w:eastAsia="仿宋_GB2312"/>
                <w:kern w:val="0"/>
                <w:szCs w:val="21"/>
              </w:rPr>
              <w:t>保护第三方合法权益</w:t>
            </w:r>
            <w:bookmarkEnd w:id="3"/>
          </w:p>
        </w:tc>
        <w:tc>
          <w:tcPr>
            <w:tcW w:w="829" w:type="dxa"/>
            <w:shd w:val="clear" w:color="auto" w:fill="auto"/>
            <w:tcMar>
              <w:left w:w="108" w:type="dxa"/>
              <w:right w:w="108" w:type="dxa"/>
            </w:tcMar>
            <w:vAlign w:val="center"/>
          </w:tcPr>
          <w:p w14:paraId="5F3A5C29">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5364CF26">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15E3FD14">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14:paraId="0CE1097C">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14:paraId="402742E0">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53D720D6">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14:paraId="5EFCA32D">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r>
      <w:tr w14:paraId="4E2007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54" w:hRule="exact"/>
          <w:jc w:val="center"/>
        </w:trPr>
        <w:tc>
          <w:tcPr>
            <w:tcW w:w="416" w:type="dxa"/>
            <w:vMerge w:val="continue"/>
            <w:shd w:val="clear" w:color="auto" w:fill="auto"/>
            <w:tcMar>
              <w:left w:w="108" w:type="dxa"/>
              <w:right w:w="108" w:type="dxa"/>
            </w:tcMar>
            <w:vAlign w:val="center"/>
          </w:tcPr>
          <w:p w14:paraId="32A49D55">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1701" w:type="dxa"/>
            <w:vMerge w:val="continue"/>
            <w:shd w:val="clear" w:color="auto" w:fill="auto"/>
            <w:tcMar>
              <w:left w:w="108" w:type="dxa"/>
              <w:right w:w="108" w:type="dxa"/>
            </w:tcMar>
            <w:vAlign w:val="center"/>
          </w:tcPr>
          <w:p w14:paraId="6B4CD8D8">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2976" w:type="dxa"/>
            <w:shd w:val="clear" w:color="auto" w:fill="auto"/>
            <w:tcMar>
              <w:left w:w="108" w:type="dxa"/>
              <w:right w:w="108" w:type="dxa"/>
            </w:tcMar>
            <w:vAlign w:val="center"/>
          </w:tcPr>
          <w:p w14:paraId="6C99F9F9">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ascii="仿宋_GB2312" w:hAnsi="黑体" w:eastAsia="仿宋_GB2312"/>
                <w:kern w:val="0"/>
                <w:szCs w:val="21"/>
              </w:rPr>
            </w:pPr>
            <w:r>
              <w:rPr>
                <w:rFonts w:hint="eastAsia" w:ascii="仿宋_GB2312" w:hAnsi="黑体" w:eastAsia="仿宋_GB2312"/>
                <w:kern w:val="0"/>
                <w:szCs w:val="21"/>
              </w:rPr>
              <w:t>5.属于三类内部事务信息</w:t>
            </w:r>
          </w:p>
        </w:tc>
        <w:tc>
          <w:tcPr>
            <w:tcW w:w="829" w:type="dxa"/>
            <w:shd w:val="clear" w:color="auto" w:fill="auto"/>
            <w:tcMar>
              <w:left w:w="108" w:type="dxa"/>
              <w:right w:w="108" w:type="dxa"/>
            </w:tcMar>
            <w:vAlign w:val="center"/>
          </w:tcPr>
          <w:p w14:paraId="74245BDE">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64DF0870">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0DE9143F">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14:paraId="454A523F">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14:paraId="0E69BF8D">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2D4C7616">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14:paraId="56E4B4C6">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r>
      <w:tr w14:paraId="0A8A38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30" w:hRule="exact"/>
          <w:jc w:val="center"/>
        </w:trPr>
        <w:tc>
          <w:tcPr>
            <w:tcW w:w="416" w:type="dxa"/>
            <w:vMerge w:val="continue"/>
            <w:shd w:val="clear" w:color="auto" w:fill="auto"/>
            <w:tcMar>
              <w:left w:w="108" w:type="dxa"/>
              <w:right w:w="108" w:type="dxa"/>
            </w:tcMar>
            <w:vAlign w:val="center"/>
          </w:tcPr>
          <w:p w14:paraId="18686711">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1701" w:type="dxa"/>
            <w:vMerge w:val="continue"/>
            <w:shd w:val="clear" w:color="auto" w:fill="auto"/>
            <w:tcMar>
              <w:left w:w="108" w:type="dxa"/>
              <w:right w:w="108" w:type="dxa"/>
            </w:tcMar>
            <w:vAlign w:val="center"/>
          </w:tcPr>
          <w:p w14:paraId="7E522A64">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2976" w:type="dxa"/>
            <w:shd w:val="clear" w:color="auto" w:fill="auto"/>
            <w:tcMar>
              <w:left w:w="108" w:type="dxa"/>
              <w:right w:w="108" w:type="dxa"/>
            </w:tcMar>
            <w:vAlign w:val="center"/>
          </w:tcPr>
          <w:p w14:paraId="0C77C619">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ascii="仿宋_GB2312" w:hAnsi="黑体" w:eastAsia="仿宋_GB2312"/>
                <w:kern w:val="0"/>
                <w:szCs w:val="21"/>
              </w:rPr>
            </w:pPr>
            <w:r>
              <w:rPr>
                <w:rFonts w:hint="eastAsia" w:ascii="仿宋_GB2312" w:hAnsi="黑体" w:eastAsia="仿宋_GB2312"/>
                <w:kern w:val="0"/>
                <w:szCs w:val="21"/>
              </w:rPr>
              <w:t>6.</w:t>
            </w:r>
            <w:bookmarkStart w:id="4" w:name="_Hlk66974555"/>
            <w:r>
              <w:rPr>
                <w:rFonts w:hint="eastAsia" w:ascii="仿宋_GB2312" w:hAnsi="黑体" w:eastAsia="仿宋_GB2312"/>
                <w:kern w:val="0"/>
                <w:szCs w:val="21"/>
              </w:rPr>
              <w:t>属于四类过程性信息</w:t>
            </w:r>
            <w:bookmarkEnd w:id="4"/>
          </w:p>
        </w:tc>
        <w:tc>
          <w:tcPr>
            <w:tcW w:w="829" w:type="dxa"/>
            <w:shd w:val="clear" w:color="auto" w:fill="auto"/>
            <w:tcMar>
              <w:left w:w="108" w:type="dxa"/>
              <w:right w:w="108" w:type="dxa"/>
            </w:tcMar>
            <w:vAlign w:val="center"/>
          </w:tcPr>
          <w:p w14:paraId="33BD9FAD">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4546DB31">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19E4FDB0">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14:paraId="47F785BE">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14:paraId="0398A63C">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3CC64DB2">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14:paraId="5BD93761">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r>
      <w:tr w14:paraId="3E58AA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06" w:hRule="exact"/>
          <w:jc w:val="center"/>
        </w:trPr>
        <w:tc>
          <w:tcPr>
            <w:tcW w:w="416" w:type="dxa"/>
            <w:vMerge w:val="continue"/>
            <w:shd w:val="clear" w:color="auto" w:fill="auto"/>
            <w:tcMar>
              <w:left w:w="108" w:type="dxa"/>
              <w:right w:w="108" w:type="dxa"/>
            </w:tcMar>
            <w:vAlign w:val="center"/>
          </w:tcPr>
          <w:p w14:paraId="18A42229">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1701" w:type="dxa"/>
            <w:vMerge w:val="continue"/>
            <w:shd w:val="clear" w:color="auto" w:fill="auto"/>
            <w:tcMar>
              <w:left w:w="108" w:type="dxa"/>
              <w:right w:w="108" w:type="dxa"/>
            </w:tcMar>
            <w:vAlign w:val="center"/>
          </w:tcPr>
          <w:p w14:paraId="7BEB223E">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2976" w:type="dxa"/>
            <w:shd w:val="clear" w:color="auto" w:fill="auto"/>
            <w:tcMar>
              <w:left w:w="108" w:type="dxa"/>
              <w:right w:w="108" w:type="dxa"/>
            </w:tcMar>
            <w:vAlign w:val="center"/>
          </w:tcPr>
          <w:p w14:paraId="04CA7F05">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ascii="仿宋_GB2312" w:hAnsi="黑体" w:eastAsia="仿宋_GB2312"/>
                <w:kern w:val="0"/>
                <w:szCs w:val="21"/>
              </w:rPr>
            </w:pPr>
            <w:r>
              <w:rPr>
                <w:rFonts w:hint="eastAsia" w:ascii="仿宋_GB2312" w:hAnsi="黑体" w:eastAsia="仿宋_GB2312"/>
                <w:kern w:val="0"/>
                <w:szCs w:val="21"/>
              </w:rPr>
              <w:t>7.属于行政执法案卷</w:t>
            </w:r>
          </w:p>
        </w:tc>
        <w:tc>
          <w:tcPr>
            <w:tcW w:w="829" w:type="dxa"/>
            <w:shd w:val="clear" w:color="auto" w:fill="auto"/>
            <w:tcMar>
              <w:left w:w="108" w:type="dxa"/>
              <w:right w:w="108" w:type="dxa"/>
            </w:tcMar>
            <w:vAlign w:val="center"/>
          </w:tcPr>
          <w:p w14:paraId="4B34D41E">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4295CE17">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2706AD0F">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14:paraId="7C3799AB">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14:paraId="5C9292FE">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4740A02C">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14:paraId="15DC09A5">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r>
      <w:tr w14:paraId="5A41D8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22" w:hRule="exact"/>
          <w:jc w:val="center"/>
        </w:trPr>
        <w:tc>
          <w:tcPr>
            <w:tcW w:w="416" w:type="dxa"/>
            <w:vMerge w:val="continue"/>
            <w:shd w:val="clear" w:color="auto" w:fill="auto"/>
            <w:tcMar>
              <w:left w:w="108" w:type="dxa"/>
              <w:right w:w="108" w:type="dxa"/>
            </w:tcMar>
            <w:vAlign w:val="center"/>
          </w:tcPr>
          <w:p w14:paraId="423667E4">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1701" w:type="dxa"/>
            <w:vMerge w:val="continue"/>
            <w:shd w:val="clear" w:color="auto" w:fill="auto"/>
            <w:tcMar>
              <w:left w:w="108" w:type="dxa"/>
              <w:right w:w="108" w:type="dxa"/>
            </w:tcMar>
            <w:vAlign w:val="center"/>
          </w:tcPr>
          <w:p w14:paraId="163E3695">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2976" w:type="dxa"/>
            <w:shd w:val="clear" w:color="auto" w:fill="auto"/>
            <w:tcMar>
              <w:left w:w="108" w:type="dxa"/>
              <w:right w:w="108" w:type="dxa"/>
            </w:tcMar>
            <w:vAlign w:val="center"/>
          </w:tcPr>
          <w:p w14:paraId="5DA940FB">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ascii="仿宋_GB2312" w:hAnsi="黑体" w:eastAsia="仿宋_GB2312"/>
                <w:kern w:val="0"/>
                <w:szCs w:val="21"/>
              </w:rPr>
            </w:pPr>
            <w:r>
              <w:rPr>
                <w:rFonts w:hint="eastAsia" w:ascii="仿宋_GB2312" w:hAnsi="黑体" w:eastAsia="仿宋_GB2312"/>
                <w:kern w:val="0"/>
                <w:szCs w:val="21"/>
              </w:rPr>
              <w:t>8.</w:t>
            </w:r>
            <w:bookmarkStart w:id="5" w:name="_Hlk66975211"/>
            <w:r>
              <w:rPr>
                <w:rFonts w:hint="eastAsia" w:ascii="仿宋_GB2312" w:hAnsi="黑体" w:eastAsia="仿宋_GB2312"/>
                <w:kern w:val="0"/>
                <w:szCs w:val="21"/>
              </w:rPr>
              <w:t>属于行政查询事项</w:t>
            </w:r>
            <w:bookmarkEnd w:id="5"/>
          </w:p>
        </w:tc>
        <w:tc>
          <w:tcPr>
            <w:tcW w:w="829" w:type="dxa"/>
            <w:shd w:val="clear" w:color="auto" w:fill="auto"/>
            <w:tcMar>
              <w:left w:w="108" w:type="dxa"/>
              <w:right w:w="108" w:type="dxa"/>
            </w:tcMar>
            <w:vAlign w:val="center"/>
          </w:tcPr>
          <w:p w14:paraId="0B784503">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4AF714AC">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7F765725">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14:paraId="142D92CD">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14:paraId="03EFCFC8">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6B11EA43">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14:paraId="158849E0">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r>
      <w:tr w14:paraId="3F8CDE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22" w:hRule="exact"/>
          <w:jc w:val="center"/>
        </w:trPr>
        <w:tc>
          <w:tcPr>
            <w:tcW w:w="416" w:type="dxa"/>
            <w:vMerge w:val="continue"/>
            <w:shd w:val="clear" w:color="auto" w:fill="auto"/>
            <w:tcMar>
              <w:left w:w="108" w:type="dxa"/>
              <w:right w:w="108" w:type="dxa"/>
            </w:tcMar>
            <w:vAlign w:val="center"/>
          </w:tcPr>
          <w:p w14:paraId="743C42FD">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1701" w:type="dxa"/>
            <w:vMerge w:val="restart"/>
            <w:shd w:val="clear" w:color="auto" w:fill="auto"/>
            <w:tcMar>
              <w:left w:w="108" w:type="dxa"/>
              <w:right w:w="108" w:type="dxa"/>
            </w:tcMar>
            <w:vAlign w:val="center"/>
          </w:tcPr>
          <w:p w14:paraId="20FAADF3">
            <w:pPr>
              <w:keepNext w:val="0"/>
              <w:keepLines w:val="0"/>
              <w:pageBreakBefore w:val="0"/>
              <w:widowControl/>
              <w:kinsoku/>
              <w:wordWrap/>
              <w:overflowPunct/>
              <w:topLinePunct w:val="0"/>
              <w:autoSpaceDE/>
              <w:autoSpaceDN/>
              <w:bidi w:val="0"/>
              <w:adjustRightInd/>
              <w:snapToGrid/>
              <w:spacing w:line="560" w:lineRule="exact"/>
              <w:ind w:left="-107" w:leftChars="-51"/>
              <w:textAlignment w:val="auto"/>
              <w:rPr>
                <w:rFonts w:ascii="黑体" w:hAnsi="黑体" w:eastAsia="黑体"/>
                <w:szCs w:val="21"/>
              </w:rPr>
            </w:pPr>
            <w:r>
              <w:rPr>
                <w:rFonts w:hint="eastAsia" w:ascii="黑体" w:hAnsi="黑体" w:eastAsia="黑体"/>
                <w:kern w:val="0"/>
                <w:szCs w:val="21"/>
              </w:rPr>
              <w:t>（四）无法提供</w:t>
            </w:r>
          </w:p>
        </w:tc>
        <w:tc>
          <w:tcPr>
            <w:tcW w:w="2976" w:type="dxa"/>
            <w:shd w:val="clear" w:color="auto" w:fill="auto"/>
            <w:tcMar>
              <w:left w:w="108" w:type="dxa"/>
              <w:right w:w="108" w:type="dxa"/>
            </w:tcMar>
            <w:vAlign w:val="center"/>
          </w:tcPr>
          <w:p w14:paraId="65B9264E">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ascii="仿宋_GB2312" w:hAnsi="黑体" w:eastAsia="仿宋_GB2312"/>
                <w:kern w:val="0"/>
                <w:szCs w:val="21"/>
              </w:rPr>
            </w:pPr>
            <w:r>
              <w:rPr>
                <w:rFonts w:hint="eastAsia" w:ascii="仿宋_GB2312" w:hAnsi="黑体" w:eastAsia="仿宋_GB2312"/>
                <w:kern w:val="0"/>
                <w:szCs w:val="21"/>
              </w:rPr>
              <w:t>1.本机关不掌握相关政府信息</w:t>
            </w:r>
          </w:p>
        </w:tc>
        <w:tc>
          <w:tcPr>
            <w:tcW w:w="829" w:type="dxa"/>
            <w:shd w:val="clear" w:color="auto" w:fill="auto"/>
            <w:tcMar>
              <w:left w:w="108" w:type="dxa"/>
              <w:right w:w="108" w:type="dxa"/>
            </w:tcMar>
            <w:vAlign w:val="center"/>
          </w:tcPr>
          <w:p w14:paraId="67E8CE81">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1</w:t>
            </w:r>
          </w:p>
        </w:tc>
        <w:tc>
          <w:tcPr>
            <w:tcW w:w="567" w:type="dxa"/>
            <w:shd w:val="clear" w:color="auto" w:fill="auto"/>
            <w:tcMar>
              <w:left w:w="108" w:type="dxa"/>
              <w:right w:w="108" w:type="dxa"/>
            </w:tcMar>
            <w:vAlign w:val="center"/>
          </w:tcPr>
          <w:p w14:paraId="0884F764">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4EAFCCC0">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14:paraId="446F6CC4">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14:paraId="223A3266">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1BA35B6E">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14:paraId="47BBCC5C">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color w:val="auto"/>
                <w:szCs w:val="21"/>
                <w:lang w:val="en-US" w:eastAsia="zh-CN"/>
              </w:rPr>
              <w:t>1</w:t>
            </w:r>
          </w:p>
        </w:tc>
      </w:tr>
      <w:tr w14:paraId="7923E6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34" w:hRule="exact"/>
          <w:jc w:val="center"/>
        </w:trPr>
        <w:tc>
          <w:tcPr>
            <w:tcW w:w="416" w:type="dxa"/>
            <w:vMerge w:val="continue"/>
            <w:shd w:val="clear" w:color="auto" w:fill="auto"/>
            <w:tcMar>
              <w:left w:w="108" w:type="dxa"/>
              <w:right w:w="108" w:type="dxa"/>
            </w:tcMar>
            <w:vAlign w:val="center"/>
          </w:tcPr>
          <w:p w14:paraId="723DE5ED">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1701" w:type="dxa"/>
            <w:vMerge w:val="continue"/>
            <w:shd w:val="clear" w:color="auto" w:fill="auto"/>
            <w:tcMar>
              <w:left w:w="108" w:type="dxa"/>
              <w:right w:w="108" w:type="dxa"/>
            </w:tcMar>
            <w:vAlign w:val="center"/>
          </w:tcPr>
          <w:p w14:paraId="4F10E1A8">
            <w:pPr>
              <w:keepNext w:val="0"/>
              <w:keepLines w:val="0"/>
              <w:pageBreakBefore w:val="0"/>
              <w:kinsoku/>
              <w:wordWrap/>
              <w:overflowPunct/>
              <w:topLinePunct w:val="0"/>
              <w:autoSpaceDE/>
              <w:autoSpaceDN/>
              <w:bidi w:val="0"/>
              <w:adjustRightInd/>
              <w:snapToGrid/>
              <w:spacing w:line="560" w:lineRule="exact"/>
              <w:ind w:left="-107" w:leftChars="-51"/>
              <w:textAlignment w:val="auto"/>
              <w:rPr>
                <w:rFonts w:ascii="黑体" w:hAnsi="黑体" w:eastAsia="黑体"/>
                <w:szCs w:val="21"/>
              </w:rPr>
            </w:pPr>
          </w:p>
        </w:tc>
        <w:tc>
          <w:tcPr>
            <w:tcW w:w="2976" w:type="dxa"/>
            <w:shd w:val="clear" w:color="auto" w:fill="auto"/>
            <w:tcMar>
              <w:left w:w="108" w:type="dxa"/>
              <w:right w:w="108" w:type="dxa"/>
            </w:tcMar>
            <w:vAlign w:val="center"/>
          </w:tcPr>
          <w:p w14:paraId="4DDDEB60">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ascii="仿宋_GB2312" w:hAnsi="黑体" w:eastAsia="仿宋_GB2312"/>
                <w:kern w:val="0"/>
                <w:szCs w:val="21"/>
              </w:rPr>
            </w:pPr>
            <w:r>
              <w:rPr>
                <w:rFonts w:hint="eastAsia" w:ascii="仿宋_GB2312" w:hAnsi="黑体" w:eastAsia="仿宋_GB2312"/>
                <w:kern w:val="0"/>
                <w:szCs w:val="21"/>
              </w:rPr>
              <w:t>2.</w:t>
            </w:r>
            <w:bookmarkStart w:id="6" w:name="_Hlk66975392"/>
            <w:r>
              <w:rPr>
                <w:rFonts w:hint="eastAsia" w:ascii="仿宋_GB2312" w:hAnsi="黑体" w:eastAsia="仿宋_GB2312"/>
                <w:kern w:val="0"/>
                <w:szCs w:val="21"/>
              </w:rPr>
              <w:t>没有现成信息需要另行制作</w:t>
            </w:r>
            <w:bookmarkEnd w:id="6"/>
          </w:p>
        </w:tc>
        <w:tc>
          <w:tcPr>
            <w:tcW w:w="829" w:type="dxa"/>
            <w:shd w:val="clear" w:color="auto" w:fill="auto"/>
            <w:tcMar>
              <w:left w:w="108" w:type="dxa"/>
              <w:right w:w="108" w:type="dxa"/>
            </w:tcMar>
            <w:vAlign w:val="center"/>
          </w:tcPr>
          <w:p w14:paraId="0F97AD11">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2BD9300D">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378FEB49">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14:paraId="59E8BB3E">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14:paraId="6ACFBFA3">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0AB568D2">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14:paraId="1F76CF54">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r>
      <w:tr w14:paraId="374C75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6" w:hRule="exact"/>
          <w:jc w:val="center"/>
        </w:trPr>
        <w:tc>
          <w:tcPr>
            <w:tcW w:w="416" w:type="dxa"/>
            <w:vMerge w:val="continue"/>
            <w:shd w:val="clear" w:color="auto" w:fill="auto"/>
            <w:tcMar>
              <w:left w:w="108" w:type="dxa"/>
              <w:right w:w="108" w:type="dxa"/>
            </w:tcMar>
            <w:vAlign w:val="center"/>
          </w:tcPr>
          <w:p w14:paraId="708D34FB">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1701" w:type="dxa"/>
            <w:vMerge w:val="continue"/>
            <w:shd w:val="clear" w:color="auto" w:fill="auto"/>
            <w:tcMar>
              <w:left w:w="108" w:type="dxa"/>
              <w:right w:w="108" w:type="dxa"/>
            </w:tcMar>
            <w:vAlign w:val="center"/>
          </w:tcPr>
          <w:p w14:paraId="3C60A8FE">
            <w:pPr>
              <w:keepNext w:val="0"/>
              <w:keepLines w:val="0"/>
              <w:pageBreakBefore w:val="0"/>
              <w:kinsoku/>
              <w:wordWrap/>
              <w:overflowPunct/>
              <w:topLinePunct w:val="0"/>
              <w:autoSpaceDE/>
              <w:autoSpaceDN/>
              <w:bidi w:val="0"/>
              <w:adjustRightInd/>
              <w:snapToGrid/>
              <w:spacing w:line="560" w:lineRule="exact"/>
              <w:ind w:left="-107" w:leftChars="-51"/>
              <w:textAlignment w:val="auto"/>
              <w:rPr>
                <w:rFonts w:ascii="黑体" w:hAnsi="黑体" w:eastAsia="黑体"/>
                <w:szCs w:val="21"/>
              </w:rPr>
            </w:pPr>
          </w:p>
        </w:tc>
        <w:tc>
          <w:tcPr>
            <w:tcW w:w="2976" w:type="dxa"/>
            <w:shd w:val="clear" w:color="auto" w:fill="auto"/>
            <w:tcMar>
              <w:left w:w="108" w:type="dxa"/>
              <w:right w:w="108" w:type="dxa"/>
            </w:tcMar>
            <w:vAlign w:val="center"/>
          </w:tcPr>
          <w:p w14:paraId="28B71875">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ascii="仿宋_GB2312" w:hAnsi="黑体" w:eastAsia="仿宋_GB2312"/>
                <w:kern w:val="0"/>
                <w:szCs w:val="21"/>
              </w:rPr>
            </w:pPr>
            <w:r>
              <w:rPr>
                <w:rFonts w:hint="eastAsia" w:ascii="仿宋_GB2312" w:hAnsi="黑体" w:eastAsia="仿宋_GB2312"/>
                <w:kern w:val="0"/>
                <w:szCs w:val="21"/>
              </w:rPr>
              <w:t>3.</w:t>
            </w:r>
            <w:bookmarkStart w:id="7" w:name="_Hlk66975466"/>
            <w:r>
              <w:rPr>
                <w:rFonts w:hint="eastAsia" w:ascii="仿宋_GB2312" w:hAnsi="黑体" w:eastAsia="仿宋_GB2312"/>
                <w:kern w:val="0"/>
                <w:szCs w:val="21"/>
              </w:rPr>
              <w:t>补正后申请内容仍不明确</w:t>
            </w:r>
            <w:bookmarkEnd w:id="7"/>
          </w:p>
        </w:tc>
        <w:tc>
          <w:tcPr>
            <w:tcW w:w="829" w:type="dxa"/>
            <w:shd w:val="clear" w:color="auto" w:fill="auto"/>
            <w:tcMar>
              <w:left w:w="108" w:type="dxa"/>
              <w:right w:w="108" w:type="dxa"/>
            </w:tcMar>
            <w:vAlign w:val="center"/>
          </w:tcPr>
          <w:p w14:paraId="3EEEAB6A">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4B5BDB82">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5EA08A39">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14:paraId="71E95C2F">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14:paraId="6AA99B71">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4F3440E7">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14:paraId="46C00F63">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r>
      <w:tr w14:paraId="18B297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58" w:hRule="exact"/>
          <w:jc w:val="center"/>
        </w:trPr>
        <w:tc>
          <w:tcPr>
            <w:tcW w:w="416" w:type="dxa"/>
            <w:vMerge w:val="continue"/>
            <w:shd w:val="clear" w:color="auto" w:fill="auto"/>
            <w:tcMar>
              <w:left w:w="108" w:type="dxa"/>
              <w:right w:w="108" w:type="dxa"/>
            </w:tcMar>
            <w:vAlign w:val="center"/>
          </w:tcPr>
          <w:p w14:paraId="2277B521">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1701" w:type="dxa"/>
            <w:vMerge w:val="restart"/>
            <w:shd w:val="clear" w:color="auto" w:fill="auto"/>
            <w:tcMar>
              <w:left w:w="108" w:type="dxa"/>
              <w:right w:w="108" w:type="dxa"/>
            </w:tcMar>
            <w:vAlign w:val="center"/>
          </w:tcPr>
          <w:p w14:paraId="2324D534">
            <w:pPr>
              <w:keepNext w:val="0"/>
              <w:keepLines w:val="0"/>
              <w:pageBreakBefore w:val="0"/>
              <w:widowControl/>
              <w:kinsoku/>
              <w:wordWrap/>
              <w:overflowPunct/>
              <w:topLinePunct w:val="0"/>
              <w:autoSpaceDE/>
              <w:autoSpaceDN/>
              <w:bidi w:val="0"/>
              <w:adjustRightInd/>
              <w:snapToGrid/>
              <w:spacing w:line="560" w:lineRule="exact"/>
              <w:ind w:left="-107" w:leftChars="-51"/>
              <w:textAlignment w:val="auto"/>
              <w:rPr>
                <w:rFonts w:ascii="黑体" w:hAnsi="黑体" w:eastAsia="黑体"/>
                <w:szCs w:val="21"/>
              </w:rPr>
            </w:pPr>
            <w:r>
              <w:rPr>
                <w:rFonts w:hint="eastAsia" w:ascii="黑体" w:hAnsi="黑体" w:eastAsia="黑体"/>
                <w:kern w:val="0"/>
                <w:szCs w:val="21"/>
              </w:rPr>
              <w:t>（五）不予处理</w:t>
            </w:r>
          </w:p>
        </w:tc>
        <w:tc>
          <w:tcPr>
            <w:tcW w:w="2976" w:type="dxa"/>
            <w:shd w:val="clear" w:color="auto" w:fill="auto"/>
            <w:tcMar>
              <w:left w:w="108" w:type="dxa"/>
              <w:right w:w="108" w:type="dxa"/>
            </w:tcMar>
            <w:vAlign w:val="center"/>
          </w:tcPr>
          <w:p w14:paraId="1ADBF58C">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ascii="仿宋_GB2312" w:hAnsi="黑体" w:eastAsia="仿宋_GB2312"/>
                <w:kern w:val="0"/>
                <w:szCs w:val="21"/>
              </w:rPr>
            </w:pPr>
            <w:r>
              <w:rPr>
                <w:rFonts w:hint="eastAsia" w:ascii="仿宋_GB2312" w:hAnsi="黑体" w:eastAsia="仿宋_GB2312"/>
                <w:kern w:val="0"/>
                <w:szCs w:val="21"/>
              </w:rPr>
              <w:t>1.</w:t>
            </w:r>
            <w:bookmarkStart w:id="8" w:name="_Hlk66975537"/>
            <w:r>
              <w:rPr>
                <w:rFonts w:hint="eastAsia" w:ascii="仿宋_GB2312" w:hAnsi="黑体" w:eastAsia="仿宋_GB2312"/>
                <w:kern w:val="0"/>
                <w:szCs w:val="21"/>
              </w:rPr>
              <w:t>信访举报投诉类申请</w:t>
            </w:r>
            <w:bookmarkEnd w:id="8"/>
          </w:p>
        </w:tc>
        <w:tc>
          <w:tcPr>
            <w:tcW w:w="829" w:type="dxa"/>
            <w:shd w:val="clear" w:color="auto" w:fill="auto"/>
            <w:tcMar>
              <w:left w:w="108" w:type="dxa"/>
              <w:right w:w="108" w:type="dxa"/>
            </w:tcMar>
            <w:vAlign w:val="center"/>
          </w:tcPr>
          <w:p w14:paraId="66D5A995">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505F8256">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3E5E06E0">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14:paraId="5650A02F">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14:paraId="28627C45">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09C298A6">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14:paraId="6DC59BEA">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r>
      <w:tr w14:paraId="629FBE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02" w:hRule="exact"/>
          <w:jc w:val="center"/>
        </w:trPr>
        <w:tc>
          <w:tcPr>
            <w:tcW w:w="416" w:type="dxa"/>
            <w:vMerge w:val="continue"/>
            <w:shd w:val="clear" w:color="auto" w:fill="auto"/>
            <w:tcMar>
              <w:left w:w="108" w:type="dxa"/>
              <w:right w:w="108" w:type="dxa"/>
            </w:tcMar>
            <w:vAlign w:val="center"/>
          </w:tcPr>
          <w:p w14:paraId="21DEFC25">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1701" w:type="dxa"/>
            <w:vMerge w:val="continue"/>
            <w:shd w:val="clear" w:color="auto" w:fill="auto"/>
            <w:tcMar>
              <w:left w:w="108" w:type="dxa"/>
              <w:right w:w="108" w:type="dxa"/>
            </w:tcMar>
            <w:vAlign w:val="center"/>
          </w:tcPr>
          <w:p w14:paraId="347BF8F1">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2976" w:type="dxa"/>
            <w:shd w:val="clear" w:color="auto" w:fill="auto"/>
            <w:tcMar>
              <w:left w:w="108" w:type="dxa"/>
              <w:right w:w="108" w:type="dxa"/>
            </w:tcMar>
            <w:vAlign w:val="center"/>
          </w:tcPr>
          <w:p w14:paraId="066A11B5">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ascii="仿宋_GB2312" w:hAnsi="黑体" w:eastAsia="仿宋_GB2312"/>
                <w:kern w:val="0"/>
                <w:szCs w:val="21"/>
              </w:rPr>
            </w:pPr>
            <w:r>
              <w:rPr>
                <w:rFonts w:hint="eastAsia" w:ascii="仿宋_GB2312" w:hAnsi="黑体" w:eastAsia="仿宋_GB2312"/>
                <w:kern w:val="0"/>
                <w:szCs w:val="21"/>
              </w:rPr>
              <w:t>2.重复申请</w:t>
            </w:r>
          </w:p>
        </w:tc>
        <w:tc>
          <w:tcPr>
            <w:tcW w:w="829" w:type="dxa"/>
            <w:shd w:val="clear" w:color="auto" w:fill="auto"/>
            <w:tcMar>
              <w:left w:w="108" w:type="dxa"/>
              <w:right w:w="108" w:type="dxa"/>
            </w:tcMar>
            <w:vAlign w:val="center"/>
          </w:tcPr>
          <w:p w14:paraId="007A763F">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1773E46F">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2FA6CC8D">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14:paraId="62D140C8">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14:paraId="2E7565AC">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5EEFDFAA">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14:paraId="4F77C4F1">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r>
      <w:tr w14:paraId="683DF5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50" w:hRule="exact"/>
          <w:jc w:val="center"/>
        </w:trPr>
        <w:tc>
          <w:tcPr>
            <w:tcW w:w="416" w:type="dxa"/>
            <w:vMerge w:val="continue"/>
            <w:shd w:val="clear" w:color="auto" w:fill="auto"/>
            <w:tcMar>
              <w:left w:w="108" w:type="dxa"/>
              <w:right w:w="108" w:type="dxa"/>
            </w:tcMar>
            <w:vAlign w:val="center"/>
          </w:tcPr>
          <w:p w14:paraId="212D934B">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1701" w:type="dxa"/>
            <w:vMerge w:val="continue"/>
            <w:shd w:val="clear" w:color="auto" w:fill="auto"/>
            <w:tcMar>
              <w:left w:w="108" w:type="dxa"/>
              <w:right w:w="108" w:type="dxa"/>
            </w:tcMar>
            <w:vAlign w:val="center"/>
          </w:tcPr>
          <w:p w14:paraId="5FBE08B8">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2976" w:type="dxa"/>
            <w:shd w:val="clear" w:color="auto" w:fill="auto"/>
            <w:tcMar>
              <w:left w:w="108" w:type="dxa"/>
              <w:right w:w="108" w:type="dxa"/>
            </w:tcMar>
            <w:vAlign w:val="center"/>
          </w:tcPr>
          <w:p w14:paraId="43F8CF6F">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ascii="仿宋_GB2312" w:hAnsi="黑体" w:eastAsia="仿宋_GB2312"/>
                <w:szCs w:val="21"/>
              </w:rPr>
            </w:pPr>
            <w:r>
              <w:rPr>
                <w:rFonts w:hint="eastAsia" w:ascii="仿宋_GB2312" w:hAnsi="黑体" w:eastAsia="仿宋_GB2312"/>
                <w:kern w:val="0"/>
                <w:szCs w:val="21"/>
              </w:rPr>
              <w:t>3.要求提供公开出版物</w:t>
            </w:r>
          </w:p>
        </w:tc>
        <w:tc>
          <w:tcPr>
            <w:tcW w:w="829" w:type="dxa"/>
            <w:shd w:val="clear" w:color="auto" w:fill="auto"/>
            <w:tcMar>
              <w:left w:w="108" w:type="dxa"/>
              <w:right w:w="108" w:type="dxa"/>
            </w:tcMar>
            <w:vAlign w:val="center"/>
          </w:tcPr>
          <w:p w14:paraId="53072FC7">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3A33F21B">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31DEDA43">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14:paraId="2E0F17F2">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14:paraId="4AD92764">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2052496B">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14:paraId="7D39C31C">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r>
      <w:tr w14:paraId="788DCD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9" w:hRule="exact"/>
          <w:jc w:val="center"/>
        </w:trPr>
        <w:tc>
          <w:tcPr>
            <w:tcW w:w="416" w:type="dxa"/>
            <w:vMerge w:val="continue"/>
            <w:shd w:val="clear" w:color="auto" w:fill="auto"/>
            <w:tcMar>
              <w:left w:w="108" w:type="dxa"/>
              <w:right w:w="108" w:type="dxa"/>
            </w:tcMar>
            <w:vAlign w:val="center"/>
          </w:tcPr>
          <w:p w14:paraId="3A7FFB98">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1701" w:type="dxa"/>
            <w:vMerge w:val="continue"/>
            <w:shd w:val="clear" w:color="auto" w:fill="auto"/>
            <w:tcMar>
              <w:left w:w="108" w:type="dxa"/>
              <w:right w:w="108" w:type="dxa"/>
            </w:tcMar>
            <w:vAlign w:val="center"/>
          </w:tcPr>
          <w:p w14:paraId="2E5B4FFB">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2976" w:type="dxa"/>
            <w:shd w:val="clear" w:color="auto" w:fill="auto"/>
            <w:tcMar>
              <w:left w:w="108" w:type="dxa"/>
              <w:right w:w="108" w:type="dxa"/>
            </w:tcMar>
            <w:vAlign w:val="center"/>
          </w:tcPr>
          <w:p w14:paraId="65DFAFA1">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ascii="仿宋_GB2312" w:hAnsi="黑体" w:eastAsia="仿宋_GB2312"/>
                <w:szCs w:val="21"/>
              </w:rPr>
            </w:pPr>
            <w:r>
              <w:rPr>
                <w:rFonts w:hint="eastAsia" w:ascii="仿宋_GB2312" w:hAnsi="黑体" w:eastAsia="仿宋_GB2312"/>
                <w:kern w:val="0"/>
                <w:szCs w:val="21"/>
              </w:rPr>
              <w:t>4.无正当理由大量反复申请</w:t>
            </w:r>
          </w:p>
        </w:tc>
        <w:tc>
          <w:tcPr>
            <w:tcW w:w="829" w:type="dxa"/>
            <w:shd w:val="clear" w:color="auto" w:fill="auto"/>
            <w:tcMar>
              <w:left w:w="108" w:type="dxa"/>
              <w:right w:w="108" w:type="dxa"/>
            </w:tcMar>
            <w:vAlign w:val="center"/>
          </w:tcPr>
          <w:p w14:paraId="041D0581">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0553F65E">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6AD3B4A9">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14:paraId="098E0178">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14:paraId="079DA6DE">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0B45F02E">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14:paraId="3BD1A58B">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r>
      <w:tr w14:paraId="6FAC8B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002" w:hRule="atLeast"/>
          <w:jc w:val="center"/>
        </w:trPr>
        <w:tc>
          <w:tcPr>
            <w:tcW w:w="416" w:type="dxa"/>
            <w:vMerge w:val="continue"/>
            <w:shd w:val="clear" w:color="auto" w:fill="auto"/>
            <w:tcMar>
              <w:left w:w="108" w:type="dxa"/>
              <w:right w:w="108" w:type="dxa"/>
            </w:tcMar>
            <w:vAlign w:val="center"/>
          </w:tcPr>
          <w:p w14:paraId="292BA37E">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1701" w:type="dxa"/>
            <w:vMerge w:val="continue"/>
            <w:shd w:val="clear" w:color="auto" w:fill="auto"/>
            <w:tcMar>
              <w:left w:w="108" w:type="dxa"/>
              <w:right w:w="108" w:type="dxa"/>
            </w:tcMar>
            <w:vAlign w:val="center"/>
          </w:tcPr>
          <w:p w14:paraId="36FA9B35">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2976" w:type="dxa"/>
            <w:shd w:val="clear" w:color="auto" w:fill="auto"/>
            <w:tcMar>
              <w:left w:w="108" w:type="dxa"/>
              <w:right w:w="108" w:type="dxa"/>
            </w:tcMar>
            <w:vAlign w:val="center"/>
          </w:tcPr>
          <w:p w14:paraId="0166FC50">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ascii="仿宋_GB2312" w:hAnsi="黑体" w:eastAsia="仿宋_GB2312"/>
                <w:kern w:val="0"/>
                <w:szCs w:val="21"/>
              </w:rPr>
            </w:pPr>
            <w:r>
              <w:rPr>
                <w:rFonts w:hint="eastAsia" w:ascii="仿宋_GB2312" w:hAnsi="黑体" w:eastAsia="仿宋_GB2312"/>
                <w:kern w:val="0"/>
                <w:szCs w:val="21"/>
              </w:rPr>
              <w:t>5.要求行政机关确认或重新</w:t>
            </w:r>
          </w:p>
          <w:p w14:paraId="76C0D3C0">
            <w:pPr>
              <w:keepNext w:val="0"/>
              <w:keepLines w:val="0"/>
              <w:pageBreakBefore w:val="0"/>
              <w:widowControl/>
              <w:kinsoku/>
              <w:wordWrap/>
              <w:overflowPunct/>
              <w:topLinePunct w:val="0"/>
              <w:autoSpaceDE/>
              <w:autoSpaceDN/>
              <w:bidi w:val="0"/>
              <w:adjustRightInd/>
              <w:snapToGrid/>
              <w:spacing w:line="560" w:lineRule="exact"/>
              <w:ind w:firstLine="210" w:firstLineChars="100"/>
              <w:jc w:val="both"/>
              <w:textAlignment w:val="auto"/>
              <w:rPr>
                <w:rFonts w:ascii="仿宋_GB2312" w:hAnsi="黑体" w:eastAsia="仿宋_GB2312"/>
                <w:szCs w:val="21"/>
              </w:rPr>
            </w:pPr>
            <w:r>
              <w:rPr>
                <w:rFonts w:hint="eastAsia" w:ascii="仿宋_GB2312" w:hAnsi="黑体" w:eastAsia="仿宋_GB2312"/>
                <w:kern w:val="0"/>
                <w:szCs w:val="21"/>
              </w:rPr>
              <w:t>出具已获取信息</w:t>
            </w:r>
          </w:p>
        </w:tc>
        <w:tc>
          <w:tcPr>
            <w:tcW w:w="829" w:type="dxa"/>
            <w:shd w:val="clear" w:color="auto" w:fill="auto"/>
            <w:tcMar>
              <w:left w:w="108" w:type="dxa"/>
              <w:right w:w="108" w:type="dxa"/>
            </w:tcMar>
            <w:vAlign w:val="center"/>
          </w:tcPr>
          <w:p w14:paraId="3D186E56">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7DC709F9">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5FA36EA5">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14:paraId="5F3E258F">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14:paraId="3DC0A268">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3BA71CFA">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14:paraId="5E3F55D5">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r>
      <w:tr w14:paraId="506B87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4C06A317">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1701" w:type="dxa"/>
            <w:vMerge w:val="restart"/>
            <w:shd w:val="clear" w:color="auto" w:fill="auto"/>
            <w:tcMar>
              <w:left w:w="108" w:type="dxa"/>
              <w:right w:w="108" w:type="dxa"/>
            </w:tcMar>
            <w:vAlign w:val="center"/>
          </w:tcPr>
          <w:p w14:paraId="7C74CCA3">
            <w:pPr>
              <w:keepNext w:val="0"/>
              <w:keepLines w:val="0"/>
              <w:pageBreakBefore w:val="0"/>
              <w:widowControl/>
              <w:kinsoku/>
              <w:wordWrap/>
              <w:overflowPunct/>
              <w:topLinePunct w:val="0"/>
              <w:autoSpaceDE/>
              <w:autoSpaceDN/>
              <w:bidi w:val="0"/>
              <w:adjustRightInd/>
              <w:snapToGrid/>
              <w:spacing w:line="560" w:lineRule="exact"/>
              <w:textAlignment w:val="auto"/>
              <w:rPr>
                <w:rFonts w:ascii="黑体" w:hAnsi="黑体" w:eastAsia="黑体"/>
                <w:kern w:val="0"/>
                <w:szCs w:val="21"/>
              </w:rPr>
            </w:pPr>
            <w:r>
              <w:rPr>
                <w:rFonts w:hint="eastAsia" w:ascii="黑体" w:hAnsi="黑体" w:eastAsia="黑体"/>
                <w:kern w:val="0"/>
                <w:szCs w:val="21"/>
              </w:rPr>
              <w:t>（六）其他处理</w:t>
            </w:r>
          </w:p>
        </w:tc>
        <w:tc>
          <w:tcPr>
            <w:tcW w:w="2976" w:type="dxa"/>
            <w:shd w:val="clear" w:color="auto" w:fill="auto"/>
            <w:vAlign w:val="center"/>
          </w:tcPr>
          <w:p w14:paraId="495BA192">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ascii="仿宋_GB2312" w:hAnsi="楷体" w:eastAsia="仿宋_GB2312"/>
              </w:rPr>
            </w:pPr>
            <w:r>
              <w:rPr>
                <w:rFonts w:hint="eastAsia" w:ascii="仿宋_GB2312" w:hAnsi="楷体" w:eastAsia="仿宋_GB2312"/>
              </w:rPr>
              <w:t>1.申请人无正当理由逾期不补正、行政机关不再处理其政府信息公开申请</w:t>
            </w:r>
          </w:p>
        </w:tc>
        <w:tc>
          <w:tcPr>
            <w:tcW w:w="829" w:type="dxa"/>
            <w:shd w:val="clear" w:color="auto" w:fill="auto"/>
            <w:tcMar>
              <w:left w:w="108" w:type="dxa"/>
              <w:right w:w="108" w:type="dxa"/>
            </w:tcMar>
            <w:vAlign w:val="center"/>
          </w:tcPr>
          <w:p w14:paraId="178D969F">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518A95AF">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5D8B5093">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14:paraId="782A8610">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14:paraId="1CF0711C">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60644BA5">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14:paraId="78A6A174">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r>
      <w:tr w14:paraId="28DBF2F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1EEE5C84">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1701" w:type="dxa"/>
            <w:vMerge w:val="continue"/>
            <w:shd w:val="clear" w:color="auto" w:fill="auto"/>
            <w:tcMar>
              <w:left w:w="108" w:type="dxa"/>
              <w:right w:w="108" w:type="dxa"/>
            </w:tcMar>
            <w:vAlign w:val="center"/>
          </w:tcPr>
          <w:p w14:paraId="340D999D">
            <w:pPr>
              <w:keepNext w:val="0"/>
              <w:keepLines w:val="0"/>
              <w:pageBreakBefore w:val="0"/>
              <w:widowControl/>
              <w:kinsoku/>
              <w:wordWrap/>
              <w:overflowPunct/>
              <w:topLinePunct w:val="0"/>
              <w:autoSpaceDE/>
              <w:autoSpaceDN/>
              <w:bidi w:val="0"/>
              <w:adjustRightInd/>
              <w:snapToGrid/>
              <w:spacing w:line="560" w:lineRule="exact"/>
              <w:textAlignment w:val="auto"/>
              <w:rPr>
                <w:rFonts w:ascii="黑体" w:hAnsi="黑体" w:eastAsia="黑体"/>
                <w:kern w:val="0"/>
                <w:szCs w:val="21"/>
              </w:rPr>
            </w:pPr>
          </w:p>
        </w:tc>
        <w:tc>
          <w:tcPr>
            <w:tcW w:w="2976" w:type="dxa"/>
            <w:shd w:val="clear" w:color="auto" w:fill="auto"/>
            <w:vAlign w:val="center"/>
          </w:tcPr>
          <w:p w14:paraId="38714BFC">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ascii="仿宋_GB2312" w:hAnsi="黑体" w:eastAsia="仿宋_GB2312"/>
                <w:kern w:val="0"/>
                <w:szCs w:val="21"/>
              </w:rPr>
            </w:pPr>
            <w:r>
              <w:rPr>
                <w:rFonts w:hint="eastAsia" w:ascii="仿宋_GB2312" w:hAnsi="黑体" w:eastAsia="仿宋_GB2312"/>
                <w:kern w:val="0"/>
                <w:szCs w:val="21"/>
              </w:rPr>
              <w:t>2.申请人逾期未按收费通知要求缴纳费用、行政机关不再处理其政府信息公开申请</w:t>
            </w:r>
          </w:p>
        </w:tc>
        <w:tc>
          <w:tcPr>
            <w:tcW w:w="829" w:type="dxa"/>
            <w:shd w:val="clear" w:color="auto" w:fill="auto"/>
            <w:tcMar>
              <w:left w:w="108" w:type="dxa"/>
              <w:right w:w="108" w:type="dxa"/>
            </w:tcMar>
            <w:vAlign w:val="center"/>
          </w:tcPr>
          <w:p w14:paraId="2B6CF6C7">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4E89C3A1">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0B72652D">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14:paraId="5498BEB2">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14:paraId="0BB1BE25">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3C00CE4C">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14:paraId="19D188EC">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r>
      <w:tr w14:paraId="304F96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342" w:hRule="atLeast"/>
          <w:jc w:val="center"/>
        </w:trPr>
        <w:tc>
          <w:tcPr>
            <w:tcW w:w="416" w:type="dxa"/>
            <w:vMerge w:val="continue"/>
            <w:shd w:val="clear" w:color="auto" w:fill="auto"/>
            <w:tcMar>
              <w:left w:w="108" w:type="dxa"/>
              <w:right w:w="108" w:type="dxa"/>
            </w:tcMar>
            <w:vAlign w:val="center"/>
          </w:tcPr>
          <w:p w14:paraId="6475DBF1">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1701" w:type="dxa"/>
            <w:vMerge w:val="continue"/>
            <w:shd w:val="clear" w:color="auto" w:fill="auto"/>
            <w:tcMar>
              <w:left w:w="108" w:type="dxa"/>
              <w:right w:w="108" w:type="dxa"/>
            </w:tcMar>
            <w:vAlign w:val="center"/>
          </w:tcPr>
          <w:p w14:paraId="2812DD2B">
            <w:pPr>
              <w:keepNext w:val="0"/>
              <w:keepLines w:val="0"/>
              <w:pageBreakBefore w:val="0"/>
              <w:widowControl/>
              <w:kinsoku/>
              <w:wordWrap/>
              <w:overflowPunct/>
              <w:topLinePunct w:val="0"/>
              <w:autoSpaceDE/>
              <w:autoSpaceDN/>
              <w:bidi w:val="0"/>
              <w:adjustRightInd/>
              <w:snapToGrid/>
              <w:spacing w:line="560" w:lineRule="exact"/>
              <w:textAlignment w:val="auto"/>
              <w:rPr>
                <w:rFonts w:ascii="黑体" w:hAnsi="黑体" w:eastAsia="黑体"/>
                <w:kern w:val="0"/>
                <w:szCs w:val="21"/>
              </w:rPr>
            </w:pPr>
          </w:p>
        </w:tc>
        <w:tc>
          <w:tcPr>
            <w:tcW w:w="2976" w:type="dxa"/>
            <w:shd w:val="clear" w:color="auto" w:fill="auto"/>
            <w:vAlign w:val="center"/>
          </w:tcPr>
          <w:p w14:paraId="6744FDB3">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ascii="仿宋_GB2312" w:hAnsi="黑体" w:eastAsia="仿宋_GB2312"/>
                <w:kern w:val="0"/>
                <w:szCs w:val="21"/>
              </w:rPr>
            </w:pPr>
            <w:r>
              <w:rPr>
                <w:rFonts w:hint="eastAsia" w:ascii="仿宋_GB2312" w:hAnsi="楷体" w:eastAsia="仿宋_GB2312"/>
              </w:rPr>
              <w:t>3.其他</w:t>
            </w:r>
          </w:p>
        </w:tc>
        <w:tc>
          <w:tcPr>
            <w:tcW w:w="829" w:type="dxa"/>
            <w:shd w:val="clear" w:color="auto" w:fill="auto"/>
            <w:tcMar>
              <w:left w:w="108" w:type="dxa"/>
              <w:right w:w="108" w:type="dxa"/>
            </w:tcMar>
            <w:vAlign w:val="center"/>
          </w:tcPr>
          <w:p w14:paraId="7814A570">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03156072">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6B84503D">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14:paraId="70F80563">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14:paraId="4115C905">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07618F8F">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14:paraId="1114B8E3">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ascii="仿宋_GB2312" w:hAnsi="Times New Roman" w:eastAsia="仿宋_GB2312"/>
                <w:szCs w:val="21"/>
              </w:rPr>
            </w:pPr>
            <w:r>
              <w:rPr>
                <w:rFonts w:hint="eastAsia" w:ascii="仿宋_GB2312" w:eastAsia="仿宋_GB2312"/>
                <w:szCs w:val="21"/>
                <w:lang w:val="en-US" w:eastAsia="zh-CN"/>
              </w:rPr>
              <w:t>0</w:t>
            </w:r>
          </w:p>
        </w:tc>
      </w:tr>
      <w:tr w14:paraId="3369E84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3" w:hRule="atLeast"/>
          <w:jc w:val="center"/>
        </w:trPr>
        <w:tc>
          <w:tcPr>
            <w:tcW w:w="416" w:type="dxa"/>
            <w:vMerge w:val="continue"/>
            <w:shd w:val="clear" w:color="auto" w:fill="auto"/>
            <w:tcMar>
              <w:left w:w="108" w:type="dxa"/>
              <w:right w:w="108" w:type="dxa"/>
            </w:tcMar>
            <w:vAlign w:val="center"/>
          </w:tcPr>
          <w:p w14:paraId="2DEBEDF1">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Cs w:val="21"/>
              </w:rPr>
            </w:pPr>
          </w:p>
        </w:tc>
        <w:tc>
          <w:tcPr>
            <w:tcW w:w="4677" w:type="dxa"/>
            <w:gridSpan w:val="2"/>
            <w:shd w:val="clear" w:color="auto" w:fill="auto"/>
            <w:tcMar>
              <w:left w:w="108" w:type="dxa"/>
              <w:right w:w="108" w:type="dxa"/>
            </w:tcMar>
            <w:vAlign w:val="center"/>
          </w:tcPr>
          <w:p w14:paraId="174DADD2">
            <w:pPr>
              <w:keepNext w:val="0"/>
              <w:keepLines w:val="0"/>
              <w:pageBreakBefore w:val="0"/>
              <w:widowControl/>
              <w:kinsoku/>
              <w:wordWrap/>
              <w:overflowPunct/>
              <w:topLinePunct w:val="0"/>
              <w:autoSpaceDE/>
              <w:autoSpaceDN/>
              <w:bidi w:val="0"/>
              <w:adjustRightInd/>
              <w:snapToGrid/>
              <w:spacing w:line="560" w:lineRule="exact"/>
              <w:textAlignment w:val="auto"/>
              <w:rPr>
                <w:rFonts w:ascii="黑体" w:hAnsi="黑体" w:eastAsia="黑体"/>
                <w:kern w:val="0"/>
                <w:szCs w:val="21"/>
              </w:rPr>
            </w:pPr>
            <w:r>
              <w:rPr>
                <w:rFonts w:hint="eastAsia" w:ascii="黑体" w:hAnsi="黑体" w:eastAsia="黑体"/>
                <w:kern w:val="0"/>
                <w:szCs w:val="21"/>
              </w:rPr>
              <w:t>（七）总计</w:t>
            </w:r>
          </w:p>
        </w:tc>
        <w:tc>
          <w:tcPr>
            <w:tcW w:w="829" w:type="dxa"/>
            <w:shd w:val="clear" w:color="auto" w:fill="auto"/>
            <w:tcMar>
              <w:left w:w="108" w:type="dxa"/>
              <w:right w:w="108" w:type="dxa"/>
            </w:tcMar>
            <w:vAlign w:val="center"/>
          </w:tcPr>
          <w:p w14:paraId="69EC9605">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2</w:t>
            </w:r>
          </w:p>
        </w:tc>
        <w:tc>
          <w:tcPr>
            <w:tcW w:w="567" w:type="dxa"/>
            <w:shd w:val="clear" w:color="auto" w:fill="auto"/>
            <w:tcMar>
              <w:left w:w="108" w:type="dxa"/>
              <w:right w:w="108" w:type="dxa"/>
            </w:tcMar>
            <w:vAlign w:val="center"/>
          </w:tcPr>
          <w:p w14:paraId="33C9244E">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3FA7D10A">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14:paraId="161B838F">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14:paraId="6CCC58D6">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5739CB8C">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14:paraId="3B3055CE">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2</w:t>
            </w:r>
          </w:p>
        </w:tc>
      </w:tr>
      <w:tr w14:paraId="7E37586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14:paraId="25D0B03C">
            <w:pPr>
              <w:keepNext w:val="0"/>
              <w:keepLines w:val="0"/>
              <w:pageBreakBefore w:val="0"/>
              <w:widowControl/>
              <w:kinsoku/>
              <w:wordWrap/>
              <w:overflowPunct/>
              <w:topLinePunct w:val="0"/>
              <w:autoSpaceDE/>
              <w:autoSpaceDN/>
              <w:bidi w:val="0"/>
              <w:adjustRightInd/>
              <w:snapToGrid/>
              <w:spacing w:line="560" w:lineRule="exact"/>
              <w:textAlignment w:val="auto"/>
              <w:rPr>
                <w:rFonts w:ascii="黑体" w:hAnsi="黑体" w:eastAsia="黑体"/>
                <w:kern w:val="0"/>
                <w:szCs w:val="21"/>
              </w:rPr>
            </w:pPr>
            <w:r>
              <w:rPr>
                <w:rFonts w:hint="eastAsia" w:ascii="黑体" w:hAnsi="黑体" w:eastAsia="黑体"/>
                <w:kern w:val="0"/>
                <w:szCs w:val="21"/>
              </w:rPr>
              <w:t>四、结转下年度继续办理</w:t>
            </w:r>
          </w:p>
        </w:tc>
        <w:tc>
          <w:tcPr>
            <w:tcW w:w="829" w:type="dxa"/>
            <w:shd w:val="clear" w:color="auto" w:fill="auto"/>
            <w:tcMar>
              <w:left w:w="108" w:type="dxa"/>
              <w:right w:w="108" w:type="dxa"/>
            </w:tcMar>
            <w:vAlign w:val="center"/>
          </w:tcPr>
          <w:p w14:paraId="781EB962">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06E46002">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1C902F2D">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731" w:type="dxa"/>
            <w:shd w:val="clear" w:color="auto" w:fill="auto"/>
            <w:tcMar>
              <w:left w:w="108" w:type="dxa"/>
              <w:right w:w="108" w:type="dxa"/>
            </w:tcMar>
            <w:vAlign w:val="center"/>
          </w:tcPr>
          <w:p w14:paraId="53DBBC8B">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708" w:type="dxa"/>
            <w:shd w:val="clear" w:color="auto" w:fill="auto"/>
            <w:tcMar>
              <w:left w:w="108" w:type="dxa"/>
              <w:right w:w="108" w:type="dxa"/>
            </w:tcMar>
            <w:vAlign w:val="center"/>
          </w:tcPr>
          <w:p w14:paraId="2623859B">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567" w:type="dxa"/>
            <w:shd w:val="clear" w:color="auto" w:fill="auto"/>
            <w:tcMar>
              <w:left w:w="108" w:type="dxa"/>
              <w:right w:w="108" w:type="dxa"/>
            </w:tcMar>
            <w:vAlign w:val="center"/>
          </w:tcPr>
          <w:p w14:paraId="7355C2B8">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c>
          <w:tcPr>
            <w:tcW w:w="851" w:type="dxa"/>
            <w:shd w:val="clear" w:color="auto" w:fill="auto"/>
            <w:tcMar>
              <w:left w:w="108" w:type="dxa"/>
              <w:right w:w="108" w:type="dxa"/>
            </w:tcMar>
            <w:vAlign w:val="center"/>
          </w:tcPr>
          <w:p w14:paraId="2841A363">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仿宋_GB2312" w:hAnsi="Times New Roman" w:eastAsia="仿宋_GB2312"/>
                <w:szCs w:val="21"/>
                <w:lang w:val="en-US" w:eastAsia="zh-CN"/>
              </w:rPr>
            </w:pPr>
            <w:r>
              <w:rPr>
                <w:rFonts w:hint="eastAsia" w:ascii="仿宋_GB2312" w:eastAsia="仿宋_GB2312"/>
                <w:szCs w:val="21"/>
                <w:lang w:val="en-US" w:eastAsia="zh-CN"/>
              </w:rPr>
              <w:t>0</w:t>
            </w:r>
          </w:p>
        </w:tc>
      </w:tr>
    </w:tbl>
    <w:p w14:paraId="2620EE91">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黑体" w:hAnsi="黑体" w:eastAsia="黑体" w:cs="黑体"/>
          <w:kern w:val="0"/>
          <w:sz w:val="32"/>
          <w:szCs w:val="32"/>
          <w:lang w:eastAsia="zh-CN"/>
        </w:rPr>
      </w:pPr>
      <w:r>
        <w:rPr>
          <w:rFonts w:hint="eastAsia" w:ascii="黑体" w:hAnsi="黑体" w:eastAsia="黑体" w:cs="黑体"/>
          <w:kern w:val="0"/>
          <w:sz w:val="32"/>
          <w:szCs w:val="32"/>
          <w:lang w:eastAsia="zh-CN"/>
        </w:rPr>
        <w:t>四、</w:t>
      </w:r>
      <w:r>
        <w:rPr>
          <w:rFonts w:hint="default" w:ascii="黑体" w:hAnsi="黑体" w:eastAsia="黑体" w:cs="黑体"/>
          <w:kern w:val="0"/>
          <w:sz w:val="32"/>
          <w:szCs w:val="32"/>
          <w:lang w:eastAsia="zh-CN"/>
        </w:rPr>
        <w:t>政府信息公开行政复议、行政诉讼情况</w:t>
      </w:r>
    </w:p>
    <w:p w14:paraId="3B86BA37">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仿宋_GB2312" w:eastAsia="仿宋_GB2312"/>
          <w:sz w:val="32"/>
          <w:szCs w:val="32"/>
        </w:rPr>
      </w:pPr>
      <w:r>
        <w:rPr>
          <w:rFonts w:hint="eastAsia" w:ascii="Times New Roman" w:hAnsi="Times New Roman" w:eastAsia="仿宋_GB2312" w:cs="仿宋_GB2312"/>
          <w:kern w:val="0"/>
          <w:sz w:val="32"/>
          <w:szCs w:val="32"/>
          <w:lang w:val="en-US" w:eastAsia="zh-CN"/>
        </w:rPr>
        <w:t>202</w:t>
      </w:r>
      <w:r>
        <w:rPr>
          <w:rFonts w:hint="eastAsia" w:eastAsia="仿宋_GB2312" w:cs="仿宋_GB2312"/>
          <w:kern w:val="0"/>
          <w:sz w:val="32"/>
          <w:szCs w:val="32"/>
          <w:lang w:val="en-US" w:eastAsia="zh-CN"/>
        </w:rPr>
        <w:t>1</w:t>
      </w:r>
      <w:r>
        <w:rPr>
          <w:rFonts w:hint="eastAsia" w:ascii="Times New Roman" w:hAnsi="Times New Roman" w:eastAsia="仿宋_GB2312" w:cs="仿宋_GB2312"/>
          <w:kern w:val="0"/>
          <w:sz w:val="32"/>
          <w:szCs w:val="32"/>
          <w:lang w:val="en-US" w:eastAsia="zh-CN"/>
        </w:rPr>
        <w:t>年度，威海市文登区发展和改革局无申请复议、提起行政诉讼的情况。</w:t>
      </w:r>
    </w:p>
    <w:tbl>
      <w:tblPr>
        <w:tblStyle w:val="3"/>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4FBE46A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E5A8DFD">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黑体" w:hAnsi="黑体" w:eastAsia="黑体"/>
              </w:rPr>
            </w:pPr>
            <w:r>
              <w:rPr>
                <w:rFonts w:ascii="黑体" w:hAnsi="黑体" w:eastAsia="黑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F096BF7">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黑体" w:hAnsi="黑体" w:eastAsia="黑体"/>
              </w:rPr>
            </w:pPr>
            <w:r>
              <w:rPr>
                <w:rFonts w:ascii="黑体" w:hAnsi="黑体" w:eastAsia="黑体"/>
                <w:kern w:val="0"/>
                <w:sz w:val="20"/>
                <w:szCs w:val="20"/>
              </w:rPr>
              <w:t>行政诉讼</w:t>
            </w:r>
          </w:p>
        </w:tc>
      </w:tr>
      <w:tr w14:paraId="2859F43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26DBB69">
            <w:pPr>
              <w:keepNext w:val="0"/>
              <w:keepLines w:val="0"/>
              <w:pageBreakBefore w:val="0"/>
              <w:widowControl/>
              <w:kinsoku/>
              <w:wordWrap/>
              <w:overflowPunct/>
              <w:topLinePunct w:val="0"/>
              <w:autoSpaceDE/>
              <w:autoSpaceDN/>
              <w:bidi w:val="0"/>
              <w:adjustRightInd/>
              <w:snapToGrid/>
              <w:spacing w:line="560" w:lineRule="exact"/>
              <w:ind w:left="-149" w:leftChars="-71" w:right="-170" w:rightChars="-81"/>
              <w:jc w:val="center"/>
              <w:textAlignment w:val="auto"/>
              <w:rPr>
                <w:rFonts w:ascii="黑体" w:hAnsi="黑体" w:eastAsia="黑体"/>
                <w:kern w:val="0"/>
                <w:sz w:val="20"/>
                <w:szCs w:val="20"/>
              </w:rPr>
            </w:pPr>
            <w:r>
              <w:rPr>
                <w:rFonts w:ascii="黑体" w:hAnsi="黑体" w:eastAsia="黑体"/>
                <w:kern w:val="0"/>
                <w:sz w:val="20"/>
                <w:szCs w:val="20"/>
              </w:rPr>
              <w:t>结果</w:t>
            </w:r>
          </w:p>
          <w:p w14:paraId="0C155993">
            <w:pPr>
              <w:keepNext w:val="0"/>
              <w:keepLines w:val="0"/>
              <w:pageBreakBefore w:val="0"/>
              <w:widowControl/>
              <w:kinsoku/>
              <w:wordWrap/>
              <w:overflowPunct/>
              <w:topLinePunct w:val="0"/>
              <w:autoSpaceDE/>
              <w:autoSpaceDN/>
              <w:bidi w:val="0"/>
              <w:adjustRightInd/>
              <w:snapToGrid/>
              <w:spacing w:line="560" w:lineRule="exact"/>
              <w:ind w:left="-149" w:leftChars="-71" w:right="-170" w:rightChars="-81"/>
              <w:jc w:val="center"/>
              <w:textAlignment w:val="auto"/>
              <w:rPr>
                <w:rFonts w:ascii="黑体" w:hAnsi="黑体" w:eastAsia="黑体"/>
              </w:rPr>
            </w:pPr>
            <w:r>
              <w:rPr>
                <w:rFonts w:ascii="黑体" w:hAnsi="黑体" w:eastAsia="黑体"/>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14:paraId="633D299F">
            <w:pPr>
              <w:keepNext w:val="0"/>
              <w:keepLines w:val="0"/>
              <w:pageBreakBefore w:val="0"/>
              <w:widowControl/>
              <w:kinsoku/>
              <w:wordWrap/>
              <w:overflowPunct/>
              <w:topLinePunct w:val="0"/>
              <w:autoSpaceDE/>
              <w:autoSpaceDN/>
              <w:bidi w:val="0"/>
              <w:adjustRightInd/>
              <w:snapToGrid/>
              <w:spacing w:line="560" w:lineRule="exact"/>
              <w:ind w:left="-43" w:leftChars="-21" w:right="-132" w:rightChars="-63" w:hanging="1"/>
              <w:jc w:val="center"/>
              <w:textAlignment w:val="auto"/>
              <w:rPr>
                <w:rFonts w:ascii="黑体" w:hAnsi="黑体" w:eastAsia="黑体"/>
              </w:rPr>
            </w:pPr>
            <w:r>
              <w:rPr>
                <w:rFonts w:ascii="黑体" w:hAnsi="黑体" w:eastAsia="黑体"/>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3135F8E">
            <w:pPr>
              <w:keepNext w:val="0"/>
              <w:keepLines w:val="0"/>
              <w:pageBreakBefore w:val="0"/>
              <w:widowControl/>
              <w:kinsoku/>
              <w:wordWrap/>
              <w:overflowPunct/>
              <w:topLinePunct w:val="0"/>
              <w:autoSpaceDE/>
              <w:autoSpaceDN/>
              <w:bidi w:val="0"/>
              <w:adjustRightInd/>
              <w:snapToGrid/>
              <w:spacing w:line="560" w:lineRule="exact"/>
              <w:ind w:left="-82" w:leftChars="-39" w:right="-97" w:rightChars="-46"/>
              <w:jc w:val="center"/>
              <w:textAlignment w:val="auto"/>
              <w:rPr>
                <w:rFonts w:ascii="黑体" w:hAnsi="黑体" w:eastAsia="黑体"/>
              </w:rPr>
            </w:pPr>
            <w:r>
              <w:rPr>
                <w:rFonts w:ascii="黑体" w:hAnsi="黑体" w:eastAsia="黑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B16C4D8">
            <w:pPr>
              <w:keepNext w:val="0"/>
              <w:keepLines w:val="0"/>
              <w:pageBreakBefore w:val="0"/>
              <w:widowControl/>
              <w:kinsoku/>
              <w:wordWrap/>
              <w:overflowPunct/>
              <w:topLinePunct w:val="0"/>
              <w:autoSpaceDE/>
              <w:autoSpaceDN/>
              <w:bidi w:val="0"/>
              <w:adjustRightInd/>
              <w:snapToGrid/>
              <w:spacing w:line="560" w:lineRule="exact"/>
              <w:ind w:left="-118" w:leftChars="-56" w:right="-118" w:rightChars="-56"/>
              <w:jc w:val="center"/>
              <w:textAlignment w:val="auto"/>
              <w:rPr>
                <w:rFonts w:ascii="黑体" w:hAnsi="黑体" w:eastAsia="黑体"/>
                <w:kern w:val="0"/>
                <w:sz w:val="20"/>
                <w:szCs w:val="20"/>
              </w:rPr>
            </w:pPr>
            <w:r>
              <w:rPr>
                <w:rFonts w:ascii="黑体" w:hAnsi="黑体" w:eastAsia="黑体"/>
                <w:kern w:val="0"/>
                <w:sz w:val="20"/>
                <w:szCs w:val="20"/>
              </w:rPr>
              <w:t>尚未</w:t>
            </w:r>
          </w:p>
          <w:p w14:paraId="13B604F9">
            <w:pPr>
              <w:keepNext w:val="0"/>
              <w:keepLines w:val="0"/>
              <w:pageBreakBefore w:val="0"/>
              <w:widowControl/>
              <w:kinsoku/>
              <w:wordWrap/>
              <w:overflowPunct/>
              <w:topLinePunct w:val="0"/>
              <w:autoSpaceDE/>
              <w:autoSpaceDN/>
              <w:bidi w:val="0"/>
              <w:adjustRightInd/>
              <w:snapToGrid/>
              <w:spacing w:line="560" w:lineRule="exact"/>
              <w:ind w:left="-118" w:leftChars="-56" w:right="-118" w:rightChars="-56"/>
              <w:jc w:val="center"/>
              <w:textAlignment w:val="auto"/>
              <w:rPr>
                <w:rFonts w:ascii="黑体" w:hAnsi="黑体" w:eastAsia="黑体"/>
              </w:rPr>
            </w:pPr>
            <w:r>
              <w:rPr>
                <w:rFonts w:ascii="黑体" w:hAnsi="黑体" w:eastAsia="黑体"/>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86E94AF">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黑体" w:hAnsi="黑体" w:eastAsia="黑体"/>
                <w:kern w:val="0"/>
                <w:sz w:val="20"/>
                <w:szCs w:val="20"/>
              </w:rPr>
            </w:pPr>
            <w:r>
              <w:rPr>
                <w:rFonts w:ascii="黑体" w:hAnsi="黑体" w:eastAsia="黑体"/>
                <w:kern w:val="0"/>
                <w:sz w:val="20"/>
                <w:szCs w:val="20"/>
              </w:rPr>
              <w:t>总</w:t>
            </w:r>
          </w:p>
          <w:p w14:paraId="02D2BA98">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黑体" w:hAnsi="黑体" w:eastAsia="黑体"/>
              </w:rPr>
            </w:pPr>
            <w:r>
              <w:rPr>
                <w:rFonts w:ascii="黑体" w:hAnsi="黑体" w:eastAsia="黑体"/>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9E571C8">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黑体" w:hAnsi="黑体" w:eastAsia="黑体"/>
              </w:rPr>
            </w:pPr>
            <w:r>
              <w:rPr>
                <w:rFonts w:ascii="黑体" w:hAnsi="黑体" w:eastAsia="黑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2BCEE2E">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黑体" w:hAnsi="黑体" w:eastAsia="黑体"/>
              </w:rPr>
            </w:pPr>
            <w:bookmarkStart w:id="9" w:name="_Hlk67039688"/>
            <w:r>
              <w:rPr>
                <w:rFonts w:ascii="黑体" w:hAnsi="黑体" w:eastAsia="黑体"/>
                <w:kern w:val="0"/>
                <w:sz w:val="20"/>
                <w:szCs w:val="20"/>
              </w:rPr>
              <w:t>复议后起诉</w:t>
            </w:r>
            <w:bookmarkEnd w:id="9"/>
          </w:p>
        </w:tc>
      </w:tr>
      <w:tr w14:paraId="27EFE11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7DEA2EC">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14:paraId="0B008955">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F54F066">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91B29A0">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4B74B20">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107F1684">
            <w:pPr>
              <w:keepNext w:val="0"/>
              <w:keepLines w:val="0"/>
              <w:pageBreakBefore w:val="0"/>
              <w:widowControl/>
              <w:kinsoku/>
              <w:wordWrap/>
              <w:overflowPunct/>
              <w:topLinePunct w:val="0"/>
              <w:autoSpaceDE/>
              <w:autoSpaceDN/>
              <w:bidi w:val="0"/>
              <w:adjustRightInd/>
              <w:snapToGrid/>
              <w:spacing w:line="560" w:lineRule="exact"/>
              <w:ind w:left="-105" w:leftChars="-50" w:right="-126" w:rightChars="-60"/>
              <w:jc w:val="center"/>
              <w:textAlignment w:val="auto"/>
              <w:rPr>
                <w:rFonts w:ascii="黑体" w:hAnsi="黑体" w:eastAsia="黑体"/>
              </w:rPr>
            </w:pPr>
            <w:r>
              <w:rPr>
                <w:rFonts w:ascii="黑体" w:hAnsi="黑体" w:eastAsia="黑体"/>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1ACEEA84">
            <w:pPr>
              <w:keepNext w:val="0"/>
              <w:keepLines w:val="0"/>
              <w:pageBreakBefore w:val="0"/>
              <w:widowControl/>
              <w:kinsoku/>
              <w:wordWrap/>
              <w:overflowPunct/>
              <w:topLinePunct w:val="0"/>
              <w:autoSpaceDE/>
              <w:autoSpaceDN/>
              <w:bidi w:val="0"/>
              <w:adjustRightInd/>
              <w:snapToGrid/>
              <w:spacing w:line="560" w:lineRule="exact"/>
              <w:ind w:left="-86" w:leftChars="-41" w:right="-88" w:rightChars="-42"/>
              <w:jc w:val="center"/>
              <w:textAlignment w:val="auto"/>
              <w:rPr>
                <w:rFonts w:ascii="黑体" w:hAnsi="黑体" w:eastAsia="黑体"/>
              </w:rPr>
            </w:pPr>
            <w:r>
              <w:rPr>
                <w:rFonts w:ascii="黑体" w:hAnsi="黑体" w:eastAsia="黑体"/>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8C9673E">
            <w:pPr>
              <w:keepNext w:val="0"/>
              <w:keepLines w:val="0"/>
              <w:pageBreakBefore w:val="0"/>
              <w:widowControl/>
              <w:kinsoku/>
              <w:wordWrap/>
              <w:overflowPunct/>
              <w:topLinePunct w:val="0"/>
              <w:autoSpaceDE/>
              <w:autoSpaceDN/>
              <w:bidi w:val="0"/>
              <w:adjustRightInd/>
              <w:snapToGrid/>
              <w:spacing w:line="560" w:lineRule="exact"/>
              <w:ind w:left="-126" w:leftChars="-60" w:right="-136" w:rightChars="-65"/>
              <w:jc w:val="center"/>
              <w:textAlignment w:val="auto"/>
              <w:rPr>
                <w:rFonts w:ascii="黑体" w:hAnsi="黑体" w:eastAsia="黑体"/>
                <w:kern w:val="0"/>
                <w:sz w:val="20"/>
                <w:szCs w:val="20"/>
              </w:rPr>
            </w:pPr>
            <w:r>
              <w:rPr>
                <w:rFonts w:ascii="黑体" w:hAnsi="黑体" w:eastAsia="黑体"/>
                <w:kern w:val="0"/>
                <w:sz w:val="20"/>
                <w:szCs w:val="20"/>
              </w:rPr>
              <w:t>其他</w:t>
            </w:r>
          </w:p>
          <w:p w14:paraId="1C81C6AB">
            <w:pPr>
              <w:keepNext w:val="0"/>
              <w:keepLines w:val="0"/>
              <w:pageBreakBefore w:val="0"/>
              <w:widowControl/>
              <w:kinsoku/>
              <w:wordWrap/>
              <w:overflowPunct/>
              <w:topLinePunct w:val="0"/>
              <w:autoSpaceDE/>
              <w:autoSpaceDN/>
              <w:bidi w:val="0"/>
              <w:adjustRightInd/>
              <w:snapToGrid/>
              <w:spacing w:line="560" w:lineRule="exact"/>
              <w:ind w:left="-126" w:leftChars="-60" w:right="-136" w:rightChars="-65"/>
              <w:jc w:val="center"/>
              <w:textAlignment w:val="auto"/>
              <w:rPr>
                <w:rFonts w:ascii="黑体" w:hAnsi="黑体" w:eastAsia="黑体"/>
              </w:rPr>
            </w:pPr>
            <w:r>
              <w:rPr>
                <w:rFonts w:ascii="黑体" w:hAnsi="黑体" w:eastAsia="黑体"/>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F798D6B">
            <w:pPr>
              <w:keepNext w:val="0"/>
              <w:keepLines w:val="0"/>
              <w:pageBreakBefore w:val="0"/>
              <w:widowControl/>
              <w:kinsoku/>
              <w:wordWrap/>
              <w:overflowPunct/>
              <w:topLinePunct w:val="0"/>
              <w:autoSpaceDE/>
              <w:autoSpaceDN/>
              <w:bidi w:val="0"/>
              <w:adjustRightInd/>
              <w:snapToGrid/>
              <w:spacing w:line="560" w:lineRule="exact"/>
              <w:ind w:left="-164" w:leftChars="-78" w:right="-153" w:rightChars="-73"/>
              <w:jc w:val="center"/>
              <w:textAlignment w:val="auto"/>
              <w:rPr>
                <w:rFonts w:ascii="黑体" w:hAnsi="黑体" w:eastAsia="黑体"/>
                <w:kern w:val="0"/>
                <w:sz w:val="20"/>
                <w:szCs w:val="20"/>
              </w:rPr>
            </w:pPr>
            <w:r>
              <w:rPr>
                <w:rFonts w:ascii="黑体" w:hAnsi="黑体" w:eastAsia="黑体"/>
                <w:kern w:val="0"/>
                <w:sz w:val="20"/>
                <w:szCs w:val="20"/>
              </w:rPr>
              <w:t>尚未</w:t>
            </w:r>
          </w:p>
          <w:p w14:paraId="06C12913">
            <w:pPr>
              <w:keepNext w:val="0"/>
              <w:keepLines w:val="0"/>
              <w:pageBreakBefore w:val="0"/>
              <w:widowControl/>
              <w:kinsoku/>
              <w:wordWrap/>
              <w:overflowPunct/>
              <w:topLinePunct w:val="0"/>
              <w:autoSpaceDE/>
              <w:autoSpaceDN/>
              <w:bidi w:val="0"/>
              <w:adjustRightInd/>
              <w:snapToGrid/>
              <w:spacing w:line="560" w:lineRule="exact"/>
              <w:ind w:left="-164" w:leftChars="-78" w:right="-153" w:rightChars="-73"/>
              <w:jc w:val="center"/>
              <w:textAlignment w:val="auto"/>
              <w:rPr>
                <w:rFonts w:ascii="黑体" w:hAnsi="黑体" w:eastAsia="黑体"/>
              </w:rPr>
            </w:pPr>
            <w:r>
              <w:rPr>
                <w:rFonts w:ascii="黑体" w:hAnsi="黑体" w:eastAsia="黑体"/>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9ECF1A3">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黑体" w:hAnsi="黑体" w:eastAsia="黑体"/>
              </w:rPr>
            </w:pPr>
            <w:r>
              <w:rPr>
                <w:rFonts w:ascii="黑体" w:hAnsi="黑体" w:eastAsia="黑体"/>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A9C412F">
            <w:pPr>
              <w:keepNext w:val="0"/>
              <w:keepLines w:val="0"/>
              <w:pageBreakBefore w:val="0"/>
              <w:widowControl/>
              <w:kinsoku/>
              <w:wordWrap/>
              <w:overflowPunct/>
              <w:topLinePunct w:val="0"/>
              <w:autoSpaceDE/>
              <w:autoSpaceDN/>
              <w:bidi w:val="0"/>
              <w:adjustRightInd/>
              <w:snapToGrid/>
              <w:spacing w:line="560" w:lineRule="exact"/>
              <w:ind w:left="-99" w:leftChars="-47" w:right="-78" w:rightChars="-37"/>
              <w:jc w:val="center"/>
              <w:textAlignment w:val="auto"/>
              <w:rPr>
                <w:rFonts w:ascii="黑体" w:hAnsi="黑体" w:eastAsia="黑体"/>
              </w:rPr>
            </w:pPr>
            <w:r>
              <w:rPr>
                <w:rFonts w:ascii="黑体" w:hAnsi="黑体" w:eastAsia="黑体"/>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476EB5C">
            <w:pPr>
              <w:keepNext w:val="0"/>
              <w:keepLines w:val="0"/>
              <w:pageBreakBefore w:val="0"/>
              <w:widowControl/>
              <w:kinsoku/>
              <w:wordWrap/>
              <w:overflowPunct/>
              <w:topLinePunct w:val="0"/>
              <w:autoSpaceDE/>
              <w:autoSpaceDN/>
              <w:bidi w:val="0"/>
              <w:adjustRightInd/>
              <w:snapToGrid/>
              <w:spacing w:line="560" w:lineRule="exact"/>
              <w:ind w:left="-136" w:leftChars="-65" w:right="-124" w:rightChars="-59"/>
              <w:jc w:val="center"/>
              <w:textAlignment w:val="auto"/>
              <w:rPr>
                <w:rFonts w:ascii="黑体" w:hAnsi="黑体" w:eastAsia="黑体"/>
                <w:kern w:val="0"/>
                <w:sz w:val="20"/>
                <w:szCs w:val="20"/>
              </w:rPr>
            </w:pPr>
            <w:r>
              <w:rPr>
                <w:rFonts w:ascii="黑体" w:hAnsi="黑体" w:eastAsia="黑体"/>
                <w:kern w:val="0"/>
                <w:sz w:val="20"/>
                <w:szCs w:val="20"/>
              </w:rPr>
              <w:t>结果</w:t>
            </w:r>
          </w:p>
          <w:p w14:paraId="6B0F5668">
            <w:pPr>
              <w:keepNext w:val="0"/>
              <w:keepLines w:val="0"/>
              <w:pageBreakBefore w:val="0"/>
              <w:widowControl/>
              <w:kinsoku/>
              <w:wordWrap/>
              <w:overflowPunct/>
              <w:topLinePunct w:val="0"/>
              <w:autoSpaceDE/>
              <w:autoSpaceDN/>
              <w:bidi w:val="0"/>
              <w:adjustRightInd/>
              <w:snapToGrid/>
              <w:spacing w:line="560" w:lineRule="exact"/>
              <w:ind w:left="-136" w:leftChars="-65" w:right="-124" w:rightChars="-59"/>
              <w:jc w:val="center"/>
              <w:textAlignment w:val="auto"/>
              <w:rPr>
                <w:rFonts w:ascii="黑体" w:hAnsi="黑体" w:eastAsia="黑体"/>
              </w:rPr>
            </w:pPr>
            <w:r>
              <w:rPr>
                <w:rFonts w:ascii="黑体" w:hAnsi="黑体" w:eastAsia="黑体"/>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2403BE7">
            <w:pPr>
              <w:keepNext w:val="0"/>
              <w:keepLines w:val="0"/>
              <w:pageBreakBefore w:val="0"/>
              <w:widowControl/>
              <w:kinsoku/>
              <w:wordWrap/>
              <w:overflowPunct/>
              <w:topLinePunct w:val="0"/>
              <w:autoSpaceDE/>
              <w:autoSpaceDN/>
              <w:bidi w:val="0"/>
              <w:adjustRightInd/>
              <w:snapToGrid/>
              <w:spacing w:line="560" w:lineRule="exact"/>
              <w:ind w:left="-173" w:leftChars="-83" w:right="-134" w:rightChars="-64" w:hanging="1"/>
              <w:jc w:val="center"/>
              <w:textAlignment w:val="auto"/>
              <w:rPr>
                <w:rFonts w:ascii="黑体" w:hAnsi="黑体" w:eastAsia="黑体"/>
                <w:kern w:val="0"/>
                <w:sz w:val="20"/>
                <w:szCs w:val="20"/>
              </w:rPr>
            </w:pPr>
            <w:r>
              <w:rPr>
                <w:rFonts w:ascii="黑体" w:hAnsi="黑体" w:eastAsia="黑体"/>
                <w:kern w:val="0"/>
                <w:sz w:val="20"/>
                <w:szCs w:val="20"/>
              </w:rPr>
              <w:t>其他</w:t>
            </w:r>
          </w:p>
          <w:p w14:paraId="4242CD22">
            <w:pPr>
              <w:keepNext w:val="0"/>
              <w:keepLines w:val="0"/>
              <w:pageBreakBefore w:val="0"/>
              <w:widowControl/>
              <w:kinsoku/>
              <w:wordWrap/>
              <w:overflowPunct/>
              <w:topLinePunct w:val="0"/>
              <w:autoSpaceDE/>
              <w:autoSpaceDN/>
              <w:bidi w:val="0"/>
              <w:adjustRightInd/>
              <w:snapToGrid/>
              <w:spacing w:line="560" w:lineRule="exact"/>
              <w:ind w:left="-173" w:leftChars="-83" w:right="-134" w:rightChars="-64" w:hanging="1"/>
              <w:jc w:val="center"/>
              <w:textAlignment w:val="auto"/>
              <w:rPr>
                <w:rFonts w:ascii="黑体" w:hAnsi="黑体" w:eastAsia="黑体"/>
              </w:rPr>
            </w:pPr>
            <w:r>
              <w:rPr>
                <w:rFonts w:ascii="黑体" w:hAnsi="黑体" w:eastAsia="黑体"/>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3505517">
            <w:pPr>
              <w:keepNext w:val="0"/>
              <w:keepLines w:val="0"/>
              <w:pageBreakBefore w:val="0"/>
              <w:widowControl/>
              <w:kinsoku/>
              <w:wordWrap/>
              <w:overflowPunct/>
              <w:topLinePunct w:val="0"/>
              <w:autoSpaceDE/>
              <w:autoSpaceDN/>
              <w:bidi w:val="0"/>
              <w:adjustRightInd/>
              <w:snapToGrid/>
              <w:spacing w:line="560" w:lineRule="exact"/>
              <w:ind w:left="-67" w:leftChars="-33" w:right="-105" w:rightChars="-50" w:hanging="2" w:hangingChars="1"/>
              <w:jc w:val="center"/>
              <w:textAlignment w:val="auto"/>
              <w:rPr>
                <w:rFonts w:ascii="黑体" w:hAnsi="黑体" w:eastAsia="黑体"/>
              </w:rPr>
            </w:pPr>
            <w:r>
              <w:rPr>
                <w:rFonts w:ascii="黑体" w:hAnsi="黑体" w:eastAsia="黑体"/>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4B547F4">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黑体" w:hAnsi="黑体" w:eastAsia="黑体"/>
              </w:rPr>
            </w:pPr>
            <w:r>
              <w:rPr>
                <w:rFonts w:ascii="黑体" w:hAnsi="黑体" w:eastAsia="黑体"/>
                <w:kern w:val="0"/>
                <w:sz w:val="20"/>
                <w:szCs w:val="20"/>
              </w:rPr>
              <w:t>总计</w:t>
            </w:r>
          </w:p>
        </w:tc>
      </w:tr>
      <w:tr w14:paraId="58E39E6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1213083">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宋体"/>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49302DB6">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宋体"/>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35702D62">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宋体"/>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589652A1">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宋体"/>
                <w:lang w:val="en-US" w:eastAsia="zh-CN"/>
              </w:rPr>
            </w:pPr>
            <w:r>
              <w:rPr>
                <w:rFonts w:hint="eastAsia" w:ascii="Times New Roman" w:hAnsi="Times New Roman"/>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14:paraId="1FE1E3DA">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宋体"/>
                <w:lang w:val="en-US" w:eastAsia="zh-CN"/>
              </w:rPr>
            </w:pPr>
            <w:r>
              <w:rPr>
                <w:rFonts w:hint="eastAsia" w:ascii="Times New Roman" w:hAnsi="Times New Roman"/>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4B5B105F">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宋体"/>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7D8F5A2B">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宋体"/>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7E07512">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宋体"/>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41E928EB">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宋体"/>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2C693A44">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宋体"/>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552A2A3">
            <w:pPr>
              <w:keepNext w:val="0"/>
              <w:keepLines w:val="0"/>
              <w:pageBreakBefore w:val="0"/>
              <w:widowControl/>
              <w:kinsoku/>
              <w:wordWrap/>
              <w:overflowPunct/>
              <w:topLinePunct w:val="0"/>
              <w:autoSpaceDE/>
              <w:autoSpaceDN/>
              <w:bidi w:val="0"/>
              <w:adjustRightInd/>
              <w:snapToGrid/>
              <w:spacing w:after="180" w:line="560" w:lineRule="exact"/>
              <w:textAlignment w:val="auto"/>
              <w:rPr>
                <w:rFonts w:hint="eastAsia" w:ascii="Times New Roman" w:hAnsi="Times New Roman" w:eastAsia="宋体"/>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8DF6BE9">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宋体"/>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26B7FF7B">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宋体"/>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034AEA11">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宋体"/>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3BABB95C">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eastAsia" w:ascii="Times New Roman" w:hAnsi="Times New Roman" w:eastAsia="宋体"/>
                <w:lang w:val="en-US" w:eastAsia="zh-CN"/>
              </w:rPr>
            </w:pPr>
            <w:r>
              <w:rPr>
                <w:rFonts w:hint="eastAsia" w:ascii="Times New Roman" w:hAnsi="Times New Roman"/>
                <w:lang w:val="en-US" w:eastAsia="zh-CN"/>
              </w:rPr>
              <w:t>0</w:t>
            </w:r>
          </w:p>
        </w:tc>
      </w:tr>
    </w:tbl>
    <w:p w14:paraId="386577AF">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黑体" w:hAnsi="黑体" w:eastAsia="黑体" w:cs="黑体"/>
          <w:kern w:val="0"/>
          <w:sz w:val="32"/>
          <w:szCs w:val="32"/>
          <w:lang w:eastAsia="zh-CN"/>
        </w:rPr>
      </w:pPr>
      <w:r>
        <w:rPr>
          <w:rFonts w:hint="eastAsia" w:ascii="黑体" w:hAnsi="黑体" w:eastAsia="黑体" w:cs="黑体"/>
          <w:kern w:val="0"/>
          <w:sz w:val="32"/>
          <w:szCs w:val="32"/>
          <w:lang w:eastAsia="zh-CN"/>
        </w:rPr>
        <w:t>五、</w:t>
      </w:r>
      <w:r>
        <w:rPr>
          <w:rFonts w:hint="default" w:ascii="黑体" w:hAnsi="黑体" w:eastAsia="黑体" w:cs="黑体"/>
          <w:kern w:val="0"/>
          <w:sz w:val="32"/>
          <w:szCs w:val="32"/>
          <w:lang w:eastAsia="zh-CN"/>
        </w:rPr>
        <w:t>存在的主要问题及改进情况</w:t>
      </w:r>
    </w:p>
    <w:p w14:paraId="57675AF5">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202</w:t>
      </w:r>
      <w:r>
        <w:rPr>
          <w:rFonts w:hint="eastAsia" w:eastAsia="仿宋_GB2312" w:cs="仿宋_GB2312"/>
          <w:kern w:val="0"/>
          <w:sz w:val="32"/>
          <w:szCs w:val="32"/>
          <w:lang w:val="en-US" w:eastAsia="zh-CN"/>
        </w:rPr>
        <w:t>1</w:t>
      </w:r>
      <w:r>
        <w:rPr>
          <w:rFonts w:hint="eastAsia" w:ascii="Times New Roman" w:hAnsi="Times New Roman" w:eastAsia="仿宋_GB2312" w:cs="仿宋_GB2312"/>
          <w:kern w:val="0"/>
          <w:sz w:val="32"/>
          <w:szCs w:val="32"/>
          <w:lang w:val="en-US" w:eastAsia="zh-CN"/>
        </w:rPr>
        <w:t>年，我局政府信息公开工作取得</w:t>
      </w:r>
      <w:r>
        <w:rPr>
          <w:rFonts w:hint="eastAsia" w:eastAsia="仿宋_GB2312" w:cs="仿宋_GB2312"/>
          <w:kern w:val="0"/>
          <w:sz w:val="32"/>
          <w:szCs w:val="32"/>
          <w:lang w:val="en-US" w:eastAsia="zh-CN"/>
        </w:rPr>
        <w:t>了新的进展</w:t>
      </w:r>
      <w:r>
        <w:rPr>
          <w:rFonts w:hint="eastAsia" w:ascii="Times New Roman" w:hAnsi="Times New Roman" w:eastAsia="仿宋_GB2312" w:cs="仿宋_GB2312"/>
          <w:kern w:val="0"/>
          <w:sz w:val="32"/>
          <w:szCs w:val="32"/>
          <w:lang w:val="en-US" w:eastAsia="zh-CN"/>
        </w:rPr>
        <w:t>，但</w:t>
      </w:r>
      <w:r>
        <w:rPr>
          <w:rFonts w:hint="eastAsia" w:eastAsia="仿宋_GB2312" w:cs="仿宋_GB2312"/>
          <w:kern w:val="0"/>
          <w:sz w:val="32"/>
          <w:szCs w:val="32"/>
          <w:lang w:val="en-US" w:eastAsia="zh-CN"/>
        </w:rPr>
        <w:t>仍</w:t>
      </w:r>
      <w:r>
        <w:rPr>
          <w:rFonts w:hint="eastAsia" w:ascii="Times New Roman" w:hAnsi="Times New Roman" w:eastAsia="仿宋_GB2312" w:cs="仿宋_GB2312"/>
          <w:kern w:val="0"/>
          <w:sz w:val="32"/>
          <w:szCs w:val="32"/>
          <w:lang w:val="en-US" w:eastAsia="zh-CN"/>
        </w:rPr>
        <w:t>存在一些不足，主要表现为：</w:t>
      </w:r>
      <w:r>
        <w:rPr>
          <w:rFonts w:hint="eastAsia" w:eastAsia="仿宋_GB2312" w:cs="仿宋_GB2312"/>
          <w:kern w:val="0"/>
          <w:sz w:val="32"/>
          <w:szCs w:val="32"/>
          <w:lang w:val="en-US" w:eastAsia="zh-CN"/>
        </w:rPr>
        <w:t>政务公开主动意识不强，公开内容覆盖面不广，业务科室之间没有形成工作合力。</w:t>
      </w:r>
      <w:r>
        <w:rPr>
          <w:rFonts w:hint="eastAsia" w:ascii="Times New Roman" w:hAnsi="Times New Roman" w:eastAsia="仿宋_GB2312" w:cs="仿宋_GB2312"/>
          <w:kern w:val="0"/>
          <w:sz w:val="32"/>
          <w:szCs w:val="32"/>
          <w:lang w:val="en-US" w:eastAsia="zh-CN"/>
        </w:rPr>
        <w:t>下一步，</w:t>
      </w:r>
      <w:r>
        <w:rPr>
          <w:rFonts w:hint="eastAsia" w:eastAsia="仿宋_GB2312" w:cs="仿宋_GB2312"/>
          <w:kern w:val="0"/>
          <w:sz w:val="32"/>
          <w:szCs w:val="32"/>
          <w:lang w:val="en-US" w:eastAsia="zh-CN"/>
        </w:rPr>
        <w:t>我局将加强政务公开工作培训与宣传，着力增强各科室主动公开意识，全面梳理应公开的政府信息，对公示内容挖深度、延广度，同时做好政府网站与政务新媒体的互联互通，建立多媒体、多渠道、多形式的政务公开工作体系</w:t>
      </w:r>
      <w:r>
        <w:rPr>
          <w:rFonts w:hint="eastAsia" w:ascii="Times New Roman" w:hAnsi="Times New Roman" w:eastAsia="仿宋_GB2312" w:cs="仿宋_GB2312"/>
          <w:kern w:val="0"/>
          <w:sz w:val="32"/>
          <w:szCs w:val="32"/>
          <w:lang w:val="en-US" w:eastAsia="zh-CN"/>
        </w:rPr>
        <w:t>。</w:t>
      </w:r>
    </w:p>
    <w:p w14:paraId="4C29EB41">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kern w:val="0"/>
          <w:sz w:val="32"/>
          <w:szCs w:val="32"/>
          <w:lang w:eastAsia="zh-CN"/>
        </w:rPr>
      </w:pPr>
      <w:r>
        <w:rPr>
          <w:rFonts w:hint="eastAsia" w:ascii="黑体" w:hAnsi="黑体" w:eastAsia="黑体" w:cs="黑体"/>
          <w:kern w:val="0"/>
          <w:sz w:val="32"/>
          <w:szCs w:val="32"/>
          <w:lang w:eastAsia="zh-CN"/>
        </w:rPr>
        <w:t>六、其他需要报告的事项</w:t>
      </w:r>
    </w:p>
    <w:p w14:paraId="66BF85FE">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kern w:val="0"/>
          <w:sz w:val="32"/>
          <w:szCs w:val="32"/>
          <w:highlight w:val="none"/>
          <w:lang w:val="en-US" w:eastAsia="zh-CN"/>
        </w:rPr>
      </w:pPr>
      <w:r>
        <w:rPr>
          <w:rFonts w:hint="eastAsia" w:ascii="楷体_GB2312" w:hAnsi="楷体_GB2312" w:eastAsia="楷体_GB2312" w:cs="楷体_GB2312"/>
          <w:kern w:val="0"/>
          <w:sz w:val="32"/>
          <w:szCs w:val="32"/>
          <w:highlight w:val="none"/>
          <w:lang w:val="en-US" w:eastAsia="zh-CN"/>
        </w:rPr>
        <w:t>（一）收取信息处理费情况</w:t>
      </w:r>
    </w:p>
    <w:p w14:paraId="0FD2DCE2">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严格执行</w:t>
      </w:r>
      <w:r>
        <w:rPr>
          <w:rFonts w:hint="eastAsia" w:ascii="Times New Roman" w:hAnsi="Times New Roman" w:eastAsia="仿宋_GB2312" w:cs="Times New Roman"/>
          <w:sz w:val="32"/>
          <w:szCs w:val="32"/>
          <w:lang w:val="en-US" w:eastAsia="zh-CN"/>
        </w:rPr>
        <w:t>根据《中华人民共和国政府信息公开条例》第四十二条，《国务院办公厅关于印发&lt;政府信息公开信息处理费管理办法&gt;的通知》和《山东省人民政府办公厅关于做好政府信息公开信息处理费管理工作有关事项的通知》等有关规定</w:t>
      </w:r>
      <w:r>
        <w:rPr>
          <w:rFonts w:hint="eastAsia" w:ascii="Times New Roman" w:hAnsi="Times New Roman" w:eastAsia="仿宋_GB2312" w:cs="仿宋_GB2312"/>
          <w:kern w:val="0"/>
          <w:sz w:val="32"/>
          <w:szCs w:val="32"/>
          <w:lang w:val="en-US" w:eastAsia="zh-CN"/>
        </w:rPr>
        <w:t>，今年共向申请人收取信息处理费760元。</w:t>
      </w:r>
    </w:p>
    <w:p w14:paraId="06800F55">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kern w:val="0"/>
          <w:sz w:val="32"/>
          <w:szCs w:val="32"/>
          <w:highlight w:val="none"/>
          <w:lang w:val="en-US" w:eastAsia="zh-CN"/>
        </w:rPr>
      </w:pPr>
      <w:r>
        <w:rPr>
          <w:rFonts w:hint="eastAsia" w:ascii="楷体_GB2312" w:hAnsi="楷体_GB2312" w:eastAsia="楷体_GB2312" w:cs="楷体_GB2312"/>
          <w:kern w:val="0"/>
          <w:sz w:val="32"/>
          <w:szCs w:val="32"/>
          <w:highlight w:val="none"/>
          <w:lang w:val="en-US" w:eastAsia="zh-CN"/>
        </w:rPr>
        <w:t>（二）人大代表建议及政协提案办理结果公开情况</w:t>
      </w:r>
    </w:p>
    <w:p w14:paraId="75B38F40">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kern w:val="0"/>
          <w:sz w:val="32"/>
          <w:szCs w:val="32"/>
          <w:highlight w:val="none"/>
          <w:lang w:val="en-US" w:eastAsia="zh-CN"/>
        </w:rPr>
      </w:pPr>
      <w:r>
        <w:rPr>
          <w:rFonts w:hint="eastAsia" w:ascii="Times New Roman" w:hAnsi="Times New Roman" w:eastAsia="仿宋_GB2312" w:cs="仿宋_GB2312"/>
          <w:kern w:val="0"/>
          <w:sz w:val="32"/>
          <w:szCs w:val="32"/>
          <w:highlight w:val="none"/>
          <w:lang w:val="en-US" w:eastAsia="zh-CN"/>
        </w:rPr>
        <w:t>202</w:t>
      </w:r>
      <w:r>
        <w:rPr>
          <w:rFonts w:hint="eastAsia" w:eastAsia="仿宋_GB2312" w:cs="仿宋_GB2312"/>
          <w:kern w:val="0"/>
          <w:sz w:val="32"/>
          <w:szCs w:val="32"/>
          <w:highlight w:val="none"/>
          <w:lang w:val="en-US" w:eastAsia="zh-CN"/>
        </w:rPr>
        <w:t>1</w:t>
      </w:r>
      <w:r>
        <w:rPr>
          <w:rFonts w:hint="eastAsia" w:ascii="Times New Roman" w:hAnsi="Times New Roman" w:eastAsia="仿宋_GB2312" w:cs="仿宋_GB2312"/>
          <w:kern w:val="0"/>
          <w:sz w:val="32"/>
          <w:szCs w:val="32"/>
          <w:highlight w:val="none"/>
          <w:lang w:val="en-US" w:eastAsia="zh-CN"/>
        </w:rPr>
        <w:t>年，我局</w:t>
      </w:r>
      <w:r>
        <w:rPr>
          <w:rFonts w:hint="eastAsia" w:eastAsia="仿宋_GB2312" w:cs="仿宋_GB2312"/>
          <w:kern w:val="0"/>
          <w:sz w:val="32"/>
          <w:szCs w:val="32"/>
          <w:highlight w:val="none"/>
          <w:lang w:val="en-US" w:eastAsia="zh-CN"/>
        </w:rPr>
        <w:t>未</w:t>
      </w:r>
      <w:r>
        <w:rPr>
          <w:rFonts w:hint="eastAsia" w:ascii="Times New Roman" w:hAnsi="Times New Roman" w:eastAsia="仿宋_GB2312" w:cs="仿宋_GB2312"/>
          <w:kern w:val="0"/>
          <w:sz w:val="32"/>
          <w:szCs w:val="32"/>
          <w:highlight w:val="none"/>
          <w:lang w:val="en-US" w:eastAsia="zh-CN"/>
        </w:rPr>
        <w:t>承办</w:t>
      </w:r>
      <w:r>
        <w:rPr>
          <w:rFonts w:hint="eastAsia" w:eastAsia="仿宋_GB2312" w:cs="仿宋_GB2312"/>
          <w:kern w:val="0"/>
          <w:sz w:val="32"/>
          <w:szCs w:val="32"/>
          <w:highlight w:val="none"/>
          <w:lang w:val="en-US" w:eastAsia="zh-CN"/>
        </w:rPr>
        <w:t>人大代表建议；承办区政协十届五次会议委员提案4件，涉及新能源汽车充电桩、内循环经济、老旧小区物业服务公共费</w:t>
      </w:r>
      <w:r>
        <w:rPr>
          <w:rFonts w:hint="eastAsia" w:ascii="Times New Roman" w:hAnsi="Times New Roman" w:eastAsia="仿宋_GB2312" w:cs="仿宋_GB2312"/>
          <w:kern w:val="0"/>
          <w:sz w:val="32"/>
          <w:szCs w:val="32"/>
          <w:highlight w:val="none"/>
          <w:lang w:val="en-US" w:eastAsia="zh-CN"/>
        </w:rPr>
        <w:t>方面，均已按时办结，相关办理结果已通过政府网站专栏主动公开。</w:t>
      </w:r>
    </w:p>
    <w:p w14:paraId="59348194">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kern w:val="0"/>
          <w:sz w:val="32"/>
          <w:szCs w:val="32"/>
          <w:highlight w:val="none"/>
          <w:lang w:val="en-US" w:eastAsia="zh-CN"/>
        </w:rPr>
      </w:pPr>
      <w:r>
        <w:rPr>
          <w:rFonts w:hint="eastAsia" w:ascii="楷体_GB2312" w:hAnsi="楷体_GB2312" w:eastAsia="楷体_GB2312" w:cs="楷体_GB2312"/>
          <w:kern w:val="0"/>
          <w:sz w:val="32"/>
          <w:szCs w:val="32"/>
          <w:highlight w:val="none"/>
          <w:lang w:val="en-US" w:eastAsia="zh-CN"/>
        </w:rPr>
        <w:t>（三）落实上级年度政务公开工作要点情况</w:t>
      </w:r>
    </w:p>
    <w:p w14:paraId="79D920DB">
      <w:pPr>
        <w:keepNext w:val="0"/>
        <w:keepLines w:val="0"/>
        <w:pageBreakBefore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仿宋_GB2312"/>
          <w:kern w:val="0"/>
          <w:sz w:val="32"/>
          <w:szCs w:val="32"/>
          <w:highlight w:val="none"/>
          <w:lang w:val="en-US" w:eastAsia="zh-CN"/>
        </w:rPr>
      </w:pPr>
      <w:r>
        <w:rPr>
          <w:rFonts w:hint="eastAsia" w:ascii="Times New Roman" w:hAnsi="Times New Roman" w:eastAsia="仿宋_GB2312" w:cs="仿宋_GB2312"/>
          <w:b/>
          <w:bCs/>
          <w:kern w:val="0"/>
          <w:sz w:val="32"/>
          <w:szCs w:val="32"/>
          <w:highlight w:val="none"/>
          <w:lang w:val="en-US" w:eastAsia="zh-CN"/>
        </w:rPr>
        <w:t>一是强化组织领导。</w:t>
      </w:r>
      <w:r>
        <w:rPr>
          <w:rFonts w:hint="eastAsia" w:ascii="Times New Roman" w:hAnsi="Times New Roman" w:eastAsia="仿宋_GB2312" w:cs="仿宋_GB2312"/>
          <w:kern w:val="0"/>
          <w:sz w:val="32"/>
          <w:szCs w:val="32"/>
          <w:highlight w:val="none"/>
          <w:lang w:val="en-US" w:eastAsia="zh-CN"/>
        </w:rPr>
        <w:t>确定一名分管负责同志负责政务公开工作 ，局办公室统筹协调，科室主要负责人、分管领导、主要领导多级审核。</w:t>
      </w:r>
      <w:r>
        <w:rPr>
          <w:rFonts w:hint="eastAsia" w:ascii="Times New Roman" w:hAnsi="Times New Roman" w:eastAsia="仿宋_GB2312" w:cs="仿宋_GB2312"/>
          <w:b/>
          <w:bCs/>
          <w:kern w:val="0"/>
          <w:sz w:val="32"/>
          <w:szCs w:val="32"/>
          <w:highlight w:val="none"/>
          <w:lang w:val="en-US" w:eastAsia="zh-CN"/>
        </w:rPr>
        <w:t>二是提高主动公开意识。</w:t>
      </w:r>
      <w:r>
        <w:rPr>
          <w:rFonts w:hint="eastAsia" w:ascii="Times New Roman" w:hAnsi="Times New Roman" w:eastAsia="仿宋_GB2312" w:cs="仿宋_GB2312"/>
          <w:kern w:val="0"/>
          <w:sz w:val="32"/>
          <w:szCs w:val="32"/>
          <w:highlight w:val="none"/>
          <w:lang w:val="en-US" w:eastAsia="zh-CN"/>
        </w:rPr>
        <w:t>组织全体干部进行政务公开工作培训，有效提升全体干部政务公开服务能力。</w:t>
      </w:r>
      <w:r>
        <w:rPr>
          <w:rFonts w:hint="eastAsia" w:ascii="Times New Roman" w:hAnsi="Times New Roman" w:eastAsia="仿宋_GB2312" w:cs="仿宋_GB2312"/>
          <w:b/>
          <w:bCs/>
          <w:kern w:val="0"/>
          <w:sz w:val="32"/>
          <w:szCs w:val="32"/>
          <w:highlight w:val="none"/>
          <w:lang w:val="en-US" w:eastAsia="zh-CN"/>
        </w:rPr>
        <w:t>三是丰富公开内容。</w:t>
      </w:r>
      <w:r>
        <w:rPr>
          <w:rFonts w:hint="eastAsia" w:ascii="Times New Roman" w:hAnsi="Times New Roman" w:eastAsia="仿宋_GB2312" w:cs="仿宋_GB2312"/>
          <w:kern w:val="0"/>
          <w:sz w:val="32"/>
          <w:szCs w:val="32"/>
          <w:highlight w:val="none"/>
          <w:lang w:val="en-US" w:eastAsia="zh-CN"/>
        </w:rPr>
        <w:t>结合工作实际和群众要求，扩大政务公开范围，及时发布优化营商环境和六保六稳等政策信息。</w:t>
      </w:r>
      <w:r>
        <w:rPr>
          <w:rFonts w:hint="eastAsia" w:ascii="Times New Roman" w:hAnsi="Times New Roman" w:eastAsia="仿宋_GB2312" w:cs="仿宋_GB2312"/>
          <w:b/>
          <w:bCs/>
          <w:kern w:val="0"/>
          <w:sz w:val="32"/>
          <w:szCs w:val="32"/>
          <w:highlight w:val="none"/>
          <w:lang w:val="en-US" w:eastAsia="zh-CN"/>
        </w:rPr>
        <w:t>四是坚持清单化公开。</w:t>
      </w:r>
      <w:r>
        <w:rPr>
          <w:rFonts w:hint="eastAsia" w:ascii="Times New Roman" w:hAnsi="Times New Roman" w:eastAsia="仿宋_GB2312" w:cs="仿宋_GB2312"/>
          <w:kern w:val="0"/>
          <w:sz w:val="32"/>
          <w:szCs w:val="32"/>
          <w:highlight w:val="none"/>
          <w:lang w:val="en-US" w:eastAsia="zh-CN"/>
        </w:rPr>
        <w:t>发布《威海市文登区发展和改革局主动公开基本目录》，对公示内容、责任部门、公开时限等内容进行进一步明确，确保“应公开尽公开”，极大便利群众</w:t>
      </w:r>
      <w:bookmarkStart w:id="10" w:name="_GoBack"/>
      <w:bookmarkEnd w:id="10"/>
      <w:r>
        <w:rPr>
          <w:rFonts w:hint="eastAsia" w:ascii="Times New Roman" w:hAnsi="Times New Roman" w:eastAsia="仿宋_GB2312" w:cs="仿宋_GB2312"/>
          <w:kern w:val="0"/>
          <w:sz w:val="32"/>
          <w:szCs w:val="32"/>
          <w:highlight w:val="none"/>
          <w:lang w:val="en-US" w:eastAsia="zh-CN"/>
        </w:rPr>
        <w:t>查看和监督。</w:t>
      </w:r>
    </w:p>
    <w:p w14:paraId="50C97ADE">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kern w:val="0"/>
          <w:sz w:val="32"/>
          <w:szCs w:val="32"/>
          <w:highlight w:val="none"/>
          <w:lang w:val="en-US" w:eastAsia="zh-CN"/>
        </w:rPr>
      </w:pPr>
      <w:r>
        <w:rPr>
          <w:rFonts w:hint="eastAsia" w:ascii="楷体_GB2312" w:hAnsi="楷体_GB2312" w:eastAsia="楷体_GB2312" w:cs="楷体_GB2312"/>
          <w:kern w:val="0"/>
          <w:sz w:val="32"/>
          <w:szCs w:val="32"/>
          <w:highlight w:val="none"/>
          <w:lang w:val="en-US" w:eastAsia="zh-CN"/>
        </w:rPr>
        <w:t>（四）政务公开工作创新情况</w:t>
      </w:r>
    </w:p>
    <w:p w14:paraId="6F2F9C99">
      <w:pPr>
        <w:keepNext w:val="0"/>
        <w:keepLines w:val="0"/>
        <w:pageBreakBefore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仿宋_GB2312"/>
          <w:kern w:val="0"/>
          <w:sz w:val="32"/>
          <w:szCs w:val="32"/>
          <w:highlight w:val="none"/>
          <w:lang w:val="en-US" w:eastAsia="zh-CN"/>
        </w:rPr>
      </w:pPr>
      <w:r>
        <w:rPr>
          <w:rFonts w:hint="eastAsia" w:ascii="Times New Roman" w:hAnsi="Times New Roman" w:eastAsia="仿宋_GB2312" w:cs="仿宋_GB2312"/>
          <w:b/>
          <w:bCs/>
          <w:kern w:val="0"/>
          <w:sz w:val="32"/>
          <w:szCs w:val="32"/>
          <w:highlight w:val="none"/>
          <w:lang w:val="en-US" w:eastAsia="zh-CN"/>
        </w:rPr>
        <w:t>一是政策解读形式多样化。</w:t>
      </w:r>
      <w:r>
        <w:rPr>
          <w:rFonts w:hint="eastAsia" w:ascii="Times New Roman" w:hAnsi="Times New Roman" w:eastAsia="仿宋_GB2312" w:cs="仿宋_GB2312"/>
          <w:kern w:val="0"/>
          <w:sz w:val="32"/>
          <w:szCs w:val="32"/>
          <w:highlight w:val="none"/>
          <w:lang w:val="en-US" w:eastAsia="zh-CN"/>
        </w:rPr>
        <w:t>在传统文字图片解读的方式上，创新利用媒体解读，并通过新闻发布会、视频等形式，进行多角度、立体式解读，让群众听得懂、用得上、能监督。</w:t>
      </w:r>
      <w:r>
        <w:rPr>
          <w:rFonts w:hint="eastAsia" w:ascii="Times New Roman" w:hAnsi="Times New Roman" w:eastAsia="仿宋_GB2312" w:cs="仿宋_GB2312"/>
          <w:b/>
          <w:bCs/>
          <w:kern w:val="0"/>
          <w:sz w:val="32"/>
          <w:szCs w:val="32"/>
          <w:highlight w:val="none"/>
          <w:lang w:val="en-US" w:eastAsia="zh-CN"/>
        </w:rPr>
        <w:t>二是微信公众号功能多样化。</w:t>
      </w:r>
      <w:r>
        <w:rPr>
          <w:rFonts w:hint="eastAsia" w:ascii="Times New Roman" w:hAnsi="Times New Roman" w:eastAsia="仿宋_GB2312" w:cs="仿宋_GB2312"/>
          <w:kern w:val="0"/>
          <w:sz w:val="32"/>
          <w:szCs w:val="32"/>
          <w:highlight w:val="none"/>
          <w:lang w:val="en-US" w:eastAsia="zh-CN"/>
        </w:rPr>
        <w:t>整合政府网、政务服务网和微信公众号功能，将微信公众号由一个宣传政策的窗口，优化为一个为民办事的平台，一个平台即可完成查阅政策、网上办事、意见反馈全流程服务，切实做到“数据多跑路，群众少跑腿”。</w:t>
      </w:r>
    </w:p>
    <w:p w14:paraId="1AFE6BA9">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kern w:val="0"/>
          <w:sz w:val="32"/>
          <w:szCs w:val="32"/>
          <w:highlight w:val="none"/>
          <w:lang w:val="en-US" w:eastAsia="zh-CN"/>
        </w:rPr>
      </w:pPr>
      <w:r>
        <w:rPr>
          <w:rFonts w:hint="eastAsia" w:ascii="楷体_GB2312" w:hAnsi="楷体_GB2312" w:eastAsia="楷体_GB2312" w:cs="楷体_GB2312"/>
          <w:kern w:val="0"/>
          <w:sz w:val="32"/>
          <w:szCs w:val="32"/>
          <w:highlight w:val="none"/>
          <w:lang w:val="en-US" w:eastAsia="zh-CN"/>
        </w:rPr>
        <w:t>（五）所属事业单位信息公开工作推进措施和落实情况</w:t>
      </w:r>
    </w:p>
    <w:p w14:paraId="422ED33B">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仿宋_GB2312"/>
          <w:kern w:val="0"/>
          <w:sz w:val="32"/>
          <w:szCs w:val="32"/>
          <w:highlight w:val="none"/>
          <w:lang w:val="en-US" w:eastAsia="zh-CN"/>
        </w:rPr>
      </w:pPr>
      <w:r>
        <w:rPr>
          <w:rFonts w:hint="eastAsia" w:ascii="Times New Roman" w:hAnsi="Times New Roman" w:eastAsia="仿宋_GB2312" w:cs="仿宋_GB2312"/>
          <w:kern w:val="0"/>
          <w:sz w:val="32"/>
          <w:szCs w:val="32"/>
          <w:highlight w:val="none"/>
          <w:lang w:val="en-US" w:eastAsia="zh-CN"/>
        </w:rPr>
        <w:t>局所属事业单位均按照我局信息公开工作制度、流程依法依规开展信息公开工作，坚持统一领导部署，通过</w:t>
      </w:r>
      <w:r>
        <w:rPr>
          <w:rFonts w:hint="eastAsia" w:eastAsia="仿宋_GB2312" w:cs="仿宋_GB2312"/>
          <w:kern w:val="0"/>
          <w:sz w:val="32"/>
          <w:szCs w:val="32"/>
          <w:highlight w:val="none"/>
          <w:lang w:val="en-US" w:eastAsia="zh-CN"/>
        </w:rPr>
        <w:t>政府</w:t>
      </w:r>
      <w:r>
        <w:rPr>
          <w:rFonts w:hint="eastAsia" w:ascii="Times New Roman" w:hAnsi="Times New Roman" w:eastAsia="仿宋_GB2312" w:cs="仿宋_GB2312"/>
          <w:kern w:val="0"/>
          <w:sz w:val="32"/>
          <w:szCs w:val="32"/>
          <w:highlight w:val="none"/>
          <w:lang w:val="en-US" w:eastAsia="zh-CN"/>
        </w:rPr>
        <w:t>门户网站</w:t>
      </w:r>
      <w:r>
        <w:rPr>
          <w:rFonts w:hint="eastAsia" w:eastAsia="仿宋_GB2312" w:cs="仿宋_GB2312"/>
          <w:kern w:val="0"/>
          <w:sz w:val="32"/>
          <w:szCs w:val="32"/>
          <w:highlight w:val="none"/>
          <w:lang w:val="en-US" w:eastAsia="zh-CN"/>
        </w:rPr>
        <w:t>和</w:t>
      </w:r>
      <w:r>
        <w:rPr>
          <w:rFonts w:hint="eastAsia" w:ascii="Times New Roman" w:hAnsi="Times New Roman" w:eastAsia="仿宋_GB2312" w:cs="仿宋_GB2312"/>
          <w:kern w:val="0"/>
          <w:sz w:val="32"/>
          <w:szCs w:val="32"/>
          <w:highlight w:val="none"/>
          <w:lang w:val="en-US" w:eastAsia="zh-CN"/>
        </w:rPr>
        <w:t>“威海市文登区发展和改革局”公众号发布信息。</w:t>
      </w:r>
    </w:p>
    <w:p w14:paraId="51051009">
      <w:pPr>
        <w:pStyle w:val="2"/>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538"/>
        <w:jc w:val="right"/>
        <w:textAlignment w:val="auto"/>
        <w:rPr>
          <w:rFonts w:hint="eastAsia" w:ascii="Times New Roman" w:hAnsi="Times New Roman" w:eastAsia="仿宋_GB2312" w:cs="Times New Roman"/>
          <w:color w:val="0000FF"/>
          <w:sz w:val="32"/>
          <w:szCs w:val="32"/>
          <w:lang w:val="en-US" w:eastAsia="zh-CN"/>
        </w:rPr>
      </w:pPr>
    </w:p>
    <w:p w14:paraId="2CED4918">
      <w:pPr>
        <w:pStyle w:val="2"/>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538"/>
        <w:jc w:val="right"/>
        <w:textAlignment w:val="auto"/>
        <w:rPr>
          <w:rFonts w:hint="eastAsia" w:ascii="Times New Roman" w:hAnsi="Times New Roman" w:eastAsia="仿宋_GB2312" w:cs="Times New Roman"/>
          <w:color w:val="0000FF"/>
          <w:sz w:val="32"/>
          <w:szCs w:val="32"/>
          <w:lang w:val="en-US" w:eastAsia="zh-CN"/>
        </w:rPr>
      </w:pPr>
    </w:p>
    <w:p w14:paraId="0EEC5570">
      <w:pPr>
        <w:pStyle w:val="2"/>
        <w:keepNext w:val="0"/>
        <w:keepLines w:val="0"/>
        <w:pageBreakBefore w:val="0"/>
        <w:shd w:val="clear" w:color="auto" w:fill="FFFFFF"/>
        <w:kinsoku/>
        <w:wordWrap w:val="0"/>
        <w:overflowPunct/>
        <w:topLinePunct w:val="0"/>
        <w:autoSpaceDE/>
        <w:autoSpaceDN/>
        <w:bidi w:val="0"/>
        <w:adjustRightInd/>
        <w:snapToGrid/>
        <w:spacing w:before="0" w:beforeAutospacing="0" w:after="0" w:afterAutospacing="0" w:line="560" w:lineRule="exact"/>
        <w:ind w:firstLine="538"/>
        <w:jc w:val="right"/>
        <w:textAlignment w:val="auto"/>
        <w:rPr>
          <w:rFonts w:hint="default"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 xml:space="preserve">威海市文登区发展和改革局    </w:t>
      </w:r>
    </w:p>
    <w:p w14:paraId="778739C8">
      <w:pPr>
        <w:pStyle w:val="2"/>
        <w:keepNext w:val="0"/>
        <w:keepLines w:val="0"/>
        <w:pageBreakBefore w:val="0"/>
        <w:shd w:val="clear" w:color="auto" w:fill="FFFFFF"/>
        <w:kinsoku/>
        <w:wordWrap w:val="0"/>
        <w:overflowPunct/>
        <w:topLinePunct w:val="0"/>
        <w:autoSpaceDE/>
        <w:autoSpaceDN/>
        <w:bidi w:val="0"/>
        <w:adjustRightInd/>
        <w:snapToGrid/>
        <w:spacing w:before="0" w:beforeAutospacing="0" w:after="0" w:afterAutospacing="0" w:line="560" w:lineRule="exact"/>
        <w:ind w:firstLine="538"/>
        <w:jc w:val="right"/>
        <w:textAlignment w:val="auto"/>
        <w:rPr>
          <w:rFonts w:hint="default"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 xml:space="preserve">2022年1月28日        </w:t>
      </w:r>
    </w:p>
    <w:p w14:paraId="5FE3ACBB">
      <w:pPr>
        <w:keepNext w:val="0"/>
        <w:keepLines w:val="0"/>
        <w:pageBreakBefore w:val="0"/>
        <w:kinsoku/>
        <w:wordWrap/>
        <w:overflowPunct/>
        <w:topLinePunct w:val="0"/>
        <w:autoSpaceDE/>
        <w:autoSpaceDN/>
        <w:bidi w:val="0"/>
        <w:adjustRightInd/>
        <w:snapToGrid/>
        <w:spacing w:line="560" w:lineRule="exact"/>
        <w:textAlignment w:val="auto"/>
      </w:pPr>
    </w:p>
    <w:sectPr>
      <w:pgSz w:w="11906" w:h="16838"/>
      <w:pgMar w:top="2098" w:right="1474" w:bottom="1984" w:left="1587" w:header="851" w:footer="992" w:gutter="0"/>
      <w:pgBorders>
        <w:top w:val="none" w:sz="0" w:space="0"/>
        <w:left w:val="none" w:sz="0" w:space="0"/>
        <w:bottom w:val="none" w:sz="0" w:space="0"/>
        <w:right w:val="none" w:sz="0" w:space="0"/>
      </w:pgBorders>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37B700"/>
    <w:multiLevelType w:val="singleLevel"/>
    <w:tmpl w:val="5C37B700"/>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8063D8E"/>
    <w:rsid w:val="03636F3B"/>
    <w:rsid w:val="04E94AA5"/>
    <w:rsid w:val="07F3640C"/>
    <w:rsid w:val="08063D8E"/>
    <w:rsid w:val="08E17F73"/>
    <w:rsid w:val="0D8443A4"/>
    <w:rsid w:val="107730E0"/>
    <w:rsid w:val="10A44D8F"/>
    <w:rsid w:val="12AB1EA7"/>
    <w:rsid w:val="12E90846"/>
    <w:rsid w:val="13601E59"/>
    <w:rsid w:val="151C33CF"/>
    <w:rsid w:val="15A80E65"/>
    <w:rsid w:val="19DC4D1D"/>
    <w:rsid w:val="1FB70B4B"/>
    <w:rsid w:val="20A1746F"/>
    <w:rsid w:val="210A6BCE"/>
    <w:rsid w:val="22073609"/>
    <w:rsid w:val="22C511D6"/>
    <w:rsid w:val="230E1061"/>
    <w:rsid w:val="240A3B26"/>
    <w:rsid w:val="25A02CB5"/>
    <w:rsid w:val="27183AA3"/>
    <w:rsid w:val="27253411"/>
    <w:rsid w:val="28960134"/>
    <w:rsid w:val="296E7672"/>
    <w:rsid w:val="2A5A0495"/>
    <w:rsid w:val="2ACD50AA"/>
    <w:rsid w:val="2D941C38"/>
    <w:rsid w:val="2DAC0C20"/>
    <w:rsid w:val="2F0974DC"/>
    <w:rsid w:val="2FDB54E3"/>
    <w:rsid w:val="303B6978"/>
    <w:rsid w:val="31931FDD"/>
    <w:rsid w:val="34A71265"/>
    <w:rsid w:val="34F17CA5"/>
    <w:rsid w:val="35624744"/>
    <w:rsid w:val="35634769"/>
    <w:rsid w:val="368525FF"/>
    <w:rsid w:val="36C75EA5"/>
    <w:rsid w:val="37771BCE"/>
    <w:rsid w:val="3861209D"/>
    <w:rsid w:val="3A1864D8"/>
    <w:rsid w:val="3BDE396F"/>
    <w:rsid w:val="3D36667D"/>
    <w:rsid w:val="3D5D5687"/>
    <w:rsid w:val="3DAF0508"/>
    <w:rsid w:val="3EF8047B"/>
    <w:rsid w:val="3F872266"/>
    <w:rsid w:val="3FE347CC"/>
    <w:rsid w:val="426914C2"/>
    <w:rsid w:val="446D6B4A"/>
    <w:rsid w:val="44725A9A"/>
    <w:rsid w:val="48B44208"/>
    <w:rsid w:val="499926B4"/>
    <w:rsid w:val="4BF152EE"/>
    <w:rsid w:val="4E044884"/>
    <w:rsid w:val="4E0F781A"/>
    <w:rsid w:val="4E3644F1"/>
    <w:rsid w:val="4EC6686A"/>
    <w:rsid w:val="4FC005E4"/>
    <w:rsid w:val="50105A5F"/>
    <w:rsid w:val="51B00D12"/>
    <w:rsid w:val="51F54B20"/>
    <w:rsid w:val="53B4772E"/>
    <w:rsid w:val="5765547B"/>
    <w:rsid w:val="594E4375"/>
    <w:rsid w:val="5A1240FC"/>
    <w:rsid w:val="5B51505D"/>
    <w:rsid w:val="5C697085"/>
    <w:rsid w:val="5D4A6112"/>
    <w:rsid w:val="5E1B1242"/>
    <w:rsid w:val="5EB325C7"/>
    <w:rsid w:val="5F654BA4"/>
    <w:rsid w:val="60424568"/>
    <w:rsid w:val="60F26C2B"/>
    <w:rsid w:val="61BA485B"/>
    <w:rsid w:val="62440D79"/>
    <w:rsid w:val="63092AD7"/>
    <w:rsid w:val="63145CF0"/>
    <w:rsid w:val="63314C34"/>
    <w:rsid w:val="637C5C46"/>
    <w:rsid w:val="63BF1457"/>
    <w:rsid w:val="64B96ADD"/>
    <w:rsid w:val="64D4400C"/>
    <w:rsid w:val="686C642F"/>
    <w:rsid w:val="6ADA0ADF"/>
    <w:rsid w:val="6E3B6B8D"/>
    <w:rsid w:val="6F3003A3"/>
    <w:rsid w:val="6F8D7200"/>
    <w:rsid w:val="70630DF9"/>
    <w:rsid w:val="7090127A"/>
    <w:rsid w:val="732C499F"/>
    <w:rsid w:val="770743EC"/>
    <w:rsid w:val="7B422B83"/>
    <w:rsid w:val="7C23672A"/>
    <w:rsid w:val="7DA45141"/>
    <w:rsid w:val="7E914434"/>
    <w:rsid w:val="7F324A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4.jpe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3263</Words>
  <Characters>3375</Characters>
  <Lines>0</Lines>
  <Paragraphs>0</Paragraphs>
  <TotalTime>0</TotalTime>
  <ScaleCrop>false</ScaleCrop>
  <LinksUpToDate>false</LinksUpToDate>
  <CharactersWithSpaces>3388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2021-01-26T06:06:00Z</dcterms:created>
  <dc:creator>种草的兔叽</dc:creator>
  <cp:lastModifiedBy>灰。咖啡</cp:lastModifiedBy>
  <cp:lastPrinted>2021-01-27T06:45:00Z</cp:lastPrinted>
  <dcterms:modified xsi:type="dcterms:W3CDTF">2025-04-28T08:20:30Z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9D0FB78BB211420A8F625769E22BA326</vt:lpwstr>
  </property>
  <property fmtid="{D5CDD505-2E9C-101B-9397-08002B2CF9AE}" pid="4" name="KSOTemplateDocerSaveRecord">
    <vt:lpwstr>eyJoZGlkIjoiYjM2YjY1MmUzZTEyYTBiZDYyZWJhMDAyM2Q5MzBlOTkiLCJ1c2VySWQiOiI3MTgzNjU2OTYifQ==</vt:lpwstr>
  </property>
</Properties>
</file>