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FFFFFF"/>
        </w:rPr>
        <w:t>威海市文登区市场监督管理局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FFFFFF"/>
        </w:rPr>
        <w:t>2022年政府信息公开工作年度报告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仿宋_GB2312" w:hAnsi="微软雅黑" w:eastAsia="仿宋_GB2312" w:cs="仿宋_GB2312"/>
          <w:sz w:val="31"/>
          <w:szCs w:val="31"/>
          <w:shd w:val="clear" w:color="auto" w:fill="FFFFFF"/>
        </w:rPr>
      </w:pP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微软雅黑" w:hAnsi="微软雅黑" w:eastAsia="微软雅黑" w:cs="微软雅黑"/>
          <w:sz w:val="27"/>
          <w:szCs w:val="27"/>
        </w:rPr>
      </w:pPr>
      <w:r>
        <w:rPr>
          <w:rFonts w:ascii="仿宋_GB2312" w:hAnsi="微软雅黑" w:eastAsia="仿宋_GB2312" w:cs="仿宋_GB2312"/>
          <w:sz w:val="31"/>
          <w:szCs w:val="31"/>
          <w:shd w:val="clear" w:color="auto" w:fill="FFFFFF"/>
        </w:rPr>
        <w:t>根据《中华人民共和国政府信息公开条例》（以下简称《条例》）的规定要求，现公布威海市文登区市场监督管理局</w:t>
      </w:r>
      <w:r>
        <w:rPr>
          <w:rFonts w:ascii="Times New Roman" w:hAnsi="Times New Roman" w:eastAsia="微软雅黑"/>
          <w:sz w:val="31"/>
          <w:szCs w:val="31"/>
          <w:shd w:val="clear" w:color="auto" w:fill="FFFFFF"/>
        </w:rPr>
        <w:t>202</w:t>
      </w:r>
      <w:r>
        <w:rPr>
          <w:rFonts w:hint="eastAsia" w:ascii="Times New Roman" w:hAnsi="Times New Roman" w:eastAsia="微软雅黑"/>
          <w:sz w:val="31"/>
          <w:szCs w:val="31"/>
          <w:shd w:val="clear" w:color="auto" w:fill="FFFFFF"/>
        </w:rPr>
        <w:t>2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年度政府信息公开工作报告。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微软雅黑" w:hAnsi="微软雅黑" w:eastAsia="微软雅黑" w:cs="微软雅黑"/>
          <w:sz w:val="27"/>
          <w:szCs w:val="27"/>
        </w:rPr>
      </w:pP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本报告由总体情况，主动公开政府信息情况，收到和处理政府信息公开申请情况，政府信息公开行政复议、行政诉讼情况，存在的主要问题及改进措施，</w:t>
      </w:r>
      <w:r>
        <w:rPr>
          <w:rFonts w:ascii="仿宋_GB2312" w:hAnsi="宋体" w:eastAsia="仿宋_GB2312" w:cs="仿宋_GB2312"/>
          <w:sz w:val="31"/>
          <w:szCs w:val="31"/>
          <w:shd w:val="clear" w:color="auto" w:fill="FFFFFF"/>
        </w:rPr>
        <w:t>其他需要报告的事项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共</w:t>
      </w:r>
      <w:r>
        <w:rPr>
          <w:rFonts w:ascii="Times New Roman" w:hAnsi="Times New Roman" w:eastAsia="微软雅黑"/>
          <w:sz w:val="31"/>
          <w:szCs w:val="31"/>
          <w:shd w:val="clear" w:color="auto" w:fill="FFFFFF"/>
        </w:rPr>
        <w:t>6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部分组成。 </w:t>
      </w:r>
      <w:r>
        <w:rPr>
          <w:rFonts w:hint="eastAsia" w:ascii="微软雅黑" w:hAnsi="微软雅黑" w:eastAsia="微软雅黑" w:cs="微软雅黑"/>
          <w:sz w:val="27"/>
          <w:szCs w:val="27"/>
          <w:shd w:val="clear" w:color="auto" w:fill="FFFFFF"/>
        </w:rPr>
        <w:t> 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微软雅黑" w:hAnsi="微软雅黑" w:eastAsia="微软雅黑" w:cs="微软雅黑"/>
          <w:sz w:val="27"/>
          <w:szCs w:val="27"/>
        </w:rPr>
      </w:pP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本报告中所列数据的统计时限自</w:t>
      </w: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202</w:t>
      </w:r>
      <w:r>
        <w:rPr>
          <w:rFonts w:hint="eastAsia" w:ascii="Times New Roman" w:hAnsi="Times New Roman" w:eastAsia="仿宋_GB2312"/>
          <w:sz w:val="31"/>
          <w:szCs w:val="31"/>
          <w:shd w:val="clear" w:color="auto" w:fill="FFFFFF"/>
        </w:rPr>
        <w:t>2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年</w:t>
      </w: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1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月</w:t>
      </w: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1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日起至</w:t>
      </w: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202</w:t>
      </w:r>
      <w:r>
        <w:rPr>
          <w:rFonts w:hint="eastAsia" w:ascii="Times New Roman" w:hAnsi="Times New Roman" w:eastAsia="仿宋_GB2312"/>
          <w:sz w:val="31"/>
          <w:szCs w:val="31"/>
          <w:shd w:val="clear" w:color="auto" w:fill="FFFFFF"/>
        </w:rPr>
        <w:t>2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年</w:t>
      </w: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12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月</w:t>
      </w: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31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日止。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微软雅黑" w:hAnsi="微软雅黑" w:eastAsia="微软雅黑" w:cs="微软雅黑"/>
          <w:sz w:val="27"/>
          <w:szCs w:val="27"/>
        </w:rPr>
      </w:pP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本报告的电子版可在威海市文登区人民政府门户网站</w:t>
      </w: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（http://www.wendeng.gov.cn）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信息公开专栏查阅。如对本报告有疑问，请与威海市文登区市场监督管理局办公室联系（地址：威海市文登区天福路</w:t>
      </w: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298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号，邮编：</w:t>
      </w:r>
      <w:r>
        <w:rPr>
          <w:rFonts w:ascii="Times New Roman" w:hAnsi="Times New Roman" w:eastAsia="微软雅黑"/>
          <w:sz w:val="31"/>
          <w:szCs w:val="31"/>
          <w:shd w:val="clear" w:color="auto" w:fill="FFFFFF"/>
        </w:rPr>
        <w:t>264400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，电话：</w:t>
      </w: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0631-</w:t>
      </w:r>
      <w:r>
        <w:rPr>
          <w:rFonts w:hint="eastAsia" w:ascii="Times New Roman" w:hAnsi="Times New Roman" w:eastAsia="仿宋_GB2312"/>
          <w:sz w:val="31"/>
          <w:szCs w:val="31"/>
          <w:shd w:val="clear" w:color="auto" w:fill="FFFFFF"/>
        </w:rPr>
        <w:t>8451595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）。</w:t>
      </w:r>
    </w:p>
    <w:p>
      <w:pPr>
        <w:pStyle w:val="4"/>
        <w:keepNext w:val="0"/>
        <w:keepLines w:val="0"/>
        <w:widowControl/>
        <w:numPr>
          <w:ilvl w:val="0"/>
          <w:numId w:val="1"/>
        </w:numPr>
        <w:shd w:val="clear" w:color="auto" w:fill="FFFFFF"/>
        <w:spacing w:before="0" w:after="0" w:line="560" w:lineRule="exact"/>
        <w:ind w:firstLine="640" w:firstLineChars="200"/>
        <w:rPr>
          <w:rFonts w:ascii="黑体" w:hAnsi="黑体" w:eastAsia="黑体" w:cs="仿宋_GB2312"/>
          <w:b w:val="0"/>
          <w:kern w:val="0"/>
          <w:sz w:val="32"/>
          <w:szCs w:val="32"/>
        </w:rPr>
      </w:pPr>
      <w:r>
        <w:rPr>
          <w:rFonts w:ascii="黑体" w:hAnsi="黑体" w:eastAsia="黑体" w:cs="仿宋_GB2312"/>
          <w:b w:val="0"/>
          <w:kern w:val="0"/>
          <w:sz w:val="32"/>
          <w:szCs w:val="32"/>
        </w:rPr>
        <w:t>总体情况</w:t>
      </w:r>
    </w:p>
    <w:p>
      <w:pPr>
        <w:pStyle w:val="9"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仿宋_GB2312" w:hAnsi="微软雅黑" w:eastAsia="仿宋_GB2312" w:cs="仿宋_GB2312"/>
          <w:sz w:val="31"/>
          <w:szCs w:val="31"/>
          <w:shd w:val="clear" w:color="auto" w:fill="FFFFFF"/>
        </w:rPr>
      </w:pPr>
      <w:r>
        <w:rPr>
          <w:rFonts w:ascii="Times New Roman" w:hAnsi="Times New Roman" w:eastAsia="仿宋_GB2312"/>
          <w:sz w:val="31"/>
          <w:szCs w:val="31"/>
          <w:shd w:val="clear" w:color="auto" w:fill="FFFFFF"/>
        </w:rPr>
        <w:t>2022年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，威海市文登区市场监督管理局认真贯彻落实《中华人民共和国政府信息公开条例》, 紧紧围绕务实、高效、便民、快捷的服务宗旨，继续稳步推进政府信息公开工作，积极探索信息公开模式，不断提升政府信息公开工作的质量和实效。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微软雅黑" w:hAnsi="微软雅黑" w:eastAsia="微软雅黑" w:cs="微软雅黑"/>
          <w:sz w:val="27"/>
          <w:szCs w:val="27"/>
        </w:rPr>
      </w:pPr>
      <w:r>
        <w:rPr>
          <w:rFonts w:ascii="楷体_GB2312" w:hAnsi="Times New Roman" w:eastAsia="楷体_GB2312" w:cs="楷体_GB2312"/>
          <w:sz w:val="31"/>
          <w:szCs w:val="31"/>
          <w:shd w:val="clear" w:color="auto" w:fill="FFFFFF"/>
        </w:rPr>
        <w:t>（一）主动公开政府信息情况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hint="eastAsia" w:ascii="仿宋_GB2312" w:hAnsi="Times New Roman" w:eastAsia="仿宋_GB2312" w:cs="仿宋_GB2312"/>
          <w:sz w:val="31"/>
          <w:szCs w:val="31"/>
          <w:shd w:val="clear" w:color="auto" w:fill="FFFFFF"/>
        </w:rPr>
      </w:pPr>
      <w:r>
        <w:rPr>
          <w:rFonts w:ascii="Times New Roman" w:hAnsi="Times New Roman" w:eastAsia="微软雅黑"/>
          <w:sz w:val="31"/>
          <w:szCs w:val="31"/>
          <w:shd w:val="clear" w:color="auto" w:fill="FFFFFF"/>
        </w:rPr>
        <w:t>202</w:t>
      </w:r>
      <w:r>
        <w:rPr>
          <w:rFonts w:hint="eastAsia" w:ascii="Times New Roman" w:hAnsi="Times New Roman" w:eastAsia="微软雅黑"/>
          <w:sz w:val="31"/>
          <w:szCs w:val="31"/>
          <w:shd w:val="clear" w:color="auto" w:fill="FFFFFF"/>
        </w:rPr>
        <w:t>2</w:t>
      </w:r>
      <w:r>
        <w:rPr>
          <w:rFonts w:ascii="仿宋_GB2312" w:hAnsi="Times New Roman" w:eastAsia="仿宋_GB2312" w:cs="仿宋_GB2312"/>
          <w:sz w:val="31"/>
          <w:szCs w:val="31"/>
          <w:shd w:val="clear" w:color="auto" w:fill="FFFFFF"/>
        </w:rPr>
        <w:t>年，通过威海市文登区政府网站信息公开专栏发布各类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工作动态</w:t>
      </w:r>
      <w:r>
        <w:rPr>
          <w:rFonts w:hint="eastAsia" w:ascii="仿宋_GB2312" w:hAnsi="Times New Roman" w:eastAsia="仿宋_GB2312" w:cs="仿宋_GB2312"/>
          <w:sz w:val="31"/>
          <w:szCs w:val="31"/>
          <w:shd w:val="clear" w:color="auto" w:fill="FFFFFF"/>
        </w:rPr>
        <w:t>、政策文件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、公示公告</w:t>
      </w:r>
      <w:r>
        <w:rPr>
          <w:rFonts w:hint="eastAsia" w:ascii="仿宋_GB2312" w:hAnsi="Times New Roman" w:eastAsia="仿宋_GB2312" w:cs="仿宋_GB2312"/>
          <w:sz w:val="31"/>
          <w:szCs w:val="31"/>
          <w:shd w:val="clear" w:color="auto" w:fill="FFFFFF"/>
        </w:rPr>
        <w:t>等</w:t>
      </w:r>
      <w:r>
        <w:rPr>
          <w:rFonts w:hint="eastAsia" w:ascii="仿宋_GB2312" w:hAnsi="微软雅黑" w:eastAsia="仿宋_GB2312" w:cs="仿宋_GB2312"/>
          <w:sz w:val="31"/>
          <w:szCs w:val="31"/>
          <w:shd w:val="clear" w:color="auto" w:fill="FFFFFF"/>
        </w:rPr>
        <w:t>信息</w:t>
      </w:r>
      <w:r>
        <w:rPr>
          <w:rFonts w:hint="eastAsia" w:ascii="仿宋_GB2312" w:hAnsi="微软雅黑" w:eastAsia="仿宋_GB2312" w:cs="仿宋_GB2312"/>
          <w:color w:val="000000" w:themeColor="text1"/>
          <w:sz w:val="31"/>
          <w:szCs w:val="31"/>
          <w:shd w:val="clear" w:color="auto" w:fill="FFFFFF"/>
        </w:rPr>
        <w:t>共</w:t>
      </w:r>
      <w:r>
        <w:rPr>
          <w:rFonts w:hint="eastAsia" w:ascii="Times New Roman" w:hAnsi="Times New Roman" w:eastAsia="仿宋_GB2312"/>
          <w:color w:val="000000" w:themeColor="text1"/>
          <w:sz w:val="31"/>
          <w:szCs w:val="31"/>
          <w:shd w:val="clear" w:color="auto" w:fill="FFFFFF"/>
        </w:rPr>
        <w:t>635</w:t>
      </w:r>
      <w:r>
        <w:rPr>
          <w:rFonts w:hint="eastAsia" w:ascii="仿宋_GB2312" w:hAnsi="Times New Roman" w:eastAsia="仿宋_GB2312" w:cs="仿宋_GB2312"/>
          <w:sz w:val="31"/>
          <w:szCs w:val="31"/>
          <w:shd w:val="clear" w:color="auto" w:fill="FFFFFF"/>
        </w:rPr>
        <w:t>条，及时、全面、有效地主动公开政府信息。</w:t>
      </w:r>
    </w:p>
    <w:p>
      <w:pPr>
        <w:pStyle w:val="9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firstLine="0" w:firstLineChars="0"/>
        <w:jc w:val="center"/>
        <w:textAlignment w:val="auto"/>
        <w:rPr>
          <w:rFonts w:hint="eastAsia" w:ascii="仿宋_GB2312" w:hAnsi="Times New Roman" w:eastAsia="仿宋_GB2312" w:cs="仿宋_GB2312"/>
          <w:sz w:val="31"/>
          <w:szCs w:val="31"/>
          <w:shd w:val="clear" w:color="auto" w:fill="FFFFFF"/>
          <w:lang w:eastAsia="zh-CN"/>
        </w:rPr>
      </w:pPr>
      <w:r>
        <w:rPr>
          <w:rFonts w:hint="eastAsia" w:ascii="仿宋_GB2312" w:hAnsi="Times New Roman" w:eastAsia="仿宋_GB2312" w:cs="仿宋_GB2312"/>
          <w:sz w:val="31"/>
          <w:szCs w:val="31"/>
          <w:shd w:val="clear" w:color="auto" w:fill="FFFFFF"/>
          <w:lang w:eastAsia="zh-CN"/>
        </w:rPr>
        <w:drawing>
          <wp:inline distT="0" distB="0" distL="114300" distR="114300">
            <wp:extent cx="4412615" cy="2933700"/>
            <wp:effectExtent l="0" t="0" r="6985" b="0"/>
            <wp:docPr id="1" name="图片 1" descr="2022年度政府网站信息发布示意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2年度政府网站信息发布示意图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12615" cy="293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firstLine="0" w:firstLineChars="0"/>
        <w:jc w:val="center"/>
        <w:textAlignment w:val="auto"/>
        <w:rPr>
          <w:rFonts w:hint="eastAsia" w:ascii="仿宋_GB2312" w:hAnsi="Times New Roman" w:eastAsia="仿宋_GB2312" w:cs="仿宋_GB2312"/>
          <w:sz w:val="31"/>
          <w:szCs w:val="31"/>
          <w:shd w:val="clear" w:color="auto" w:fill="FFFFFF"/>
          <w:lang w:eastAsia="zh-CN"/>
        </w:rPr>
      </w:pPr>
      <w:r>
        <w:rPr>
          <w:rFonts w:hint="eastAsia" w:ascii="仿宋_GB2312" w:hAnsi="Times New Roman" w:eastAsia="仿宋_GB2312" w:cs="仿宋_GB2312"/>
          <w:sz w:val="31"/>
          <w:szCs w:val="31"/>
          <w:shd w:val="clear" w:color="auto" w:fill="FFFFFF"/>
          <w:lang w:eastAsia="zh-CN"/>
        </w:rPr>
        <w:drawing>
          <wp:inline distT="0" distB="0" distL="114300" distR="114300">
            <wp:extent cx="4446270" cy="2724150"/>
            <wp:effectExtent l="0" t="0" r="11430" b="0"/>
            <wp:docPr id="2" name="图片 2" descr="柱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柱状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46270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</w:pPr>
      <w:r>
        <w:rPr>
          <w:rFonts w:ascii="仿宋_GB2312" w:hAnsi="Times New Roman" w:eastAsia="仿宋_GB2312" w:cs="仿宋_GB2312"/>
          <w:color w:val="000000" w:themeColor="text1"/>
          <w:sz w:val="31"/>
          <w:szCs w:val="31"/>
          <w:shd w:val="clear" w:color="auto" w:fill="FFFFFF"/>
        </w:rPr>
        <w:t>本年度主动公开</w:t>
      </w:r>
      <w:r>
        <w:rPr>
          <w:rFonts w:hint="eastAsia" w:ascii="仿宋_GB2312" w:hAnsi="Times New Roman" w:eastAsia="仿宋_GB2312" w:cs="仿宋_GB2312"/>
          <w:color w:val="000000" w:themeColor="text1"/>
          <w:sz w:val="31"/>
          <w:szCs w:val="31"/>
          <w:shd w:val="clear" w:color="auto" w:fill="FFFFFF"/>
        </w:rPr>
        <w:t>政策文件</w:t>
      </w:r>
      <w:r>
        <w:rPr>
          <w:rFonts w:hint="eastAsia" w:ascii="Times New Roman" w:hAnsi="Times New Roman"/>
          <w:color w:val="000000" w:themeColor="text1"/>
          <w:sz w:val="31"/>
          <w:szCs w:val="31"/>
          <w:shd w:val="clear" w:color="auto" w:fill="FFFFFF"/>
        </w:rPr>
        <w:t>2</w:t>
      </w:r>
      <w:r>
        <w:rPr>
          <w:rFonts w:hint="eastAsia" w:ascii="仿宋_GB2312" w:hAnsi="Times New Roman" w:eastAsia="仿宋_GB2312" w:cs="仿宋_GB2312"/>
          <w:color w:val="000000" w:themeColor="text1"/>
          <w:sz w:val="31"/>
          <w:szCs w:val="31"/>
          <w:shd w:val="clear" w:color="auto" w:fill="FFFFFF"/>
        </w:rPr>
        <w:t>件，同步发布政策解读并互相关联，其中文字解读1件，图文解读</w:t>
      </w:r>
      <w:r>
        <w:rPr>
          <w:rFonts w:hint="eastAsia" w:ascii="Times New Roman" w:hAnsi="Times New Roman"/>
          <w:color w:val="000000" w:themeColor="text1"/>
          <w:sz w:val="31"/>
          <w:szCs w:val="31"/>
          <w:shd w:val="clear" w:color="auto" w:fill="FFFFFF"/>
        </w:rPr>
        <w:t>1</w:t>
      </w:r>
      <w:r>
        <w:rPr>
          <w:rFonts w:hint="eastAsia" w:ascii="仿宋_GB2312" w:hAnsi="Times New Roman" w:eastAsia="仿宋_GB2312" w:cs="仿宋_GB2312"/>
          <w:color w:val="000000" w:themeColor="text1"/>
          <w:sz w:val="31"/>
          <w:szCs w:val="31"/>
          <w:shd w:val="clear" w:color="auto" w:fill="FFFFFF"/>
        </w:rPr>
        <w:t>件,音视频解读1件，问答式解读1件，直观易懂。</w:t>
      </w:r>
    </w:p>
    <w:p>
      <w:pPr>
        <w:widowControl/>
        <w:spacing w:line="560" w:lineRule="exact"/>
        <w:ind w:firstLine="620" w:firstLineChars="200"/>
        <w:jc w:val="left"/>
        <w:rPr>
          <w:rFonts w:ascii="微软雅黑" w:hAnsi="微软雅黑" w:eastAsia="微软雅黑" w:cs="微软雅黑"/>
          <w:color w:val="000000" w:themeColor="text1"/>
          <w:sz w:val="27"/>
          <w:szCs w:val="27"/>
        </w:rPr>
      </w:pPr>
      <w:r>
        <w:rPr>
          <w:rFonts w:ascii="楷体_GB2312" w:hAnsi="Times New Roman" w:eastAsia="楷体_GB2312" w:cs="楷体_GB2312"/>
          <w:color w:val="000000" w:themeColor="text1"/>
          <w:sz w:val="31"/>
          <w:szCs w:val="31"/>
          <w:shd w:val="clear" w:color="auto" w:fill="FFFFFF"/>
        </w:rPr>
        <w:t>（二）依申请公开政府信息情况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202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2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年，我局积极受理和回复向我单位提出的政府信息公开申请，并按时作出答复。202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2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年收到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2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件信息公开申请，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与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202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1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年新收政府信息公开申请数量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一致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。申请人为自然人，本年度完成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2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件，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部分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公开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1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件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，无法提供1件</w:t>
      </w:r>
      <w:r>
        <w:rPr>
          <w:rFonts w:hint="eastAsia" w:ascii="仿宋_GB2312" w:hAnsi="Times New Roman" w:eastAsia="仿宋_GB2312" w:cs="仿宋_GB2312"/>
          <w:color w:val="000000" w:themeColor="text1"/>
          <w:sz w:val="31"/>
          <w:szCs w:val="31"/>
          <w:shd w:val="clear" w:color="auto" w:fill="FFFFFF"/>
        </w:rPr>
        <w:t>。</w:t>
      </w:r>
    </w:p>
    <w:p>
      <w:pPr>
        <w:pStyle w:val="9"/>
        <w:widowControl/>
        <w:numPr>
          <w:ilvl w:val="0"/>
          <w:numId w:val="2"/>
        </w:numPr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</w:pPr>
      <w:r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政府信息管理情况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楷体_GB2312" w:hAnsi="Times New Roman" w:eastAsia="楷体_GB2312" w:cs="楷体_GB2312"/>
          <w:color w:val="000000" w:themeColor="text1"/>
          <w:sz w:val="31"/>
          <w:szCs w:val="31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</w:rPr>
        <w:t>制定</w:t>
      </w:r>
      <w:r>
        <w:rPr>
          <w:rFonts w:hint="eastAsia" w:ascii="仿宋_GB2312" w:hAnsi="Times New Roman" w:eastAsia="仿宋_GB2312" w:cs="仿宋_GB2312"/>
          <w:color w:val="000000" w:themeColor="text1"/>
          <w:sz w:val="32"/>
          <w:szCs w:val="32"/>
          <w:shd w:val="clear" w:color="auto" w:fill="FFFFFF"/>
        </w:rPr>
        <w:t>《文登区市场监督管理局主动公开基本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目录》，明确公开时限、载体等工作要求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，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</w:rPr>
        <w:t>各科室（单位）根据职责分工，分别承担政府信息公开的具体办理工作，并对公开内容负责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。本年度制发规范性文件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1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件，是202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1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年制发规范性文件数量的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0.5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倍，本年度规范性文件清理1件，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与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202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1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年规范性文件清理数量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一致。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微软雅黑" w:hAnsi="微软雅黑" w:eastAsia="微软雅黑" w:cs="微软雅黑"/>
          <w:color w:val="000000" w:themeColor="text1"/>
          <w:sz w:val="27"/>
          <w:szCs w:val="27"/>
        </w:rPr>
      </w:pPr>
      <w:r>
        <w:rPr>
          <w:rFonts w:ascii="楷体_GB2312" w:hAnsi="Times New Roman" w:eastAsia="楷体_GB2312" w:cs="楷体_GB2312"/>
          <w:color w:val="000000" w:themeColor="text1"/>
          <w:sz w:val="31"/>
          <w:szCs w:val="31"/>
          <w:shd w:val="clear" w:color="auto" w:fill="FFFFFF"/>
        </w:rPr>
        <w:t>（四）</w:t>
      </w:r>
      <w:r>
        <w:rPr>
          <w:rFonts w:hint="eastAsia" w:ascii="楷体_GB2312" w:hAnsi="Times New Roman" w:eastAsia="楷体_GB2312" w:cs="楷体_GB2312"/>
          <w:color w:val="000000" w:themeColor="text1"/>
          <w:sz w:val="31"/>
          <w:szCs w:val="31"/>
          <w:shd w:val="clear" w:color="auto" w:fill="FFFFFF"/>
        </w:rPr>
        <w:t>政府信息公开平台建设情况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仿宋_GB2312" w:hAnsi="Times New Roman" w:eastAsia="仿宋_GB2312" w:cs="仿宋_GB2312"/>
          <w:color w:val="FF0000"/>
          <w:sz w:val="31"/>
          <w:szCs w:val="31"/>
          <w:shd w:val="clear" w:color="auto" w:fill="FFFFFF"/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32"/>
          <w:szCs w:val="32"/>
          <w:shd w:val="clear" w:color="auto" w:fill="FFFFFF"/>
        </w:rPr>
        <w:t>不断加强政府信息公开标准化规范化建设，切实提高标准化规范化水平，做到标题规范了然，信息更新及时，内容准确适用。建立反不正当竞争栏目，</w:t>
      </w:r>
      <w:r>
        <w:rPr>
          <w:rFonts w:hint="eastAsia" w:ascii="仿宋_GB2312" w:hAnsi="仿宋" w:eastAsia="仿宋_GB2312" w:cs="Calibri"/>
          <w:color w:val="000000" w:themeColor="text1"/>
          <w:sz w:val="32"/>
          <w:szCs w:val="32"/>
        </w:rPr>
        <w:t>加大重点领域反不正当竞争执法公开力度。</w:t>
      </w:r>
      <w:r>
        <w:rPr>
          <w:rFonts w:hint="eastAsia" w:ascii="仿宋_GB2312" w:hAnsi="Times New Roman" w:eastAsia="仿宋_GB2312" w:cs="仿宋_GB2312"/>
          <w:color w:val="000000" w:themeColor="text1"/>
          <w:sz w:val="32"/>
          <w:szCs w:val="32"/>
          <w:shd w:val="clear" w:color="auto" w:fill="FFFFFF"/>
        </w:rPr>
        <w:t>按照《食品药品监管领域基层政务公开标准指引》的具体要求，围绕年度公开工作重点，完善食品药品安全专栏，对食品药品安全等重点领域信息进行集中发布。</w:t>
      </w:r>
      <w:r>
        <w:rPr>
          <w:rFonts w:ascii="仿宋_GB2312" w:hAnsi="Times New Roman" w:eastAsia="仿宋_GB2312" w:cs="仿宋_GB2312"/>
          <w:color w:val="000000" w:themeColor="text1"/>
          <w:sz w:val="32"/>
          <w:szCs w:val="32"/>
          <w:shd w:val="clear" w:color="auto" w:fill="FFFFFF"/>
        </w:rPr>
        <w:t>在政务新媒体</w:t>
      </w:r>
      <w:r>
        <w:rPr>
          <w:rFonts w:hint="eastAsia" w:ascii="仿宋_GB2312" w:hAnsi="Times New Roman" w:eastAsia="仿宋_GB2312" w:cs="仿宋_GB2312"/>
          <w:color w:val="000000" w:themeColor="text1"/>
          <w:sz w:val="32"/>
          <w:szCs w:val="32"/>
          <w:shd w:val="clear" w:color="auto" w:fill="FFFFFF"/>
        </w:rPr>
        <w:t>“文登区市场监督管理局”微信公众号上合理规划栏目设置。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微软雅黑" w:hAnsi="微软雅黑" w:eastAsia="微软雅黑" w:cs="微软雅黑"/>
          <w:sz w:val="27"/>
          <w:szCs w:val="27"/>
        </w:rPr>
      </w:pPr>
      <w:r>
        <w:rPr>
          <w:rFonts w:hint="eastAsia" w:ascii="楷体_GB2312" w:hAnsi="Times New Roman" w:eastAsia="楷体_GB2312" w:cs="楷体_GB2312"/>
          <w:sz w:val="31"/>
          <w:szCs w:val="31"/>
          <w:shd w:val="clear" w:color="auto" w:fill="FFFFFF"/>
        </w:rPr>
        <w:t>（五）监督保障情况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仿宋_GB2312" w:hAnsi="宋体" w:eastAsia="仿宋_GB2312" w:cs="仿宋_GB2312"/>
          <w:color w:val="FF0000"/>
          <w:sz w:val="31"/>
          <w:szCs w:val="31"/>
          <w:shd w:val="clear" w:color="auto" w:fill="FFFFFF"/>
        </w:rPr>
      </w:pPr>
      <w:r>
        <w:rPr>
          <w:rFonts w:ascii="仿宋_GB2312" w:hAnsi="宋体" w:eastAsia="仿宋_GB2312" w:cs="仿宋_GB2312"/>
          <w:sz w:val="31"/>
          <w:szCs w:val="31"/>
          <w:shd w:val="clear" w:color="auto" w:fill="FFFFFF"/>
        </w:rPr>
        <w:t>制定</w:t>
      </w:r>
      <w:r>
        <w:rPr>
          <w:rFonts w:hint="eastAsia" w:ascii="仿宋_GB2312" w:hAnsi="宋体" w:eastAsia="仿宋_GB2312" w:cs="仿宋_GB2312"/>
          <w:sz w:val="31"/>
          <w:szCs w:val="31"/>
          <w:shd w:val="clear" w:color="auto" w:fill="FFFFFF"/>
        </w:rPr>
        <w:t>了威海市文登区市场监督管理局</w:t>
      </w:r>
      <w:r>
        <w:rPr>
          <w:rFonts w:ascii="Times New Roman" w:hAnsi="Times New Roman" w:eastAsia="宋体"/>
          <w:sz w:val="31"/>
          <w:szCs w:val="31"/>
          <w:shd w:val="clear" w:color="auto" w:fill="FFFFFF"/>
        </w:rPr>
        <w:t>202</w:t>
      </w:r>
      <w:r>
        <w:rPr>
          <w:rFonts w:hint="eastAsia" w:ascii="Times New Roman" w:hAnsi="Times New Roman"/>
          <w:sz w:val="31"/>
          <w:szCs w:val="31"/>
          <w:shd w:val="clear" w:color="auto" w:fill="FFFFFF"/>
        </w:rPr>
        <w:t>2</w:t>
      </w:r>
      <w:r>
        <w:rPr>
          <w:rFonts w:hint="eastAsia" w:ascii="仿宋_GB2312" w:hAnsi="宋体" w:eastAsia="仿宋_GB2312" w:cs="仿宋_GB2312"/>
          <w:sz w:val="31"/>
          <w:szCs w:val="31"/>
          <w:shd w:val="clear" w:color="auto" w:fill="FFFFFF"/>
        </w:rPr>
        <w:t>年政务公开工作考核细则，将政务公开工作纳入年终考评。</w:t>
      </w:r>
      <w:r>
        <w:rPr>
          <w:rFonts w:hint="eastAsia" w:ascii="仿宋_GB2312" w:hAnsi="宋体" w:eastAsia="仿宋_GB2312" w:cs="仿宋_GB2312"/>
          <w:sz w:val="31"/>
          <w:szCs w:val="31"/>
        </w:rPr>
        <w:t>设置政府信息公开工作领导小组，下设办公室，</w:t>
      </w:r>
      <w:r>
        <w:rPr>
          <w:rFonts w:hint="eastAsia" w:ascii="仿宋_GB2312" w:hAnsi="宋体" w:eastAsia="仿宋_GB2312" w:cs="仿宋_GB2312"/>
          <w:sz w:val="31"/>
          <w:szCs w:val="31"/>
          <w:shd w:val="clear" w:color="auto" w:fill="FFFFFF"/>
        </w:rPr>
        <w:t>明确办公室负责信息公开工作，办公室分管领导作为政务公开工作分管领导，安排专人协调、调度相关科室单位，对公开的政府信息进行审核。加强政务公开队伍建设，组织业务培训和研讨交流。</w:t>
      </w:r>
    </w:p>
    <w:p>
      <w:pPr>
        <w:pStyle w:val="9"/>
        <w:widowControl/>
        <w:numPr>
          <w:ilvl w:val="0"/>
          <w:numId w:val="1"/>
        </w:numPr>
        <w:shd w:val="clear" w:color="auto" w:fill="FFFFFF"/>
        <w:spacing w:before="0" w:beforeAutospacing="0" w:after="0" w:afterAutospacing="0" w:line="560" w:lineRule="exact"/>
        <w:ind w:left="0" w:leftChars="0" w:firstLine="620" w:firstLineChars="200"/>
        <w:jc w:val="both"/>
        <w:rPr>
          <w:rFonts w:ascii="黑体" w:hAnsi="宋体" w:eastAsia="黑体" w:cs="黑体"/>
          <w:color w:val="000000" w:themeColor="text1"/>
          <w:sz w:val="31"/>
          <w:szCs w:val="31"/>
          <w:shd w:val="clear" w:color="auto" w:fill="FFFFFF"/>
        </w:rPr>
      </w:pPr>
      <w:r>
        <w:rPr>
          <w:rFonts w:ascii="黑体" w:hAnsi="宋体" w:eastAsia="黑体" w:cs="黑体"/>
          <w:color w:val="000000" w:themeColor="text1"/>
          <w:sz w:val="31"/>
          <w:szCs w:val="31"/>
          <w:shd w:val="clear" w:color="auto" w:fill="FFFFFF"/>
        </w:rPr>
        <w:t>主动公开政府信息情况</w:t>
      </w:r>
    </w:p>
    <w:p>
      <w:pPr>
        <w:jc w:val="center"/>
        <w:rPr>
          <w:rFonts w:hint="eastAsia" w:ascii="黑体" w:hAnsi="宋体" w:eastAsia="黑体" w:cs="黑体"/>
          <w:color w:val="000000" w:themeColor="text1"/>
          <w:sz w:val="31"/>
          <w:szCs w:val="31"/>
          <w:shd w:val="clear" w:color="auto" w:fill="FFFFFF"/>
          <w:lang w:eastAsia="zh-CN"/>
        </w:rPr>
      </w:pPr>
      <w:r>
        <w:rPr>
          <w:rFonts w:hint="eastAsia" w:ascii="黑体" w:hAnsi="宋体" w:eastAsia="黑体" w:cs="黑体"/>
          <w:color w:val="000000" w:themeColor="text1"/>
          <w:sz w:val="31"/>
          <w:szCs w:val="31"/>
          <w:shd w:val="clear" w:color="auto" w:fill="FFFFFF"/>
          <w:lang w:eastAsia="zh-CN"/>
        </w:rPr>
        <w:drawing>
          <wp:inline distT="0" distB="0" distL="114300" distR="114300">
            <wp:extent cx="5076825" cy="4724400"/>
            <wp:effectExtent l="0" t="0" r="9525" b="0"/>
            <wp:docPr id="5" name="图片 5" descr="微信图片_20240226112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4022611202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76825" cy="472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ind w:firstLine="620" w:firstLineChars="200"/>
        <w:jc w:val="left"/>
        <w:rPr>
          <w:rFonts w:ascii="黑体" w:hAnsi="宋体" w:eastAsia="黑体" w:cs="黑体"/>
          <w:color w:val="000000" w:themeColor="text1"/>
          <w:sz w:val="31"/>
          <w:szCs w:val="31"/>
          <w:shd w:val="clear" w:color="auto" w:fill="FFFFFF"/>
        </w:rPr>
      </w:pPr>
    </w:p>
    <w:p>
      <w:pPr>
        <w:ind w:firstLine="620" w:firstLineChars="200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黑体" w:hAnsi="宋体" w:eastAsia="黑体" w:cs="黑体"/>
          <w:color w:val="000000" w:themeColor="text1"/>
          <w:sz w:val="31"/>
          <w:szCs w:val="31"/>
          <w:shd w:val="clear" w:color="auto" w:fill="FFFFFF"/>
        </w:rPr>
        <w:t>三、收到和处理政府信息公开申请情况</w:t>
      </w:r>
    </w:p>
    <w:p>
      <w:pPr>
        <w:jc w:val="center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drawing>
          <wp:inline distT="0" distB="0" distL="114300" distR="114300">
            <wp:extent cx="5306695" cy="7097395"/>
            <wp:effectExtent l="0" t="0" r="8255" b="8255"/>
            <wp:docPr id="7" name="图片 7" descr="d7ac5787ec1991a90f2deed46905b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d7ac5787ec1991a90f2deed46905bde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06695" cy="709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60" w:lineRule="exact"/>
        <w:ind w:firstLine="640" w:firstLineChars="200"/>
        <w:rPr>
          <w:rFonts w:ascii="仿宋_GB2312" w:eastAsia="仿宋_GB2312"/>
          <w:color w:val="FF0000"/>
          <w:sz w:val="32"/>
          <w:szCs w:val="32"/>
        </w:rPr>
      </w:pPr>
    </w:p>
    <w:p>
      <w:pPr>
        <w:spacing w:line="560" w:lineRule="exact"/>
        <w:ind w:firstLine="620" w:firstLineChars="200"/>
        <w:rPr>
          <w:rFonts w:ascii="黑体" w:hAnsi="宋体" w:eastAsia="黑体" w:cs="黑体"/>
          <w:color w:val="000000" w:themeColor="text1"/>
          <w:sz w:val="31"/>
          <w:szCs w:val="31"/>
          <w:shd w:val="clear" w:color="auto" w:fill="FFFFFF"/>
        </w:rPr>
      </w:pPr>
      <w:r>
        <w:rPr>
          <w:rFonts w:ascii="黑体" w:hAnsi="宋体" w:eastAsia="黑体" w:cs="黑体"/>
          <w:color w:val="000000" w:themeColor="text1"/>
          <w:sz w:val="31"/>
          <w:szCs w:val="31"/>
          <w:shd w:val="clear" w:color="auto" w:fill="FFFFFF"/>
        </w:rPr>
        <w:t>四、政府信息公开行政复议、行政诉讼情况</w:t>
      </w:r>
    </w:p>
    <w:p>
      <w:pPr>
        <w:pStyle w:val="2"/>
        <w:jc w:val="center"/>
        <w:rPr>
          <w:rFonts w:hint="eastAsia" w:ascii="仿宋_GB2312" w:eastAsia="仿宋_GB2312"/>
          <w:color w:val="FF0000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FF0000"/>
          <w:sz w:val="32"/>
          <w:szCs w:val="32"/>
          <w:lang w:eastAsia="zh-CN"/>
        </w:rPr>
        <w:drawing>
          <wp:inline distT="0" distB="0" distL="114300" distR="114300">
            <wp:extent cx="5614035" cy="1930400"/>
            <wp:effectExtent l="0" t="0" r="5715" b="12700"/>
            <wp:docPr id="8" name="图片 8" descr="d0b5559a97b8742a02ffdd1aa24ca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d0b5559a97b8742a02ffdd1aa24ca5b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"/>
        <w:widowControl/>
        <w:numPr>
          <w:ilvl w:val="0"/>
          <w:numId w:val="3"/>
        </w:numPr>
        <w:shd w:val="clear" w:color="auto" w:fill="FFFFFF"/>
        <w:spacing w:before="0" w:beforeAutospacing="0" w:after="0" w:afterAutospacing="0" w:line="560" w:lineRule="exact"/>
        <w:ind w:firstLine="620" w:firstLineChars="200"/>
        <w:rPr>
          <w:rFonts w:ascii="黑体" w:hAnsi="宋体" w:eastAsia="黑体" w:cs="黑体"/>
          <w:color w:val="000000" w:themeColor="text1"/>
          <w:sz w:val="31"/>
          <w:szCs w:val="31"/>
          <w:shd w:val="clear" w:color="auto" w:fill="FFFFFF"/>
        </w:rPr>
      </w:pPr>
      <w:r>
        <w:rPr>
          <w:rFonts w:ascii="黑体" w:hAnsi="宋体" w:eastAsia="黑体" w:cs="黑体"/>
          <w:color w:val="000000" w:themeColor="text1"/>
          <w:sz w:val="31"/>
          <w:szCs w:val="31"/>
          <w:shd w:val="clear" w:color="auto" w:fill="FFFFFF"/>
        </w:rPr>
        <w:t>存在的主要问题及改进情况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20" w:firstLineChars="200"/>
        <w:jc w:val="both"/>
        <w:rPr>
          <w:rFonts w:ascii="仿宋" w:hAnsi="仿宋" w:eastAsia="仿宋" w:cs="仿宋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hAnsi="微软雅黑" w:eastAsia="仿宋_GB2312" w:cs="仿宋_GB2312"/>
          <w:color w:val="000000" w:themeColor="text1"/>
          <w:sz w:val="31"/>
          <w:szCs w:val="31"/>
          <w:shd w:val="clear" w:color="auto" w:fill="FFFFFF"/>
        </w:rPr>
        <w:t>目前政府信息公开工作</w:t>
      </w:r>
      <w:r>
        <w:rPr>
          <w:rFonts w:hint="eastAsia" w:ascii="仿宋_GB2312" w:hAnsi="微软雅黑" w:eastAsia="仿宋_GB2312" w:cs="仿宋_GB2312"/>
          <w:color w:val="000000" w:themeColor="text1"/>
          <w:sz w:val="31"/>
          <w:szCs w:val="31"/>
          <w:shd w:val="clear" w:color="auto" w:fill="FFFFFF"/>
        </w:rPr>
        <w:t>的主动回应缺乏时效性，调查了解不够，不能及时了解人民群众关心的热点问题。下一步，将</w:t>
      </w:r>
      <w:r>
        <w:rPr>
          <w:rFonts w:hint="eastAsia" w:ascii="仿宋" w:hAnsi="仿宋" w:eastAsia="仿宋"/>
          <w:color w:val="000000" w:themeColor="text1"/>
          <w:sz w:val="32"/>
          <w:szCs w:val="32"/>
          <w:shd w:val="clear" w:color="auto" w:fill="FFFFFF"/>
        </w:rPr>
        <w:t>紧盯与本部门职能相关的社会热点问题，针对涉及群众切身利益的重点事项及时开展主动回应；不断加强政务公开标准化规范化建设，提高政务信息发布的质量和时效性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shd w:val="clear" w:color="auto" w:fill="FFFFFF"/>
        </w:rPr>
        <w:t>。</w:t>
      </w:r>
    </w:p>
    <w:p>
      <w:pPr>
        <w:pStyle w:val="9"/>
        <w:widowControl/>
        <w:numPr>
          <w:ilvl w:val="0"/>
          <w:numId w:val="3"/>
        </w:numPr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黑体" w:hAnsi="黑体" w:eastAsia="黑体" w:cs="黑体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FFFFFF"/>
        </w:rPr>
        <w:t>其他需要报告的事项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楷体_GB2312" w:hAnsi="Times New Roman" w:eastAsia="楷体_GB2312" w:cs="楷体_GB2312"/>
          <w:sz w:val="32"/>
          <w:szCs w:val="32"/>
          <w:shd w:val="clear" w:color="auto" w:fill="FFFFFF"/>
        </w:rPr>
      </w:pPr>
      <w:r>
        <w:rPr>
          <w:rFonts w:hint="eastAsia" w:ascii="楷体_GB2312" w:hAnsi="Times New Roman" w:eastAsia="楷体_GB2312" w:cs="楷体_GB2312"/>
          <w:sz w:val="32"/>
          <w:szCs w:val="32"/>
          <w:shd w:val="clear" w:color="auto" w:fill="FFFFFF"/>
        </w:rPr>
        <w:t>（一）</w:t>
      </w:r>
      <w:r>
        <w:rPr>
          <w:rFonts w:ascii="楷体_GB2312" w:hAnsi="Times New Roman" w:eastAsia="楷体_GB2312" w:cs="楷体_GB2312"/>
          <w:sz w:val="32"/>
          <w:szCs w:val="32"/>
          <w:shd w:val="clear" w:color="auto" w:fill="FFFFFF"/>
        </w:rPr>
        <w:t>政府信息公开申请收费情况</w:t>
      </w:r>
    </w:p>
    <w:p>
      <w:pPr>
        <w:pStyle w:val="9"/>
        <w:widowControl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</w:pP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本年度我局依申请公开政府信息未收取任何费用。</w:t>
      </w:r>
    </w:p>
    <w:p>
      <w:pPr>
        <w:pStyle w:val="9"/>
        <w:widowControl/>
        <w:numPr>
          <w:ilvl w:val="0"/>
          <w:numId w:val="4"/>
        </w:numPr>
        <w:spacing w:before="0" w:beforeAutospacing="0" w:after="0" w:afterAutospacing="0" w:line="560" w:lineRule="exact"/>
        <w:ind w:firstLine="640" w:firstLineChars="200"/>
        <w:rPr>
          <w:rFonts w:ascii="楷体_GB2312" w:hAnsi="Times New Roman" w:eastAsia="楷体_GB2312" w:cs="楷体_GB2312"/>
          <w:sz w:val="32"/>
          <w:szCs w:val="32"/>
          <w:shd w:val="clear" w:color="auto" w:fill="FFFFFF"/>
        </w:rPr>
      </w:pPr>
      <w:r>
        <w:rPr>
          <w:rFonts w:ascii="楷体_GB2312" w:hAnsi="Times New Roman" w:eastAsia="楷体_GB2312" w:cs="楷体_GB2312"/>
          <w:sz w:val="32"/>
          <w:szCs w:val="32"/>
          <w:shd w:val="clear" w:color="auto" w:fill="FFFFFF"/>
        </w:rPr>
        <w:t>落实上级年度政务公开工作要点情况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微软雅黑" w:eastAsia="仿宋_GB2312" w:cs="仿宋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</w:rPr>
        <w:t>202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</w:rPr>
        <w:t>2</w:t>
      </w:r>
      <w:r>
        <w:rPr>
          <w:rFonts w:ascii="仿宋_GB2312" w:hAnsi="微软雅黑" w:eastAsia="仿宋_GB2312" w:cs="仿宋_GB2312"/>
          <w:color w:val="000000" w:themeColor="text1"/>
          <w:sz w:val="32"/>
          <w:szCs w:val="32"/>
          <w:shd w:val="clear" w:color="auto" w:fill="FFFFFF"/>
        </w:rPr>
        <w:t>年，我局全面落实</w:t>
      </w:r>
      <w:r>
        <w:rPr>
          <w:rFonts w:hint="eastAsia" w:ascii="仿宋_GB2312" w:hAnsi="微软雅黑" w:eastAsia="仿宋_GB2312" w:cs="仿宋_GB2312"/>
          <w:color w:val="000000" w:themeColor="text1"/>
          <w:sz w:val="32"/>
          <w:szCs w:val="32"/>
          <w:shd w:val="clear" w:color="auto" w:fill="FFFFFF"/>
        </w:rPr>
        <w:t>文登区</w:t>
      </w:r>
      <w:r>
        <w:rPr>
          <w:rFonts w:ascii="仿宋_GB2312" w:hAnsi="微软雅黑" w:eastAsia="仿宋_GB2312" w:cs="仿宋_GB2312"/>
          <w:color w:val="000000" w:themeColor="text1"/>
          <w:sz w:val="32"/>
          <w:szCs w:val="32"/>
          <w:shd w:val="clear" w:color="auto" w:fill="FFFFFF"/>
        </w:rPr>
        <w:t>政务公开工作要点相关要求，科学规范主动公开事项，</w:t>
      </w:r>
      <w:r>
        <w:rPr>
          <w:rFonts w:hint="eastAsia" w:ascii="仿宋" w:hAnsi="仿宋" w:eastAsia="仿宋" w:cs="Calibri"/>
          <w:color w:val="000000" w:themeColor="text1"/>
          <w:kern w:val="0"/>
          <w:sz w:val="32"/>
          <w:szCs w:val="32"/>
        </w:rPr>
        <w:t>做好重点领域组配信息的发布和更新，不断提高食品药品监管、价格监管、产品质量监管等重点领域的业务开展信息的权威性和实用性。</w:t>
      </w:r>
    </w:p>
    <w:p>
      <w:pPr>
        <w:pStyle w:val="9"/>
        <w:widowControl/>
        <w:numPr>
          <w:ilvl w:val="0"/>
          <w:numId w:val="4"/>
        </w:numPr>
        <w:spacing w:before="0" w:beforeAutospacing="0" w:after="0" w:afterAutospacing="0" w:line="560" w:lineRule="exact"/>
        <w:ind w:left="0" w:leftChars="0" w:firstLine="640" w:firstLineChars="200"/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人大代表建议、政协委员提案办理结果公开情况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202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2</w:t>
      </w:r>
      <w:r>
        <w:rPr>
          <w:rFonts w:ascii="仿宋_GB2312" w:hAnsi="微软雅黑" w:eastAsia="仿宋_GB2312" w:cs="仿宋_GB2312"/>
          <w:color w:val="000000" w:themeColor="text1"/>
          <w:sz w:val="32"/>
          <w:szCs w:val="32"/>
          <w:shd w:val="clear" w:color="auto" w:fill="FFFFFF"/>
        </w:rPr>
        <w:t>年我局办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理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  <w:lang w:eastAsia="zh-CN"/>
        </w:rPr>
        <w:t>区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政协提案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6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件，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shd w:val="clear" w:color="auto" w:fill="FFFFFF"/>
          <w:lang w:eastAsia="zh-CN"/>
        </w:rPr>
        <w:t>比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</w:rPr>
        <w:t>2021年多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</w:rPr>
        <w:t>件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</w:rPr>
        <w:t>委员反馈满意率为100%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</w:rPr>
        <w:t>。4件</w:t>
      </w:r>
      <w:r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</w:rPr>
        <w:t>答复情况已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</w:rPr>
        <w:t>通过政府网站专栏主动公开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</w:rPr>
        <w:t>。</w:t>
      </w:r>
    </w:p>
    <w:p>
      <w:pPr>
        <w:numPr>
          <w:ilvl w:val="0"/>
          <w:numId w:val="2"/>
        </w:numPr>
        <w:spacing w:line="560" w:lineRule="exact"/>
        <w:ind w:firstLine="641"/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政务公开工作创新情况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Calibri"/>
          <w:color w:val="000000" w:themeColor="text1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</w:rPr>
        <w:t>设立反不正当竞争栏目，</w:t>
      </w:r>
      <w:r>
        <w:rPr>
          <w:rFonts w:hint="eastAsia" w:ascii="仿宋" w:hAnsi="仿宋" w:eastAsia="仿宋" w:cs="Calibri"/>
          <w:color w:val="000000" w:themeColor="text1"/>
          <w:kern w:val="0"/>
          <w:sz w:val="32"/>
          <w:szCs w:val="32"/>
        </w:rPr>
        <w:t>规范发展中出现的扰乱竞争秩序的行为，不断加大重点领域反不正当竞争执法公开力度，及时发布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</w:rPr>
        <w:t>反不正当竞争政策法规、案例</w:t>
      </w:r>
      <w:r>
        <w:rPr>
          <w:rFonts w:hint="eastAsia" w:ascii="仿宋" w:hAnsi="仿宋" w:eastAsia="仿宋" w:cs="Calibri"/>
          <w:color w:val="000000" w:themeColor="text1"/>
          <w:kern w:val="0"/>
          <w:sz w:val="32"/>
          <w:szCs w:val="32"/>
        </w:rPr>
        <w:t>信息</w:t>
      </w:r>
      <w:r>
        <w:rPr>
          <w:rFonts w:hint="eastAsia" w:ascii="仿宋" w:hAnsi="仿宋" w:eastAsia="仿宋" w:cs="Calibri"/>
          <w:color w:val="000000" w:themeColor="text1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Calibri"/>
          <w:color w:val="000000" w:themeColor="text1"/>
          <w:kern w:val="0"/>
          <w:sz w:val="32"/>
          <w:szCs w:val="32"/>
        </w:rPr>
        <w:t>推动反不正当竞争的社会共治。组织全区“双随机、一公开”联席会议成员单位通过区政府门户网站“双随机、一公开”模块对双随机抽查事项清单、随机抽查细则、抽查计划、抽查结果进行公示，接受社会监督，打造公开、透明的法治化营商环境。</w:t>
      </w:r>
    </w:p>
    <w:p>
      <w:pPr>
        <w:spacing w:line="560" w:lineRule="exact"/>
        <w:ind w:firstLine="640" w:firstLineChars="200"/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</w:pPr>
      <w:r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（五）</w:t>
      </w: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本行政机关政府信息公开工作年度报告数据统计需要说明的事项</w:t>
      </w:r>
    </w:p>
    <w:p>
      <w:pPr>
        <w:pStyle w:val="2"/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b w:val="0"/>
          <w:color w:val="000000" w:themeColor="text1"/>
          <w:kern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b w:val="0"/>
          <w:color w:val="000000" w:themeColor="text1"/>
          <w:kern w:val="0"/>
          <w:sz w:val="32"/>
          <w:szCs w:val="32"/>
          <w:shd w:val="clear" w:color="auto" w:fill="FFFFFF"/>
        </w:rPr>
        <w:t>无。</w:t>
      </w:r>
    </w:p>
    <w:p>
      <w:pPr>
        <w:spacing w:line="560" w:lineRule="exact"/>
        <w:ind w:left="640"/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</w:pPr>
      <w:r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（六）</w:t>
      </w: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本行政机关认为需要报告的其他事项</w:t>
      </w:r>
    </w:p>
    <w:p>
      <w:pPr>
        <w:pStyle w:val="2"/>
        <w:spacing w:line="560" w:lineRule="exact"/>
        <w:ind w:firstLine="640" w:firstLineChars="200"/>
        <w:jc w:val="left"/>
        <w:rPr>
          <w:color w:val="000000" w:themeColor="text1"/>
        </w:rPr>
      </w:pPr>
      <w:r>
        <w:rPr>
          <w:rFonts w:hint="eastAsia" w:ascii="Times New Roman" w:hAnsi="Times New Roman" w:eastAsia="仿宋_GB2312" w:cs="Times New Roman"/>
          <w:b w:val="0"/>
          <w:color w:val="000000" w:themeColor="text1"/>
          <w:kern w:val="0"/>
          <w:sz w:val="32"/>
          <w:szCs w:val="32"/>
          <w:shd w:val="clear" w:color="auto" w:fill="FFFFFF"/>
        </w:rPr>
        <w:t>无。</w:t>
      </w:r>
    </w:p>
    <w:p>
      <w:pPr>
        <w:spacing w:line="560" w:lineRule="exact"/>
        <w:ind w:left="640"/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</w:pPr>
      <w:r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（七）</w:t>
      </w: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其他有关文件专门要求通过政府信息公开工作年度报</w:t>
      </w:r>
    </w:p>
    <w:p>
      <w:pPr>
        <w:spacing w:line="560" w:lineRule="exact"/>
        <w:rPr>
          <w:rFonts w:hint="eastAsia"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楷体_GB2312" w:hAnsi="Times New Roman" w:eastAsia="楷体_GB2312" w:cs="楷体_GB2312"/>
          <w:color w:val="000000" w:themeColor="text1"/>
          <w:sz w:val="32"/>
          <w:szCs w:val="32"/>
          <w:shd w:val="clear" w:color="auto" w:fill="FFFFFF"/>
        </w:rPr>
        <w:t>告予以报告的事项</w:t>
      </w:r>
    </w:p>
    <w:p>
      <w:pPr>
        <w:pStyle w:val="2"/>
        <w:spacing w:line="560" w:lineRule="exact"/>
        <w:ind w:firstLine="640" w:firstLineChars="200"/>
        <w:jc w:val="left"/>
        <w:rPr>
          <w:rFonts w:hint="eastAsia" w:ascii="仿宋_GB2312" w:eastAsia="仿宋_GB2312"/>
          <w:b w:val="0"/>
          <w:color w:val="000000" w:themeColor="text1"/>
          <w:sz w:val="32"/>
          <w:szCs w:val="32"/>
        </w:rPr>
      </w:pPr>
      <w:r>
        <w:rPr>
          <w:rFonts w:hint="eastAsia" w:ascii="仿宋_GB2312" w:eastAsia="仿宋_GB2312"/>
          <w:b w:val="0"/>
          <w:color w:val="000000" w:themeColor="text1"/>
          <w:sz w:val="32"/>
          <w:szCs w:val="32"/>
        </w:rPr>
        <w:t>无。</w:t>
      </w:r>
    </w:p>
    <w:p>
      <w:pPr>
        <w:pStyle w:val="4"/>
        <w:spacing w:before="0" w:after="0" w:line="560" w:lineRule="exact"/>
        <w:jc w:val="right"/>
        <w:rPr>
          <w:rFonts w:ascii="Times New Roman" w:hAnsi="Times New Roman" w:eastAsia="仿宋_GB2312" w:cs="Times New Roman"/>
          <w:b w:val="0"/>
          <w:bCs w:val="0"/>
          <w:color w:val="000000" w:themeColor="text1"/>
          <w:kern w:val="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 w:themeColor="text1"/>
          <w:kern w:val="2"/>
          <w:sz w:val="32"/>
          <w:szCs w:val="32"/>
        </w:rPr>
        <w:t>威海市文登区市场监督管理局</w:t>
      </w:r>
    </w:p>
    <w:p>
      <w:pPr>
        <w:spacing w:line="560" w:lineRule="exact"/>
        <w:jc w:val="center"/>
        <w:rPr>
          <w:rFonts w:ascii="Times New Roman" w:hAnsi="Times New Roman" w:eastAsia="仿宋_GB2312" w:cs="Times New Roman"/>
          <w:color w:val="FF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 xml:space="preserve">                           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2023年1月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6日</w:t>
      </w:r>
      <w:r>
        <w:rPr>
          <w:rFonts w:hint="eastAsia" w:ascii="Times New Roman" w:hAnsi="Times New Roman" w:eastAsia="仿宋_GB2312" w:cs="Times New Roman"/>
          <w:color w:val="FF0000"/>
          <w:sz w:val="32"/>
          <w:szCs w:val="32"/>
        </w:rPr>
        <w:t xml:space="preserve">    </w:t>
      </w:r>
    </w:p>
    <w:sectPr>
      <w:footerReference r:id="rId3" w:type="default"/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ascii="宋体" w:hAnsi="宋体" w:eastAsia="宋体"/>
        <w:sz w:val="28"/>
        <w:szCs w:val="28"/>
      </w:rPr>
    </w:pP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rFonts w:eastAsia="宋体"/>
                    <w:sz w:val="18"/>
                  </w:rPr>
                </w:pPr>
                <w:r>
                  <w:rPr>
                    <w:rFonts w:hint="eastAsia" w:eastAsia="宋体"/>
                    <w:sz w:val="18"/>
                  </w:rPr>
                  <w:fldChar w:fldCharType="begin"/>
                </w:r>
                <w:r>
                  <w:rPr>
                    <w:rFonts w:hint="eastAsia" w:eastAsia="宋体"/>
                    <w:sz w:val="18"/>
                  </w:rPr>
                  <w:instrText xml:space="preserve"> PAGE  \* MERGEFORMAT </w:instrText>
                </w:r>
                <w:r>
                  <w:rPr>
                    <w:rFonts w:hint="eastAsia" w:eastAsia="宋体"/>
                    <w:sz w:val="18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 w:eastAsia="宋体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BCBA78"/>
    <w:multiLevelType w:val="singleLevel"/>
    <w:tmpl w:val="8FBCBA78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F1C5133F"/>
    <w:multiLevelType w:val="singleLevel"/>
    <w:tmpl w:val="F1C5133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FB60C92E"/>
    <w:multiLevelType w:val="singleLevel"/>
    <w:tmpl w:val="FB60C92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6506B86E"/>
    <w:multiLevelType w:val="singleLevel"/>
    <w:tmpl w:val="6506B86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mQzMmU3NzEyMjdiNzhjMzk2NDU5ZjFjMTMzOWZjNjYifQ=="/>
  </w:docVars>
  <w:rsids>
    <w:rsidRoot w:val="00502C34"/>
    <w:rsid w:val="0003350B"/>
    <w:rsid w:val="000500B1"/>
    <w:rsid w:val="0006512C"/>
    <w:rsid w:val="000A57BF"/>
    <w:rsid w:val="000B4F9F"/>
    <w:rsid w:val="000C1FDA"/>
    <w:rsid w:val="00111747"/>
    <w:rsid w:val="001210E0"/>
    <w:rsid w:val="00121655"/>
    <w:rsid w:val="00123E53"/>
    <w:rsid w:val="001305E3"/>
    <w:rsid w:val="001679FF"/>
    <w:rsid w:val="00180B4F"/>
    <w:rsid w:val="00196721"/>
    <w:rsid w:val="00197DB9"/>
    <w:rsid w:val="001A101D"/>
    <w:rsid w:val="001F026B"/>
    <w:rsid w:val="00203F15"/>
    <w:rsid w:val="00211F6A"/>
    <w:rsid w:val="002136CD"/>
    <w:rsid w:val="00243BAF"/>
    <w:rsid w:val="00286BF3"/>
    <w:rsid w:val="002B58BB"/>
    <w:rsid w:val="00315DDF"/>
    <w:rsid w:val="00326FDC"/>
    <w:rsid w:val="00333740"/>
    <w:rsid w:val="00372E47"/>
    <w:rsid w:val="00383DED"/>
    <w:rsid w:val="00384B12"/>
    <w:rsid w:val="00392DAD"/>
    <w:rsid w:val="003C1943"/>
    <w:rsid w:val="004035D1"/>
    <w:rsid w:val="0041600A"/>
    <w:rsid w:val="004162E7"/>
    <w:rsid w:val="00441352"/>
    <w:rsid w:val="004534DE"/>
    <w:rsid w:val="00463EF5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53701"/>
    <w:rsid w:val="00760120"/>
    <w:rsid w:val="0078050F"/>
    <w:rsid w:val="007939F1"/>
    <w:rsid w:val="007D62A6"/>
    <w:rsid w:val="007E43CD"/>
    <w:rsid w:val="008244CB"/>
    <w:rsid w:val="00825A8F"/>
    <w:rsid w:val="00846109"/>
    <w:rsid w:val="00851E51"/>
    <w:rsid w:val="008C68B1"/>
    <w:rsid w:val="00923DE3"/>
    <w:rsid w:val="0095333A"/>
    <w:rsid w:val="00990BC0"/>
    <w:rsid w:val="009967F4"/>
    <w:rsid w:val="009B4DDB"/>
    <w:rsid w:val="009D1EAC"/>
    <w:rsid w:val="00A05D3F"/>
    <w:rsid w:val="00A06092"/>
    <w:rsid w:val="00A87941"/>
    <w:rsid w:val="00A9562B"/>
    <w:rsid w:val="00AC0838"/>
    <w:rsid w:val="00AC0B55"/>
    <w:rsid w:val="00B0360E"/>
    <w:rsid w:val="00B06CEF"/>
    <w:rsid w:val="00B1477B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75C06"/>
    <w:rsid w:val="00CA2A1F"/>
    <w:rsid w:val="00CB4D57"/>
    <w:rsid w:val="00CE332F"/>
    <w:rsid w:val="00D1211B"/>
    <w:rsid w:val="00D206E1"/>
    <w:rsid w:val="00D45CBD"/>
    <w:rsid w:val="00DD7168"/>
    <w:rsid w:val="00DE1416"/>
    <w:rsid w:val="00DF3523"/>
    <w:rsid w:val="00DF7D80"/>
    <w:rsid w:val="00E019FC"/>
    <w:rsid w:val="00E63F2E"/>
    <w:rsid w:val="00ED6874"/>
    <w:rsid w:val="00ED698F"/>
    <w:rsid w:val="00EE7943"/>
    <w:rsid w:val="00F01622"/>
    <w:rsid w:val="00F03027"/>
    <w:rsid w:val="00F42818"/>
    <w:rsid w:val="00F43E2C"/>
    <w:rsid w:val="00F57A9C"/>
    <w:rsid w:val="00F7173D"/>
    <w:rsid w:val="00F90155"/>
    <w:rsid w:val="00FC01CB"/>
    <w:rsid w:val="00FF3FF5"/>
    <w:rsid w:val="00FF65C3"/>
    <w:rsid w:val="01A05184"/>
    <w:rsid w:val="036F6897"/>
    <w:rsid w:val="054B4D36"/>
    <w:rsid w:val="06C92CC5"/>
    <w:rsid w:val="09A22B6B"/>
    <w:rsid w:val="0BFE2C6D"/>
    <w:rsid w:val="10D16ECA"/>
    <w:rsid w:val="10ED2587"/>
    <w:rsid w:val="13DF00B0"/>
    <w:rsid w:val="17165E48"/>
    <w:rsid w:val="179573CC"/>
    <w:rsid w:val="179F0F96"/>
    <w:rsid w:val="180B0F62"/>
    <w:rsid w:val="18CB55A6"/>
    <w:rsid w:val="1C112BE3"/>
    <w:rsid w:val="1DC31F6C"/>
    <w:rsid w:val="1FA226A0"/>
    <w:rsid w:val="20191E9C"/>
    <w:rsid w:val="20A879D3"/>
    <w:rsid w:val="24A106B2"/>
    <w:rsid w:val="24AF1663"/>
    <w:rsid w:val="24EF4E6D"/>
    <w:rsid w:val="28FB2748"/>
    <w:rsid w:val="2A3768B1"/>
    <w:rsid w:val="2A7A7B2A"/>
    <w:rsid w:val="2F3621B9"/>
    <w:rsid w:val="2FA5374C"/>
    <w:rsid w:val="3047627B"/>
    <w:rsid w:val="30E95CA7"/>
    <w:rsid w:val="3A0B2CF9"/>
    <w:rsid w:val="3AE3337B"/>
    <w:rsid w:val="3AE61503"/>
    <w:rsid w:val="3C473801"/>
    <w:rsid w:val="3C787E8C"/>
    <w:rsid w:val="3C971E01"/>
    <w:rsid w:val="3D9A71DB"/>
    <w:rsid w:val="3E8D4457"/>
    <w:rsid w:val="40303F88"/>
    <w:rsid w:val="458810EB"/>
    <w:rsid w:val="4BA05AE3"/>
    <w:rsid w:val="4FAC4ED0"/>
    <w:rsid w:val="519626A2"/>
    <w:rsid w:val="551721B3"/>
    <w:rsid w:val="55681A58"/>
    <w:rsid w:val="589557F5"/>
    <w:rsid w:val="59FA796F"/>
    <w:rsid w:val="5C0C0E32"/>
    <w:rsid w:val="5ED33B35"/>
    <w:rsid w:val="601C5E1C"/>
    <w:rsid w:val="60793CB6"/>
    <w:rsid w:val="62E46FE1"/>
    <w:rsid w:val="637A0A21"/>
    <w:rsid w:val="68916F6D"/>
    <w:rsid w:val="6A9543C0"/>
    <w:rsid w:val="6C885CE4"/>
    <w:rsid w:val="6E46167B"/>
    <w:rsid w:val="6F060E0B"/>
    <w:rsid w:val="70BA475B"/>
    <w:rsid w:val="74BA751A"/>
    <w:rsid w:val="78EF46BD"/>
    <w:rsid w:val="7BA7595B"/>
    <w:rsid w:val="7CC51CA4"/>
    <w:rsid w:val="7CFB12D0"/>
    <w:rsid w:val="7D00333D"/>
    <w:rsid w:val="7D877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21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link w:val="22"/>
    <w:autoRedefine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1">
    <w:name w:val="Default Paragraph Font"/>
    <w:autoRedefine/>
    <w:semiHidden/>
    <w:unhideWhenUsed/>
    <w:qFormat/>
    <w:uiPriority w:val="1"/>
  </w:style>
  <w:style w:type="table" w:default="1" w:styleId="10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3">
    <w:name w:val="文章附标题"/>
    <w:basedOn w:val="1"/>
    <w:next w:val="4"/>
    <w:qFormat/>
    <w:uiPriority w:val="0"/>
    <w:pPr>
      <w:spacing w:line="0" w:lineRule="atLeast"/>
      <w:jc w:val="center"/>
    </w:pPr>
    <w:rPr>
      <w:rFonts w:ascii="Calibri" w:hAnsi="Calibri" w:eastAsia="宋体" w:cs="Times New Roman"/>
      <w:sz w:val="36"/>
    </w:rPr>
  </w:style>
  <w:style w:type="paragraph" w:styleId="6">
    <w:name w:val="Balloon Text"/>
    <w:basedOn w:val="1"/>
    <w:link w:val="25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12">
    <w:name w:val="Strong"/>
    <w:basedOn w:val="11"/>
    <w:qFormat/>
    <w:uiPriority w:val="22"/>
    <w:rPr>
      <w:b/>
    </w:rPr>
  </w:style>
  <w:style w:type="character" w:styleId="13">
    <w:name w:val="FollowedHyperlink"/>
    <w:basedOn w:val="11"/>
    <w:unhideWhenUsed/>
    <w:qFormat/>
    <w:uiPriority w:val="99"/>
    <w:rPr>
      <w:color w:val="337AB7"/>
      <w:u w:val="single"/>
    </w:rPr>
  </w:style>
  <w:style w:type="character" w:styleId="14">
    <w:name w:val="HTML Definition"/>
    <w:basedOn w:val="11"/>
    <w:unhideWhenUsed/>
    <w:qFormat/>
    <w:uiPriority w:val="99"/>
    <w:rPr>
      <w:i/>
    </w:rPr>
  </w:style>
  <w:style w:type="character" w:styleId="15">
    <w:name w:val="Hyperlink"/>
    <w:basedOn w:val="11"/>
    <w:autoRedefine/>
    <w:unhideWhenUsed/>
    <w:qFormat/>
    <w:uiPriority w:val="99"/>
    <w:rPr>
      <w:color w:val="337AB7"/>
      <w:u w:val="single"/>
    </w:rPr>
  </w:style>
  <w:style w:type="character" w:styleId="16">
    <w:name w:val="HTML Code"/>
    <w:basedOn w:val="11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color="auto" w:fill="F9F2F4"/>
    </w:rPr>
  </w:style>
  <w:style w:type="character" w:styleId="17">
    <w:name w:val="HTML Keyboard"/>
    <w:basedOn w:val="11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color="auto" w:fill="333333"/>
    </w:rPr>
  </w:style>
  <w:style w:type="character" w:styleId="18">
    <w:name w:val="HTML Sample"/>
    <w:basedOn w:val="11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character" w:customStyle="1" w:styleId="19">
    <w:name w:val="页眉 Char"/>
    <w:basedOn w:val="11"/>
    <w:link w:val="8"/>
    <w:autoRedefine/>
    <w:qFormat/>
    <w:uiPriority w:val="99"/>
    <w:rPr>
      <w:sz w:val="18"/>
      <w:szCs w:val="18"/>
    </w:rPr>
  </w:style>
  <w:style w:type="character" w:customStyle="1" w:styleId="20">
    <w:name w:val="页脚 Char"/>
    <w:basedOn w:val="11"/>
    <w:link w:val="7"/>
    <w:autoRedefine/>
    <w:qFormat/>
    <w:uiPriority w:val="99"/>
    <w:rPr>
      <w:sz w:val="18"/>
      <w:szCs w:val="18"/>
    </w:rPr>
  </w:style>
  <w:style w:type="character" w:customStyle="1" w:styleId="21">
    <w:name w:val="标题 1 Char"/>
    <w:basedOn w:val="11"/>
    <w:link w:val="4"/>
    <w:qFormat/>
    <w:uiPriority w:val="9"/>
    <w:rPr>
      <w:b/>
      <w:bCs/>
      <w:kern w:val="44"/>
      <w:sz w:val="44"/>
      <w:szCs w:val="44"/>
    </w:rPr>
  </w:style>
  <w:style w:type="character" w:customStyle="1" w:styleId="22">
    <w:name w:val="标题 2 Char"/>
    <w:basedOn w:val="11"/>
    <w:link w:val="5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3">
    <w:name w:val="列出段落1"/>
    <w:basedOn w:val="1"/>
    <w:qFormat/>
    <w:uiPriority w:val="34"/>
    <w:pPr>
      <w:ind w:firstLine="420" w:firstLineChars="200"/>
    </w:pPr>
  </w:style>
  <w:style w:type="paragraph" w:customStyle="1" w:styleId="24">
    <w:name w:val="Other|1"/>
    <w:basedOn w:val="1"/>
    <w:autoRedefine/>
    <w:qFormat/>
    <w:uiPriority w:val="0"/>
    <w:rPr>
      <w:rFonts w:ascii="宋体" w:hAnsi="宋体" w:eastAsia="宋体" w:cs="宋体"/>
      <w:sz w:val="22"/>
      <w:lang w:val="zh-TW" w:eastAsia="zh-TW" w:bidi="zh-TW"/>
    </w:rPr>
  </w:style>
  <w:style w:type="character" w:customStyle="1" w:styleId="25">
    <w:name w:val="批注框文本 Char"/>
    <w:basedOn w:val="11"/>
    <w:link w:val="6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jpeg"/><Relationship Id="rId8" Type="http://schemas.openxmlformats.org/officeDocument/2006/relationships/image" Target="media/image4.jpeg"/><Relationship Id="rId7" Type="http://schemas.openxmlformats.org/officeDocument/2006/relationships/image" Target="media/image3.pn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1879</Words>
  <Characters>1979</Characters>
  <Lines>22</Lines>
  <Paragraphs>6</Paragraphs>
  <TotalTime>3</TotalTime>
  <ScaleCrop>false</ScaleCrop>
  <LinksUpToDate>false</LinksUpToDate>
  <CharactersWithSpaces>2014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2021-09-03T07:57:00Z</dcterms:created>
  <dc:creator>qiyuanhua0168@163.com</dc:creator>
  <cp:lastModifiedBy>1分1秒1402722885</cp:lastModifiedBy>
  <cp:lastPrinted>2021-12-06T01:42:00Z</cp:lastPrinted>
  <dcterms:modified xsi:type="dcterms:W3CDTF">2024-02-26T03:23:06Z</dcterms:modified>
  <cp:revision>45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769DE70570034684A27B82EAC4B217DE</vt:lpwstr>
  </property>
</Properties>
</file>