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jc w:val="both"/>
        <w:textAlignment w:val="auto"/>
        <w:outlineLvl w:val="9"/>
        <w:rPr>
          <w:rFonts w:hint="eastAsia" w:ascii="方正小标宋简体" w:hAnsi="方正小标宋简体" w:eastAsia="方正小标宋简体" w:cs="方正小标宋简体"/>
          <w:b w:val="0"/>
          <w:bCs/>
          <w:i w:val="0"/>
          <w:caps w:val="0"/>
          <w:color w:val="333333"/>
          <w:spacing w:val="0"/>
          <w:sz w:val="44"/>
          <w:szCs w:val="44"/>
          <w:shd w:val="clear" w:fill="FFFFFF"/>
          <w:lang w:eastAsia="zh-CN"/>
        </w:rPr>
      </w:pP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outlineLvl w:val="9"/>
        <w:rPr>
          <w:rFonts w:hint="eastAsia" w:ascii="方正小标宋简体" w:hAnsi="方正小标宋简体" w:eastAsia="方正小标宋简体" w:cs="方正小标宋简体"/>
          <w:b w:val="0"/>
          <w:bCs/>
          <w:i w:val="0"/>
          <w:caps w:val="0"/>
          <w:color w:val="auto"/>
          <w:spacing w:val="-17"/>
          <w:sz w:val="44"/>
          <w:szCs w:val="44"/>
          <w:shd w:val="clear" w:fill="FFFFFF"/>
          <w:lang w:val="en-US" w:eastAsia="zh-CN"/>
        </w:rPr>
      </w:pPr>
      <w:r>
        <w:rPr>
          <w:rFonts w:hint="eastAsia" w:ascii="方正小标宋简体" w:hAnsi="方正小标宋简体" w:eastAsia="方正小标宋简体" w:cs="方正小标宋简体"/>
          <w:b w:val="0"/>
          <w:bCs/>
          <w:i w:val="0"/>
          <w:caps w:val="0"/>
          <w:color w:val="auto"/>
          <w:spacing w:val="-17"/>
          <w:sz w:val="44"/>
          <w:szCs w:val="44"/>
          <w:shd w:val="clear" w:fill="FFFFFF"/>
          <w:lang w:val="en-US" w:eastAsia="zh-CN"/>
        </w:rPr>
        <w:t>威海市文登区农业农村局</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outlineLvl w:val="9"/>
        <w:rPr>
          <w:rFonts w:hint="default" w:ascii="Times New Roman" w:hAnsi="Times New Roman" w:eastAsia="方正小标宋简体" w:cs="Times New Roman"/>
          <w:b w:val="0"/>
          <w:bCs/>
          <w:i w:val="0"/>
          <w:caps w:val="0"/>
          <w:color w:val="333333"/>
          <w:spacing w:val="0"/>
          <w:sz w:val="44"/>
          <w:szCs w:val="44"/>
          <w:lang w:val="en-US" w:eastAsia="zh-CN"/>
        </w:rPr>
      </w:pPr>
      <w:r>
        <w:rPr>
          <w:rFonts w:hint="default" w:ascii="Times New Roman" w:hAnsi="Times New Roman" w:eastAsia="方正小标宋简体" w:cs="Times New Roman"/>
          <w:b w:val="0"/>
          <w:bCs/>
          <w:i w:val="0"/>
          <w:caps w:val="0"/>
          <w:color w:val="333333"/>
          <w:spacing w:val="-17"/>
          <w:sz w:val="44"/>
          <w:szCs w:val="44"/>
          <w:shd w:val="clear" w:fill="FFFFFF"/>
          <w:lang w:val="en-US" w:eastAsia="zh-CN"/>
        </w:rPr>
        <w:t>2023年</w:t>
      </w:r>
      <w:r>
        <w:rPr>
          <w:rFonts w:hint="default" w:ascii="Times New Roman" w:hAnsi="Times New Roman" w:eastAsia="方正小标宋简体" w:cs="Times New Roman"/>
          <w:b w:val="0"/>
          <w:bCs/>
          <w:i w:val="0"/>
          <w:caps w:val="0"/>
          <w:color w:val="333333"/>
          <w:spacing w:val="-17"/>
          <w:sz w:val="44"/>
          <w:szCs w:val="44"/>
          <w:shd w:val="clear" w:fill="FFFFFF"/>
        </w:rPr>
        <w:t>政府信息公开工作</w:t>
      </w:r>
      <w:r>
        <w:rPr>
          <w:rFonts w:hint="default" w:ascii="Times New Roman" w:hAnsi="Times New Roman" w:eastAsia="方正小标宋简体" w:cs="Times New Roman"/>
          <w:b w:val="0"/>
          <w:bCs/>
          <w:i w:val="0"/>
          <w:caps w:val="0"/>
          <w:color w:val="333333"/>
          <w:spacing w:val="0"/>
          <w:sz w:val="44"/>
          <w:szCs w:val="44"/>
          <w:shd w:val="clear" w:fill="FFFFFF"/>
        </w:rPr>
        <w:t>年度报告</w:t>
      </w:r>
    </w:p>
    <w:p>
      <w:pPr>
        <w:pStyle w:val="3"/>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560" w:lineRule="exact"/>
        <w:jc w:val="both"/>
        <w:textAlignment w:val="auto"/>
        <w:rPr>
          <w:rFonts w:hint="default" w:ascii="Times New Roman" w:hAnsi="Times New Roman" w:eastAsia="仿宋_GB2312" w:cs="Times New Roman"/>
          <w:color w:val="000000"/>
          <w:sz w:val="32"/>
          <w:szCs w:val="32"/>
        </w:rPr>
      </w:pPr>
    </w:p>
    <w:p>
      <w:pPr>
        <w:pStyle w:val="3"/>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560" w:lineRule="exact"/>
        <w:ind w:left="0" w:firstLine="645"/>
        <w:jc w:val="both"/>
        <w:textAlignment w:val="auto"/>
        <w:rPr>
          <w:rFonts w:hint="default" w:ascii="Times New Roman" w:hAnsi="Times New Roman" w:cs="Times New Roman"/>
          <w:color w:val="auto"/>
          <w:sz w:val="32"/>
          <w:szCs w:val="32"/>
        </w:rPr>
      </w:pPr>
      <w:r>
        <w:rPr>
          <w:rFonts w:hint="default" w:ascii="Times New Roman" w:hAnsi="Times New Roman" w:eastAsia="仿宋_GB2312" w:cs="Times New Roman"/>
          <w:color w:val="000000"/>
          <w:sz w:val="32"/>
          <w:szCs w:val="32"/>
        </w:rPr>
        <w:t>根据《中华人民共和国政府信息公开条例》（国务院令第</w:t>
      </w:r>
      <w:r>
        <w:rPr>
          <w:rFonts w:hint="default" w:ascii="Times New Roman" w:hAnsi="Times New Roman" w:cs="Times New Roman"/>
          <w:color w:val="000000"/>
          <w:sz w:val="32"/>
          <w:szCs w:val="32"/>
        </w:rPr>
        <w:t>711</w:t>
      </w:r>
      <w:r>
        <w:rPr>
          <w:rFonts w:hint="default" w:ascii="Times New Roman" w:hAnsi="Times New Roman" w:eastAsia="仿宋_GB2312" w:cs="Times New Roman"/>
          <w:color w:val="000000"/>
          <w:sz w:val="32"/>
          <w:szCs w:val="32"/>
        </w:rPr>
        <w:t>号，以下简称《条例》）和《中华人民共和国政府信息公开工</w:t>
      </w:r>
      <w:r>
        <w:rPr>
          <w:rFonts w:hint="default" w:ascii="Times New Roman" w:hAnsi="Times New Roman" w:eastAsia="仿宋_GB2312" w:cs="Times New Roman"/>
          <w:color w:val="auto"/>
          <w:sz w:val="32"/>
          <w:szCs w:val="32"/>
        </w:rPr>
        <w:t>作年度报告格式》（国办公开办函〔</w:t>
      </w:r>
      <w:r>
        <w:rPr>
          <w:rFonts w:hint="default" w:ascii="Times New Roman" w:hAnsi="Times New Roman" w:cs="Times New Roman"/>
          <w:color w:val="auto"/>
          <w:sz w:val="32"/>
          <w:szCs w:val="32"/>
        </w:rPr>
        <w:t>2021</w:t>
      </w:r>
      <w:r>
        <w:rPr>
          <w:rFonts w:hint="default" w:ascii="Times New Roman" w:hAnsi="Times New Roman" w:eastAsia="仿宋_GB2312" w:cs="Times New Roman"/>
          <w:color w:val="auto"/>
          <w:sz w:val="32"/>
          <w:szCs w:val="32"/>
        </w:rPr>
        <w:t>〕30号）要求，结合</w:t>
      </w:r>
      <w:r>
        <w:rPr>
          <w:rFonts w:hint="default" w:ascii="Times New Roman" w:hAnsi="Times New Roman" w:cs="Times New Roman"/>
          <w:color w:val="auto"/>
          <w:sz w:val="32"/>
          <w:szCs w:val="32"/>
        </w:rPr>
        <w:t>202</w:t>
      </w:r>
      <w:r>
        <w:rPr>
          <w:rFonts w:hint="default" w:ascii="Times New Roman" w:hAnsi="Times New Roman" w:cs="Times New Roman"/>
          <w:color w:val="auto"/>
          <w:sz w:val="32"/>
          <w:szCs w:val="32"/>
          <w:lang w:val="en-US" w:eastAsia="zh-CN"/>
        </w:rPr>
        <w:t>3</w:t>
      </w:r>
      <w:r>
        <w:rPr>
          <w:rFonts w:hint="default" w:ascii="Times New Roman" w:hAnsi="Times New Roman" w:eastAsia="仿宋_GB2312" w:cs="Times New Roman"/>
          <w:color w:val="auto"/>
          <w:sz w:val="32"/>
          <w:szCs w:val="32"/>
        </w:rPr>
        <w:t>年</w:t>
      </w:r>
      <w:r>
        <w:rPr>
          <w:rFonts w:hint="default" w:ascii="Times New Roman" w:hAnsi="Times New Roman" w:eastAsia="仿宋_GB2312" w:cs="Times New Roman"/>
          <w:color w:val="auto"/>
          <w:sz w:val="32"/>
          <w:szCs w:val="32"/>
          <w:lang w:val="en-US" w:eastAsia="zh-CN"/>
        </w:rPr>
        <w:t>威海市文登区农业农村局</w:t>
      </w:r>
      <w:r>
        <w:rPr>
          <w:rFonts w:hint="default" w:ascii="Times New Roman" w:hAnsi="Times New Roman" w:eastAsia="仿宋_GB2312" w:cs="Times New Roman"/>
          <w:color w:val="auto"/>
          <w:sz w:val="32"/>
          <w:szCs w:val="32"/>
        </w:rPr>
        <w:t>政府信息公开工作实际，编制发布本报告。</w:t>
      </w:r>
    </w:p>
    <w:p>
      <w:pPr>
        <w:pStyle w:val="3"/>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560" w:lineRule="exact"/>
        <w:ind w:left="0" w:firstLine="645"/>
        <w:jc w:val="both"/>
        <w:textAlignment w:val="auto"/>
        <w:rPr>
          <w:rFonts w:hint="default" w:ascii="Times New Roman" w:hAnsi="Times New Roman" w:cs="Times New Roman"/>
          <w:color w:val="auto"/>
          <w:sz w:val="32"/>
          <w:szCs w:val="32"/>
        </w:rPr>
      </w:pPr>
      <w:r>
        <w:rPr>
          <w:rFonts w:hint="default" w:ascii="Times New Roman" w:hAnsi="Times New Roman" w:eastAsia="仿宋_GB2312" w:cs="Times New Roman"/>
          <w:color w:val="auto"/>
          <w:sz w:val="32"/>
          <w:szCs w:val="32"/>
        </w:rPr>
        <w:t>本报告内容包括：总体情况、主动公开政府信息情况、收到和处理政府信息公开申请情况、政府信息公开行政复议</w:t>
      </w:r>
      <w:r>
        <w:rPr>
          <w:rFonts w:hint="default" w:ascii="Times New Roman" w:hAnsi="Times New Roman" w:eastAsia="仿宋_GB2312" w:cs="Times New Roman"/>
          <w:color w:val="auto"/>
          <w:sz w:val="32"/>
          <w:szCs w:val="32"/>
          <w:lang w:val="en-US" w:eastAsia="zh-CN"/>
        </w:rPr>
        <w:t>及</w:t>
      </w:r>
      <w:r>
        <w:rPr>
          <w:rFonts w:hint="default" w:ascii="Times New Roman" w:hAnsi="Times New Roman" w:eastAsia="仿宋_GB2312" w:cs="Times New Roman"/>
          <w:color w:val="auto"/>
          <w:sz w:val="32"/>
          <w:szCs w:val="32"/>
        </w:rPr>
        <w:t>行政诉讼情况、存在的主要问题及改进情况、其他事项，以及相关指标统计附表等。报告中所列数据统计期限从</w:t>
      </w:r>
      <w:r>
        <w:rPr>
          <w:rFonts w:hint="default" w:ascii="Times New Roman" w:hAnsi="Times New Roman" w:cs="Times New Roman"/>
          <w:color w:val="auto"/>
          <w:sz w:val="32"/>
          <w:szCs w:val="32"/>
        </w:rPr>
        <w:t>202</w:t>
      </w:r>
      <w:r>
        <w:rPr>
          <w:rFonts w:hint="default" w:ascii="Times New Roman" w:hAnsi="Times New Roman" w:cs="Times New Roman"/>
          <w:color w:val="auto"/>
          <w:sz w:val="32"/>
          <w:szCs w:val="32"/>
          <w:lang w:val="en-US" w:eastAsia="zh-CN"/>
        </w:rPr>
        <w:t>3</w:t>
      </w:r>
      <w:r>
        <w:rPr>
          <w:rFonts w:hint="default" w:ascii="Times New Roman" w:hAnsi="Times New Roman" w:eastAsia="仿宋_GB2312" w:cs="Times New Roman"/>
          <w:color w:val="auto"/>
          <w:sz w:val="32"/>
          <w:szCs w:val="32"/>
        </w:rPr>
        <w:t>年</w:t>
      </w:r>
      <w:r>
        <w:rPr>
          <w:rFonts w:hint="default" w:ascii="Times New Roman" w:hAnsi="Times New Roman" w:cs="Times New Roman"/>
          <w:color w:val="auto"/>
          <w:sz w:val="32"/>
          <w:szCs w:val="32"/>
        </w:rPr>
        <w:t>1</w:t>
      </w:r>
      <w:r>
        <w:rPr>
          <w:rFonts w:hint="default" w:ascii="Times New Roman" w:hAnsi="Times New Roman" w:eastAsia="仿宋_GB2312" w:cs="Times New Roman"/>
          <w:color w:val="auto"/>
          <w:sz w:val="32"/>
          <w:szCs w:val="32"/>
        </w:rPr>
        <w:t>月</w:t>
      </w:r>
      <w:r>
        <w:rPr>
          <w:rFonts w:hint="default" w:ascii="Times New Roman" w:hAnsi="Times New Roman" w:cs="Times New Roman"/>
          <w:color w:val="auto"/>
          <w:sz w:val="32"/>
          <w:szCs w:val="32"/>
        </w:rPr>
        <w:t>1</w:t>
      </w:r>
      <w:r>
        <w:rPr>
          <w:rFonts w:hint="default" w:ascii="Times New Roman" w:hAnsi="Times New Roman" w:eastAsia="仿宋_GB2312" w:cs="Times New Roman"/>
          <w:color w:val="auto"/>
          <w:sz w:val="32"/>
          <w:szCs w:val="32"/>
        </w:rPr>
        <w:t>日到</w:t>
      </w:r>
      <w:r>
        <w:rPr>
          <w:rFonts w:hint="default" w:ascii="Times New Roman" w:hAnsi="Times New Roman" w:cs="Times New Roman"/>
          <w:color w:val="auto"/>
          <w:sz w:val="32"/>
          <w:szCs w:val="32"/>
        </w:rPr>
        <w:t>12</w:t>
      </w:r>
      <w:r>
        <w:rPr>
          <w:rFonts w:hint="default" w:ascii="Times New Roman" w:hAnsi="Times New Roman" w:eastAsia="仿宋_GB2312" w:cs="Times New Roman"/>
          <w:color w:val="auto"/>
          <w:sz w:val="32"/>
          <w:szCs w:val="32"/>
        </w:rPr>
        <w:t>月</w:t>
      </w:r>
      <w:r>
        <w:rPr>
          <w:rFonts w:hint="default" w:ascii="Times New Roman" w:hAnsi="Times New Roman" w:cs="Times New Roman"/>
          <w:color w:val="auto"/>
          <w:sz w:val="32"/>
          <w:szCs w:val="32"/>
        </w:rPr>
        <w:t>31</w:t>
      </w:r>
      <w:r>
        <w:rPr>
          <w:rFonts w:hint="default" w:ascii="Times New Roman" w:hAnsi="Times New Roman" w:eastAsia="仿宋_GB2312" w:cs="Times New Roman"/>
          <w:color w:val="auto"/>
          <w:sz w:val="32"/>
          <w:szCs w:val="32"/>
        </w:rPr>
        <w:t>日止。报告电子版可从</w:t>
      </w:r>
      <w:r>
        <w:rPr>
          <w:rFonts w:hint="default" w:ascii="Times New Roman" w:hAnsi="Times New Roman" w:eastAsia="仿宋_GB2312" w:cs="Times New Roman"/>
          <w:color w:val="auto"/>
          <w:sz w:val="32"/>
          <w:szCs w:val="32"/>
          <w:lang w:val="en-US" w:eastAsia="zh-CN"/>
        </w:rPr>
        <w:t>威海市文登区人民政府</w:t>
      </w:r>
      <w:r>
        <w:rPr>
          <w:rFonts w:hint="default" w:ascii="Times New Roman" w:hAnsi="Times New Roman" w:eastAsia="仿宋_GB2312" w:cs="Times New Roman"/>
          <w:color w:val="auto"/>
          <w:sz w:val="32"/>
          <w:szCs w:val="32"/>
        </w:rPr>
        <w:t>网站（</w:t>
      </w:r>
      <w:r>
        <w:rPr>
          <w:rFonts w:hint="default" w:ascii="Times New Roman" w:hAnsi="Times New Roman" w:eastAsia="仿宋_GB2312" w:cs="Times New Roman"/>
          <w:color w:val="auto"/>
          <w:sz w:val="32"/>
          <w:szCs w:val="32"/>
          <w:u w:val="none"/>
          <w:lang w:val="en-US" w:eastAsia="zh-CN"/>
        </w:rPr>
        <w:t>网址： http://www.wendeng.gov.cn/</w:t>
      </w:r>
      <w:r>
        <w:rPr>
          <w:rFonts w:hint="default" w:ascii="Times New Roman" w:hAnsi="Times New Roman" w:eastAsia="仿宋_GB2312" w:cs="Times New Roman"/>
          <w:color w:val="auto"/>
          <w:sz w:val="32"/>
          <w:szCs w:val="32"/>
        </w:rPr>
        <w:t>）</w:t>
      </w:r>
      <w:r>
        <w:rPr>
          <w:rFonts w:hint="default" w:ascii="Times New Roman" w:hAnsi="Times New Roman" w:eastAsia="仿宋_GB2312" w:cs="Times New Roman"/>
          <w:color w:val="auto"/>
          <w:sz w:val="32"/>
          <w:szCs w:val="32"/>
          <w:lang w:eastAsia="zh-CN"/>
        </w:rPr>
        <w:t>政府信息公开专栏</w:t>
      </w:r>
      <w:r>
        <w:rPr>
          <w:rFonts w:hint="default" w:ascii="Times New Roman" w:hAnsi="Times New Roman" w:eastAsia="仿宋_GB2312" w:cs="Times New Roman"/>
          <w:color w:val="auto"/>
          <w:sz w:val="32"/>
          <w:szCs w:val="32"/>
        </w:rPr>
        <w:t>查阅或下载。公众如需进一步咨询了解相关信息，请与</w:t>
      </w:r>
      <w:r>
        <w:rPr>
          <w:rFonts w:hint="default" w:ascii="Times New Roman" w:hAnsi="Times New Roman" w:eastAsia="仿宋_GB2312" w:cs="Times New Roman"/>
          <w:color w:val="auto"/>
          <w:sz w:val="32"/>
          <w:szCs w:val="32"/>
          <w:lang w:val="en-US" w:eastAsia="zh-CN"/>
        </w:rPr>
        <w:t>威海市文登区农业农村局</w:t>
      </w:r>
      <w:r>
        <w:rPr>
          <w:rFonts w:hint="default" w:ascii="Times New Roman" w:hAnsi="Times New Roman" w:eastAsia="仿宋_GB2312" w:cs="Times New Roman"/>
          <w:color w:val="auto"/>
          <w:sz w:val="32"/>
          <w:szCs w:val="32"/>
        </w:rPr>
        <w:t>联系（地址：</w:t>
      </w:r>
      <w:r>
        <w:rPr>
          <w:rFonts w:hint="default" w:ascii="Times New Roman" w:hAnsi="Times New Roman" w:eastAsia="仿宋_GB2312" w:cs="Times New Roman"/>
          <w:color w:val="auto"/>
          <w:sz w:val="32"/>
          <w:szCs w:val="32"/>
          <w:lang w:eastAsia="zh-CN"/>
        </w:rPr>
        <w:t>威海市文登区文山路</w:t>
      </w:r>
      <w:r>
        <w:rPr>
          <w:rFonts w:hint="default" w:ascii="Times New Roman" w:hAnsi="Times New Roman" w:eastAsia="仿宋_GB2312" w:cs="Times New Roman"/>
          <w:color w:val="auto"/>
          <w:sz w:val="32"/>
          <w:szCs w:val="32"/>
          <w:lang w:val="en-US" w:eastAsia="zh-CN"/>
        </w:rPr>
        <w:t>66号</w:t>
      </w:r>
      <w:r>
        <w:rPr>
          <w:rFonts w:hint="default" w:ascii="Times New Roman" w:hAnsi="Times New Roman" w:eastAsia="仿宋_GB2312" w:cs="Times New Roman"/>
          <w:color w:val="auto"/>
          <w:sz w:val="32"/>
          <w:szCs w:val="32"/>
        </w:rPr>
        <w:t>，电话：</w:t>
      </w:r>
      <w:r>
        <w:rPr>
          <w:rFonts w:hint="default" w:ascii="Times New Roman" w:hAnsi="Times New Roman" w:eastAsia="仿宋_GB2312" w:cs="Times New Roman"/>
          <w:color w:val="auto"/>
          <w:sz w:val="32"/>
          <w:szCs w:val="32"/>
          <w:lang w:val="en-US" w:eastAsia="zh-CN"/>
        </w:rPr>
        <w:t>0631-8452368</w:t>
      </w:r>
      <w:r>
        <w:rPr>
          <w:rFonts w:hint="default" w:ascii="Times New Roman" w:hAnsi="Times New Roman" w:eastAsia="仿宋_GB2312" w:cs="Times New Roman"/>
          <w:color w:val="auto"/>
          <w:sz w:val="32"/>
          <w:szCs w:val="32"/>
        </w:rPr>
        <w:t>）。</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default" w:ascii="Times New Roman" w:hAnsi="Times New Roman" w:eastAsia="黑体" w:cs="Times New Roman"/>
          <w:b w:val="0"/>
          <w:bCs/>
          <w:i w:val="0"/>
          <w:caps w:val="0"/>
          <w:color w:val="333333"/>
          <w:spacing w:val="0"/>
          <w:sz w:val="32"/>
          <w:szCs w:val="32"/>
        </w:rPr>
      </w:pPr>
      <w:r>
        <w:rPr>
          <w:rFonts w:hint="default" w:ascii="Times New Roman" w:hAnsi="Times New Roman" w:eastAsia="黑体" w:cs="Times New Roman"/>
          <w:b w:val="0"/>
          <w:bCs/>
          <w:i w:val="0"/>
          <w:caps w:val="0"/>
          <w:color w:val="333333"/>
          <w:spacing w:val="0"/>
          <w:sz w:val="32"/>
          <w:szCs w:val="32"/>
          <w:shd w:val="clear" w:fill="FFFFFF"/>
        </w:rPr>
        <w:t>一、总体情况</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kern w:val="0"/>
          <w:sz w:val="32"/>
          <w:szCs w:val="32"/>
          <w:lang w:val="en-US" w:eastAsia="zh-CN" w:bidi="ar"/>
        </w:rPr>
      </w:pPr>
      <w:r>
        <w:rPr>
          <w:rFonts w:hint="default" w:ascii="Times New Roman" w:hAnsi="Times New Roman" w:eastAsia="仿宋_GB2312" w:cs="Times New Roman"/>
          <w:color w:val="auto"/>
          <w:kern w:val="0"/>
          <w:sz w:val="32"/>
          <w:szCs w:val="32"/>
          <w:lang w:val="en-US" w:eastAsia="zh-CN" w:bidi="ar"/>
        </w:rPr>
        <w:t>2023年，威海市文登区农业农村局按照区委、区政府的部署要求，围绕农业农村工作健康发展、提高政策公开质量和加强政务公开规范等方面，不断完善信息发布机制，及时、全面、高效地公开信息，不断提升信息公开质量，推动我局政府信息公开工作高质高效开展。</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color w:val="auto"/>
          <w:sz w:val="32"/>
          <w:szCs w:val="32"/>
        </w:rPr>
      </w:pPr>
      <w:r>
        <w:rPr>
          <w:rFonts w:hint="default" w:ascii="Times New Roman" w:hAnsi="Times New Roman" w:eastAsia="楷体_GB2312" w:cs="Times New Roman"/>
          <w:b w:val="0"/>
          <w:bCs/>
          <w:color w:val="auto"/>
          <w:sz w:val="32"/>
          <w:szCs w:val="32"/>
          <w:lang w:val="en-US" w:eastAsia="zh-CN"/>
        </w:rPr>
        <w:t>（一）主动公开方面。</w:t>
      </w:r>
      <w:r>
        <w:rPr>
          <w:rFonts w:hint="default" w:ascii="Times New Roman" w:hAnsi="Times New Roman" w:eastAsia="仿宋_GB2312" w:cs="Times New Roman"/>
          <w:b w:val="0"/>
          <w:bCs/>
          <w:color w:val="auto"/>
          <w:sz w:val="32"/>
          <w:szCs w:val="32"/>
        </w:rPr>
        <w:t>202</w:t>
      </w:r>
      <w:r>
        <w:rPr>
          <w:rFonts w:hint="default" w:ascii="Times New Roman" w:hAnsi="Times New Roman" w:eastAsia="仿宋_GB2312" w:cs="Times New Roman"/>
          <w:b w:val="0"/>
          <w:bCs/>
          <w:color w:val="auto"/>
          <w:sz w:val="32"/>
          <w:szCs w:val="32"/>
          <w:lang w:val="en-US" w:eastAsia="zh-CN"/>
        </w:rPr>
        <w:t>3</w:t>
      </w:r>
      <w:r>
        <w:rPr>
          <w:rFonts w:hint="default" w:ascii="Times New Roman" w:hAnsi="Times New Roman" w:eastAsia="仿宋_GB2312" w:cs="Times New Roman"/>
          <w:b w:val="0"/>
          <w:bCs/>
          <w:color w:val="auto"/>
          <w:sz w:val="32"/>
          <w:szCs w:val="32"/>
        </w:rPr>
        <w:t>年，根据《中华人民共和国政府信息公开条例》等有关规定，通过威海市文登区政府网站、</w:t>
      </w:r>
      <w:r>
        <w:rPr>
          <w:rFonts w:hint="default" w:ascii="Times New Roman" w:hAnsi="Times New Roman" w:eastAsia="仿宋_GB2312" w:cs="Times New Roman"/>
          <w:b w:val="0"/>
          <w:bCs/>
          <w:color w:val="auto"/>
          <w:sz w:val="32"/>
          <w:szCs w:val="32"/>
          <w:lang w:eastAsia="zh-CN"/>
        </w:rPr>
        <w:t>“文登发布”和</w:t>
      </w:r>
      <w:r>
        <w:rPr>
          <w:rFonts w:hint="default" w:ascii="Times New Roman" w:hAnsi="Times New Roman" w:eastAsia="仿宋_GB2312" w:cs="Times New Roman"/>
          <w:b w:val="0"/>
          <w:bCs/>
          <w:color w:val="auto"/>
          <w:sz w:val="32"/>
          <w:szCs w:val="32"/>
        </w:rPr>
        <w:t>“文登三农”微信公众号等渠道，全年共主动公开各类重点领域信息</w:t>
      </w:r>
      <w:r>
        <w:rPr>
          <w:rFonts w:hint="default" w:ascii="Times New Roman" w:hAnsi="Times New Roman" w:eastAsia="仿宋_GB2312" w:cs="Times New Roman"/>
          <w:b w:val="0"/>
          <w:bCs/>
          <w:color w:val="auto"/>
          <w:sz w:val="32"/>
          <w:szCs w:val="32"/>
          <w:lang w:eastAsia="zh-CN"/>
        </w:rPr>
        <w:t>、</w:t>
      </w:r>
      <w:r>
        <w:rPr>
          <w:rFonts w:hint="default" w:ascii="Times New Roman" w:hAnsi="Times New Roman" w:eastAsia="仿宋_GB2312" w:cs="Times New Roman"/>
          <w:b w:val="0"/>
          <w:bCs/>
          <w:color w:val="auto"/>
          <w:sz w:val="32"/>
          <w:szCs w:val="32"/>
        </w:rPr>
        <w:t>工作动态、公告公示</w:t>
      </w:r>
      <w:r>
        <w:rPr>
          <w:rFonts w:hint="default" w:ascii="Times New Roman" w:hAnsi="Times New Roman" w:eastAsia="仿宋_GB2312" w:cs="Times New Roman"/>
          <w:b w:val="0"/>
          <w:bCs/>
          <w:color w:val="auto"/>
          <w:sz w:val="32"/>
          <w:szCs w:val="32"/>
          <w:lang w:eastAsia="zh-CN"/>
        </w:rPr>
        <w:t>和</w:t>
      </w:r>
      <w:r>
        <w:rPr>
          <w:rFonts w:hint="default" w:ascii="Times New Roman" w:hAnsi="Times New Roman" w:eastAsia="仿宋_GB2312" w:cs="Times New Roman"/>
          <w:b w:val="0"/>
          <w:bCs/>
          <w:color w:val="auto"/>
          <w:sz w:val="32"/>
          <w:szCs w:val="32"/>
        </w:rPr>
        <w:t>农技指导等服务信息</w:t>
      </w:r>
      <w:r>
        <w:rPr>
          <w:rFonts w:hint="default" w:ascii="Times New Roman" w:hAnsi="Times New Roman" w:eastAsia="仿宋_GB2312" w:cs="Times New Roman"/>
          <w:b w:val="0"/>
          <w:bCs/>
          <w:color w:val="auto"/>
          <w:sz w:val="32"/>
          <w:szCs w:val="32"/>
          <w:lang w:val="en-US" w:eastAsia="zh-CN"/>
        </w:rPr>
        <w:t>430</w:t>
      </w:r>
      <w:r>
        <w:rPr>
          <w:rFonts w:hint="default" w:ascii="Times New Roman" w:hAnsi="Times New Roman" w:eastAsia="仿宋_GB2312" w:cs="Times New Roman"/>
          <w:b w:val="0"/>
          <w:bCs/>
          <w:color w:val="auto"/>
          <w:sz w:val="32"/>
          <w:szCs w:val="32"/>
        </w:rPr>
        <w:t>余条</w:t>
      </w:r>
      <w:r>
        <w:rPr>
          <w:rFonts w:hint="default" w:ascii="Times New Roman" w:hAnsi="Times New Roman" w:eastAsia="仿宋_GB2312" w:cs="Times New Roman"/>
          <w:b w:val="0"/>
          <w:bCs/>
          <w:color w:val="auto"/>
          <w:sz w:val="32"/>
          <w:szCs w:val="32"/>
          <w:lang w:eastAsia="zh-CN"/>
        </w:rPr>
        <w:t>，其中在乡村振兴专题栏目，对今年以来上级下发的各类乡村振兴政策文件开展专项解读，全方位宣传现代农业发展思路，年度发布政策文件解读</w:t>
      </w:r>
      <w:r>
        <w:rPr>
          <w:rFonts w:hint="default" w:ascii="Times New Roman" w:hAnsi="Times New Roman" w:eastAsia="仿宋_GB2312" w:cs="Times New Roman"/>
          <w:b w:val="0"/>
          <w:bCs/>
          <w:color w:val="auto"/>
          <w:sz w:val="32"/>
          <w:szCs w:val="32"/>
          <w:lang w:val="en-US" w:eastAsia="zh-CN"/>
        </w:rPr>
        <w:t>3</w:t>
      </w:r>
      <w:r>
        <w:rPr>
          <w:rFonts w:hint="default" w:ascii="Times New Roman" w:hAnsi="Times New Roman" w:eastAsia="仿宋_GB2312" w:cs="Times New Roman"/>
          <w:b w:val="0"/>
          <w:bCs/>
          <w:color w:val="auto"/>
          <w:sz w:val="32"/>
          <w:szCs w:val="32"/>
          <w:lang w:eastAsia="zh-CN"/>
        </w:rPr>
        <w:t>篇；在涉农补贴专题栏目，围绕“三农”领域重点事项，累计公开信息</w:t>
      </w:r>
      <w:r>
        <w:rPr>
          <w:rFonts w:hint="default" w:ascii="Times New Roman" w:hAnsi="Times New Roman" w:eastAsia="仿宋_GB2312" w:cs="Times New Roman"/>
          <w:b w:val="0"/>
          <w:bCs/>
          <w:color w:val="auto"/>
          <w:sz w:val="32"/>
          <w:szCs w:val="32"/>
          <w:lang w:val="en-US" w:eastAsia="zh-CN"/>
        </w:rPr>
        <w:t>9</w:t>
      </w:r>
      <w:r>
        <w:rPr>
          <w:rFonts w:hint="default" w:ascii="Times New Roman" w:hAnsi="Times New Roman" w:eastAsia="仿宋_GB2312" w:cs="Times New Roman"/>
          <w:b w:val="0"/>
          <w:bCs/>
          <w:color w:val="auto"/>
          <w:sz w:val="32"/>
          <w:szCs w:val="32"/>
          <w:lang w:eastAsia="zh-CN"/>
        </w:rPr>
        <w:t>条。</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sz w:val="32"/>
          <w:szCs w:val="32"/>
          <w:lang w:eastAsia="zh-CN"/>
        </w:rPr>
      </w:pPr>
      <w:r>
        <w:rPr>
          <w:rFonts w:hint="default" w:ascii="Times New Roman" w:hAnsi="Times New Roman" w:eastAsia="楷体_GB2312" w:cs="Times New Roman"/>
          <w:b w:val="0"/>
          <w:bCs/>
          <w:color w:val="auto"/>
          <w:sz w:val="32"/>
          <w:szCs w:val="32"/>
          <w:lang w:val="en-US" w:eastAsia="zh-CN"/>
        </w:rPr>
        <w:t>（二）依申请公开工作方面。</w:t>
      </w:r>
      <w:r>
        <w:rPr>
          <w:rFonts w:hint="default" w:ascii="Times New Roman" w:hAnsi="Times New Roman" w:eastAsia="仿宋_GB2312" w:cs="Times New Roman"/>
          <w:b w:val="0"/>
          <w:bCs/>
          <w:color w:val="auto"/>
          <w:sz w:val="32"/>
          <w:szCs w:val="32"/>
        </w:rPr>
        <w:t>高度重视依申请公开事项答复，</w:t>
      </w:r>
      <w:r>
        <w:rPr>
          <w:rFonts w:hint="default" w:ascii="Times New Roman" w:hAnsi="Times New Roman" w:eastAsia="仿宋_GB2312" w:cs="Times New Roman"/>
          <w:b w:val="0"/>
          <w:bCs/>
          <w:color w:val="auto"/>
          <w:sz w:val="32"/>
          <w:szCs w:val="32"/>
          <w:lang w:eastAsia="zh-CN"/>
        </w:rPr>
        <w:t>组织工作人员认真学习答复规范，</w:t>
      </w:r>
      <w:r>
        <w:rPr>
          <w:rFonts w:hint="default" w:ascii="Times New Roman" w:hAnsi="Times New Roman" w:eastAsia="仿宋_GB2312" w:cs="Times New Roman"/>
          <w:b w:val="0"/>
          <w:bCs/>
          <w:color w:val="auto"/>
          <w:sz w:val="32"/>
          <w:szCs w:val="32"/>
        </w:rPr>
        <w:t>严格按照《条例》要求开展政府答复工作，</w:t>
      </w:r>
      <w:r>
        <w:rPr>
          <w:rFonts w:hint="default" w:ascii="Times New Roman" w:hAnsi="Times New Roman" w:eastAsia="仿宋_GB2312" w:cs="Times New Roman"/>
          <w:b w:val="0"/>
          <w:bCs/>
          <w:color w:val="auto"/>
          <w:sz w:val="32"/>
          <w:szCs w:val="32"/>
          <w:lang w:eastAsia="zh-CN"/>
        </w:rPr>
        <w:t>确保能够</w:t>
      </w:r>
      <w:r>
        <w:rPr>
          <w:rFonts w:hint="default" w:ascii="Times New Roman" w:hAnsi="Times New Roman" w:eastAsia="仿宋_GB2312" w:cs="Times New Roman"/>
          <w:b w:val="0"/>
          <w:bCs/>
          <w:color w:val="auto"/>
          <w:sz w:val="32"/>
          <w:szCs w:val="32"/>
        </w:rPr>
        <w:t>按照规定程序、在规定时限内妥善答复申请人，</w:t>
      </w:r>
      <w:r>
        <w:rPr>
          <w:rFonts w:hint="default" w:ascii="Times New Roman" w:hAnsi="Times New Roman" w:eastAsia="仿宋_GB2312" w:cs="Times New Roman"/>
          <w:b w:val="0"/>
          <w:bCs/>
          <w:color w:val="auto"/>
          <w:sz w:val="32"/>
          <w:szCs w:val="32"/>
          <w:lang w:eastAsia="zh-CN"/>
        </w:rPr>
        <w:t>并</w:t>
      </w:r>
      <w:r>
        <w:rPr>
          <w:rFonts w:hint="default" w:ascii="Times New Roman" w:hAnsi="Times New Roman" w:eastAsia="仿宋_GB2312" w:cs="Times New Roman"/>
          <w:b w:val="0"/>
          <w:bCs/>
          <w:color w:val="auto"/>
          <w:sz w:val="32"/>
          <w:szCs w:val="32"/>
        </w:rPr>
        <w:t>对答复意见满意。202</w:t>
      </w:r>
      <w:r>
        <w:rPr>
          <w:rFonts w:hint="default" w:ascii="Times New Roman" w:hAnsi="Times New Roman" w:eastAsia="仿宋_GB2312" w:cs="Times New Roman"/>
          <w:b w:val="0"/>
          <w:bCs/>
          <w:color w:val="auto"/>
          <w:sz w:val="32"/>
          <w:szCs w:val="32"/>
          <w:lang w:val="en-US" w:eastAsia="zh-CN"/>
        </w:rPr>
        <w:t>3</w:t>
      </w:r>
      <w:r>
        <w:rPr>
          <w:rFonts w:hint="default" w:ascii="Times New Roman" w:hAnsi="Times New Roman" w:eastAsia="仿宋_GB2312" w:cs="Times New Roman"/>
          <w:b w:val="0"/>
          <w:bCs/>
          <w:color w:val="auto"/>
          <w:sz w:val="32"/>
          <w:szCs w:val="32"/>
        </w:rPr>
        <w:t>年</w:t>
      </w:r>
      <w:r>
        <w:rPr>
          <w:rFonts w:hint="default" w:ascii="Times New Roman" w:hAnsi="Times New Roman" w:eastAsia="仿宋_GB2312" w:cs="Times New Roman"/>
          <w:b w:val="0"/>
          <w:bCs/>
          <w:color w:val="auto"/>
          <w:sz w:val="32"/>
          <w:szCs w:val="32"/>
          <w:lang w:eastAsia="zh-CN"/>
        </w:rPr>
        <w:t>未收到依申请公开信息办理事项，较上年无变化。</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sz w:val="32"/>
          <w:szCs w:val="32"/>
          <w:lang w:eastAsia="zh-CN"/>
        </w:rPr>
      </w:pPr>
      <w:r>
        <w:rPr>
          <w:rFonts w:hint="default" w:ascii="Times New Roman" w:hAnsi="Times New Roman" w:eastAsia="楷体_GB2312" w:cs="Times New Roman"/>
          <w:b w:val="0"/>
          <w:bCs/>
          <w:color w:val="auto"/>
          <w:sz w:val="32"/>
          <w:szCs w:val="32"/>
          <w:lang w:val="en-US" w:eastAsia="zh-CN"/>
        </w:rPr>
        <w:t>（三）政府信息管理方面。</w:t>
      </w:r>
      <w:r>
        <w:rPr>
          <w:rFonts w:hint="default" w:ascii="Times New Roman" w:hAnsi="Times New Roman" w:eastAsia="仿宋_GB2312" w:cs="Times New Roman"/>
          <w:b w:val="0"/>
          <w:bCs/>
          <w:sz w:val="32"/>
          <w:szCs w:val="32"/>
        </w:rPr>
        <w:t>一是完善制度机制。细化完善《政府信息公开指南》，进一步规范政府信息公开的受理、审查、处理、答复等各环节工作流程。二是强化规范性文件管理。</w:t>
      </w:r>
      <w:r>
        <w:rPr>
          <w:rFonts w:hint="default" w:ascii="Times New Roman" w:hAnsi="Times New Roman" w:eastAsia="仿宋_GB2312" w:cs="Times New Roman"/>
          <w:b w:val="0"/>
          <w:bCs/>
          <w:sz w:val="32"/>
          <w:szCs w:val="32"/>
          <w:lang w:eastAsia="zh-CN"/>
        </w:rPr>
        <w:t>对</w:t>
      </w:r>
      <w:r>
        <w:rPr>
          <w:rFonts w:hint="default" w:ascii="Times New Roman" w:hAnsi="Times New Roman" w:eastAsia="仿宋_GB2312" w:cs="Times New Roman"/>
          <w:b w:val="0"/>
          <w:bCs/>
          <w:sz w:val="32"/>
          <w:szCs w:val="32"/>
        </w:rPr>
        <w:t>起草和制发的规范性文件开展全面清理，</w:t>
      </w:r>
      <w:r>
        <w:rPr>
          <w:rFonts w:hint="default" w:ascii="Times New Roman" w:hAnsi="Times New Roman" w:eastAsia="仿宋_GB2312" w:cs="Times New Roman"/>
          <w:b w:val="0"/>
          <w:bCs/>
          <w:sz w:val="32"/>
          <w:szCs w:val="32"/>
          <w:lang w:eastAsia="zh-CN"/>
        </w:rPr>
        <w:t>清理已失效政策性文件5件</w:t>
      </w:r>
      <w:r>
        <w:rPr>
          <w:rFonts w:hint="default" w:ascii="Times New Roman" w:hAnsi="Times New Roman" w:eastAsia="仿宋_GB2312" w:cs="Times New Roman"/>
          <w:b w:val="0"/>
          <w:bCs/>
          <w:sz w:val="32"/>
          <w:szCs w:val="32"/>
        </w:rPr>
        <w:t>。</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sz w:val="32"/>
          <w:szCs w:val="32"/>
          <w:lang w:eastAsia="zh-CN"/>
        </w:rPr>
      </w:pPr>
      <w:r>
        <w:rPr>
          <w:rFonts w:hint="default" w:ascii="Times New Roman" w:hAnsi="Times New Roman" w:eastAsia="楷体_GB2312" w:cs="Times New Roman"/>
          <w:b w:val="0"/>
          <w:bCs/>
          <w:color w:val="auto"/>
          <w:sz w:val="32"/>
          <w:szCs w:val="32"/>
          <w:lang w:val="en-US" w:eastAsia="zh-CN"/>
        </w:rPr>
        <w:t>（四）平台建设方面。</w:t>
      </w:r>
      <w:r>
        <w:rPr>
          <w:rFonts w:hint="default" w:ascii="Times New Roman" w:hAnsi="Times New Roman" w:eastAsia="仿宋_GB2312" w:cs="Times New Roman"/>
          <w:b w:val="0"/>
          <w:bCs/>
          <w:sz w:val="32"/>
          <w:szCs w:val="32"/>
        </w:rPr>
        <w:t>严格依照法律规定，不断加强对政府门户网站和政务新媒体的规范化、科学化管理，坚持把人民群众普遍关心的民生信息作为政务公开的重要内容</w:t>
      </w:r>
      <w:r>
        <w:rPr>
          <w:rFonts w:hint="default" w:ascii="Times New Roman" w:hAnsi="Times New Roman" w:eastAsia="仿宋_GB2312" w:cs="Times New Roman"/>
          <w:b w:val="0"/>
          <w:bCs/>
          <w:sz w:val="32"/>
          <w:szCs w:val="32"/>
          <w:lang w:eastAsia="zh-CN"/>
        </w:rPr>
        <w:t>。</w:t>
      </w:r>
      <w:r>
        <w:rPr>
          <w:rFonts w:hint="default" w:ascii="Times New Roman" w:hAnsi="Times New Roman" w:eastAsia="仿宋_GB2312" w:cs="Times New Roman"/>
          <w:b w:val="0"/>
          <w:bCs/>
          <w:sz w:val="32"/>
          <w:szCs w:val="32"/>
        </w:rPr>
        <w:t>202</w:t>
      </w:r>
      <w:r>
        <w:rPr>
          <w:rFonts w:hint="default" w:ascii="Times New Roman" w:hAnsi="Times New Roman" w:eastAsia="仿宋_GB2312" w:cs="Times New Roman"/>
          <w:b w:val="0"/>
          <w:bCs/>
          <w:sz w:val="32"/>
          <w:szCs w:val="32"/>
          <w:lang w:val="en-US" w:eastAsia="zh-CN"/>
        </w:rPr>
        <w:t>3</w:t>
      </w:r>
      <w:r>
        <w:rPr>
          <w:rFonts w:hint="default" w:ascii="Times New Roman" w:hAnsi="Times New Roman" w:eastAsia="仿宋_GB2312" w:cs="Times New Roman"/>
          <w:b w:val="0"/>
          <w:bCs/>
          <w:sz w:val="32"/>
          <w:szCs w:val="32"/>
        </w:rPr>
        <w:t>年，“</w:t>
      </w:r>
      <w:r>
        <w:rPr>
          <w:rFonts w:hint="default" w:ascii="Times New Roman" w:hAnsi="Times New Roman" w:eastAsia="仿宋_GB2312" w:cs="Times New Roman"/>
          <w:b w:val="0"/>
          <w:bCs/>
          <w:sz w:val="32"/>
          <w:szCs w:val="32"/>
          <w:lang w:eastAsia="zh-CN"/>
        </w:rPr>
        <w:t>文登三农</w:t>
      </w:r>
      <w:r>
        <w:rPr>
          <w:rFonts w:hint="default" w:ascii="Times New Roman" w:hAnsi="Times New Roman" w:eastAsia="仿宋_GB2312" w:cs="Times New Roman"/>
          <w:b w:val="0"/>
          <w:bCs/>
          <w:sz w:val="32"/>
          <w:szCs w:val="32"/>
        </w:rPr>
        <w:t>”微信公众号共发布信息</w:t>
      </w:r>
      <w:r>
        <w:rPr>
          <w:rFonts w:hint="default" w:ascii="Times New Roman" w:hAnsi="Times New Roman" w:eastAsia="仿宋_GB2312" w:cs="Times New Roman"/>
          <w:b w:val="0"/>
          <w:bCs/>
          <w:sz w:val="32"/>
          <w:szCs w:val="32"/>
          <w:lang w:val="en-US" w:eastAsia="zh-CN"/>
        </w:rPr>
        <w:t>386</w:t>
      </w:r>
      <w:r>
        <w:rPr>
          <w:rFonts w:hint="default" w:ascii="Times New Roman" w:hAnsi="Times New Roman" w:eastAsia="仿宋_GB2312" w:cs="Times New Roman"/>
          <w:b w:val="0"/>
          <w:bCs/>
          <w:sz w:val="32"/>
          <w:szCs w:val="32"/>
        </w:rPr>
        <w:t>条，涉及工作动态、政策解读、农技指导等多个方面。</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sz w:val="32"/>
          <w:szCs w:val="32"/>
        </w:rPr>
      </w:pPr>
      <w:r>
        <w:rPr>
          <w:rFonts w:hint="default" w:ascii="Times New Roman" w:hAnsi="Times New Roman" w:eastAsia="楷体_GB2312" w:cs="Times New Roman"/>
          <w:b w:val="0"/>
          <w:bCs/>
          <w:color w:val="auto"/>
          <w:sz w:val="32"/>
          <w:szCs w:val="32"/>
          <w:lang w:val="en-US" w:eastAsia="zh-CN"/>
        </w:rPr>
        <w:t>（五）监督保障方面。</w:t>
      </w:r>
      <w:r>
        <w:rPr>
          <w:rFonts w:hint="default" w:ascii="Times New Roman" w:hAnsi="Times New Roman" w:eastAsia="仿宋_GB2312" w:cs="Times New Roman"/>
          <w:b w:val="0"/>
          <w:bCs/>
          <w:color w:val="auto"/>
          <w:sz w:val="32"/>
          <w:szCs w:val="32"/>
          <w:lang w:val="en-US" w:eastAsia="zh-CN"/>
        </w:rPr>
        <w:t>进一步加强信息公开制度化、规范化，</w:t>
      </w:r>
      <w:r>
        <w:rPr>
          <w:rFonts w:hint="default" w:ascii="Times New Roman" w:hAnsi="Times New Roman" w:eastAsia="仿宋_GB2312" w:cs="Times New Roman"/>
          <w:b w:val="0"/>
          <w:bCs/>
          <w:sz w:val="32"/>
          <w:szCs w:val="32"/>
        </w:rPr>
        <w:t>202</w:t>
      </w:r>
      <w:r>
        <w:rPr>
          <w:rFonts w:hint="default" w:ascii="Times New Roman" w:hAnsi="Times New Roman" w:eastAsia="仿宋_GB2312" w:cs="Times New Roman"/>
          <w:b w:val="0"/>
          <w:bCs/>
          <w:sz w:val="32"/>
          <w:szCs w:val="32"/>
          <w:lang w:val="en-US" w:eastAsia="zh-CN"/>
        </w:rPr>
        <w:t>3</w:t>
      </w:r>
      <w:r>
        <w:rPr>
          <w:rFonts w:hint="default" w:ascii="Times New Roman" w:hAnsi="Times New Roman" w:eastAsia="仿宋_GB2312" w:cs="Times New Roman"/>
          <w:b w:val="0"/>
          <w:bCs/>
          <w:sz w:val="32"/>
          <w:szCs w:val="32"/>
        </w:rPr>
        <w:t>年按照培训计划</w:t>
      </w:r>
      <w:r>
        <w:rPr>
          <w:rFonts w:hint="default" w:ascii="Times New Roman" w:hAnsi="Times New Roman" w:eastAsia="仿宋_GB2312" w:cs="Times New Roman"/>
          <w:b w:val="0"/>
          <w:bCs/>
          <w:sz w:val="32"/>
          <w:szCs w:val="32"/>
          <w:lang w:eastAsia="zh-CN"/>
        </w:rPr>
        <w:t>，</w:t>
      </w:r>
      <w:r>
        <w:rPr>
          <w:rFonts w:hint="default" w:ascii="Times New Roman" w:hAnsi="Times New Roman" w:eastAsia="仿宋_GB2312" w:cs="Times New Roman"/>
          <w:b w:val="0"/>
          <w:bCs/>
          <w:sz w:val="32"/>
          <w:szCs w:val="32"/>
        </w:rPr>
        <w:t>集中学习《条例》等相关法律法规，针对政策文件录入解读和依申请规范化操作进行了全面培训，进一步优化政务公开工作流程，全面夯实政务公开工作基础。</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黑体" w:hAnsi="黑体" w:eastAsia="黑体" w:cs="黑体"/>
          <w:b w:val="0"/>
          <w:bCs/>
          <w:i w:val="0"/>
          <w:caps w:val="0"/>
          <w:color w:val="333333"/>
          <w:spacing w:val="0"/>
          <w:sz w:val="32"/>
          <w:szCs w:val="32"/>
          <w:shd w:val="clear" w:fill="FFFFFF"/>
        </w:rPr>
      </w:pPr>
      <w:r>
        <w:rPr>
          <w:rFonts w:hint="eastAsia" w:ascii="黑体" w:hAnsi="黑体" w:eastAsia="黑体" w:cs="黑体"/>
          <w:b w:val="0"/>
          <w:bCs/>
          <w:i w:val="0"/>
          <w:caps w:val="0"/>
          <w:color w:val="333333"/>
          <w:spacing w:val="0"/>
          <w:sz w:val="32"/>
          <w:szCs w:val="32"/>
          <w:shd w:val="clear" w:fill="FFFFFF"/>
        </w:rPr>
        <w:t>二、主动公开政府信息情况</w:t>
      </w:r>
    </w:p>
    <w:tbl>
      <w:tblPr>
        <w:tblStyle w:val="4"/>
        <w:tblW w:w="8824" w:type="dxa"/>
        <w:tblInd w:w="0" w:type="dxa"/>
        <w:tblLayout w:type="fixed"/>
        <w:tblCellMar>
          <w:top w:w="0" w:type="dxa"/>
          <w:left w:w="108" w:type="dxa"/>
          <w:bottom w:w="0" w:type="dxa"/>
          <w:right w:w="108" w:type="dxa"/>
        </w:tblCellMar>
      </w:tblPr>
      <w:tblGrid>
        <w:gridCol w:w="2206"/>
        <w:gridCol w:w="2206"/>
        <w:gridCol w:w="2206"/>
        <w:gridCol w:w="2206"/>
      </w:tblGrid>
      <w:tr>
        <w:tblPrEx>
          <w:tblCellMar>
            <w:top w:w="0" w:type="dxa"/>
            <w:left w:w="108" w:type="dxa"/>
            <w:bottom w:w="0" w:type="dxa"/>
            <w:right w:w="108" w:type="dxa"/>
          </w:tblCellMar>
        </w:tblPrEx>
        <w:trPr>
          <w:trHeight w:val="567" w:hRule="atLeast"/>
        </w:trPr>
        <w:tc>
          <w:tcPr>
            <w:tcW w:w="8824" w:type="dxa"/>
            <w:gridSpan w:val="4"/>
            <w:tcBorders>
              <w:top w:val="single" w:color="auto" w:sz="8" w:space="0"/>
              <w:left w:val="single" w:color="auto" w:sz="8" w:space="0"/>
              <w:bottom w:val="single" w:color="auto" w:sz="8" w:space="0"/>
              <w:right w:val="single" w:color="000000" w:sz="8" w:space="0"/>
            </w:tcBorders>
            <w:shd w:val="clear" w:color="000000" w:fill="C6D9F1"/>
            <w:vAlign w:val="center"/>
          </w:tcPr>
          <w:p>
            <w:pPr>
              <w:widowControl/>
              <w:jc w:val="center"/>
              <w:rPr>
                <w:rFonts w:ascii="黑体" w:hAnsi="黑体" w:eastAsia="黑体" w:cs="宋体"/>
                <w:color w:val="000000"/>
                <w:kern w:val="0"/>
                <w:szCs w:val="21"/>
              </w:rPr>
            </w:pPr>
            <w:r>
              <w:rPr>
                <w:rFonts w:hint="eastAsia" w:ascii="黑体" w:hAnsi="黑体" w:eastAsia="黑体" w:cs="宋体"/>
                <w:color w:val="000000"/>
                <w:kern w:val="0"/>
                <w:szCs w:val="21"/>
              </w:rPr>
              <w:t>第二十条第（一）项</w:t>
            </w:r>
          </w:p>
        </w:tc>
      </w:tr>
      <w:tr>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信息内容</w:t>
            </w:r>
          </w:p>
        </w:tc>
        <w:tc>
          <w:tcPr>
            <w:tcW w:w="2206" w:type="dxa"/>
            <w:tcBorders>
              <w:top w:val="nil"/>
              <w:left w:val="nil"/>
              <w:bottom w:val="single" w:color="auto" w:sz="8" w:space="0"/>
              <w:right w:val="single" w:color="auto" w:sz="8" w:space="0"/>
            </w:tcBorders>
            <w:shd w:val="clear" w:color="auto" w:fill="auto"/>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本年制发件数</w:t>
            </w:r>
          </w:p>
        </w:tc>
        <w:tc>
          <w:tcPr>
            <w:tcW w:w="2206" w:type="dxa"/>
            <w:tcBorders>
              <w:top w:val="nil"/>
              <w:left w:val="nil"/>
              <w:bottom w:val="single" w:color="auto" w:sz="8" w:space="0"/>
              <w:right w:val="single" w:color="auto" w:sz="8" w:space="0"/>
            </w:tcBorders>
            <w:shd w:val="clear" w:color="auto" w:fill="auto"/>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本年废止件数</w:t>
            </w:r>
          </w:p>
        </w:tc>
        <w:tc>
          <w:tcPr>
            <w:tcW w:w="2206" w:type="dxa"/>
            <w:tcBorders>
              <w:top w:val="nil"/>
              <w:left w:val="nil"/>
              <w:bottom w:val="single" w:color="auto" w:sz="8" w:space="0"/>
              <w:right w:val="single" w:color="auto" w:sz="8" w:space="0"/>
            </w:tcBorders>
            <w:shd w:val="clear" w:color="auto" w:fill="auto"/>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现行有效件数</w:t>
            </w:r>
          </w:p>
        </w:tc>
      </w:tr>
      <w:tr>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规章</w:t>
            </w:r>
          </w:p>
        </w:tc>
        <w:tc>
          <w:tcPr>
            <w:tcW w:w="2206" w:type="dxa"/>
            <w:tcBorders>
              <w:top w:val="nil"/>
              <w:left w:val="nil"/>
              <w:bottom w:val="single" w:color="auto" w:sz="8" w:space="0"/>
              <w:right w:val="single" w:color="auto" w:sz="8" w:space="0"/>
            </w:tcBorders>
            <w:shd w:val="clear" w:color="auto" w:fill="auto"/>
            <w:vAlign w:val="center"/>
          </w:tcPr>
          <w:p>
            <w:pPr>
              <w:widowControl/>
              <w:jc w:val="center"/>
              <w:rPr>
                <w:rFonts w:hint="default" w:ascii="仿宋_GB2312" w:hAnsi="宋体" w:eastAsia="仿宋_GB2312" w:cs="宋体"/>
                <w:color w:val="auto"/>
                <w:kern w:val="0"/>
                <w:szCs w:val="21"/>
                <w:lang w:val="en-US" w:eastAsia="zh-CN"/>
              </w:rPr>
            </w:pPr>
            <w:r>
              <w:rPr>
                <w:rFonts w:hint="eastAsia" w:ascii="仿宋_GB2312" w:hAnsi="宋体" w:eastAsia="仿宋_GB2312" w:cs="宋体"/>
                <w:color w:val="auto"/>
                <w:kern w:val="0"/>
                <w:szCs w:val="21"/>
                <w:lang w:val="en-US" w:eastAsia="zh-CN"/>
              </w:rPr>
              <w:t>0</w:t>
            </w:r>
          </w:p>
        </w:tc>
        <w:tc>
          <w:tcPr>
            <w:tcW w:w="2206" w:type="dxa"/>
            <w:tcBorders>
              <w:top w:val="nil"/>
              <w:left w:val="nil"/>
              <w:bottom w:val="single" w:color="auto" w:sz="8" w:space="0"/>
              <w:right w:val="single" w:color="auto" w:sz="8" w:space="0"/>
            </w:tcBorders>
            <w:shd w:val="clear" w:color="auto" w:fill="auto"/>
            <w:vAlign w:val="center"/>
          </w:tcPr>
          <w:p>
            <w:pPr>
              <w:widowControl/>
              <w:jc w:val="center"/>
              <w:rPr>
                <w:rFonts w:hint="eastAsia" w:ascii="仿宋_GB2312" w:hAnsi="宋体" w:eastAsia="仿宋_GB2312" w:cs="宋体"/>
                <w:color w:val="auto"/>
                <w:kern w:val="0"/>
                <w:szCs w:val="21"/>
                <w:lang w:val="en-US" w:eastAsia="zh-CN"/>
              </w:rPr>
            </w:pPr>
            <w:r>
              <w:rPr>
                <w:rFonts w:hint="eastAsia" w:ascii="仿宋_GB2312" w:hAnsi="宋体" w:eastAsia="仿宋_GB2312" w:cs="宋体"/>
                <w:color w:val="auto"/>
                <w:kern w:val="0"/>
                <w:szCs w:val="21"/>
                <w:lang w:val="en-US" w:eastAsia="zh-CN"/>
              </w:rPr>
              <w:t>0</w:t>
            </w:r>
          </w:p>
        </w:tc>
        <w:tc>
          <w:tcPr>
            <w:tcW w:w="2206" w:type="dxa"/>
            <w:tcBorders>
              <w:top w:val="nil"/>
              <w:left w:val="nil"/>
              <w:bottom w:val="single" w:color="auto" w:sz="8" w:space="0"/>
              <w:right w:val="single" w:color="auto" w:sz="8" w:space="0"/>
            </w:tcBorders>
            <w:shd w:val="clear" w:color="auto" w:fill="auto"/>
            <w:vAlign w:val="center"/>
          </w:tcPr>
          <w:p>
            <w:pPr>
              <w:widowControl/>
              <w:jc w:val="center"/>
              <w:rPr>
                <w:rFonts w:hint="eastAsia" w:ascii="仿宋_GB2312" w:hAnsi="Calibri" w:eastAsia="仿宋_GB2312" w:cs="Calibri"/>
                <w:color w:val="auto"/>
                <w:kern w:val="0"/>
                <w:szCs w:val="21"/>
                <w:lang w:val="en-US" w:eastAsia="zh-CN"/>
              </w:rPr>
            </w:pPr>
            <w:r>
              <w:rPr>
                <w:rFonts w:hint="eastAsia" w:ascii="仿宋_GB2312" w:hAnsi="Calibri" w:eastAsia="仿宋_GB2312" w:cs="Calibri"/>
                <w:color w:val="auto"/>
                <w:kern w:val="0"/>
                <w:szCs w:val="21"/>
                <w:lang w:val="en-US" w:eastAsia="zh-CN"/>
              </w:rPr>
              <w:t>0</w:t>
            </w:r>
          </w:p>
        </w:tc>
      </w:tr>
      <w:tr>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行政规范性文件</w:t>
            </w:r>
          </w:p>
        </w:tc>
        <w:tc>
          <w:tcPr>
            <w:tcW w:w="2206" w:type="dxa"/>
            <w:tcBorders>
              <w:top w:val="nil"/>
              <w:left w:val="nil"/>
              <w:bottom w:val="single" w:color="auto" w:sz="8" w:space="0"/>
              <w:right w:val="single" w:color="auto" w:sz="8" w:space="0"/>
            </w:tcBorders>
            <w:shd w:val="clear" w:color="auto" w:fill="auto"/>
            <w:vAlign w:val="center"/>
          </w:tcPr>
          <w:p>
            <w:pPr>
              <w:widowControl/>
              <w:jc w:val="center"/>
              <w:rPr>
                <w:rFonts w:hint="default" w:ascii="仿宋_GB2312" w:hAnsi="宋体" w:eastAsia="仿宋_GB2312" w:cs="宋体"/>
                <w:color w:val="auto"/>
                <w:kern w:val="0"/>
                <w:szCs w:val="21"/>
                <w:lang w:val="en-US" w:eastAsia="zh-CN"/>
              </w:rPr>
            </w:pPr>
            <w:r>
              <w:rPr>
                <w:rFonts w:hint="eastAsia" w:ascii="仿宋_GB2312" w:hAnsi="宋体" w:eastAsia="仿宋_GB2312" w:cs="宋体"/>
                <w:color w:val="auto"/>
                <w:kern w:val="0"/>
                <w:szCs w:val="21"/>
                <w:lang w:val="en-US" w:eastAsia="zh-CN"/>
              </w:rPr>
              <w:t>0</w:t>
            </w:r>
          </w:p>
        </w:tc>
        <w:tc>
          <w:tcPr>
            <w:tcW w:w="2206" w:type="dxa"/>
            <w:tcBorders>
              <w:top w:val="nil"/>
              <w:left w:val="nil"/>
              <w:bottom w:val="single" w:color="auto" w:sz="8" w:space="0"/>
              <w:right w:val="single" w:color="auto" w:sz="8" w:space="0"/>
            </w:tcBorders>
            <w:shd w:val="clear" w:color="auto" w:fill="auto"/>
            <w:vAlign w:val="center"/>
          </w:tcPr>
          <w:p>
            <w:pPr>
              <w:widowControl/>
              <w:jc w:val="center"/>
              <w:rPr>
                <w:rFonts w:hint="default" w:ascii="仿宋_GB2312" w:hAnsi="宋体" w:eastAsia="仿宋_GB2312" w:cs="宋体"/>
                <w:color w:val="auto"/>
                <w:kern w:val="0"/>
                <w:szCs w:val="21"/>
                <w:lang w:val="en-US" w:eastAsia="zh-CN"/>
              </w:rPr>
            </w:pPr>
            <w:r>
              <w:rPr>
                <w:rFonts w:hint="eastAsia" w:ascii="仿宋_GB2312" w:hAnsi="宋体" w:eastAsia="仿宋_GB2312" w:cs="宋体"/>
                <w:color w:val="auto"/>
                <w:kern w:val="0"/>
                <w:szCs w:val="21"/>
                <w:lang w:val="en-US" w:eastAsia="zh-CN"/>
              </w:rPr>
              <w:t>0</w:t>
            </w:r>
          </w:p>
        </w:tc>
        <w:tc>
          <w:tcPr>
            <w:tcW w:w="2206" w:type="dxa"/>
            <w:tcBorders>
              <w:top w:val="nil"/>
              <w:left w:val="nil"/>
              <w:bottom w:val="single" w:color="auto" w:sz="8" w:space="0"/>
              <w:right w:val="single" w:color="auto" w:sz="8" w:space="0"/>
            </w:tcBorders>
            <w:shd w:val="clear" w:color="auto" w:fill="auto"/>
            <w:vAlign w:val="center"/>
          </w:tcPr>
          <w:p>
            <w:pPr>
              <w:widowControl/>
              <w:jc w:val="center"/>
              <w:rPr>
                <w:rFonts w:hint="default" w:ascii="仿宋_GB2312" w:hAnsi="宋体" w:eastAsia="仿宋_GB2312" w:cs="宋体"/>
                <w:color w:val="auto"/>
                <w:kern w:val="0"/>
                <w:szCs w:val="21"/>
                <w:lang w:val="en-US" w:eastAsia="zh-CN"/>
              </w:rPr>
            </w:pPr>
            <w:r>
              <w:rPr>
                <w:rFonts w:hint="eastAsia" w:ascii="仿宋_GB2312" w:hAnsi="宋体" w:eastAsia="仿宋_GB2312" w:cs="宋体"/>
                <w:color w:val="auto"/>
                <w:kern w:val="0"/>
                <w:szCs w:val="21"/>
                <w:lang w:val="en-US" w:eastAsia="zh-CN"/>
              </w:rPr>
              <w:t>0</w:t>
            </w:r>
          </w:p>
        </w:tc>
      </w:tr>
      <w:tr>
        <w:tblPrEx>
          <w:tblCellMar>
            <w:top w:w="0" w:type="dxa"/>
            <w:left w:w="108" w:type="dxa"/>
            <w:bottom w:w="0" w:type="dxa"/>
            <w:right w:w="108" w:type="dxa"/>
          </w:tblCellMar>
        </w:tblPrEx>
        <w:trPr>
          <w:trHeight w:val="567" w:hRule="atLeast"/>
        </w:trPr>
        <w:tc>
          <w:tcPr>
            <w:tcW w:w="8824" w:type="dxa"/>
            <w:gridSpan w:val="4"/>
            <w:tcBorders>
              <w:top w:val="single" w:color="auto" w:sz="8" w:space="0"/>
              <w:left w:val="single" w:color="auto" w:sz="8" w:space="0"/>
              <w:bottom w:val="single" w:color="auto" w:sz="8" w:space="0"/>
              <w:right w:val="single" w:color="000000" w:sz="8" w:space="0"/>
            </w:tcBorders>
            <w:shd w:val="clear" w:color="000000" w:fill="C6D9F1"/>
            <w:vAlign w:val="center"/>
          </w:tcPr>
          <w:p>
            <w:pPr>
              <w:widowControl/>
              <w:jc w:val="center"/>
              <w:rPr>
                <w:rFonts w:ascii="黑体" w:hAnsi="黑体" w:eastAsia="黑体" w:cs="宋体"/>
                <w:color w:val="000000"/>
                <w:kern w:val="0"/>
                <w:szCs w:val="21"/>
              </w:rPr>
            </w:pPr>
            <w:r>
              <w:rPr>
                <w:rFonts w:hint="eastAsia" w:ascii="黑体" w:hAnsi="黑体" w:eastAsia="黑体" w:cs="宋体"/>
                <w:color w:val="000000"/>
                <w:kern w:val="0"/>
                <w:szCs w:val="21"/>
              </w:rPr>
              <w:t>第二十条第（五）项</w:t>
            </w:r>
          </w:p>
        </w:tc>
      </w:tr>
      <w:tr>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信息内容</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本年处理决定数量</w:t>
            </w:r>
          </w:p>
        </w:tc>
      </w:tr>
      <w:tr>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行政许可</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pPr>
              <w:widowControl/>
              <w:jc w:val="center"/>
              <w:rPr>
                <w:rFonts w:hint="default" w:ascii="仿宋_GB2312" w:hAnsi="Calibri" w:eastAsia="仿宋_GB2312" w:cs="Calibri"/>
                <w:color w:val="000000"/>
                <w:kern w:val="0"/>
                <w:szCs w:val="21"/>
                <w:lang w:val="en-US" w:eastAsia="zh-CN"/>
              </w:rPr>
            </w:pPr>
            <w:r>
              <w:rPr>
                <w:rFonts w:hint="eastAsia" w:ascii="仿宋_GB2312" w:hAnsi="Calibri" w:eastAsia="仿宋_GB2312" w:cs="Calibri"/>
                <w:color w:val="000000"/>
                <w:kern w:val="0"/>
                <w:szCs w:val="21"/>
                <w:lang w:val="en-US" w:eastAsia="zh-CN"/>
              </w:rPr>
              <w:t>8</w:t>
            </w:r>
          </w:p>
        </w:tc>
      </w:tr>
      <w:tr>
        <w:tblPrEx>
          <w:tblCellMar>
            <w:top w:w="0" w:type="dxa"/>
            <w:left w:w="108" w:type="dxa"/>
            <w:bottom w:w="0" w:type="dxa"/>
            <w:right w:w="108" w:type="dxa"/>
          </w:tblCellMar>
        </w:tblPrEx>
        <w:trPr>
          <w:trHeight w:val="567" w:hRule="atLeast"/>
        </w:trPr>
        <w:tc>
          <w:tcPr>
            <w:tcW w:w="8824" w:type="dxa"/>
            <w:gridSpan w:val="4"/>
            <w:tcBorders>
              <w:top w:val="single" w:color="auto" w:sz="8" w:space="0"/>
              <w:left w:val="single" w:color="auto" w:sz="8" w:space="0"/>
              <w:bottom w:val="single" w:color="auto" w:sz="8" w:space="0"/>
              <w:right w:val="single" w:color="000000" w:sz="8" w:space="0"/>
            </w:tcBorders>
            <w:shd w:val="clear" w:color="000000" w:fill="C6D9F1"/>
            <w:vAlign w:val="center"/>
          </w:tcPr>
          <w:p>
            <w:pPr>
              <w:widowControl/>
              <w:jc w:val="center"/>
              <w:rPr>
                <w:rFonts w:ascii="黑体" w:hAnsi="黑体" w:eastAsia="黑体" w:cs="宋体"/>
                <w:color w:val="000000"/>
                <w:kern w:val="0"/>
                <w:szCs w:val="21"/>
              </w:rPr>
            </w:pPr>
            <w:r>
              <w:rPr>
                <w:rFonts w:hint="eastAsia" w:ascii="黑体" w:hAnsi="黑体" w:eastAsia="黑体" w:cs="宋体"/>
                <w:color w:val="000000"/>
                <w:kern w:val="0"/>
                <w:szCs w:val="21"/>
              </w:rPr>
              <w:t>第二十条第（六）项</w:t>
            </w:r>
          </w:p>
        </w:tc>
      </w:tr>
      <w:tr>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信息内容</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本年处理决定数量</w:t>
            </w:r>
          </w:p>
        </w:tc>
      </w:tr>
      <w:tr>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行政处罚</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pPr>
              <w:widowControl/>
              <w:jc w:val="center"/>
              <w:rPr>
                <w:rFonts w:hint="default" w:ascii="仿宋_GB2312" w:hAnsi="Calibri" w:eastAsia="仿宋_GB2312" w:cs="Calibri"/>
                <w:color w:val="auto"/>
                <w:kern w:val="0"/>
                <w:szCs w:val="21"/>
                <w:lang w:val="en-US" w:eastAsia="zh-CN"/>
              </w:rPr>
            </w:pPr>
            <w:r>
              <w:rPr>
                <w:rFonts w:hint="eastAsia" w:ascii="仿宋_GB2312" w:hAnsi="Calibri" w:eastAsia="仿宋_GB2312" w:cs="Calibri"/>
                <w:color w:val="auto"/>
                <w:kern w:val="0"/>
                <w:szCs w:val="21"/>
                <w:lang w:val="en-US" w:eastAsia="zh-CN"/>
              </w:rPr>
              <w:t>0</w:t>
            </w:r>
          </w:p>
        </w:tc>
      </w:tr>
      <w:tr>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行政强制</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pPr>
              <w:widowControl/>
              <w:jc w:val="center"/>
              <w:rPr>
                <w:rFonts w:hint="default" w:ascii="仿宋_GB2312" w:hAnsi="Calibri" w:eastAsia="仿宋_GB2312" w:cs="Calibri"/>
                <w:color w:val="auto"/>
                <w:kern w:val="0"/>
                <w:szCs w:val="21"/>
                <w:lang w:val="en-US" w:eastAsia="zh-CN"/>
              </w:rPr>
            </w:pPr>
            <w:r>
              <w:rPr>
                <w:rFonts w:hint="eastAsia" w:ascii="仿宋_GB2312" w:hAnsi="Calibri" w:eastAsia="仿宋_GB2312" w:cs="Calibri"/>
                <w:color w:val="auto"/>
                <w:kern w:val="0"/>
                <w:szCs w:val="21"/>
                <w:lang w:val="en-US" w:eastAsia="zh-CN"/>
              </w:rPr>
              <w:t>0</w:t>
            </w:r>
          </w:p>
        </w:tc>
      </w:tr>
      <w:tr>
        <w:tblPrEx>
          <w:tblCellMar>
            <w:top w:w="0" w:type="dxa"/>
            <w:left w:w="108" w:type="dxa"/>
            <w:bottom w:w="0" w:type="dxa"/>
            <w:right w:w="108" w:type="dxa"/>
          </w:tblCellMar>
        </w:tblPrEx>
        <w:trPr>
          <w:trHeight w:val="567" w:hRule="atLeast"/>
        </w:trPr>
        <w:tc>
          <w:tcPr>
            <w:tcW w:w="8824" w:type="dxa"/>
            <w:gridSpan w:val="4"/>
            <w:tcBorders>
              <w:top w:val="single" w:color="auto" w:sz="8" w:space="0"/>
              <w:left w:val="single" w:color="auto" w:sz="8" w:space="0"/>
              <w:bottom w:val="single" w:color="auto" w:sz="8" w:space="0"/>
              <w:right w:val="single" w:color="000000" w:sz="8" w:space="0"/>
            </w:tcBorders>
            <w:shd w:val="clear" w:color="000000" w:fill="C6D9F1"/>
            <w:vAlign w:val="center"/>
          </w:tcPr>
          <w:p>
            <w:pPr>
              <w:widowControl/>
              <w:jc w:val="center"/>
              <w:rPr>
                <w:rFonts w:ascii="黑体" w:hAnsi="黑体" w:eastAsia="黑体" w:cs="宋体"/>
                <w:color w:val="000000"/>
                <w:kern w:val="0"/>
                <w:szCs w:val="21"/>
              </w:rPr>
            </w:pPr>
            <w:r>
              <w:rPr>
                <w:rFonts w:hint="eastAsia" w:ascii="黑体" w:hAnsi="黑体" w:eastAsia="黑体" w:cs="宋体"/>
                <w:color w:val="000000"/>
                <w:kern w:val="0"/>
                <w:szCs w:val="21"/>
              </w:rPr>
              <w:t>第二十条第（八）项</w:t>
            </w:r>
          </w:p>
        </w:tc>
      </w:tr>
      <w:tr>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信息内容</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本年收费金额（单位：万元）</w:t>
            </w:r>
          </w:p>
        </w:tc>
      </w:tr>
      <w:tr>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行政事业性收费</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pPr>
              <w:widowControl/>
              <w:jc w:val="center"/>
              <w:rPr>
                <w:rFonts w:hint="default" w:ascii="仿宋_GB2312" w:hAnsi="Calibri" w:eastAsia="仿宋_GB2312" w:cs="Calibri"/>
                <w:color w:val="000000"/>
                <w:kern w:val="0"/>
                <w:szCs w:val="21"/>
                <w:lang w:val="en-US" w:eastAsia="zh-CN"/>
              </w:rPr>
            </w:pPr>
            <w:r>
              <w:rPr>
                <w:rFonts w:hint="eastAsia" w:ascii="仿宋_GB2312" w:hAnsi="Calibri" w:eastAsia="仿宋_GB2312" w:cs="Calibri"/>
                <w:color w:val="auto"/>
                <w:kern w:val="0"/>
                <w:szCs w:val="21"/>
                <w:lang w:val="en-US" w:eastAsia="zh-CN"/>
              </w:rPr>
              <w:t>0</w:t>
            </w:r>
          </w:p>
        </w:tc>
      </w:tr>
    </w:tbl>
    <w:p>
      <w:pPr>
        <w:keepNext w:val="0"/>
        <w:keepLines w:val="0"/>
        <w:pageBreakBefore w:val="0"/>
        <w:widowControl w:val="0"/>
        <w:numPr>
          <w:ilvl w:val="0"/>
          <w:numId w:val="0"/>
        </w:numPr>
        <w:kinsoku/>
        <w:wordWrap/>
        <w:overflowPunct/>
        <w:topLinePunct w:val="0"/>
        <w:bidi w:val="0"/>
        <w:snapToGrid/>
        <w:spacing w:line="560" w:lineRule="exact"/>
        <w:ind w:firstLine="640" w:firstLineChars="200"/>
        <w:textAlignment w:val="auto"/>
        <w:rPr>
          <w:rFonts w:hint="eastAsia" w:ascii="黑体" w:hAnsi="黑体" w:eastAsia="黑体" w:cs="黑体"/>
          <w:b w:val="0"/>
          <w:bCs/>
          <w:i w:val="0"/>
          <w:caps w:val="0"/>
          <w:color w:val="auto"/>
          <w:spacing w:val="0"/>
          <w:kern w:val="0"/>
          <w:sz w:val="32"/>
          <w:szCs w:val="32"/>
          <w:shd w:val="clear" w:fill="FFFFFF"/>
          <w:lang w:val="en-US" w:eastAsia="zh-CN" w:bidi="ar"/>
        </w:rPr>
      </w:pPr>
    </w:p>
    <w:p>
      <w:pPr>
        <w:keepNext w:val="0"/>
        <w:keepLines w:val="0"/>
        <w:pageBreakBefore w:val="0"/>
        <w:widowControl w:val="0"/>
        <w:numPr>
          <w:ilvl w:val="0"/>
          <w:numId w:val="0"/>
        </w:numPr>
        <w:kinsoku/>
        <w:wordWrap/>
        <w:overflowPunct/>
        <w:topLinePunct w:val="0"/>
        <w:bidi w:val="0"/>
        <w:snapToGrid/>
        <w:spacing w:line="560" w:lineRule="exact"/>
        <w:ind w:firstLine="640" w:firstLineChars="200"/>
        <w:textAlignment w:val="auto"/>
        <w:rPr>
          <w:rFonts w:hint="eastAsia" w:ascii="黑体" w:hAnsi="黑体" w:eastAsia="黑体" w:cs="黑体"/>
          <w:b w:val="0"/>
          <w:bCs/>
          <w:i w:val="0"/>
          <w:caps w:val="0"/>
          <w:color w:val="auto"/>
          <w:spacing w:val="0"/>
          <w:kern w:val="0"/>
          <w:sz w:val="32"/>
          <w:szCs w:val="32"/>
          <w:shd w:val="clear" w:fill="FFFFFF"/>
          <w:lang w:val="en-US" w:eastAsia="zh-CN" w:bidi="ar"/>
        </w:rPr>
      </w:pPr>
    </w:p>
    <w:p>
      <w:pPr>
        <w:keepNext w:val="0"/>
        <w:keepLines w:val="0"/>
        <w:pageBreakBefore w:val="0"/>
        <w:widowControl w:val="0"/>
        <w:numPr>
          <w:ilvl w:val="0"/>
          <w:numId w:val="0"/>
        </w:numPr>
        <w:kinsoku/>
        <w:wordWrap/>
        <w:overflowPunct/>
        <w:topLinePunct w:val="0"/>
        <w:bidi w:val="0"/>
        <w:snapToGrid/>
        <w:spacing w:line="560" w:lineRule="exact"/>
        <w:ind w:firstLine="640" w:firstLineChars="200"/>
        <w:textAlignment w:val="auto"/>
        <w:rPr>
          <w:rFonts w:hint="eastAsia" w:ascii="黑体" w:hAnsi="黑体" w:eastAsia="黑体" w:cs="黑体"/>
          <w:b w:val="0"/>
          <w:bCs/>
          <w:i w:val="0"/>
          <w:caps w:val="0"/>
          <w:color w:val="auto"/>
          <w:spacing w:val="0"/>
          <w:kern w:val="0"/>
          <w:sz w:val="32"/>
          <w:szCs w:val="32"/>
          <w:shd w:val="clear" w:fill="FFFFFF"/>
          <w:lang w:val="en-US" w:eastAsia="zh-CN" w:bidi="ar"/>
        </w:rPr>
      </w:pPr>
    </w:p>
    <w:p>
      <w:pPr>
        <w:keepNext w:val="0"/>
        <w:keepLines w:val="0"/>
        <w:pageBreakBefore w:val="0"/>
        <w:widowControl w:val="0"/>
        <w:numPr>
          <w:ilvl w:val="0"/>
          <w:numId w:val="0"/>
        </w:numPr>
        <w:kinsoku/>
        <w:wordWrap/>
        <w:overflowPunct/>
        <w:topLinePunct w:val="0"/>
        <w:bidi w:val="0"/>
        <w:snapToGrid/>
        <w:spacing w:line="560" w:lineRule="exact"/>
        <w:ind w:firstLine="640" w:firstLineChars="200"/>
        <w:textAlignment w:val="auto"/>
        <w:rPr>
          <w:rFonts w:hint="eastAsia" w:ascii="黑体" w:hAnsi="黑体" w:eastAsia="黑体" w:cs="黑体"/>
          <w:b w:val="0"/>
          <w:bCs/>
          <w:i w:val="0"/>
          <w:caps w:val="0"/>
          <w:color w:val="auto"/>
          <w:spacing w:val="0"/>
          <w:kern w:val="0"/>
          <w:sz w:val="32"/>
          <w:szCs w:val="32"/>
          <w:shd w:val="clear" w:fill="FFFFFF"/>
          <w:lang w:val="en-US" w:eastAsia="zh-CN" w:bidi="ar"/>
        </w:rPr>
      </w:pPr>
    </w:p>
    <w:p>
      <w:pPr>
        <w:keepNext w:val="0"/>
        <w:keepLines w:val="0"/>
        <w:pageBreakBefore w:val="0"/>
        <w:widowControl w:val="0"/>
        <w:numPr>
          <w:ilvl w:val="0"/>
          <w:numId w:val="0"/>
        </w:numPr>
        <w:kinsoku/>
        <w:wordWrap/>
        <w:overflowPunct/>
        <w:topLinePunct w:val="0"/>
        <w:bidi w:val="0"/>
        <w:snapToGrid/>
        <w:spacing w:line="560" w:lineRule="exact"/>
        <w:ind w:firstLine="640" w:firstLineChars="200"/>
        <w:textAlignment w:val="auto"/>
        <w:rPr>
          <w:rFonts w:hint="eastAsia" w:ascii="黑体" w:hAnsi="黑体" w:eastAsia="黑体" w:cs="黑体"/>
          <w:color w:val="FF0000"/>
          <w:sz w:val="32"/>
          <w:szCs w:val="32"/>
          <w:lang w:val="en-US" w:eastAsia="zh-CN"/>
        </w:rPr>
      </w:pPr>
      <w:r>
        <w:rPr>
          <w:rFonts w:hint="eastAsia" w:ascii="黑体" w:hAnsi="黑体" w:eastAsia="黑体" w:cs="黑体"/>
          <w:b w:val="0"/>
          <w:bCs/>
          <w:i w:val="0"/>
          <w:caps w:val="0"/>
          <w:color w:val="auto"/>
          <w:spacing w:val="0"/>
          <w:kern w:val="0"/>
          <w:sz w:val="32"/>
          <w:szCs w:val="32"/>
          <w:shd w:val="clear" w:fill="FFFFFF"/>
          <w:lang w:val="en-US" w:eastAsia="zh-CN" w:bidi="ar"/>
        </w:rPr>
        <w:t>三、收</w:t>
      </w:r>
      <w:r>
        <w:rPr>
          <w:rFonts w:hint="eastAsia" w:ascii="黑体" w:hAnsi="黑体" w:eastAsia="黑体" w:cs="黑体"/>
          <w:b w:val="0"/>
          <w:bCs/>
          <w:i w:val="0"/>
          <w:caps w:val="0"/>
          <w:color w:val="333333"/>
          <w:spacing w:val="0"/>
          <w:kern w:val="0"/>
          <w:sz w:val="32"/>
          <w:szCs w:val="32"/>
          <w:shd w:val="clear" w:fill="FFFFFF"/>
          <w:lang w:val="en-US" w:eastAsia="zh-CN" w:bidi="ar"/>
        </w:rPr>
        <w:t>到和处理政府信息公开申请情况</w:t>
      </w:r>
    </w:p>
    <w:tbl>
      <w:tblPr>
        <w:tblStyle w:val="4"/>
        <w:tblW w:w="9541"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
      <w:tblGrid>
        <w:gridCol w:w="416"/>
        <w:gridCol w:w="1701"/>
        <w:gridCol w:w="2976"/>
        <w:gridCol w:w="747"/>
        <w:gridCol w:w="5"/>
        <w:gridCol w:w="5"/>
        <w:gridCol w:w="4"/>
        <w:gridCol w:w="4"/>
        <w:gridCol w:w="3"/>
        <w:gridCol w:w="3"/>
        <w:gridCol w:w="516"/>
        <w:gridCol w:w="5"/>
        <w:gridCol w:w="4"/>
        <w:gridCol w:w="4"/>
        <w:gridCol w:w="3"/>
        <w:gridCol w:w="3"/>
        <w:gridCol w:w="3"/>
        <w:gridCol w:w="518"/>
        <w:gridCol w:w="720"/>
        <w:gridCol w:w="675"/>
        <w:gridCol w:w="525"/>
        <w:gridCol w:w="1"/>
        <w:gridCol w:w="700"/>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13" w:hRule="atLeast"/>
          <w:jc w:val="center"/>
        </w:trPr>
        <w:tc>
          <w:tcPr>
            <w:tcW w:w="5093" w:type="dxa"/>
            <w:gridSpan w:val="3"/>
            <w:vMerge w:val="restart"/>
            <w:shd w:val="clear" w:color="auto" w:fill="auto"/>
            <w:tcMar>
              <w:left w:w="108" w:type="dxa"/>
              <w:right w:w="108" w:type="dxa"/>
            </w:tcMar>
            <w:vAlign w:val="center"/>
          </w:tcPr>
          <w:p>
            <w:pPr>
              <w:widowControl/>
              <w:jc w:val="center"/>
              <w:rPr>
                <w:rFonts w:ascii="楷体_GB2312" w:hAnsi="黑体" w:eastAsia="楷体_GB2312"/>
                <w:kern w:val="0"/>
                <w:szCs w:val="21"/>
              </w:rPr>
            </w:pPr>
            <w:r>
              <w:rPr>
                <w:rFonts w:hint="eastAsia" w:ascii="楷体_GB2312" w:hAnsi="黑体" w:eastAsia="楷体_GB2312"/>
                <w:kern w:val="0"/>
                <w:szCs w:val="21"/>
              </w:rPr>
              <w:t>（本列数据的勾稽关系为：第一项加第二项之和，</w:t>
            </w:r>
          </w:p>
          <w:p>
            <w:pPr>
              <w:widowControl/>
              <w:jc w:val="center"/>
              <w:rPr>
                <w:rFonts w:ascii="仿宋_GB2312" w:hAnsi="Times New Roman" w:eastAsia="仿宋_GB2312"/>
                <w:szCs w:val="21"/>
              </w:rPr>
            </w:pPr>
            <w:r>
              <w:rPr>
                <w:rFonts w:hint="eastAsia" w:ascii="楷体_GB2312" w:hAnsi="黑体" w:eastAsia="楷体_GB2312"/>
                <w:kern w:val="0"/>
                <w:szCs w:val="21"/>
              </w:rPr>
              <w:t>等于第三项加第四项之和）</w:t>
            </w:r>
          </w:p>
        </w:tc>
        <w:tc>
          <w:tcPr>
            <w:tcW w:w="4448" w:type="dxa"/>
            <w:gridSpan w:val="20"/>
            <w:shd w:val="clear" w:color="auto" w:fill="auto"/>
            <w:tcMar>
              <w:left w:w="108" w:type="dxa"/>
              <w:right w:w="108" w:type="dxa"/>
            </w:tcMar>
            <w:vAlign w:val="center"/>
          </w:tcPr>
          <w:p>
            <w:pPr>
              <w:widowControl/>
              <w:spacing w:line="320" w:lineRule="exact"/>
              <w:jc w:val="center"/>
              <w:rPr>
                <w:rFonts w:ascii="黑体" w:hAnsi="黑体" w:eastAsia="黑体"/>
                <w:szCs w:val="21"/>
              </w:rPr>
            </w:pPr>
            <w:r>
              <w:rPr>
                <w:rFonts w:hint="eastAsia" w:ascii="黑体" w:hAnsi="黑体" w:eastAsia="黑体"/>
                <w:kern w:val="0"/>
                <w:szCs w:val="21"/>
              </w:rPr>
              <w:t>申请人情况</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5093" w:type="dxa"/>
            <w:gridSpan w:val="3"/>
            <w:vMerge w:val="continue"/>
            <w:shd w:val="clear" w:color="auto" w:fill="auto"/>
            <w:tcMar>
              <w:left w:w="108" w:type="dxa"/>
              <w:right w:w="108" w:type="dxa"/>
            </w:tcMar>
            <w:vAlign w:val="center"/>
          </w:tcPr>
          <w:p>
            <w:pPr>
              <w:jc w:val="center"/>
              <w:rPr>
                <w:rFonts w:ascii="仿宋_GB2312" w:hAnsi="Times New Roman" w:eastAsia="仿宋_GB2312"/>
                <w:szCs w:val="21"/>
              </w:rPr>
            </w:pPr>
          </w:p>
        </w:tc>
        <w:tc>
          <w:tcPr>
            <w:tcW w:w="747" w:type="dxa"/>
            <w:vMerge w:val="restart"/>
            <w:shd w:val="clear" w:color="auto" w:fill="auto"/>
            <w:tcMar>
              <w:left w:w="108" w:type="dxa"/>
              <w:right w:w="108" w:type="dxa"/>
            </w:tcMar>
            <w:vAlign w:val="center"/>
          </w:tcPr>
          <w:p>
            <w:pPr>
              <w:widowControl/>
              <w:jc w:val="center"/>
              <w:rPr>
                <w:rFonts w:ascii="黑体" w:hAnsi="黑体" w:eastAsia="黑体"/>
                <w:szCs w:val="21"/>
              </w:rPr>
            </w:pPr>
            <w:r>
              <w:rPr>
                <w:rFonts w:hint="eastAsia" w:ascii="黑体" w:hAnsi="黑体" w:eastAsia="黑体"/>
                <w:kern w:val="0"/>
                <w:szCs w:val="21"/>
              </w:rPr>
              <w:t>自然人</w:t>
            </w:r>
          </w:p>
        </w:tc>
        <w:tc>
          <w:tcPr>
            <w:tcW w:w="3000" w:type="dxa"/>
            <w:gridSpan w:val="17"/>
            <w:shd w:val="clear" w:color="auto" w:fill="auto"/>
            <w:tcMar>
              <w:left w:w="108" w:type="dxa"/>
              <w:right w:w="108" w:type="dxa"/>
            </w:tcMar>
            <w:vAlign w:val="center"/>
          </w:tcPr>
          <w:p>
            <w:pPr>
              <w:widowControl/>
              <w:spacing w:line="320" w:lineRule="exact"/>
              <w:jc w:val="center"/>
              <w:rPr>
                <w:rFonts w:ascii="黑体" w:hAnsi="黑体" w:eastAsia="黑体"/>
                <w:szCs w:val="21"/>
              </w:rPr>
            </w:pPr>
            <w:r>
              <w:rPr>
                <w:rFonts w:hint="eastAsia" w:ascii="黑体" w:hAnsi="黑体" w:eastAsia="黑体"/>
                <w:kern w:val="0"/>
                <w:szCs w:val="21"/>
              </w:rPr>
              <w:t>法人或其他组织</w:t>
            </w:r>
          </w:p>
        </w:tc>
        <w:tc>
          <w:tcPr>
            <w:tcW w:w="701" w:type="dxa"/>
            <w:gridSpan w:val="2"/>
            <w:vMerge w:val="restart"/>
            <w:shd w:val="clear" w:color="auto" w:fill="auto"/>
            <w:tcMar>
              <w:left w:w="108" w:type="dxa"/>
              <w:right w:w="108" w:type="dxa"/>
            </w:tcMar>
            <w:vAlign w:val="center"/>
          </w:tcPr>
          <w:p>
            <w:pPr>
              <w:widowControl/>
              <w:jc w:val="center"/>
              <w:rPr>
                <w:rFonts w:ascii="黑体" w:hAnsi="黑体" w:eastAsia="黑体"/>
                <w:szCs w:val="21"/>
              </w:rPr>
            </w:pPr>
            <w:r>
              <w:rPr>
                <w:rFonts w:hint="eastAsia" w:ascii="黑体" w:hAnsi="黑体" w:eastAsia="黑体"/>
                <w:kern w:val="0"/>
                <w:szCs w:val="21"/>
              </w:rPr>
              <w:t>总计</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22" w:hRule="atLeast"/>
          <w:jc w:val="center"/>
        </w:trPr>
        <w:tc>
          <w:tcPr>
            <w:tcW w:w="5093" w:type="dxa"/>
            <w:gridSpan w:val="3"/>
            <w:vMerge w:val="continue"/>
            <w:shd w:val="clear" w:color="auto" w:fill="auto"/>
            <w:tcMar>
              <w:left w:w="108" w:type="dxa"/>
              <w:right w:w="108" w:type="dxa"/>
            </w:tcMar>
            <w:vAlign w:val="center"/>
          </w:tcPr>
          <w:p>
            <w:pPr>
              <w:jc w:val="center"/>
              <w:rPr>
                <w:rFonts w:ascii="仿宋_GB2312" w:hAnsi="Times New Roman" w:eastAsia="仿宋_GB2312"/>
                <w:szCs w:val="21"/>
              </w:rPr>
            </w:pPr>
          </w:p>
        </w:tc>
        <w:tc>
          <w:tcPr>
            <w:tcW w:w="747" w:type="dxa"/>
            <w:vMerge w:val="continue"/>
            <w:shd w:val="clear" w:color="auto" w:fill="auto"/>
            <w:tcMar>
              <w:left w:w="108" w:type="dxa"/>
              <w:right w:w="108" w:type="dxa"/>
            </w:tcMar>
            <w:vAlign w:val="center"/>
          </w:tcPr>
          <w:p>
            <w:pPr>
              <w:jc w:val="center"/>
              <w:rPr>
                <w:rFonts w:ascii="黑体" w:hAnsi="黑体" w:eastAsia="黑体"/>
                <w:szCs w:val="21"/>
              </w:rPr>
            </w:pPr>
          </w:p>
        </w:tc>
        <w:tc>
          <w:tcPr>
            <w:tcW w:w="540" w:type="dxa"/>
            <w:gridSpan w:val="7"/>
            <w:shd w:val="clear" w:color="auto" w:fill="auto"/>
            <w:tcMar>
              <w:left w:w="108" w:type="dxa"/>
              <w:right w:w="108" w:type="dxa"/>
            </w:tcMar>
            <w:vAlign w:val="center"/>
          </w:tcPr>
          <w:p>
            <w:pPr>
              <w:widowControl/>
              <w:spacing w:line="320" w:lineRule="exact"/>
              <w:ind w:left="-106" w:leftChars="-51" w:right="-107" w:rightChars="-51" w:hanging="1"/>
              <w:jc w:val="center"/>
              <w:rPr>
                <w:rFonts w:ascii="黑体" w:hAnsi="黑体" w:eastAsia="黑体"/>
                <w:szCs w:val="21"/>
              </w:rPr>
            </w:pPr>
            <w:r>
              <w:rPr>
                <w:rFonts w:hint="eastAsia" w:ascii="黑体" w:hAnsi="黑体" w:eastAsia="黑体"/>
                <w:kern w:val="0"/>
                <w:szCs w:val="21"/>
              </w:rPr>
              <w:t>商业企业</w:t>
            </w:r>
          </w:p>
        </w:tc>
        <w:tc>
          <w:tcPr>
            <w:tcW w:w="540" w:type="dxa"/>
            <w:gridSpan w:val="7"/>
            <w:shd w:val="clear" w:color="auto" w:fill="auto"/>
            <w:tcMar>
              <w:left w:w="108" w:type="dxa"/>
              <w:right w:w="108" w:type="dxa"/>
            </w:tcMar>
            <w:vAlign w:val="center"/>
          </w:tcPr>
          <w:p>
            <w:pPr>
              <w:widowControl/>
              <w:spacing w:line="320" w:lineRule="exact"/>
              <w:ind w:left="-107" w:leftChars="-51" w:right="-107" w:rightChars="-51"/>
              <w:jc w:val="center"/>
              <w:rPr>
                <w:rFonts w:ascii="黑体" w:hAnsi="黑体" w:eastAsia="黑体"/>
                <w:szCs w:val="21"/>
              </w:rPr>
            </w:pPr>
            <w:r>
              <w:rPr>
                <w:rFonts w:hint="eastAsia" w:ascii="黑体" w:hAnsi="黑体" w:eastAsia="黑体"/>
                <w:kern w:val="0"/>
                <w:szCs w:val="21"/>
              </w:rPr>
              <w:t>科研机构</w:t>
            </w:r>
          </w:p>
        </w:tc>
        <w:tc>
          <w:tcPr>
            <w:tcW w:w="720" w:type="dxa"/>
            <w:shd w:val="clear" w:color="auto" w:fill="auto"/>
            <w:tcMar>
              <w:left w:w="108" w:type="dxa"/>
              <w:right w:w="108" w:type="dxa"/>
            </w:tcMar>
            <w:vAlign w:val="center"/>
          </w:tcPr>
          <w:p>
            <w:pPr>
              <w:widowControl/>
              <w:spacing w:line="320" w:lineRule="exact"/>
              <w:ind w:left="-107" w:leftChars="-51" w:right="-107" w:rightChars="-51"/>
              <w:jc w:val="center"/>
              <w:rPr>
                <w:rFonts w:ascii="黑体" w:hAnsi="黑体" w:eastAsia="黑体"/>
                <w:szCs w:val="21"/>
              </w:rPr>
            </w:pPr>
            <w:r>
              <w:rPr>
                <w:rFonts w:hint="eastAsia" w:ascii="黑体" w:hAnsi="黑体" w:eastAsia="黑体"/>
                <w:kern w:val="0"/>
                <w:szCs w:val="21"/>
              </w:rPr>
              <w:t>社会公益组织</w:t>
            </w:r>
          </w:p>
        </w:tc>
        <w:tc>
          <w:tcPr>
            <w:tcW w:w="675" w:type="dxa"/>
            <w:shd w:val="clear" w:color="auto" w:fill="auto"/>
            <w:tcMar>
              <w:left w:w="108" w:type="dxa"/>
              <w:right w:w="108" w:type="dxa"/>
            </w:tcMar>
            <w:vAlign w:val="center"/>
          </w:tcPr>
          <w:p>
            <w:pPr>
              <w:widowControl/>
              <w:spacing w:line="320" w:lineRule="exact"/>
              <w:ind w:left="-106" w:leftChars="-51" w:right="-107" w:rightChars="-51" w:hanging="1"/>
              <w:jc w:val="center"/>
              <w:rPr>
                <w:rFonts w:ascii="黑体" w:hAnsi="黑体" w:eastAsia="黑体"/>
                <w:szCs w:val="21"/>
              </w:rPr>
            </w:pPr>
            <w:r>
              <w:rPr>
                <w:rFonts w:hint="eastAsia" w:ascii="黑体" w:hAnsi="黑体" w:eastAsia="黑体"/>
                <w:kern w:val="0"/>
                <w:szCs w:val="21"/>
              </w:rPr>
              <w:t>法律服务机构</w:t>
            </w:r>
          </w:p>
        </w:tc>
        <w:tc>
          <w:tcPr>
            <w:tcW w:w="525" w:type="dxa"/>
            <w:shd w:val="clear" w:color="auto" w:fill="auto"/>
            <w:tcMar>
              <w:left w:w="108" w:type="dxa"/>
              <w:right w:w="108" w:type="dxa"/>
            </w:tcMar>
            <w:vAlign w:val="center"/>
          </w:tcPr>
          <w:p>
            <w:pPr>
              <w:widowControl/>
              <w:spacing w:line="360" w:lineRule="exact"/>
              <w:ind w:left="-63" w:leftChars="-30" w:right="-134" w:rightChars="-64"/>
              <w:jc w:val="center"/>
              <w:rPr>
                <w:rFonts w:ascii="黑体" w:hAnsi="黑体" w:eastAsia="黑体"/>
                <w:szCs w:val="21"/>
              </w:rPr>
            </w:pPr>
            <w:r>
              <w:rPr>
                <w:rFonts w:hint="eastAsia" w:ascii="黑体" w:hAnsi="黑体" w:eastAsia="黑体"/>
                <w:kern w:val="0"/>
                <w:szCs w:val="21"/>
              </w:rPr>
              <w:t>其他</w:t>
            </w:r>
          </w:p>
        </w:tc>
        <w:tc>
          <w:tcPr>
            <w:tcW w:w="701" w:type="dxa"/>
            <w:gridSpan w:val="2"/>
            <w:vMerge w:val="continue"/>
            <w:shd w:val="clear" w:color="auto" w:fill="auto"/>
            <w:tcMar>
              <w:left w:w="108" w:type="dxa"/>
              <w:right w:w="108" w:type="dxa"/>
            </w:tcMar>
            <w:vAlign w:val="center"/>
          </w:tcPr>
          <w:p>
            <w:pPr>
              <w:jc w:val="center"/>
              <w:rPr>
                <w:rFonts w:ascii="仿宋_GB2312" w:hAnsi="Times New Roman" w:eastAsia="仿宋_GB2312"/>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5093" w:type="dxa"/>
            <w:gridSpan w:val="3"/>
            <w:shd w:val="clear" w:color="auto" w:fill="auto"/>
            <w:tcMar>
              <w:left w:w="108" w:type="dxa"/>
              <w:right w:w="108" w:type="dxa"/>
            </w:tcMar>
            <w:vAlign w:val="center"/>
          </w:tcPr>
          <w:p>
            <w:pPr>
              <w:widowControl/>
              <w:rPr>
                <w:rFonts w:ascii="黑体" w:hAnsi="黑体" w:eastAsia="黑体"/>
                <w:szCs w:val="21"/>
              </w:rPr>
            </w:pPr>
            <w:r>
              <w:rPr>
                <w:rFonts w:hint="eastAsia" w:ascii="黑体" w:hAnsi="黑体" w:eastAsia="黑体"/>
                <w:kern w:val="0"/>
                <w:szCs w:val="21"/>
              </w:rPr>
              <w:t>一、</w:t>
            </w:r>
            <w:bookmarkStart w:id="0" w:name="_Hlk66973412"/>
            <w:r>
              <w:rPr>
                <w:rFonts w:hint="eastAsia" w:ascii="黑体" w:hAnsi="黑体" w:eastAsia="黑体"/>
                <w:kern w:val="0"/>
                <w:szCs w:val="21"/>
              </w:rPr>
              <w:t>本年新收政府信息公开申请数量</w:t>
            </w:r>
            <w:bookmarkEnd w:id="0"/>
          </w:p>
        </w:tc>
        <w:tc>
          <w:tcPr>
            <w:tcW w:w="74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540" w:type="dxa"/>
            <w:gridSpan w:val="7"/>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540" w:type="dxa"/>
            <w:gridSpan w:val="7"/>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72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67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52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701"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5093" w:type="dxa"/>
            <w:gridSpan w:val="3"/>
            <w:shd w:val="clear" w:color="auto" w:fill="auto"/>
            <w:tcMar>
              <w:left w:w="108" w:type="dxa"/>
              <w:right w:w="108" w:type="dxa"/>
            </w:tcMar>
            <w:vAlign w:val="center"/>
          </w:tcPr>
          <w:p>
            <w:pPr>
              <w:widowControl/>
              <w:rPr>
                <w:rFonts w:ascii="黑体" w:hAnsi="黑体" w:eastAsia="黑体"/>
                <w:szCs w:val="21"/>
              </w:rPr>
            </w:pPr>
            <w:r>
              <w:rPr>
                <w:rFonts w:hint="eastAsia" w:ascii="黑体" w:hAnsi="黑体" w:eastAsia="黑体"/>
                <w:kern w:val="0"/>
                <w:szCs w:val="21"/>
              </w:rPr>
              <w:t>二、上年结转政府信息公开申请数量</w:t>
            </w:r>
          </w:p>
        </w:tc>
        <w:tc>
          <w:tcPr>
            <w:tcW w:w="74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540" w:type="dxa"/>
            <w:gridSpan w:val="7"/>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540" w:type="dxa"/>
            <w:gridSpan w:val="7"/>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72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67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52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701"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restart"/>
            <w:shd w:val="clear" w:color="auto" w:fill="auto"/>
            <w:tcMar>
              <w:left w:w="108" w:type="dxa"/>
              <w:right w:w="108" w:type="dxa"/>
            </w:tcMar>
            <w:vAlign w:val="center"/>
          </w:tcPr>
          <w:p>
            <w:pPr>
              <w:widowControl/>
              <w:spacing w:after="180"/>
              <w:rPr>
                <w:rFonts w:ascii="黑体" w:hAnsi="黑体" w:eastAsia="黑体"/>
                <w:szCs w:val="21"/>
              </w:rPr>
            </w:pPr>
            <w:r>
              <w:rPr>
                <w:rFonts w:hint="eastAsia" w:ascii="黑体" w:hAnsi="黑体" w:eastAsia="黑体"/>
                <w:kern w:val="0"/>
                <w:szCs w:val="21"/>
              </w:rPr>
              <w:t>三、本年度办理结果</w:t>
            </w:r>
          </w:p>
        </w:tc>
        <w:tc>
          <w:tcPr>
            <w:tcW w:w="4677" w:type="dxa"/>
            <w:gridSpan w:val="2"/>
            <w:shd w:val="clear" w:color="auto" w:fill="auto"/>
            <w:tcMar>
              <w:left w:w="108" w:type="dxa"/>
              <w:right w:w="108" w:type="dxa"/>
            </w:tcMar>
            <w:vAlign w:val="center"/>
          </w:tcPr>
          <w:p>
            <w:pPr>
              <w:widowControl/>
              <w:rPr>
                <w:rFonts w:ascii="黑体" w:hAnsi="黑体" w:eastAsia="黑体"/>
                <w:szCs w:val="21"/>
              </w:rPr>
            </w:pPr>
            <w:r>
              <w:rPr>
                <w:rFonts w:hint="eastAsia" w:ascii="黑体" w:hAnsi="黑体" w:eastAsia="黑体"/>
                <w:kern w:val="0"/>
                <w:szCs w:val="21"/>
              </w:rPr>
              <w:t>（一）予以公开</w:t>
            </w:r>
          </w:p>
        </w:tc>
        <w:tc>
          <w:tcPr>
            <w:tcW w:w="752"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540" w:type="dxa"/>
            <w:gridSpan w:val="7"/>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535" w:type="dxa"/>
            <w:gridSpan w:val="6"/>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72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67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526"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70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shd w:val="clear" w:color="auto" w:fill="auto"/>
            <w:tcMar>
              <w:left w:w="108" w:type="dxa"/>
              <w:right w:w="108" w:type="dxa"/>
            </w:tcMar>
            <w:vAlign w:val="center"/>
          </w:tcPr>
          <w:p>
            <w:pPr>
              <w:rPr>
                <w:rFonts w:ascii="黑体" w:hAnsi="黑体" w:eastAsia="黑体"/>
                <w:szCs w:val="21"/>
              </w:rPr>
            </w:pPr>
          </w:p>
        </w:tc>
        <w:tc>
          <w:tcPr>
            <w:tcW w:w="4677" w:type="dxa"/>
            <w:gridSpan w:val="2"/>
            <w:shd w:val="clear" w:color="auto" w:fill="auto"/>
            <w:tcMar>
              <w:left w:w="108" w:type="dxa"/>
              <w:right w:w="108" w:type="dxa"/>
            </w:tcMar>
            <w:vAlign w:val="center"/>
          </w:tcPr>
          <w:p>
            <w:pPr>
              <w:widowControl/>
              <w:rPr>
                <w:rFonts w:ascii="黑体" w:hAnsi="黑体" w:eastAsia="黑体"/>
                <w:szCs w:val="21"/>
              </w:rPr>
            </w:pPr>
            <w:r>
              <w:rPr>
                <w:rFonts w:hint="eastAsia" w:ascii="黑体" w:hAnsi="黑体" w:eastAsia="黑体"/>
                <w:kern w:val="0"/>
                <w:szCs w:val="21"/>
              </w:rPr>
              <w:t>（二）部分公开（</w:t>
            </w:r>
            <w:bookmarkStart w:id="1" w:name="_Hlk66973981"/>
            <w:r>
              <w:rPr>
                <w:rFonts w:hint="eastAsia" w:ascii="黑体" w:hAnsi="黑体" w:eastAsia="黑体"/>
                <w:kern w:val="0"/>
                <w:szCs w:val="21"/>
              </w:rPr>
              <w:t>区分处理的，只计这一情形，不计其他情形</w:t>
            </w:r>
            <w:bookmarkEnd w:id="1"/>
            <w:r>
              <w:rPr>
                <w:rFonts w:hint="eastAsia" w:ascii="黑体" w:hAnsi="黑体" w:eastAsia="黑体"/>
                <w:kern w:val="0"/>
                <w:szCs w:val="21"/>
              </w:rPr>
              <w:t>）</w:t>
            </w:r>
          </w:p>
        </w:tc>
        <w:tc>
          <w:tcPr>
            <w:tcW w:w="752"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540" w:type="dxa"/>
            <w:gridSpan w:val="7"/>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535" w:type="dxa"/>
            <w:gridSpan w:val="6"/>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72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67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526"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70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ascii="黑体" w:hAnsi="黑体" w:eastAsia="黑体"/>
                <w:szCs w:val="21"/>
              </w:rPr>
            </w:pPr>
          </w:p>
        </w:tc>
        <w:tc>
          <w:tcPr>
            <w:tcW w:w="1701" w:type="dxa"/>
            <w:vMerge w:val="restart"/>
            <w:shd w:val="clear" w:color="auto" w:fill="auto"/>
            <w:tcMar>
              <w:left w:w="108" w:type="dxa"/>
              <w:right w:w="108" w:type="dxa"/>
            </w:tcMar>
            <w:vAlign w:val="center"/>
          </w:tcPr>
          <w:p>
            <w:pPr>
              <w:widowControl/>
              <w:spacing w:line="200" w:lineRule="exact"/>
              <w:ind w:left="-107" w:leftChars="-51"/>
              <w:rPr>
                <w:rFonts w:ascii="黑体" w:hAnsi="黑体" w:eastAsia="黑体"/>
                <w:szCs w:val="21"/>
              </w:rPr>
            </w:pPr>
            <w:r>
              <w:rPr>
                <w:rFonts w:hint="eastAsia" w:ascii="黑体" w:hAnsi="黑体" w:eastAsia="黑体"/>
                <w:kern w:val="0"/>
                <w:szCs w:val="21"/>
              </w:rPr>
              <w:t>（三）不予公开</w:t>
            </w:r>
          </w:p>
        </w:tc>
        <w:tc>
          <w:tcPr>
            <w:tcW w:w="2976" w:type="dxa"/>
            <w:shd w:val="clear" w:color="auto" w:fill="auto"/>
            <w:tcMar>
              <w:left w:w="108" w:type="dxa"/>
              <w:right w:w="108" w:type="dxa"/>
            </w:tcMar>
            <w:vAlign w:val="center"/>
          </w:tcPr>
          <w:p>
            <w:pPr>
              <w:widowControl/>
              <w:spacing w:line="200" w:lineRule="exact"/>
              <w:rPr>
                <w:rFonts w:ascii="仿宋_GB2312" w:hAnsi="黑体" w:eastAsia="仿宋_GB2312"/>
                <w:kern w:val="0"/>
                <w:szCs w:val="21"/>
              </w:rPr>
            </w:pPr>
            <w:r>
              <w:rPr>
                <w:rFonts w:hint="eastAsia" w:ascii="仿宋_GB2312" w:hAnsi="黑体" w:eastAsia="仿宋_GB2312"/>
                <w:kern w:val="0"/>
                <w:szCs w:val="21"/>
              </w:rPr>
              <w:t>1.属于国家秘密</w:t>
            </w:r>
          </w:p>
        </w:tc>
        <w:tc>
          <w:tcPr>
            <w:tcW w:w="752"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540" w:type="dxa"/>
            <w:gridSpan w:val="7"/>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535" w:type="dxa"/>
            <w:gridSpan w:val="6"/>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72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67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526"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70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ascii="黑体" w:hAnsi="黑体" w:eastAsia="黑体"/>
                <w:szCs w:val="21"/>
              </w:rPr>
            </w:pPr>
          </w:p>
        </w:tc>
        <w:tc>
          <w:tcPr>
            <w:tcW w:w="1701" w:type="dxa"/>
            <w:vMerge w:val="continue"/>
            <w:shd w:val="clear" w:color="auto" w:fill="auto"/>
            <w:tcMar>
              <w:left w:w="108" w:type="dxa"/>
              <w:right w:w="108" w:type="dxa"/>
            </w:tcMar>
            <w:vAlign w:val="center"/>
          </w:tcPr>
          <w:p>
            <w:pPr>
              <w:spacing w:line="200" w:lineRule="exact"/>
              <w:rPr>
                <w:rFonts w:ascii="黑体" w:hAnsi="黑体" w:eastAsia="黑体"/>
                <w:szCs w:val="21"/>
              </w:rPr>
            </w:pPr>
          </w:p>
        </w:tc>
        <w:tc>
          <w:tcPr>
            <w:tcW w:w="2976" w:type="dxa"/>
            <w:shd w:val="clear" w:color="auto" w:fill="auto"/>
            <w:tcMar>
              <w:left w:w="108" w:type="dxa"/>
              <w:right w:w="108" w:type="dxa"/>
            </w:tcMar>
            <w:vAlign w:val="center"/>
          </w:tcPr>
          <w:p>
            <w:pPr>
              <w:widowControl/>
              <w:spacing w:line="200" w:lineRule="exact"/>
              <w:rPr>
                <w:rFonts w:ascii="仿宋_GB2312" w:hAnsi="黑体" w:eastAsia="仿宋_GB2312"/>
                <w:kern w:val="0"/>
                <w:szCs w:val="21"/>
              </w:rPr>
            </w:pPr>
            <w:r>
              <w:rPr>
                <w:rFonts w:hint="eastAsia" w:ascii="仿宋_GB2312" w:hAnsi="黑体" w:eastAsia="仿宋_GB2312"/>
                <w:kern w:val="0"/>
                <w:szCs w:val="21"/>
              </w:rPr>
              <w:t>2.</w:t>
            </w:r>
            <w:bookmarkStart w:id="2" w:name="_Hlk66974104"/>
            <w:r>
              <w:rPr>
                <w:rFonts w:hint="eastAsia" w:ascii="仿宋_GB2312" w:hAnsi="黑体" w:eastAsia="仿宋_GB2312"/>
                <w:kern w:val="0"/>
                <w:szCs w:val="21"/>
              </w:rPr>
              <w:t>其他法律行政法规禁止公开</w:t>
            </w:r>
            <w:bookmarkEnd w:id="2"/>
          </w:p>
        </w:tc>
        <w:tc>
          <w:tcPr>
            <w:tcW w:w="757" w:type="dxa"/>
            <w:gridSpan w:val="3"/>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539" w:type="dxa"/>
            <w:gridSpan w:val="7"/>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531" w:type="dxa"/>
            <w:gridSpan w:val="5"/>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72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67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526"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70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ascii="黑体" w:hAnsi="黑体" w:eastAsia="黑体"/>
                <w:szCs w:val="21"/>
              </w:rPr>
            </w:pPr>
          </w:p>
        </w:tc>
        <w:tc>
          <w:tcPr>
            <w:tcW w:w="1701" w:type="dxa"/>
            <w:vMerge w:val="continue"/>
            <w:shd w:val="clear" w:color="auto" w:fill="auto"/>
            <w:tcMar>
              <w:left w:w="108" w:type="dxa"/>
              <w:right w:w="108" w:type="dxa"/>
            </w:tcMar>
            <w:vAlign w:val="center"/>
          </w:tcPr>
          <w:p>
            <w:pPr>
              <w:spacing w:line="200" w:lineRule="exact"/>
              <w:rPr>
                <w:rFonts w:ascii="黑体" w:hAnsi="黑体" w:eastAsia="黑体"/>
                <w:szCs w:val="21"/>
              </w:rPr>
            </w:pPr>
          </w:p>
        </w:tc>
        <w:tc>
          <w:tcPr>
            <w:tcW w:w="2976" w:type="dxa"/>
            <w:shd w:val="clear" w:color="auto" w:fill="auto"/>
            <w:tcMar>
              <w:left w:w="108" w:type="dxa"/>
              <w:right w:w="108" w:type="dxa"/>
            </w:tcMar>
            <w:vAlign w:val="center"/>
          </w:tcPr>
          <w:p>
            <w:pPr>
              <w:widowControl/>
              <w:spacing w:line="200" w:lineRule="exact"/>
              <w:rPr>
                <w:rFonts w:ascii="仿宋_GB2312" w:hAnsi="黑体" w:eastAsia="仿宋_GB2312"/>
                <w:kern w:val="0"/>
                <w:szCs w:val="21"/>
              </w:rPr>
            </w:pPr>
            <w:r>
              <w:rPr>
                <w:rFonts w:hint="eastAsia" w:ascii="仿宋_GB2312" w:hAnsi="黑体" w:eastAsia="仿宋_GB2312"/>
                <w:kern w:val="0"/>
                <w:szCs w:val="21"/>
              </w:rPr>
              <w:t>3.危及“三安全一稳定”</w:t>
            </w:r>
          </w:p>
        </w:tc>
        <w:tc>
          <w:tcPr>
            <w:tcW w:w="757" w:type="dxa"/>
            <w:gridSpan w:val="3"/>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539" w:type="dxa"/>
            <w:gridSpan w:val="7"/>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531" w:type="dxa"/>
            <w:gridSpan w:val="5"/>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72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67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526"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70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ascii="黑体" w:hAnsi="黑体" w:eastAsia="黑体"/>
                <w:szCs w:val="21"/>
              </w:rPr>
            </w:pPr>
          </w:p>
        </w:tc>
        <w:tc>
          <w:tcPr>
            <w:tcW w:w="1701" w:type="dxa"/>
            <w:vMerge w:val="continue"/>
            <w:shd w:val="clear" w:color="auto" w:fill="auto"/>
            <w:tcMar>
              <w:left w:w="108" w:type="dxa"/>
              <w:right w:w="108" w:type="dxa"/>
            </w:tcMar>
            <w:vAlign w:val="center"/>
          </w:tcPr>
          <w:p>
            <w:pPr>
              <w:spacing w:line="200" w:lineRule="exact"/>
              <w:rPr>
                <w:rFonts w:ascii="黑体" w:hAnsi="黑体" w:eastAsia="黑体"/>
                <w:szCs w:val="21"/>
              </w:rPr>
            </w:pPr>
          </w:p>
        </w:tc>
        <w:tc>
          <w:tcPr>
            <w:tcW w:w="2976" w:type="dxa"/>
            <w:shd w:val="clear" w:color="auto" w:fill="auto"/>
            <w:tcMar>
              <w:left w:w="108" w:type="dxa"/>
              <w:right w:w="108" w:type="dxa"/>
            </w:tcMar>
            <w:vAlign w:val="center"/>
          </w:tcPr>
          <w:p>
            <w:pPr>
              <w:widowControl/>
              <w:spacing w:line="200" w:lineRule="exact"/>
              <w:rPr>
                <w:rFonts w:ascii="仿宋_GB2312" w:hAnsi="黑体" w:eastAsia="仿宋_GB2312"/>
                <w:kern w:val="0"/>
                <w:szCs w:val="21"/>
              </w:rPr>
            </w:pPr>
            <w:r>
              <w:rPr>
                <w:rFonts w:hint="eastAsia" w:ascii="仿宋_GB2312" w:hAnsi="黑体" w:eastAsia="仿宋_GB2312"/>
                <w:kern w:val="0"/>
                <w:szCs w:val="21"/>
              </w:rPr>
              <w:t>4.</w:t>
            </w:r>
            <w:bookmarkStart w:id="3" w:name="_Hlk66974290"/>
            <w:r>
              <w:rPr>
                <w:rFonts w:hint="eastAsia" w:ascii="仿宋_GB2312" w:hAnsi="黑体" w:eastAsia="仿宋_GB2312"/>
                <w:kern w:val="0"/>
                <w:szCs w:val="21"/>
              </w:rPr>
              <w:t>保护第三方合法权益</w:t>
            </w:r>
            <w:bookmarkEnd w:id="3"/>
          </w:p>
        </w:tc>
        <w:tc>
          <w:tcPr>
            <w:tcW w:w="757" w:type="dxa"/>
            <w:gridSpan w:val="3"/>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539" w:type="dxa"/>
            <w:gridSpan w:val="7"/>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531" w:type="dxa"/>
            <w:gridSpan w:val="5"/>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72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67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526"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70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ascii="黑体" w:hAnsi="黑体" w:eastAsia="黑体"/>
                <w:szCs w:val="21"/>
              </w:rPr>
            </w:pPr>
          </w:p>
        </w:tc>
        <w:tc>
          <w:tcPr>
            <w:tcW w:w="1701" w:type="dxa"/>
            <w:vMerge w:val="continue"/>
            <w:shd w:val="clear" w:color="auto" w:fill="auto"/>
            <w:tcMar>
              <w:left w:w="108" w:type="dxa"/>
              <w:right w:w="108" w:type="dxa"/>
            </w:tcMar>
            <w:vAlign w:val="center"/>
          </w:tcPr>
          <w:p>
            <w:pPr>
              <w:spacing w:line="200" w:lineRule="exact"/>
              <w:rPr>
                <w:rFonts w:ascii="黑体" w:hAnsi="黑体" w:eastAsia="黑体"/>
                <w:szCs w:val="21"/>
              </w:rPr>
            </w:pPr>
          </w:p>
        </w:tc>
        <w:tc>
          <w:tcPr>
            <w:tcW w:w="2976" w:type="dxa"/>
            <w:shd w:val="clear" w:color="auto" w:fill="auto"/>
            <w:tcMar>
              <w:left w:w="108" w:type="dxa"/>
              <w:right w:w="108" w:type="dxa"/>
            </w:tcMar>
            <w:vAlign w:val="center"/>
          </w:tcPr>
          <w:p>
            <w:pPr>
              <w:widowControl/>
              <w:spacing w:line="200" w:lineRule="exact"/>
              <w:rPr>
                <w:rFonts w:ascii="仿宋_GB2312" w:hAnsi="黑体" w:eastAsia="仿宋_GB2312"/>
                <w:kern w:val="0"/>
                <w:szCs w:val="21"/>
              </w:rPr>
            </w:pPr>
            <w:r>
              <w:rPr>
                <w:rFonts w:hint="eastAsia" w:ascii="仿宋_GB2312" w:hAnsi="黑体" w:eastAsia="仿宋_GB2312"/>
                <w:kern w:val="0"/>
                <w:szCs w:val="21"/>
              </w:rPr>
              <w:t>5.属于三类内部事务信息</w:t>
            </w:r>
          </w:p>
        </w:tc>
        <w:tc>
          <w:tcPr>
            <w:tcW w:w="761" w:type="dxa"/>
            <w:gridSpan w:val="4"/>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539" w:type="dxa"/>
            <w:gridSpan w:val="7"/>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527" w:type="dxa"/>
            <w:gridSpan w:val="4"/>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72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67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526"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70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ascii="黑体" w:hAnsi="黑体" w:eastAsia="黑体"/>
                <w:szCs w:val="21"/>
              </w:rPr>
            </w:pPr>
          </w:p>
        </w:tc>
        <w:tc>
          <w:tcPr>
            <w:tcW w:w="1701" w:type="dxa"/>
            <w:vMerge w:val="continue"/>
            <w:shd w:val="clear" w:color="auto" w:fill="auto"/>
            <w:tcMar>
              <w:left w:w="108" w:type="dxa"/>
              <w:right w:w="108" w:type="dxa"/>
            </w:tcMar>
            <w:vAlign w:val="center"/>
          </w:tcPr>
          <w:p>
            <w:pPr>
              <w:spacing w:line="200" w:lineRule="exact"/>
              <w:rPr>
                <w:rFonts w:ascii="黑体" w:hAnsi="黑体" w:eastAsia="黑体"/>
                <w:szCs w:val="21"/>
              </w:rPr>
            </w:pPr>
          </w:p>
        </w:tc>
        <w:tc>
          <w:tcPr>
            <w:tcW w:w="2976" w:type="dxa"/>
            <w:shd w:val="clear" w:color="auto" w:fill="auto"/>
            <w:tcMar>
              <w:left w:w="108" w:type="dxa"/>
              <w:right w:w="108" w:type="dxa"/>
            </w:tcMar>
            <w:vAlign w:val="center"/>
          </w:tcPr>
          <w:p>
            <w:pPr>
              <w:widowControl/>
              <w:spacing w:line="200" w:lineRule="exact"/>
              <w:rPr>
                <w:rFonts w:ascii="仿宋_GB2312" w:hAnsi="黑体" w:eastAsia="仿宋_GB2312"/>
                <w:kern w:val="0"/>
                <w:szCs w:val="21"/>
              </w:rPr>
            </w:pPr>
            <w:r>
              <w:rPr>
                <w:rFonts w:hint="eastAsia" w:ascii="仿宋_GB2312" w:hAnsi="黑体" w:eastAsia="仿宋_GB2312"/>
                <w:kern w:val="0"/>
                <w:szCs w:val="21"/>
              </w:rPr>
              <w:t>6.</w:t>
            </w:r>
            <w:bookmarkStart w:id="4" w:name="_Hlk66974555"/>
            <w:r>
              <w:rPr>
                <w:rFonts w:hint="eastAsia" w:ascii="仿宋_GB2312" w:hAnsi="黑体" w:eastAsia="仿宋_GB2312"/>
                <w:kern w:val="0"/>
                <w:szCs w:val="21"/>
              </w:rPr>
              <w:t>属于四类过程性信息</w:t>
            </w:r>
            <w:bookmarkEnd w:id="4"/>
          </w:p>
        </w:tc>
        <w:tc>
          <w:tcPr>
            <w:tcW w:w="761" w:type="dxa"/>
            <w:gridSpan w:val="4"/>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539" w:type="dxa"/>
            <w:gridSpan w:val="7"/>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527" w:type="dxa"/>
            <w:gridSpan w:val="4"/>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72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67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526"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70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ascii="黑体" w:hAnsi="黑体" w:eastAsia="黑体"/>
                <w:szCs w:val="21"/>
              </w:rPr>
            </w:pPr>
          </w:p>
        </w:tc>
        <w:tc>
          <w:tcPr>
            <w:tcW w:w="1701" w:type="dxa"/>
            <w:vMerge w:val="continue"/>
            <w:shd w:val="clear" w:color="auto" w:fill="auto"/>
            <w:tcMar>
              <w:left w:w="108" w:type="dxa"/>
              <w:right w:w="108" w:type="dxa"/>
            </w:tcMar>
            <w:vAlign w:val="center"/>
          </w:tcPr>
          <w:p>
            <w:pPr>
              <w:spacing w:line="200" w:lineRule="exact"/>
              <w:rPr>
                <w:rFonts w:ascii="黑体" w:hAnsi="黑体" w:eastAsia="黑体"/>
                <w:szCs w:val="21"/>
              </w:rPr>
            </w:pPr>
          </w:p>
        </w:tc>
        <w:tc>
          <w:tcPr>
            <w:tcW w:w="2976" w:type="dxa"/>
            <w:shd w:val="clear" w:color="auto" w:fill="auto"/>
            <w:tcMar>
              <w:left w:w="108" w:type="dxa"/>
              <w:right w:w="108" w:type="dxa"/>
            </w:tcMar>
            <w:vAlign w:val="center"/>
          </w:tcPr>
          <w:p>
            <w:pPr>
              <w:widowControl/>
              <w:spacing w:line="200" w:lineRule="exact"/>
              <w:rPr>
                <w:rFonts w:ascii="仿宋_GB2312" w:hAnsi="黑体" w:eastAsia="仿宋_GB2312"/>
                <w:kern w:val="0"/>
                <w:szCs w:val="21"/>
              </w:rPr>
            </w:pPr>
            <w:r>
              <w:rPr>
                <w:rFonts w:hint="eastAsia" w:ascii="仿宋_GB2312" w:hAnsi="黑体" w:eastAsia="仿宋_GB2312"/>
                <w:kern w:val="0"/>
                <w:szCs w:val="21"/>
              </w:rPr>
              <w:t>7.属于行政执法案卷</w:t>
            </w:r>
          </w:p>
        </w:tc>
        <w:tc>
          <w:tcPr>
            <w:tcW w:w="761" w:type="dxa"/>
            <w:gridSpan w:val="4"/>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539" w:type="dxa"/>
            <w:gridSpan w:val="7"/>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527" w:type="dxa"/>
            <w:gridSpan w:val="4"/>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72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67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526"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70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ascii="黑体" w:hAnsi="黑体" w:eastAsia="黑体"/>
                <w:szCs w:val="21"/>
              </w:rPr>
            </w:pPr>
          </w:p>
        </w:tc>
        <w:tc>
          <w:tcPr>
            <w:tcW w:w="1701" w:type="dxa"/>
            <w:vMerge w:val="continue"/>
            <w:shd w:val="clear" w:color="auto" w:fill="auto"/>
            <w:tcMar>
              <w:left w:w="108" w:type="dxa"/>
              <w:right w:w="108" w:type="dxa"/>
            </w:tcMar>
            <w:vAlign w:val="center"/>
          </w:tcPr>
          <w:p>
            <w:pPr>
              <w:spacing w:line="200" w:lineRule="exact"/>
              <w:rPr>
                <w:rFonts w:ascii="黑体" w:hAnsi="黑体" w:eastAsia="黑体"/>
                <w:szCs w:val="21"/>
              </w:rPr>
            </w:pPr>
          </w:p>
        </w:tc>
        <w:tc>
          <w:tcPr>
            <w:tcW w:w="2976" w:type="dxa"/>
            <w:shd w:val="clear" w:color="auto" w:fill="auto"/>
            <w:tcMar>
              <w:left w:w="108" w:type="dxa"/>
              <w:right w:w="108" w:type="dxa"/>
            </w:tcMar>
            <w:vAlign w:val="center"/>
          </w:tcPr>
          <w:p>
            <w:pPr>
              <w:widowControl/>
              <w:spacing w:line="200" w:lineRule="exact"/>
              <w:rPr>
                <w:rFonts w:ascii="仿宋_GB2312" w:hAnsi="黑体" w:eastAsia="仿宋_GB2312"/>
                <w:kern w:val="0"/>
                <w:szCs w:val="21"/>
              </w:rPr>
            </w:pPr>
            <w:r>
              <w:rPr>
                <w:rFonts w:hint="eastAsia" w:ascii="仿宋_GB2312" w:hAnsi="黑体" w:eastAsia="仿宋_GB2312"/>
                <w:kern w:val="0"/>
                <w:szCs w:val="21"/>
              </w:rPr>
              <w:t>8.</w:t>
            </w:r>
            <w:bookmarkStart w:id="5" w:name="_Hlk66975211"/>
            <w:r>
              <w:rPr>
                <w:rFonts w:hint="eastAsia" w:ascii="仿宋_GB2312" w:hAnsi="黑体" w:eastAsia="仿宋_GB2312"/>
                <w:kern w:val="0"/>
                <w:szCs w:val="21"/>
              </w:rPr>
              <w:t>属于行政查询事项</w:t>
            </w:r>
            <w:bookmarkEnd w:id="5"/>
          </w:p>
        </w:tc>
        <w:tc>
          <w:tcPr>
            <w:tcW w:w="761" w:type="dxa"/>
            <w:gridSpan w:val="4"/>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539" w:type="dxa"/>
            <w:gridSpan w:val="7"/>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527" w:type="dxa"/>
            <w:gridSpan w:val="4"/>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72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67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526"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70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ascii="黑体" w:hAnsi="黑体" w:eastAsia="黑体"/>
                <w:szCs w:val="21"/>
              </w:rPr>
            </w:pPr>
          </w:p>
        </w:tc>
        <w:tc>
          <w:tcPr>
            <w:tcW w:w="1701" w:type="dxa"/>
            <w:vMerge w:val="restart"/>
            <w:shd w:val="clear" w:color="auto" w:fill="auto"/>
            <w:tcMar>
              <w:left w:w="108" w:type="dxa"/>
              <w:right w:w="108" w:type="dxa"/>
            </w:tcMar>
            <w:vAlign w:val="center"/>
          </w:tcPr>
          <w:p>
            <w:pPr>
              <w:widowControl/>
              <w:spacing w:line="200" w:lineRule="exact"/>
              <w:ind w:left="-107" w:leftChars="-51"/>
              <w:rPr>
                <w:rFonts w:ascii="黑体" w:hAnsi="黑体" w:eastAsia="黑体"/>
                <w:szCs w:val="21"/>
              </w:rPr>
            </w:pPr>
            <w:r>
              <w:rPr>
                <w:rFonts w:hint="eastAsia" w:ascii="黑体" w:hAnsi="黑体" w:eastAsia="黑体"/>
                <w:kern w:val="0"/>
                <w:szCs w:val="21"/>
              </w:rPr>
              <w:t>（四）无法提供</w:t>
            </w:r>
          </w:p>
        </w:tc>
        <w:tc>
          <w:tcPr>
            <w:tcW w:w="2976" w:type="dxa"/>
            <w:shd w:val="clear" w:color="auto" w:fill="auto"/>
            <w:tcMar>
              <w:left w:w="108" w:type="dxa"/>
              <w:right w:w="108" w:type="dxa"/>
            </w:tcMar>
            <w:vAlign w:val="center"/>
          </w:tcPr>
          <w:p>
            <w:pPr>
              <w:widowControl/>
              <w:spacing w:line="200" w:lineRule="exact"/>
              <w:rPr>
                <w:rFonts w:ascii="仿宋_GB2312" w:hAnsi="黑体" w:eastAsia="仿宋_GB2312"/>
                <w:kern w:val="0"/>
                <w:szCs w:val="21"/>
              </w:rPr>
            </w:pPr>
            <w:r>
              <w:rPr>
                <w:rFonts w:hint="eastAsia" w:ascii="仿宋_GB2312" w:hAnsi="黑体" w:eastAsia="仿宋_GB2312"/>
                <w:kern w:val="0"/>
                <w:szCs w:val="21"/>
              </w:rPr>
              <w:t>1.本机关不掌握相关政府信息</w:t>
            </w:r>
          </w:p>
        </w:tc>
        <w:tc>
          <w:tcPr>
            <w:tcW w:w="765" w:type="dxa"/>
            <w:gridSpan w:val="5"/>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538" w:type="dxa"/>
            <w:gridSpan w:val="7"/>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524" w:type="dxa"/>
            <w:gridSpan w:val="3"/>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72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67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526"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70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ascii="黑体" w:hAnsi="黑体" w:eastAsia="黑体"/>
                <w:szCs w:val="21"/>
              </w:rPr>
            </w:pPr>
          </w:p>
        </w:tc>
        <w:tc>
          <w:tcPr>
            <w:tcW w:w="1701" w:type="dxa"/>
            <w:vMerge w:val="continue"/>
            <w:shd w:val="clear" w:color="auto" w:fill="auto"/>
            <w:tcMar>
              <w:left w:w="108" w:type="dxa"/>
              <w:right w:w="108" w:type="dxa"/>
            </w:tcMar>
            <w:vAlign w:val="center"/>
          </w:tcPr>
          <w:p>
            <w:pPr>
              <w:spacing w:line="200" w:lineRule="exact"/>
              <w:ind w:left="-107" w:leftChars="-51"/>
              <w:rPr>
                <w:rFonts w:ascii="黑体" w:hAnsi="黑体" w:eastAsia="黑体"/>
                <w:szCs w:val="21"/>
              </w:rPr>
            </w:pPr>
          </w:p>
        </w:tc>
        <w:tc>
          <w:tcPr>
            <w:tcW w:w="2976" w:type="dxa"/>
            <w:shd w:val="clear" w:color="auto" w:fill="auto"/>
            <w:tcMar>
              <w:left w:w="108" w:type="dxa"/>
              <w:right w:w="108" w:type="dxa"/>
            </w:tcMar>
            <w:vAlign w:val="center"/>
          </w:tcPr>
          <w:p>
            <w:pPr>
              <w:widowControl/>
              <w:spacing w:line="200" w:lineRule="exact"/>
              <w:rPr>
                <w:rFonts w:ascii="仿宋_GB2312" w:hAnsi="黑体" w:eastAsia="仿宋_GB2312"/>
                <w:kern w:val="0"/>
                <w:szCs w:val="21"/>
              </w:rPr>
            </w:pPr>
            <w:r>
              <w:rPr>
                <w:rFonts w:hint="eastAsia" w:ascii="仿宋_GB2312" w:hAnsi="黑体" w:eastAsia="仿宋_GB2312"/>
                <w:kern w:val="0"/>
                <w:szCs w:val="21"/>
              </w:rPr>
              <w:t>2.</w:t>
            </w:r>
            <w:bookmarkStart w:id="6" w:name="_Hlk66975392"/>
            <w:r>
              <w:rPr>
                <w:rFonts w:hint="eastAsia" w:ascii="仿宋_GB2312" w:hAnsi="黑体" w:eastAsia="仿宋_GB2312"/>
                <w:kern w:val="0"/>
                <w:szCs w:val="21"/>
              </w:rPr>
              <w:t>没有现成信息需要另行制作</w:t>
            </w:r>
            <w:bookmarkEnd w:id="6"/>
          </w:p>
        </w:tc>
        <w:tc>
          <w:tcPr>
            <w:tcW w:w="765" w:type="dxa"/>
            <w:gridSpan w:val="5"/>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538" w:type="dxa"/>
            <w:gridSpan w:val="7"/>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524" w:type="dxa"/>
            <w:gridSpan w:val="3"/>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72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67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526"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70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ascii="黑体" w:hAnsi="黑体" w:eastAsia="黑体"/>
                <w:szCs w:val="21"/>
              </w:rPr>
            </w:pPr>
          </w:p>
        </w:tc>
        <w:tc>
          <w:tcPr>
            <w:tcW w:w="1701" w:type="dxa"/>
            <w:vMerge w:val="continue"/>
            <w:shd w:val="clear" w:color="auto" w:fill="auto"/>
            <w:tcMar>
              <w:left w:w="108" w:type="dxa"/>
              <w:right w:w="108" w:type="dxa"/>
            </w:tcMar>
            <w:vAlign w:val="center"/>
          </w:tcPr>
          <w:p>
            <w:pPr>
              <w:spacing w:line="200" w:lineRule="exact"/>
              <w:ind w:left="-107" w:leftChars="-51"/>
              <w:rPr>
                <w:rFonts w:ascii="黑体" w:hAnsi="黑体" w:eastAsia="黑体"/>
                <w:szCs w:val="21"/>
              </w:rPr>
            </w:pPr>
          </w:p>
        </w:tc>
        <w:tc>
          <w:tcPr>
            <w:tcW w:w="2976" w:type="dxa"/>
            <w:shd w:val="clear" w:color="auto" w:fill="auto"/>
            <w:tcMar>
              <w:left w:w="108" w:type="dxa"/>
              <w:right w:w="108" w:type="dxa"/>
            </w:tcMar>
            <w:vAlign w:val="center"/>
          </w:tcPr>
          <w:p>
            <w:pPr>
              <w:widowControl/>
              <w:spacing w:line="200" w:lineRule="exact"/>
              <w:rPr>
                <w:rFonts w:ascii="仿宋_GB2312" w:hAnsi="黑体" w:eastAsia="仿宋_GB2312"/>
                <w:kern w:val="0"/>
                <w:szCs w:val="21"/>
              </w:rPr>
            </w:pPr>
            <w:r>
              <w:rPr>
                <w:rFonts w:hint="eastAsia" w:ascii="仿宋_GB2312" w:hAnsi="黑体" w:eastAsia="仿宋_GB2312"/>
                <w:kern w:val="0"/>
                <w:szCs w:val="21"/>
              </w:rPr>
              <w:t>3.</w:t>
            </w:r>
            <w:bookmarkStart w:id="7" w:name="_Hlk66975466"/>
            <w:r>
              <w:rPr>
                <w:rFonts w:hint="eastAsia" w:ascii="仿宋_GB2312" w:hAnsi="黑体" w:eastAsia="仿宋_GB2312"/>
                <w:kern w:val="0"/>
                <w:szCs w:val="21"/>
              </w:rPr>
              <w:t>补正后申请内容仍不明确</w:t>
            </w:r>
            <w:bookmarkEnd w:id="7"/>
          </w:p>
        </w:tc>
        <w:tc>
          <w:tcPr>
            <w:tcW w:w="765" w:type="dxa"/>
            <w:gridSpan w:val="5"/>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538" w:type="dxa"/>
            <w:gridSpan w:val="7"/>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524" w:type="dxa"/>
            <w:gridSpan w:val="3"/>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72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67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526"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70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ascii="黑体" w:hAnsi="黑体" w:eastAsia="黑体"/>
                <w:szCs w:val="21"/>
              </w:rPr>
            </w:pPr>
          </w:p>
        </w:tc>
        <w:tc>
          <w:tcPr>
            <w:tcW w:w="1701" w:type="dxa"/>
            <w:vMerge w:val="restart"/>
            <w:shd w:val="clear" w:color="auto" w:fill="auto"/>
            <w:tcMar>
              <w:left w:w="108" w:type="dxa"/>
              <w:right w:w="108" w:type="dxa"/>
            </w:tcMar>
            <w:vAlign w:val="center"/>
          </w:tcPr>
          <w:p>
            <w:pPr>
              <w:widowControl/>
              <w:spacing w:line="200" w:lineRule="exact"/>
              <w:ind w:left="-107" w:leftChars="-51"/>
              <w:rPr>
                <w:rFonts w:ascii="黑体" w:hAnsi="黑体" w:eastAsia="黑体"/>
                <w:szCs w:val="21"/>
              </w:rPr>
            </w:pPr>
            <w:r>
              <w:rPr>
                <w:rFonts w:hint="eastAsia" w:ascii="黑体" w:hAnsi="黑体" w:eastAsia="黑体"/>
                <w:kern w:val="0"/>
                <w:szCs w:val="21"/>
              </w:rPr>
              <w:t>（五）不予处理</w:t>
            </w:r>
          </w:p>
        </w:tc>
        <w:tc>
          <w:tcPr>
            <w:tcW w:w="2976" w:type="dxa"/>
            <w:shd w:val="clear" w:color="auto" w:fill="auto"/>
            <w:tcMar>
              <w:left w:w="108" w:type="dxa"/>
              <w:right w:w="108" w:type="dxa"/>
            </w:tcMar>
            <w:vAlign w:val="center"/>
          </w:tcPr>
          <w:p>
            <w:pPr>
              <w:widowControl/>
              <w:spacing w:line="200" w:lineRule="exact"/>
              <w:rPr>
                <w:rFonts w:ascii="仿宋_GB2312" w:hAnsi="黑体" w:eastAsia="仿宋_GB2312"/>
                <w:kern w:val="0"/>
                <w:szCs w:val="21"/>
              </w:rPr>
            </w:pPr>
            <w:r>
              <w:rPr>
                <w:rFonts w:hint="eastAsia" w:ascii="仿宋_GB2312" w:hAnsi="黑体" w:eastAsia="仿宋_GB2312"/>
                <w:kern w:val="0"/>
                <w:szCs w:val="21"/>
              </w:rPr>
              <w:t>1.</w:t>
            </w:r>
            <w:bookmarkStart w:id="8" w:name="_Hlk66975537"/>
            <w:r>
              <w:rPr>
                <w:rFonts w:hint="eastAsia" w:ascii="仿宋_GB2312" w:hAnsi="黑体" w:eastAsia="仿宋_GB2312"/>
                <w:kern w:val="0"/>
                <w:szCs w:val="21"/>
              </w:rPr>
              <w:t>信访举报投诉类申请</w:t>
            </w:r>
            <w:bookmarkEnd w:id="8"/>
          </w:p>
        </w:tc>
        <w:tc>
          <w:tcPr>
            <w:tcW w:w="765" w:type="dxa"/>
            <w:gridSpan w:val="5"/>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538" w:type="dxa"/>
            <w:gridSpan w:val="7"/>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524" w:type="dxa"/>
            <w:gridSpan w:val="3"/>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72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67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526"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70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ascii="黑体" w:hAnsi="黑体" w:eastAsia="黑体"/>
                <w:szCs w:val="21"/>
              </w:rPr>
            </w:pPr>
          </w:p>
        </w:tc>
        <w:tc>
          <w:tcPr>
            <w:tcW w:w="1701" w:type="dxa"/>
            <w:vMerge w:val="continue"/>
            <w:shd w:val="clear" w:color="auto" w:fill="auto"/>
            <w:tcMar>
              <w:left w:w="108" w:type="dxa"/>
              <w:right w:w="108" w:type="dxa"/>
            </w:tcMar>
            <w:vAlign w:val="center"/>
          </w:tcPr>
          <w:p>
            <w:pPr>
              <w:spacing w:line="200" w:lineRule="exact"/>
              <w:rPr>
                <w:rFonts w:ascii="黑体" w:hAnsi="黑体" w:eastAsia="黑体"/>
                <w:szCs w:val="21"/>
              </w:rPr>
            </w:pPr>
          </w:p>
        </w:tc>
        <w:tc>
          <w:tcPr>
            <w:tcW w:w="2976" w:type="dxa"/>
            <w:shd w:val="clear" w:color="auto" w:fill="auto"/>
            <w:tcMar>
              <w:left w:w="108" w:type="dxa"/>
              <w:right w:w="108" w:type="dxa"/>
            </w:tcMar>
            <w:vAlign w:val="center"/>
          </w:tcPr>
          <w:p>
            <w:pPr>
              <w:widowControl/>
              <w:spacing w:line="200" w:lineRule="exact"/>
              <w:rPr>
                <w:rFonts w:ascii="仿宋_GB2312" w:hAnsi="黑体" w:eastAsia="仿宋_GB2312"/>
                <w:kern w:val="0"/>
                <w:szCs w:val="21"/>
              </w:rPr>
            </w:pPr>
            <w:r>
              <w:rPr>
                <w:rFonts w:hint="eastAsia" w:ascii="仿宋_GB2312" w:hAnsi="黑体" w:eastAsia="仿宋_GB2312"/>
                <w:kern w:val="0"/>
                <w:szCs w:val="21"/>
              </w:rPr>
              <w:t>2.重复申请</w:t>
            </w:r>
          </w:p>
        </w:tc>
        <w:tc>
          <w:tcPr>
            <w:tcW w:w="768" w:type="dxa"/>
            <w:gridSpan w:val="6"/>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538" w:type="dxa"/>
            <w:gridSpan w:val="7"/>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521"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72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67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526"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70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ascii="黑体" w:hAnsi="黑体" w:eastAsia="黑体"/>
                <w:szCs w:val="21"/>
              </w:rPr>
            </w:pPr>
          </w:p>
        </w:tc>
        <w:tc>
          <w:tcPr>
            <w:tcW w:w="1701" w:type="dxa"/>
            <w:vMerge w:val="continue"/>
            <w:shd w:val="clear" w:color="auto" w:fill="auto"/>
            <w:tcMar>
              <w:left w:w="108" w:type="dxa"/>
              <w:right w:w="108" w:type="dxa"/>
            </w:tcMar>
            <w:vAlign w:val="center"/>
          </w:tcPr>
          <w:p>
            <w:pPr>
              <w:spacing w:line="200" w:lineRule="exact"/>
              <w:rPr>
                <w:rFonts w:ascii="黑体" w:hAnsi="黑体" w:eastAsia="黑体"/>
                <w:szCs w:val="21"/>
              </w:rPr>
            </w:pPr>
          </w:p>
        </w:tc>
        <w:tc>
          <w:tcPr>
            <w:tcW w:w="2976" w:type="dxa"/>
            <w:shd w:val="clear" w:color="auto" w:fill="auto"/>
            <w:tcMar>
              <w:left w:w="108" w:type="dxa"/>
              <w:right w:w="108" w:type="dxa"/>
            </w:tcMar>
            <w:vAlign w:val="center"/>
          </w:tcPr>
          <w:p>
            <w:pPr>
              <w:widowControl/>
              <w:spacing w:line="200" w:lineRule="exact"/>
              <w:rPr>
                <w:rFonts w:ascii="仿宋_GB2312" w:hAnsi="黑体" w:eastAsia="仿宋_GB2312"/>
                <w:szCs w:val="21"/>
              </w:rPr>
            </w:pPr>
            <w:r>
              <w:rPr>
                <w:rFonts w:hint="eastAsia" w:ascii="仿宋_GB2312" w:hAnsi="黑体" w:eastAsia="仿宋_GB2312"/>
                <w:kern w:val="0"/>
                <w:szCs w:val="21"/>
              </w:rPr>
              <w:t>3.要求提供公开出版物</w:t>
            </w:r>
          </w:p>
        </w:tc>
        <w:tc>
          <w:tcPr>
            <w:tcW w:w="768" w:type="dxa"/>
            <w:gridSpan w:val="6"/>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538" w:type="dxa"/>
            <w:gridSpan w:val="7"/>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521"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72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67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526"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70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97" w:hRule="exact"/>
          <w:jc w:val="center"/>
        </w:trPr>
        <w:tc>
          <w:tcPr>
            <w:tcW w:w="416" w:type="dxa"/>
            <w:vMerge w:val="continue"/>
            <w:shd w:val="clear" w:color="auto" w:fill="auto"/>
            <w:tcMar>
              <w:left w:w="108" w:type="dxa"/>
              <w:right w:w="108" w:type="dxa"/>
            </w:tcMar>
            <w:vAlign w:val="center"/>
          </w:tcPr>
          <w:p>
            <w:pPr>
              <w:rPr>
                <w:rFonts w:ascii="黑体" w:hAnsi="黑体" w:eastAsia="黑体"/>
                <w:szCs w:val="21"/>
              </w:rPr>
            </w:pPr>
          </w:p>
        </w:tc>
        <w:tc>
          <w:tcPr>
            <w:tcW w:w="1701" w:type="dxa"/>
            <w:vMerge w:val="continue"/>
            <w:shd w:val="clear" w:color="auto" w:fill="auto"/>
            <w:tcMar>
              <w:left w:w="108" w:type="dxa"/>
              <w:right w:w="108" w:type="dxa"/>
            </w:tcMar>
            <w:vAlign w:val="center"/>
          </w:tcPr>
          <w:p>
            <w:pPr>
              <w:spacing w:line="200" w:lineRule="exact"/>
              <w:rPr>
                <w:rFonts w:ascii="黑体" w:hAnsi="黑体" w:eastAsia="黑体"/>
                <w:szCs w:val="21"/>
              </w:rPr>
            </w:pPr>
          </w:p>
        </w:tc>
        <w:tc>
          <w:tcPr>
            <w:tcW w:w="2976" w:type="dxa"/>
            <w:shd w:val="clear" w:color="auto" w:fill="auto"/>
            <w:tcMar>
              <w:left w:w="108" w:type="dxa"/>
              <w:right w:w="108" w:type="dxa"/>
            </w:tcMar>
            <w:vAlign w:val="center"/>
          </w:tcPr>
          <w:p>
            <w:pPr>
              <w:widowControl/>
              <w:spacing w:line="200" w:lineRule="exact"/>
              <w:rPr>
                <w:rFonts w:ascii="仿宋_GB2312" w:hAnsi="黑体" w:eastAsia="仿宋_GB2312"/>
                <w:szCs w:val="21"/>
              </w:rPr>
            </w:pPr>
            <w:r>
              <w:rPr>
                <w:rFonts w:hint="eastAsia" w:ascii="仿宋_GB2312" w:hAnsi="黑体" w:eastAsia="仿宋_GB2312"/>
                <w:kern w:val="0"/>
                <w:szCs w:val="21"/>
              </w:rPr>
              <w:t>4.无正当理由大量反复申请</w:t>
            </w:r>
          </w:p>
        </w:tc>
        <w:tc>
          <w:tcPr>
            <w:tcW w:w="768" w:type="dxa"/>
            <w:gridSpan w:val="6"/>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538" w:type="dxa"/>
            <w:gridSpan w:val="7"/>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521"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72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67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526"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70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shd w:val="clear" w:color="auto" w:fill="auto"/>
            <w:tcMar>
              <w:left w:w="108" w:type="dxa"/>
              <w:right w:w="108" w:type="dxa"/>
            </w:tcMar>
            <w:vAlign w:val="center"/>
          </w:tcPr>
          <w:p>
            <w:pPr>
              <w:rPr>
                <w:rFonts w:ascii="黑体" w:hAnsi="黑体" w:eastAsia="黑体"/>
                <w:szCs w:val="21"/>
              </w:rPr>
            </w:pPr>
          </w:p>
        </w:tc>
        <w:tc>
          <w:tcPr>
            <w:tcW w:w="1701" w:type="dxa"/>
            <w:vMerge w:val="continue"/>
            <w:shd w:val="clear" w:color="auto" w:fill="auto"/>
            <w:tcMar>
              <w:left w:w="108" w:type="dxa"/>
              <w:right w:w="108" w:type="dxa"/>
            </w:tcMar>
            <w:vAlign w:val="center"/>
          </w:tcPr>
          <w:p>
            <w:pPr>
              <w:spacing w:line="200" w:lineRule="exact"/>
              <w:rPr>
                <w:rFonts w:ascii="黑体" w:hAnsi="黑体" w:eastAsia="黑体"/>
                <w:szCs w:val="21"/>
              </w:rPr>
            </w:pPr>
          </w:p>
        </w:tc>
        <w:tc>
          <w:tcPr>
            <w:tcW w:w="2976" w:type="dxa"/>
            <w:shd w:val="clear" w:color="auto" w:fill="auto"/>
            <w:tcMar>
              <w:left w:w="108" w:type="dxa"/>
              <w:right w:w="108" w:type="dxa"/>
            </w:tcMar>
            <w:vAlign w:val="center"/>
          </w:tcPr>
          <w:p>
            <w:pPr>
              <w:widowControl/>
              <w:spacing w:line="300" w:lineRule="exact"/>
              <w:rPr>
                <w:rFonts w:ascii="仿宋_GB2312" w:hAnsi="黑体" w:eastAsia="仿宋_GB2312"/>
                <w:kern w:val="0"/>
                <w:szCs w:val="21"/>
              </w:rPr>
            </w:pPr>
            <w:r>
              <w:rPr>
                <w:rFonts w:hint="eastAsia" w:ascii="仿宋_GB2312" w:hAnsi="黑体" w:eastAsia="仿宋_GB2312"/>
                <w:kern w:val="0"/>
                <w:szCs w:val="21"/>
              </w:rPr>
              <w:t>5.要求行政机关确认或重新</w:t>
            </w:r>
          </w:p>
          <w:p>
            <w:pPr>
              <w:widowControl/>
              <w:spacing w:line="300" w:lineRule="exact"/>
              <w:ind w:firstLine="210" w:firstLineChars="100"/>
              <w:rPr>
                <w:rFonts w:ascii="仿宋_GB2312" w:hAnsi="黑体" w:eastAsia="仿宋_GB2312"/>
                <w:szCs w:val="21"/>
              </w:rPr>
            </w:pPr>
            <w:r>
              <w:rPr>
                <w:rFonts w:hint="eastAsia" w:ascii="仿宋_GB2312" w:hAnsi="黑体" w:eastAsia="仿宋_GB2312"/>
                <w:kern w:val="0"/>
                <w:szCs w:val="21"/>
              </w:rPr>
              <w:t>出具已获取信息</w:t>
            </w:r>
          </w:p>
        </w:tc>
        <w:tc>
          <w:tcPr>
            <w:tcW w:w="768" w:type="dxa"/>
            <w:gridSpan w:val="6"/>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538" w:type="dxa"/>
            <w:gridSpan w:val="7"/>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521"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72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67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526"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70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shd w:val="clear" w:color="auto" w:fill="auto"/>
            <w:tcMar>
              <w:left w:w="108" w:type="dxa"/>
              <w:right w:w="108" w:type="dxa"/>
            </w:tcMar>
            <w:vAlign w:val="center"/>
          </w:tcPr>
          <w:p>
            <w:pPr>
              <w:rPr>
                <w:rFonts w:ascii="黑体" w:hAnsi="黑体" w:eastAsia="黑体"/>
                <w:szCs w:val="21"/>
              </w:rPr>
            </w:pPr>
          </w:p>
        </w:tc>
        <w:tc>
          <w:tcPr>
            <w:tcW w:w="1701" w:type="dxa"/>
            <w:vMerge w:val="restart"/>
            <w:shd w:val="clear" w:color="auto" w:fill="auto"/>
            <w:tcMar>
              <w:left w:w="108" w:type="dxa"/>
              <w:right w:w="108" w:type="dxa"/>
            </w:tcMar>
            <w:vAlign w:val="center"/>
          </w:tcPr>
          <w:p>
            <w:pPr>
              <w:widowControl/>
              <w:spacing w:line="300" w:lineRule="exact"/>
              <w:rPr>
                <w:rFonts w:ascii="黑体" w:hAnsi="黑体" w:eastAsia="黑体"/>
                <w:kern w:val="0"/>
                <w:szCs w:val="21"/>
              </w:rPr>
            </w:pPr>
            <w:r>
              <w:rPr>
                <w:rFonts w:hint="eastAsia" w:ascii="黑体" w:hAnsi="黑体" w:eastAsia="黑体"/>
                <w:kern w:val="0"/>
                <w:szCs w:val="21"/>
              </w:rPr>
              <w:t>（六）其他处理</w:t>
            </w:r>
          </w:p>
        </w:tc>
        <w:tc>
          <w:tcPr>
            <w:tcW w:w="2976" w:type="dxa"/>
            <w:shd w:val="clear" w:color="auto" w:fill="auto"/>
            <w:vAlign w:val="center"/>
          </w:tcPr>
          <w:p>
            <w:pPr>
              <w:widowControl/>
              <w:spacing w:line="300" w:lineRule="exact"/>
              <w:rPr>
                <w:rFonts w:ascii="仿宋_GB2312" w:hAnsi="楷体" w:eastAsia="仿宋_GB2312"/>
              </w:rPr>
            </w:pPr>
            <w:r>
              <w:rPr>
                <w:rFonts w:hint="eastAsia" w:ascii="仿宋_GB2312" w:hAnsi="楷体" w:eastAsia="仿宋_GB2312"/>
              </w:rPr>
              <w:t>1.申请人无正当理由逾期不补正、行政机关不再处理其政府信息公开申请</w:t>
            </w:r>
          </w:p>
        </w:tc>
        <w:tc>
          <w:tcPr>
            <w:tcW w:w="771" w:type="dxa"/>
            <w:gridSpan w:val="7"/>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538" w:type="dxa"/>
            <w:gridSpan w:val="7"/>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518"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72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67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526"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70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shd w:val="clear" w:color="auto" w:fill="auto"/>
            <w:tcMar>
              <w:left w:w="108" w:type="dxa"/>
              <w:right w:w="108" w:type="dxa"/>
            </w:tcMar>
            <w:vAlign w:val="center"/>
          </w:tcPr>
          <w:p>
            <w:pPr>
              <w:rPr>
                <w:rFonts w:ascii="黑体" w:hAnsi="黑体" w:eastAsia="黑体"/>
                <w:szCs w:val="21"/>
              </w:rPr>
            </w:pPr>
          </w:p>
        </w:tc>
        <w:tc>
          <w:tcPr>
            <w:tcW w:w="1701" w:type="dxa"/>
            <w:vMerge w:val="continue"/>
            <w:shd w:val="clear" w:color="auto" w:fill="auto"/>
            <w:tcMar>
              <w:left w:w="108" w:type="dxa"/>
              <w:right w:w="108" w:type="dxa"/>
            </w:tcMar>
            <w:vAlign w:val="center"/>
          </w:tcPr>
          <w:p>
            <w:pPr>
              <w:widowControl/>
              <w:spacing w:line="300" w:lineRule="exact"/>
              <w:rPr>
                <w:rFonts w:ascii="黑体" w:hAnsi="黑体" w:eastAsia="黑体"/>
                <w:kern w:val="0"/>
                <w:szCs w:val="21"/>
              </w:rPr>
            </w:pPr>
          </w:p>
        </w:tc>
        <w:tc>
          <w:tcPr>
            <w:tcW w:w="2976" w:type="dxa"/>
            <w:shd w:val="clear" w:color="auto" w:fill="auto"/>
            <w:vAlign w:val="center"/>
          </w:tcPr>
          <w:p>
            <w:pPr>
              <w:widowControl/>
              <w:spacing w:line="300" w:lineRule="exact"/>
              <w:rPr>
                <w:rFonts w:ascii="仿宋_GB2312" w:hAnsi="黑体" w:eastAsia="仿宋_GB2312"/>
                <w:kern w:val="0"/>
                <w:szCs w:val="21"/>
              </w:rPr>
            </w:pPr>
            <w:r>
              <w:rPr>
                <w:rFonts w:hint="eastAsia" w:ascii="仿宋_GB2312" w:hAnsi="楷体" w:eastAsia="仿宋_GB2312"/>
              </w:rPr>
              <w:t>2.申请人逾期未按收费通知要求缴纳费用、行政机关不再处理其政府信息公开申请</w:t>
            </w:r>
          </w:p>
        </w:tc>
        <w:tc>
          <w:tcPr>
            <w:tcW w:w="771" w:type="dxa"/>
            <w:gridSpan w:val="7"/>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538" w:type="dxa"/>
            <w:gridSpan w:val="7"/>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518"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72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67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526"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70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shd w:val="clear" w:color="auto" w:fill="auto"/>
            <w:tcMar>
              <w:left w:w="108" w:type="dxa"/>
              <w:right w:w="108" w:type="dxa"/>
            </w:tcMar>
            <w:vAlign w:val="center"/>
          </w:tcPr>
          <w:p>
            <w:pPr>
              <w:rPr>
                <w:rFonts w:ascii="黑体" w:hAnsi="黑体" w:eastAsia="黑体"/>
                <w:szCs w:val="21"/>
              </w:rPr>
            </w:pPr>
          </w:p>
        </w:tc>
        <w:tc>
          <w:tcPr>
            <w:tcW w:w="1701" w:type="dxa"/>
            <w:vMerge w:val="continue"/>
            <w:shd w:val="clear" w:color="auto" w:fill="auto"/>
            <w:tcMar>
              <w:left w:w="108" w:type="dxa"/>
              <w:right w:w="108" w:type="dxa"/>
            </w:tcMar>
            <w:vAlign w:val="center"/>
          </w:tcPr>
          <w:p>
            <w:pPr>
              <w:widowControl/>
              <w:spacing w:line="300" w:lineRule="exact"/>
              <w:rPr>
                <w:rFonts w:ascii="黑体" w:hAnsi="黑体" w:eastAsia="黑体"/>
                <w:kern w:val="0"/>
                <w:szCs w:val="21"/>
              </w:rPr>
            </w:pPr>
          </w:p>
        </w:tc>
        <w:tc>
          <w:tcPr>
            <w:tcW w:w="2976" w:type="dxa"/>
            <w:shd w:val="clear" w:color="auto" w:fill="auto"/>
            <w:vAlign w:val="center"/>
          </w:tcPr>
          <w:p>
            <w:pPr>
              <w:widowControl/>
              <w:spacing w:line="300" w:lineRule="exact"/>
              <w:rPr>
                <w:rFonts w:ascii="仿宋_GB2312" w:hAnsi="黑体" w:eastAsia="仿宋_GB2312"/>
                <w:kern w:val="0"/>
                <w:szCs w:val="21"/>
              </w:rPr>
            </w:pPr>
            <w:r>
              <w:rPr>
                <w:rFonts w:hint="eastAsia" w:ascii="仿宋_GB2312" w:hAnsi="楷体" w:eastAsia="仿宋_GB2312"/>
              </w:rPr>
              <w:t>3.其他</w:t>
            </w:r>
          </w:p>
        </w:tc>
        <w:tc>
          <w:tcPr>
            <w:tcW w:w="771" w:type="dxa"/>
            <w:gridSpan w:val="7"/>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538" w:type="dxa"/>
            <w:gridSpan w:val="7"/>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518"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72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67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526"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70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shd w:val="clear" w:color="auto" w:fill="auto"/>
            <w:tcMar>
              <w:left w:w="108" w:type="dxa"/>
              <w:right w:w="108" w:type="dxa"/>
            </w:tcMar>
            <w:vAlign w:val="center"/>
          </w:tcPr>
          <w:p>
            <w:pPr>
              <w:rPr>
                <w:rFonts w:ascii="黑体" w:hAnsi="黑体" w:eastAsia="黑体"/>
                <w:szCs w:val="21"/>
              </w:rPr>
            </w:pPr>
          </w:p>
        </w:tc>
        <w:tc>
          <w:tcPr>
            <w:tcW w:w="4677" w:type="dxa"/>
            <w:gridSpan w:val="2"/>
            <w:shd w:val="clear" w:color="auto" w:fill="auto"/>
            <w:tcMar>
              <w:left w:w="108" w:type="dxa"/>
              <w:right w:w="108" w:type="dxa"/>
            </w:tcMar>
            <w:vAlign w:val="center"/>
          </w:tcPr>
          <w:p>
            <w:pPr>
              <w:widowControl/>
              <w:spacing w:line="300" w:lineRule="exact"/>
              <w:rPr>
                <w:rFonts w:ascii="黑体" w:hAnsi="黑体" w:eastAsia="黑体"/>
                <w:kern w:val="0"/>
                <w:szCs w:val="21"/>
              </w:rPr>
            </w:pPr>
            <w:r>
              <w:rPr>
                <w:rFonts w:hint="eastAsia" w:ascii="黑体" w:hAnsi="黑体" w:eastAsia="黑体"/>
                <w:kern w:val="0"/>
                <w:szCs w:val="21"/>
              </w:rPr>
              <w:t>（七）总计</w:t>
            </w:r>
          </w:p>
        </w:tc>
        <w:tc>
          <w:tcPr>
            <w:tcW w:w="761" w:type="dxa"/>
            <w:gridSpan w:val="4"/>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539" w:type="dxa"/>
            <w:gridSpan w:val="7"/>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527" w:type="dxa"/>
            <w:gridSpan w:val="4"/>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72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67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526"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70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093" w:type="dxa"/>
            <w:gridSpan w:val="3"/>
            <w:shd w:val="clear" w:color="auto" w:fill="auto"/>
            <w:tcMar>
              <w:left w:w="108" w:type="dxa"/>
              <w:right w:w="108" w:type="dxa"/>
            </w:tcMar>
            <w:vAlign w:val="center"/>
          </w:tcPr>
          <w:p>
            <w:pPr>
              <w:widowControl/>
              <w:spacing w:line="300" w:lineRule="exact"/>
              <w:rPr>
                <w:rFonts w:ascii="黑体" w:hAnsi="黑体" w:eastAsia="黑体"/>
                <w:kern w:val="0"/>
                <w:szCs w:val="21"/>
              </w:rPr>
            </w:pPr>
            <w:r>
              <w:rPr>
                <w:rFonts w:hint="eastAsia" w:ascii="黑体" w:hAnsi="黑体" w:eastAsia="黑体"/>
                <w:kern w:val="0"/>
                <w:szCs w:val="21"/>
              </w:rPr>
              <w:t>四、结转下年度继续办理</w:t>
            </w:r>
          </w:p>
        </w:tc>
        <w:tc>
          <w:tcPr>
            <w:tcW w:w="761" w:type="dxa"/>
            <w:gridSpan w:val="4"/>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539" w:type="dxa"/>
            <w:gridSpan w:val="7"/>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527" w:type="dxa"/>
            <w:gridSpan w:val="4"/>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72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67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526"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70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r>
    </w:tbl>
    <w:p>
      <w:pPr>
        <w:keepNext w:val="0"/>
        <w:keepLines w:val="0"/>
        <w:pageBreakBefore w:val="0"/>
        <w:widowControl w:val="0"/>
        <w:numPr>
          <w:ilvl w:val="0"/>
          <w:numId w:val="0"/>
        </w:numPr>
        <w:kinsoku/>
        <w:wordWrap/>
        <w:overflowPunct/>
        <w:topLinePunct w:val="0"/>
        <w:bidi w:val="0"/>
        <w:snapToGrid/>
        <w:spacing w:line="560" w:lineRule="exact"/>
        <w:ind w:firstLine="640" w:firstLineChars="200"/>
        <w:textAlignment w:val="auto"/>
        <w:rPr>
          <w:rFonts w:hint="eastAsia" w:ascii="黑体" w:hAnsi="黑体" w:eastAsia="黑体" w:cs="黑体"/>
          <w:b w:val="0"/>
          <w:bCs/>
          <w:i w:val="0"/>
          <w:caps w:val="0"/>
          <w:color w:val="333333"/>
          <w:spacing w:val="0"/>
          <w:kern w:val="0"/>
          <w:sz w:val="32"/>
          <w:szCs w:val="32"/>
          <w:shd w:val="clear" w:fill="FFFFFF"/>
          <w:lang w:val="en-US" w:eastAsia="zh-CN" w:bidi="ar"/>
        </w:rPr>
      </w:pPr>
      <w:r>
        <w:rPr>
          <w:rFonts w:hint="eastAsia" w:ascii="黑体" w:hAnsi="黑体" w:eastAsia="黑体" w:cs="黑体"/>
          <w:b w:val="0"/>
          <w:bCs/>
          <w:i w:val="0"/>
          <w:caps w:val="0"/>
          <w:color w:val="333333"/>
          <w:spacing w:val="0"/>
          <w:kern w:val="0"/>
          <w:sz w:val="32"/>
          <w:szCs w:val="32"/>
          <w:shd w:val="clear" w:fill="FFFFFF"/>
          <w:lang w:val="en-US" w:eastAsia="zh-CN" w:bidi="ar"/>
        </w:rPr>
        <w:t>四、政府信息公开行政复议、行政诉讼情况</w:t>
      </w:r>
    </w:p>
    <w:tbl>
      <w:tblPr>
        <w:tblStyle w:val="4"/>
        <w:tblW w:w="9071"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
      <w:tblGrid>
        <w:gridCol w:w="604"/>
        <w:gridCol w:w="604"/>
        <w:gridCol w:w="604"/>
        <w:gridCol w:w="604"/>
        <w:gridCol w:w="658"/>
        <w:gridCol w:w="550"/>
        <w:gridCol w:w="605"/>
        <w:gridCol w:w="605"/>
        <w:gridCol w:w="605"/>
        <w:gridCol w:w="605"/>
        <w:gridCol w:w="605"/>
        <w:gridCol w:w="605"/>
        <w:gridCol w:w="605"/>
        <w:gridCol w:w="606"/>
        <w:gridCol w:w="606"/>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497" w:hRule="atLeast"/>
          <w:jc w:val="center"/>
        </w:trPr>
        <w:tc>
          <w:tcPr>
            <w:tcW w:w="3074" w:type="dxa"/>
            <w:gridSpan w:val="5"/>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widowControl/>
              <w:jc w:val="center"/>
              <w:rPr>
                <w:rFonts w:ascii="黑体" w:hAnsi="黑体" w:eastAsia="黑体"/>
              </w:rPr>
            </w:pPr>
            <w:r>
              <w:rPr>
                <w:rFonts w:ascii="黑体" w:hAnsi="黑体" w:eastAsia="黑体"/>
                <w:kern w:val="0"/>
                <w:sz w:val="20"/>
                <w:szCs w:val="20"/>
              </w:rPr>
              <w:t>行政复议</w:t>
            </w:r>
          </w:p>
        </w:tc>
        <w:tc>
          <w:tcPr>
            <w:tcW w:w="5997" w:type="dxa"/>
            <w:gridSpan w:val="10"/>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jc w:val="center"/>
              <w:rPr>
                <w:rFonts w:ascii="黑体" w:hAnsi="黑体" w:eastAsia="黑体"/>
              </w:rPr>
            </w:pPr>
            <w:r>
              <w:rPr>
                <w:rFonts w:ascii="黑体" w:hAnsi="黑体" w:eastAsia="黑体"/>
                <w:kern w:val="0"/>
                <w:sz w:val="20"/>
                <w:szCs w:val="20"/>
              </w:rPr>
              <w:t>行政诉讼</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547" w:hRule="atLeast"/>
          <w:jc w:val="center"/>
        </w:trPr>
        <w:tc>
          <w:tcPr>
            <w:tcW w:w="604" w:type="dxa"/>
            <w:vMerge w:val="restart"/>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widowControl/>
              <w:ind w:left="-149" w:leftChars="-71" w:right="-170" w:rightChars="-81"/>
              <w:jc w:val="center"/>
              <w:rPr>
                <w:rFonts w:ascii="黑体" w:hAnsi="黑体" w:eastAsia="黑体"/>
                <w:kern w:val="0"/>
                <w:sz w:val="20"/>
                <w:szCs w:val="20"/>
              </w:rPr>
            </w:pPr>
            <w:r>
              <w:rPr>
                <w:rFonts w:ascii="黑体" w:hAnsi="黑体" w:eastAsia="黑体"/>
                <w:kern w:val="0"/>
                <w:sz w:val="20"/>
                <w:szCs w:val="20"/>
              </w:rPr>
              <w:t>结果</w:t>
            </w:r>
          </w:p>
          <w:p>
            <w:pPr>
              <w:widowControl/>
              <w:ind w:left="-149" w:leftChars="-71" w:right="-170" w:rightChars="-81"/>
              <w:jc w:val="center"/>
              <w:rPr>
                <w:rFonts w:ascii="黑体" w:hAnsi="黑体" w:eastAsia="黑体"/>
              </w:rPr>
            </w:pPr>
            <w:r>
              <w:rPr>
                <w:rFonts w:ascii="黑体" w:hAnsi="黑体" w:eastAsia="黑体"/>
                <w:kern w:val="0"/>
                <w:sz w:val="20"/>
                <w:szCs w:val="20"/>
              </w:rPr>
              <w:t>维持</w:t>
            </w:r>
          </w:p>
        </w:tc>
        <w:tc>
          <w:tcPr>
            <w:tcW w:w="604" w:type="dxa"/>
            <w:vMerge w:val="restart"/>
            <w:tcBorders>
              <w:top w:val="nil"/>
              <w:left w:val="nil"/>
              <w:bottom w:val="single" w:color="auto" w:sz="8" w:space="0"/>
              <w:right w:val="single" w:color="auto" w:sz="8" w:space="0"/>
            </w:tcBorders>
            <w:shd w:val="clear" w:color="auto" w:fill="auto"/>
            <w:tcMar>
              <w:left w:w="108" w:type="dxa"/>
              <w:right w:w="108" w:type="dxa"/>
            </w:tcMar>
            <w:vAlign w:val="center"/>
          </w:tcPr>
          <w:p>
            <w:pPr>
              <w:widowControl/>
              <w:ind w:left="-43" w:leftChars="-21" w:right="-132" w:rightChars="-63" w:hanging="1"/>
              <w:jc w:val="center"/>
              <w:rPr>
                <w:rFonts w:ascii="黑体" w:hAnsi="黑体" w:eastAsia="黑体"/>
              </w:rPr>
            </w:pPr>
            <w:r>
              <w:rPr>
                <w:rFonts w:ascii="黑体" w:hAnsi="黑体" w:eastAsia="黑体"/>
                <w:kern w:val="0"/>
                <w:sz w:val="20"/>
                <w:szCs w:val="20"/>
              </w:rPr>
              <w:t>结果纠正</w:t>
            </w:r>
          </w:p>
        </w:tc>
        <w:tc>
          <w:tcPr>
            <w:tcW w:w="604" w:type="dxa"/>
            <w:vMerge w:val="restart"/>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ind w:left="-82" w:leftChars="-39" w:right="-97" w:rightChars="-46"/>
              <w:jc w:val="center"/>
              <w:rPr>
                <w:rFonts w:ascii="黑体" w:hAnsi="黑体" w:eastAsia="黑体"/>
              </w:rPr>
            </w:pPr>
            <w:r>
              <w:rPr>
                <w:rFonts w:ascii="黑体" w:hAnsi="黑体" w:eastAsia="黑体"/>
                <w:kern w:val="0"/>
                <w:sz w:val="20"/>
                <w:szCs w:val="20"/>
              </w:rPr>
              <w:t>其他结果</w:t>
            </w:r>
          </w:p>
        </w:tc>
        <w:tc>
          <w:tcPr>
            <w:tcW w:w="604" w:type="dxa"/>
            <w:vMerge w:val="restart"/>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ind w:left="-118" w:leftChars="-56" w:right="-118" w:rightChars="-56"/>
              <w:jc w:val="center"/>
              <w:rPr>
                <w:rFonts w:ascii="黑体" w:hAnsi="黑体" w:eastAsia="黑体"/>
                <w:kern w:val="0"/>
                <w:sz w:val="20"/>
                <w:szCs w:val="20"/>
              </w:rPr>
            </w:pPr>
            <w:r>
              <w:rPr>
                <w:rFonts w:ascii="黑体" w:hAnsi="黑体" w:eastAsia="黑体"/>
                <w:kern w:val="0"/>
                <w:sz w:val="20"/>
                <w:szCs w:val="20"/>
              </w:rPr>
              <w:t>尚未</w:t>
            </w:r>
          </w:p>
          <w:p>
            <w:pPr>
              <w:widowControl/>
              <w:ind w:left="-118" w:leftChars="-56" w:right="-118" w:rightChars="-56"/>
              <w:jc w:val="center"/>
              <w:rPr>
                <w:rFonts w:ascii="黑体" w:hAnsi="黑体" w:eastAsia="黑体"/>
              </w:rPr>
            </w:pPr>
            <w:r>
              <w:rPr>
                <w:rFonts w:ascii="黑体" w:hAnsi="黑体" w:eastAsia="黑体"/>
                <w:kern w:val="0"/>
                <w:sz w:val="20"/>
                <w:szCs w:val="20"/>
              </w:rPr>
              <w:t>审结</w:t>
            </w:r>
          </w:p>
        </w:tc>
        <w:tc>
          <w:tcPr>
            <w:tcW w:w="658" w:type="dxa"/>
            <w:vMerge w:val="restart"/>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spacing w:line="320" w:lineRule="exact"/>
              <w:jc w:val="center"/>
              <w:rPr>
                <w:rFonts w:ascii="黑体" w:hAnsi="黑体" w:eastAsia="黑体"/>
                <w:kern w:val="0"/>
                <w:sz w:val="20"/>
                <w:szCs w:val="20"/>
              </w:rPr>
            </w:pPr>
            <w:r>
              <w:rPr>
                <w:rFonts w:ascii="黑体" w:hAnsi="黑体" w:eastAsia="黑体"/>
                <w:kern w:val="0"/>
                <w:sz w:val="20"/>
                <w:szCs w:val="20"/>
              </w:rPr>
              <w:t>总</w:t>
            </w:r>
          </w:p>
          <w:p>
            <w:pPr>
              <w:widowControl/>
              <w:spacing w:line="320" w:lineRule="exact"/>
              <w:jc w:val="center"/>
              <w:rPr>
                <w:rFonts w:ascii="黑体" w:hAnsi="黑体" w:eastAsia="黑体"/>
              </w:rPr>
            </w:pPr>
            <w:r>
              <w:rPr>
                <w:rFonts w:ascii="黑体" w:hAnsi="黑体" w:eastAsia="黑体"/>
                <w:kern w:val="0"/>
                <w:sz w:val="20"/>
                <w:szCs w:val="20"/>
              </w:rPr>
              <w:t>计</w:t>
            </w:r>
          </w:p>
        </w:tc>
        <w:tc>
          <w:tcPr>
            <w:tcW w:w="2970" w:type="dxa"/>
            <w:gridSpan w:val="5"/>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jc w:val="center"/>
              <w:rPr>
                <w:rFonts w:ascii="黑体" w:hAnsi="黑体" w:eastAsia="黑体"/>
              </w:rPr>
            </w:pPr>
            <w:r>
              <w:rPr>
                <w:rFonts w:ascii="黑体" w:hAnsi="黑体" w:eastAsia="黑体"/>
                <w:kern w:val="0"/>
                <w:sz w:val="20"/>
                <w:szCs w:val="20"/>
              </w:rPr>
              <w:t>未经复议直接起诉</w:t>
            </w:r>
          </w:p>
        </w:tc>
        <w:tc>
          <w:tcPr>
            <w:tcW w:w="3027" w:type="dxa"/>
            <w:gridSpan w:val="5"/>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jc w:val="center"/>
              <w:rPr>
                <w:rFonts w:ascii="黑体" w:hAnsi="黑体" w:eastAsia="黑体"/>
              </w:rPr>
            </w:pPr>
            <w:bookmarkStart w:id="9" w:name="_Hlk67039688"/>
            <w:r>
              <w:rPr>
                <w:rFonts w:ascii="黑体" w:hAnsi="黑体" w:eastAsia="黑体"/>
                <w:kern w:val="0"/>
                <w:sz w:val="20"/>
                <w:szCs w:val="20"/>
              </w:rPr>
              <w:t>复议后起诉</w:t>
            </w:r>
            <w:bookmarkEnd w:id="9"/>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906" w:hRule="atLeast"/>
          <w:jc w:val="center"/>
        </w:trPr>
        <w:tc>
          <w:tcPr>
            <w:tcW w:w="604"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rPr>
                <w:rFonts w:ascii="黑体" w:hAnsi="黑体" w:eastAsia="黑体"/>
                <w:sz w:val="24"/>
              </w:rPr>
            </w:pPr>
          </w:p>
        </w:tc>
        <w:tc>
          <w:tcPr>
            <w:tcW w:w="604"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rPr>
                <w:rFonts w:ascii="黑体" w:hAnsi="黑体" w:eastAsia="黑体"/>
                <w:sz w:val="24"/>
              </w:rPr>
            </w:pPr>
          </w:p>
        </w:tc>
        <w:tc>
          <w:tcPr>
            <w:tcW w:w="604" w:type="dxa"/>
            <w:vMerge w:val="continue"/>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rPr>
                <w:rFonts w:ascii="黑体" w:hAnsi="黑体" w:eastAsia="黑体"/>
                <w:sz w:val="24"/>
              </w:rPr>
            </w:pPr>
          </w:p>
        </w:tc>
        <w:tc>
          <w:tcPr>
            <w:tcW w:w="604" w:type="dxa"/>
            <w:vMerge w:val="continue"/>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rPr>
                <w:rFonts w:ascii="黑体" w:hAnsi="黑体" w:eastAsia="黑体"/>
                <w:sz w:val="24"/>
              </w:rPr>
            </w:pPr>
          </w:p>
        </w:tc>
        <w:tc>
          <w:tcPr>
            <w:tcW w:w="658" w:type="dxa"/>
            <w:vMerge w:val="continue"/>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rPr>
                <w:rFonts w:ascii="黑体" w:hAnsi="黑体" w:eastAsia="黑体"/>
                <w:sz w:val="24"/>
              </w:rPr>
            </w:pPr>
          </w:p>
        </w:tc>
        <w:tc>
          <w:tcPr>
            <w:tcW w:w="550"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ind w:left="-105" w:leftChars="-50" w:right="-126" w:rightChars="-60"/>
              <w:jc w:val="center"/>
              <w:rPr>
                <w:rFonts w:ascii="黑体" w:hAnsi="黑体" w:eastAsia="黑体"/>
              </w:rPr>
            </w:pPr>
            <w:r>
              <w:rPr>
                <w:rFonts w:ascii="黑体" w:hAnsi="黑体" w:eastAsia="黑体"/>
                <w:kern w:val="0"/>
                <w:sz w:val="20"/>
                <w:szCs w:val="20"/>
              </w:rPr>
              <w:t>结果维持</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ind w:left="-86" w:leftChars="-41" w:right="-88" w:rightChars="-42"/>
              <w:jc w:val="center"/>
              <w:rPr>
                <w:rFonts w:ascii="黑体" w:hAnsi="黑体" w:eastAsia="黑体"/>
              </w:rPr>
            </w:pPr>
            <w:r>
              <w:rPr>
                <w:rFonts w:ascii="黑体" w:hAnsi="黑体" w:eastAsia="黑体"/>
                <w:kern w:val="0"/>
                <w:sz w:val="20"/>
                <w:szCs w:val="20"/>
              </w:rPr>
              <w:t>结果纠正</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ind w:left="-126" w:leftChars="-60" w:right="-136" w:rightChars="-65"/>
              <w:jc w:val="center"/>
              <w:rPr>
                <w:rFonts w:ascii="黑体" w:hAnsi="黑体" w:eastAsia="黑体"/>
                <w:kern w:val="0"/>
                <w:sz w:val="20"/>
                <w:szCs w:val="20"/>
              </w:rPr>
            </w:pPr>
            <w:r>
              <w:rPr>
                <w:rFonts w:ascii="黑体" w:hAnsi="黑体" w:eastAsia="黑体"/>
                <w:kern w:val="0"/>
                <w:sz w:val="20"/>
                <w:szCs w:val="20"/>
              </w:rPr>
              <w:t>其他</w:t>
            </w:r>
          </w:p>
          <w:p>
            <w:pPr>
              <w:widowControl/>
              <w:ind w:left="-126" w:leftChars="-60" w:right="-136" w:rightChars="-65"/>
              <w:jc w:val="center"/>
              <w:rPr>
                <w:rFonts w:ascii="黑体" w:hAnsi="黑体" w:eastAsia="黑体"/>
              </w:rPr>
            </w:pPr>
            <w:r>
              <w:rPr>
                <w:rFonts w:ascii="黑体" w:hAnsi="黑体" w:eastAsia="黑体"/>
                <w:kern w:val="0"/>
                <w:sz w:val="20"/>
                <w:szCs w:val="20"/>
              </w:rPr>
              <w:t>结果</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ind w:left="-164" w:leftChars="-78" w:right="-153" w:rightChars="-73"/>
              <w:jc w:val="center"/>
              <w:rPr>
                <w:rFonts w:ascii="黑体" w:hAnsi="黑体" w:eastAsia="黑体"/>
                <w:kern w:val="0"/>
                <w:sz w:val="20"/>
                <w:szCs w:val="20"/>
              </w:rPr>
            </w:pPr>
            <w:r>
              <w:rPr>
                <w:rFonts w:ascii="黑体" w:hAnsi="黑体" w:eastAsia="黑体"/>
                <w:kern w:val="0"/>
                <w:sz w:val="20"/>
                <w:szCs w:val="20"/>
              </w:rPr>
              <w:t>尚未</w:t>
            </w:r>
          </w:p>
          <w:p>
            <w:pPr>
              <w:widowControl/>
              <w:ind w:left="-164" w:leftChars="-78" w:right="-153" w:rightChars="-73"/>
              <w:jc w:val="center"/>
              <w:rPr>
                <w:rFonts w:ascii="黑体" w:hAnsi="黑体" w:eastAsia="黑体"/>
              </w:rPr>
            </w:pPr>
            <w:r>
              <w:rPr>
                <w:rFonts w:ascii="黑体" w:hAnsi="黑体" w:eastAsia="黑体"/>
                <w:kern w:val="0"/>
                <w:sz w:val="20"/>
                <w:szCs w:val="20"/>
              </w:rPr>
              <w:t>审结</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jc w:val="center"/>
              <w:rPr>
                <w:rFonts w:ascii="黑体" w:hAnsi="黑体" w:eastAsia="黑体"/>
              </w:rPr>
            </w:pPr>
            <w:r>
              <w:rPr>
                <w:rFonts w:ascii="黑体" w:hAnsi="黑体" w:eastAsia="黑体"/>
                <w:kern w:val="0"/>
                <w:sz w:val="20"/>
                <w:szCs w:val="20"/>
              </w:rPr>
              <w:t>总计</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ind w:left="-99" w:leftChars="-47" w:right="-78" w:rightChars="-37"/>
              <w:jc w:val="center"/>
              <w:rPr>
                <w:rFonts w:ascii="黑体" w:hAnsi="黑体" w:eastAsia="黑体"/>
              </w:rPr>
            </w:pPr>
            <w:r>
              <w:rPr>
                <w:rFonts w:ascii="黑体" w:hAnsi="黑体" w:eastAsia="黑体"/>
                <w:kern w:val="0"/>
                <w:sz w:val="20"/>
                <w:szCs w:val="20"/>
              </w:rPr>
              <w:t>结果维持</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ind w:left="-136" w:leftChars="-65" w:right="-124" w:rightChars="-59"/>
              <w:jc w:val="center"/>
              <w:rPr>
                <w:rFonts w:ascii="黑体" w:hAnsi="黑体" w:eastAsia="黑体"/>
                <w:kern w:val="0"/>
                <w:sz w:val="20"/>
                <w:szCs w:val="20"/>
              </w:rPr>
            </w:pPr>
            <w:r>
              <w:rPr>
                <w:rFonts w:ascii="黑体" w:hAnsi="黑体" w:eastAsia="黑体"/>
                <w:kern w:val="0"/>
                <w:sz w:val="20"/>
                <w:szCs w:val="20"/>
              </w:rPr>
              <w:t>结果</w:t>
            </w:r>
          </w:p>
          <w:p>
            <w:pPr>
              <w:widowControl/>
              <w:ind w:left="-136" w:leftChars="-65" w:right="-124" w:rightChars="-59"/>
              <w:jc w:val="center"/>
              <w:rPr>
                <w:rFonts w:ascii="黑体" w:hAnsi="黑体" w:eastAsia="黑体"/>
              </w:rPr>
            </w:pPr>
            <w:r>
              <w:rPr>
                <w:rFonts w:ascii="黑体" w:hAnsi="黑体" w:eastAsia="黑体"/>
                <w:kern w:val="0"/>
                <w:sz w:val="20"/>
                <w:szCs w:val="20"/>
              </w:rPr>
              <w:t>纠正</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ind w:left="-173" w:leftChars="-83" w:right="-134" w:rightChars="-64" w:hanging="1"/>
              <w:jc w:val="center"/>
              <w:rPr>
                <w:rFonts w:ascii="黑体" w:hAnsi="黑体" w:eastAsia="黑体"/>
                <w:kern w:val="0"/>
                <w:sz w:val="20"/>
                <w:szCs w:val="20"/>
              </w:rPr>
            </w:pPr>
            <w:r>
              <w:rPr>
                <w:rFonts w:ascii="黑体" w:hAnsi="黑体" w:eastAsia="黑体"/>
                <w:kern w:val="0"/>
                <w:sz w:val="20"/>
                <w:szCs w:val="20"/>
              </w:rPr>
              <w:t>其他</w:t>
            </w:r>
          </w:p>
          <w:p>
            <w:pPr>
              <w:widowControl/>
              <w:ind w:left="-173" w:leftChars="-83" w:right="-134" w:rightChars="-64" w:hanging="1"/>
              <w:jc w:val="center"/>
              <w:rPr>
                <w:rFonts w:ascii="黑体" w:hAnsi="黑体" w:eastAsia="黑体"/>
              </w:rPr>
            </w:pPr>
            <w:r>
              <w:rPr>
                <w:rFonts w:ascii="黑体" w:hAnsi="黑体" w:eastAsia="黑体"/>
                <w:kern w:val="0"/>
                <w:sz w:val="20"/>
                <w:szCs w:val="20"/>
              </w:rPr>
              <w:t>结果</w:t>
            </w:r>
          </w:p>
        </w:tc>
        <w:tc>
          <w:tcPr>
            <w:tcW w:w="606"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ind w:left="-67" w:leftChars="-33" w:right="-105" w:rightChars="-50" w:hanging="2" w:hangingChars="1"/>
              <w:jc w:val="center"/>
              <w:rPr>
                <w:rFonts w:ascii="黑体" w:hAnsi="黑体" w:eastAsia="黑体"/>
              </w:rPr>
            </w:pPr>
            <w:r>
              <w:rPr>
                <w:rFonts w:ascii="黑体" w:hAnsi="黑体" w:eastAsia="黑体"/>
                <w:kern w:val="0"/>
                <w:sz w:val="20"/>
                <w:szCs w:val="20"/>
              </w:rPr>
              <w:t>尚未审结</w:t>
            </w:r>
          </w:p>
        </w:tc>
        <w:tc>
          <w:tcPr>
            <w:tcW w:w="606"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jc w:val="center"/>
              <w:rPr>
                <w:rFonts w:ascii="黑体" w:hAnsi="黑体" w:eastAsia="黑体"/>
              </w:rPr>
            </w:pPr>
            <w:r>
              <w:rPr>
                <w:rFonts w:ascii="黑体" w:hAnsi="黑体" w:eastAsia="黑体"/>
                <w:kern w:val="0"/>
                <w:sz w:val="20"/>
                <w:szCs w:val="20"/>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04"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eastAsia" w:ascii="Times New Roman" w:hAnsi="Times New Roman" w:eastAsiaTheme="minorEastAsia"/>
                <w:lang w:val="en-US" w:eastAsia="zh-CN"/>
              </w:rPr>
            </w:pPr>
            <w:r>
              <w:rPr>
                <w:rFonts w:hint="eastAsia" w:ascii="Times New Roman" w:hAnsi="Times New Roman"/>
                <w:lang w:val="en-US" w:eastAsia="zh-CN"/>
              </w:rPr>
              <w:t>0</w:t>
            </w:r>
          </w:p>
        </w:tc>
        <w:tc>
          <w:tcPr>
            <w:tcW w:w="604"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eastAsia" w:ascii="Times New Roman" w:hAnsi="Times New Roman" w:eastAsiaTheme="minorEastAsia"/>
                <w:lang w:val="en-US" w:eastAsia="zh-CN"/>
              </w:rPr>
            </w:pPr>
            <w:r>
              <w:rPr>
                <w:rFonts w:hint="eastAsia" w:ascii="Times New Roman" w:hAnsi="Times New Roman"/>
                <w:lang w:val="en-US" w:eastAsia="zh-CN"/>
              </w:rPr>
              <w:t>0</w:t>
            </w:r>
          </w:p>
        </w:tc>
        <w:tc>
          <w:tcPr>
            <w:tcW w:w="604"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eastAsia" w:ascii="Times New Roman" w:hAnsi="Times New Roman" w:eastAsiaTheme="minorEastAsia"/>
                <w:lang w:val="en-US" w:eastAsia="zh-CN"/>
              </w:rPr>
            </w:pPr>
            <w:r>
              <w:rPr>
                <w:rFonts w:hint="eastAsia" w:ascii="Times New Roman" w:hAnsi="Times New Roman"/>
                <w:lang w:val="en-US" w:eastAsia="zh-CN"/>
              </w:rPr>
              <w:t>0</w:t>
            </w:r>
          </w:p>
        </w:tc>
        <w:tc>
          <w:tcPr>
            <w:tcW w:w="604"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eastAsia" w:ascii="Times New Roman" w:hAnsi="Times New Roman" w:eastAsiaTheme="minorEastAsia"/>
                <w:lang w:val="en-US" w:eastAsia="zh-CN"/>
              </w:rPr>
            </w:pPr>
            <w:r>
              <w:rPr>
                <w:rFonts w:hint="eastAsia" w:ascii="Times New Roman" w:hAnsi="Times New Roman"/>
                <w:lang w:val="en-US" w:eastAsia="zh-CN"/>
              </w:rPr>
              <w:t>0</w:t>
            </w:r>
          </w:p>
        </w:tc>
        <w:tc>
          <w:tcPr>
            <w:tcW w:w="658"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eastAsia" w:ascii="Times New Roman" w:hAnsi="Times New Roman" w:eastAsiaTheme="minorEastAsia"/>
                <w:lang w:val="en-US" w:eastAsia="zh-CN"/>
              </w:rPr>
            </w:pPr>
            <w:r>
              <w:rPr>
                <w:rFonts w:hint="eastAsia" w:ascii="Times New Roman" w:hAnsi="Times New Roman"/>
                <w:lang w:val="en-US" w:eastAsia="zh-CN"/>
              </w:rPr>
              <w:t>0</w:t>
            </w:r>
          </w:p>
        </w:tc>
        <w:tc>
          <w:tcPr>
            <w:tcW w:w="550"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eastAsia" w:ascii="Times New Roman" w:hAnsi="Times New Roman" w:eastAsiaTheme="minorEastAsia"/>
                <w:lang w:val="en-US" w:eastAsia="zh-CN"/>
              </w:rPr>
            </w:pPr>
            <w:r>
              <w:rPr>
                <w:rFonts w:hint="eastAsia" w:ascii="Times New Roman" w:hAnsi="Times New Roman"/>
                <w:lang w:val="en-US" w:eastAsia="zh-C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eastAsia" w:ascii="Times New Roman" w:hAnsi="Times New Roman" w:eastAsiaTheme="minorEastAsia"/>
                <w:lang w:val="en-US" w:eastAsia="zh-CN"/>
              </w:rPr>
            </w:pPr>
            <w:r>
              <w:rPr>
                <w:rFonts w:hint="eastAsia" w:ascii="Times New Roman" w:hAnsi="Times New Roman"/>
                <w:lang w:val="en-US" w:eastAsia="zh-C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eastAsia" w:ascii="Times New Roman" w:hAnsi="Times New Roman" w:eastAsiaTheme="minorEastAsia"/>
                <w:lang w:val="en-US" w:eastAsia="zh-CN"/>
              </w:rPr>
            </w:pPr>
            <w:r>
              <w:rPr>
                <w:rFonts w:hint="eastAsia" w:ascii="Times New Roman" w:hAnsi="Times New Roman"/>
                <w:lang w:val="en-US" w:eastAsia="zh-C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eastAsia" w:ascii="Times New Roman" w:hAnsi="Times New Roman" w:eastAsiaTheme="minorEastAsia"/>
                <w:lang w:val="en-US" w:eastAsia="zh-CN"/>
              </w:rPr>
            </w:pPr>
            <w:r>
              <w:rPr>
                <w:rFonts w:hint="eastAsia" w:ascii="Times New Roman" w:hAnsi="Times New Roman"/>
                <w:lang w:val="en-US" w:eastAsia="zh-C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eastAsia" w:ascii="Times New Roman" w:hAnsi="Times New Roman" w:eastAsiaTheme="minorEastAsia"/>
                <w:lang w:val="en-US" w:eastAsia="zh-CN"/>
              </w:rPr>
            </w:pPr>
            <w:r>
              <w:rPr>
                <w:rFonts w:hint="eastAsia" w:ascii="Times New Roman" w:hAnsi="Times New Roman"/>
                <w:lang w:val="en-US" w:eastAsia="zh-C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eastAsia" w:ascii="Times New Roman" w:hAnsi="Times New Roman" w:eastAsiaTheme="minorEastAsia"/>
                <w:lang w:val="en-US" w:eastAsia="zh-CN"/>
              </w:rPr>
            </w:pPr>
            <w:r>
              <w:rPr>
                <w:rFonts w:hint="eastAsia" w:ascii="Times New Roman" w:hAnsi="Times New Roman"/>
                <w:lang w:val="en-US" w:eastAsia="zh-C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eastAsia" w:ascii="Times New Roman" w:hAnsi="Times New Roman" w:eastAsiaTheme="minorEastAsia"/>
                <w:lang w:val="en-US" w:eastAsia="zh-CN"/>
              </w:rPr>
            </w:pPr>
            <w:r>
              <w:rPr>
                <w:rFonts w:hint="eastAsia" w:ascii="Times New Roman" w:hAnsi="Times New Roman"/>
                <w:lang w:val="en-US" w:eastAsia="zh-C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eastAsia" w:ascii="Times New Roman" w:hAnsi="Times New Roman" w:eastAsiaTheme="minorEastAsia"/>
                <w:lang w:val="en-US" w:eastAsia="zh-CN"/>
              </w:rPr>
            </w:pPr>
            <w:r>
              <w:rPr>
                <w:rFonts w:hint="eastAsia" w:ascii="Times New Roman" w:hAnsi="Times New Roman"/>
                <w:lang w:val="en-US" w:eastAsia="zh-CN"/>
              </w:rPr>
              <w:t>0</w:t>
            </w:r>
          </w:p>
        </w:tc>
        <w:tc>
          <w:tcPr>
            <w:tcW w:w="606"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eastAsia" w:ascii="Times New Roman" w:hAnsi="Times New Roman" w:eastAsiaTheme="minorEastAsia"/>
                <w:lang w:val="en-US" w:eastAsia="zh-CN"/>
              </w:rPr>
            </w:pPr>
            <w:r>
              <w:rPr>
                <w:rFonts w:hint="eastAsia" w:ascii="Times New Roman" w:hAnsi="Times New Roman"/>
                <w:lang w:val="en-US" w:eastAsia="zh-CN"/>
              </w:rPr>
              <w:t>0</w:t>
            </w:r>
          </w:p>
        </w:tc>
        <w:tc>
          <w:tcPr>
            <w:tcW w:w="606" w:type="dxa"/>
            <w:tcBorders>
              <w:top w:val="nil"/>
              <w:left w:val="nil"/>
              <w:bottom w:val="single" w:color="auto" w:sz="8" w:space="0"/>
              <w:right w:val="single" w:color="auto" w:sz="8" w:space="0"/>
            </w:tcBorders>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after="180" w:line="560" w:lineRule="exact"/>
              <w:jc w:val="center"/>
              <w:textAlignment w:val="auto"/>
              <w:rPr>
                <w:rFonts w:hint="eastAsia" w:ascii="Times New Roman" w:hAnsi="Times New Roman" w:eastAsiaTheme="minorEastAsia"/>
                <w:lang w:val="en-US" w:eastAsia="zh-CN"/>
              </w:rPr>
            </w:pPr>
            <w:r>
              <w:rPr>
                <w:rFonts w:hint="eastAsia" w:ascii="Times New Roman" w:hAnsi="Times New Roman"/>
                <w:lang w:val="en-US" w:eastAsia="zh-CN"/>
              </w:rPr>
              <w:t>0</w:t>
            </w:r>
          </w:p>
        </w:tc>
      </w:tr>
    </w:tbl>
    <w:p>
      <w:pPr>
        <w:widowControl/>
        <w:jc w:val="left"/>
        <w:rPr>
          <w:rFonts w:hint="eastAsia" w:ascii="仿宋_GB2312" w:hAnsi="Calibri" w:eastAsia="仿宋_GB2312" w:cs="Calibri"/>
          <w:color w:val="FF0000"/>
          <w:kern w:val="0"/>
          <w:szCs w:val="21"/>
          <w:lang w:val="en-US" w:eastAsia="zh-CN"/>
        </w:rPr>
      </w:pPr>
    </w:p>
    <w:p>
      <w:pPr>
        <w:pStyle w:val="3"/>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default" w:ascii="Times New Roman" w:hAnsi="Times New Roman" w:eastAsia="黑体" w:cs="Times New Roman"/>
          <w:b w:val="0"/>
          <w:bCs/>
          <w:i w:val="0"/>
          <w:caps w:val="0"/>
          <w:color w:val="333333"/>
          <w:spacing w:val="0"/>
          <w:kern w:val="0"/>
          <w:sz w:val="32"/>
          <w:szCs w:val="32"/>
          <w:shd w:val="clear" w:fill="FFFFFF"/>
          <w:lang w:val="en-US" w:eastAsia="zh-CN" w:bidi="ar"/>
        </w:rPr>
      </w:pPr>
      <w:r>
        <w:rPr>
          <w:rFonts w:hint="default" w:ascii="Times New Roman" w:hAnsi="Times New Roman" w:eastAsia="黑体" w:cs="Times New Roman"/>
          <w:b w:val="0"/>
          <w:bCs/>
          <w:i w:val="0"/>
          <w:caps w:val="0"/>
          <w:color w:val="333333"/>
          <w:spacing w:val="0"/>
          <w:kern w:val="0"/>
          <w:sz w:val="32"/>
          <w:szCs w:val="32"/>
          <w:shd w:val="clear" w:fill="FFFFFF"/>
          <w:lang w:val="en-US" w:eastAsia="zh-CN" w:bidi="ar"/>
        </w:rPr>
        <w:t>存在的主要问题及改进情况</w:t>
      </w:r>
    </w:p>
    <w:p>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rightChars="0" w:firstLine="640" w:firstLineChars="200"/>
        <w:jc w:val="both"/>
        <w:textAlignment w:val="auto"/>
        <w:rPr>
          <w:rFonts w:hint="default" w:ascii="Times New Roman" w:hAnsi="Times New Roman" w:eastAsia="仿宋_GB2312" w:cs="Times New Roman"/>
          <w:i w:val="0"/>
          <w:caps w:val="0"/>
          <w:color w:val="auto"/>
          <w:spacing w:val="0"/>
          <w:kern w:val="2"/>
          <w:sz w:val="32"/>
          <w:szCs w:val="32"/>
          <w:shd w:val="clear" w:fill="FFFFFF"/>
          <w:lang w:val="en-US" w:eastAsia="zh-CN" w:bidi="ar-SA"/>
        </w:rPr>
      </w:pPr>
      <w:r>
        <w:rPr>
          <w:rFonts w:hint="default" w:ascii="Times New Roman" w:hAnsi="Times New Roman" w:eastAsia="楷体_GB2312" w:cs="Times New Roman"/>
          <w:i w:val="0"/>
          <w:caps w:val="0"/>
          <w:color w:val="auto"/>
          <w:spacing w:val="0"/>
          <w:kern w:val="2"/>
          <w:sz w:val="32"/>
          <w:szCs w:val="32"/>
          <w:shd w:val="clear" w:fill="FFFFFF"/>
          <w:lang w:val="en-US" w:eastAsia="zh-CN" w:bidi="ar-SA"/>
        </w:rPr>
        <w:t>存在问题：</w:t>
      </w:r>
      <w:r>
        <w:rPr>
          <w:rFonts w:hint="default" w:ascii="Times New Roman" w:hAnsi="Times New Roman" w:eastAsia="仿宋_GB2312" w:cs="Times New Roman"/>
          <w:i w:val="0"/>
          <w:caps w:val="0"/>
          <w:color w:val="auto"/>
          <w:spacing w:val="0"/>
          <w:kern w:val="2"/>
          <w:sz w:val="32"/>
          <w:szCs w:val="32"/>
          <w:shd w:val="clear" w:fill="FFFFFF"/>
          <w:lang w:val="en-US" w:eastAsia="zh-CN" w:bidi="ar-SA"/>
        </w:rPr>
        <w:t>业务骨干素质不强，虽然在局属各部门设立了政府信息公开联络员，但人员流动性较大，队伍建设整体不够稳定，难以保证公开质量。</w:t>
      </w:r>
    </w:p>
    <w:p>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rightChars="0" w:firstLine="640" w:firstLineChars="200"/>
        <w:jc w:val="both"/>
        <w:textAlignment w:val="auto"/>
        <w:rPr>
          <w:rFonts w:hint="default" w:ascii="Times New Roman" w:hAnsi="Times New Roman" w:eastAsia="仿宋_GB2312" w:cs="Times New Roman"/>
          <w:i w:val="0"/>
          <w:caps w:val="0"/>
          <w:color w:val="auto"/>
          <w:spacing w:val="0"/>
          <w:kern w:val="2"/>
          <w:sz w:val="32"/>
          <w:szCs w:val="32"/>
          <w:shd w:val="clear" w:fill="FFFFFF"/>
          <w:lang w:val="en" w:eastAsia="zh-CN" w:bidi="ar-SA"/>
        </w:rPr>
      </w:pPr>
      <w:r>
        <w:rPr>
          <w:rFonts w:hint="default" w:ascii="Times New Roman" w:hAnsi="Times New Roman" w:eastAsia="楷体_GB2312" w:cs="Times New Roman"/>
          <w:i w:val="0"/>
          <w:caps w:val="0"/>
          <w:color w:val="auto"/>
          <w:spacing w:val="0"/>
          <w:kern w:val="2"/>
          <w:sz w:val="32"/>
          <w:szCs w:val="32"/>
          <w:shd w:val="clear" w:fill="FFFFFF"/>
          <w:lang w:val="en-US" w:eastAsia="zh-CN" w:bidi="ar-SA"/>
        </w:rPr>
        <w:t>具体改进措施：</w:t>
      </w:r>
      <w:r>
        <w:rPr>
          <w:rFonts w:hint="default" w:ascii="Times New Roman" w:hAnsi="Times New Roman" w:eastAsia="仿宋_GB2312" w:cs="Times New Roman"/>
          <w:i w:val="0"/>
          <w:caps w:val="0"/>
          <w:color w:val="auto"/>
          <w:spacing w:val="0"/>
          <w:kern w:val="2"/>
          <w:sz w:val="32"/>
          <w:szCs w:val="32"/>
          <w:shd w:val="clear" w:fill="FFFFFF"/>
          <w:lang w:val="en-US" w:eastAsia="zh-CN" w:bidi="ar-SA"/>
        </w:rPr>
        <w:t>对局属各部门公开人员实行规范化管理，提升公开队伍稳定性，更换公开人员后，办公室将及时督促其进行交接与培训，提高各部门抓好政府信息公开工作的意识和能力。同时积极做好业务培训工作，组织各联络员认真学习政府信息公开各项制度规定，加大实操锻炼，通过会议培训、以老带新等方式加大对业务骨干的培训力度，提高信息公开能力。</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default" w:ascii="Times New Roman" w:hAnsi="Times New Roman" w:eastAsia="黑体" w:cs="Times New Roman"/>
          <w:b w:val="0"/>
          <w:bCs/>
          <w:i w:val="0"/>
          <w:caps w:val="0"/>
          <w:color w:val="333333"/>
          <w:spacing w:val="0"/>
          <w:kern w:val="0"/>
          <w:sz w:val="32"/>
          <w:szCs w:val="32"/>
          <w:shd w:val="clear" w:fill="FFFFFF"/>
          <w:lang w:val="en-US" w:eastAsia="zh-CN" w:bidi="ar"/>
        </w:rPr>
      </w:pPr>
      <w:r>
        <w:rPr>
          <w:rFonts w:hint="default" w:ascii="Times New Roman" w:hAnsi="Times New Roman" w:eastAsia="黑体" w:cs="Times New Roman"/>
          <w:b w:val="0"/>
          <w:bCs/>
          <w:i w:val="0"/>
          <w:caps w:val="0"/>
          <w:color w:val="333333"/>
          <w:spacing w:val="0"/>
          <w:kern w:val="0"/>
          <w:sz w:val="32"/>
          <w:szCs w:val="32"/>
          <w:shd w:val="clear" w:fill="FFFFFF"/>
          <w:lang w:val="en-US" w:eastAsia="zh-CN" w:bidi="ar"/>
        </w:rPr>
        <w:t>六、其他需要报告的事项</w:t>
      </w:r>
    </w:p>
    <w:p>
      <w:pPr>
        <w:pStyle w:val="3"/>
        <w:keepNext w:val="0"/>
        <w:keepLines w:val="0"/>
        <w:pageBreakBefore w:val="0"/>
        <w:widowControl/>
        <w:suppressLineNumbers w:val="0"/>
        <w:kinsoku/>
        <w:wordWrap/>
        <w:overflowPunct/>
        <w:topLinePunct w:val="0"/>
        <w:autoSpaceDE w:val="0"/>
        <w:autoSpaceDN/>
        <w:bidi w:val="0"/>
        <w:adjustRightInd/>
        <w:snapToGrid/>
        <w:spacing w:beforeAutospacing="0" w:afterAutospacing="0" w:line="560" w:lineRule="exact"/>
        <w:ind w:left="0" w:right="0" w:firstLine="645"/>
        <w:jc w:val="both"/>
        <w:textAlignment w:val="auto"/>
        <w:rPr>
          <w:rFonts w:hint="default" w:ascii="Times New Roman" w:hAnsi="Times New Roman" w:eastAsia="仿宋_GB2312" w:cs="Times New Roman"/>
          <w:sz w:val="32"/>
          <w:szCs w:val="32"/>
          <w:u w:val="single"/>
          <w:lang w:val="en-US" w:eastAsia="zh-CN"/>
        </w:rPr>
      </w:pPr>
      <w:r>
        <w:rPr>
          <w:rFonts w:hint="default" w:ascii="Times New Roman" w:hAnsi="Times New Roman" w:eastAsia="楷体_GB2312" w:cs="Times New Roman"/>
          <w:b w:val="0"/>
          <w:bCs/>
          <w:color w:val="auto"/>
          <w:sz w:val="32"/>
          <w:szCs w:val="32"/>
          <w:lang w:val="en-US" w:eastAsia="zh-CN"/>
        </w:rPr>
        <w:t>（一）</w:t>
      </w:r>
      <w:r>
        <w:rPr>
          <w:rFonts w:hint="default" w:ascii="Times New Roman" w:hAnsi="Times New Roman" w:eastAsia="楷体_GB2312" w:cs="Times New Roman"/>
          <w:sz w:val="32"/>
          <w:szCs w:val="32"/>
        </w:rPr>
        <w:t>政府信息公开收费方面：</w:t>
      </w:r>
      <w:r>
        <w:rPr>
          <w:rFonts w:hint="default" w:ascii="Times New Roman" w:hAnsi="Times New Roman" w:cs="Times New Roman"/>
          <w:sz w:val="32"/>
          <w:szCs w:val="32"/>
        </w:rPr>
        <w:t>202</w:t>
      </w:r>
      <w:r>
        <w:rPr>
          <w:rFonts w:hint="default" w:ascii="Times New Roman" w:hAnsi="Times New Roman" w:cs="Times New Roman"/>
          <w:sz w:val="32"/>
          <w:szCs w:val="32"/>
          <w:lang w:val="en-US" w:eastAsia="zh-CN"/>
        </w:rPr>
        <w:t>3</w:t>
      </w:r>
      <w:r>
        <w:rPr>
          <w:rFonts w:hint="default" w:ascii="Times New Roman" w:hAnsi="Times New Roman" w:eastAsia="仿宋_GB2312" w:cs="Times New Roman"/>
          <w:sz w:val="32"/>
          <w:szCs w:val="32"/>
        </w:rPr>
        <w:t>年</w:t>
      </w:r>
      <w:r>
        <w:rPr>
          <w:rFonts w:hint="default" w:ascii="Times New Roman" w:hAnsi="Times New Roman" w:eastAsia="仿宋_GB2312" w:cs="Times New Roman"/>
          <w:sz w:val="32"/>
          <w:szCs w:val="32"/>
          <w:lang w:val="en-US" w:eastAsia="zh-CN"/>
        </w:rPr>
        <w:t>威海市文登区农业农村局</w:t>
      </w:r>
      <w:r>
        <w:rPr>
          <w:rFonts w:hint="default" w:ascii="Times New Roman" w:hAnsi="Times New Roman" w:eastAsia="仿宋_GB2312" w:cs="Times New Roman"/>
          <w:sz w:val="32"/>
          <w:szCs w:val="32"/>
        </w:rPr>
        <w:t>未收取政府信息公开信息处理费。</w:t>
      </w:r>
    </w:p>
    <w:p>
      <w:pPr>
        <w:pStyle w:val="3"/>
        <w:keepNext w:val="0"/>
        <w:keepLines w:val="0"/>
        <w:pageBreakBefore w:val="0"/>
        <w:widowControl/>
        <w:suppressLineNumbers w:val="0"/>
        <w:kinsoku/>
        <w:wordWrap/>
        <w:overflowPunct/>
        <w:topLinePunct w:val="0"/>
        <w:autoSpaceDE w:val="0"/>
        <w:autoSpaceDN/>
        <w:bidi w:val="0"/>
        <w:adjustRightInd/>
        <w:snapToGrid/>
        <w:spacing w:beforeAutospacing="0" w:afterAutospacing="0" w:line="560" w:lineRule="exact"/>
        <w:ind w:left="0" w:firstLine="645"/>
        <w:jc w:val="both"/>
        <w:textAlignment w:val="auto"/>
        <w:rPr>
          <w:rFonts w:hint="default" w:ascii="Times New Roman" w:hAnsi="Times New Roman" w:cs="Times New Roman"/>
          <w:sz w:val="32"/>
          <w:szCs w:val="32"/>
          <w:highlight w:val="none"/>
        </w:rPr>
      </w:pPr>
      <w:r>
        <w:rPr>
          <w:rFonts w:hint="default" w:ascii="Times New Roman" w:hAnsi="Times New Roman" w:eastAsia="楷体_GB2312" w:cs="Times New Roman"/>
          <w:b w:val="0"/>
          <w:bCs/>
          <w:color w:val="auto"/>
          <w:sz w:val="32"/>
          <w:szCs w:val="32"/>
          <w:lang w:val="en-US" w:eastAsia="zh-CN"/>
        </w:rPr>
        <w:t>（二）</w:t>
      </w:r>
      <w:r>
        <w:rPr>
          <w:rFonts w:hint="default" w:ascii="Times New Roman" w:hAnsi="Times New Roman" w:eastAsia="楷体_GB2312" w:cs="Times New Roman"/>
          <w:sz w:val="32"/>
          <w:szCs w:val="32"/>
          <w:highlight w:val="none"/>
        </w:rPr>
        <w:t>人大代表</w:t>
      </w:r>
      <w:r>
        <w:rPr>
          <w:rFonts w:hint="default" w:ascii="Times New Roman" w:hAnsi="Times New Roman" w:eastAsia="楷体_GB2312" w:cs="Times New Roman"/>
          <w:sz w:val="32"/>
          <w:szCs w:val="32"/>
          <w:highlight w:val="none"/>
          <w:lang w:eastAsia="zh-CN"/>
        </w:rPr>
        <w:t>建议和</w:t>
      </w:r>
      <w:r>
        <w:rPr>
          <w:rFonts w:hint="default" w:ascii="Times New Roman" w:hAnsi="Times New Roman" w:eastAsia="楷体_GB2312" w:cs="Times New Roman"/>
          <w:sz w:val="32"/>
          <w:szCs w:val="32"/>
          <w:highlight w:val="none"/>
        </w:rPr>
        <w:t>政协委员提案办理方面：</w:t>
      </w:r>
      <w:r>
        <w:rPr>
          <w:rFonts w:hint="default" w:ascii="Times New Roman" w:hAnsi="Times New Roman" w:cs="Times New Roman"/>
          <w:sz w:val="32"/>
          <w:szCs w:val="32"/>
          <w:highlight w:val="none"/>
        </w:rPr>
        <w:t>202</w:t>
      </w:r>
      <w:r>
        <w:rPr>
          <w:rFonts w:hint="default" w:ascii="Times New Roman" w:hAnsi="Times New Roman" w:cs="Times New Roman"/>
          <w:sz w:val="32"/>
          <w:szCs w:val="32"/>
          <w:highlight w:val="none"/>
          <w:lang w:val="en-US" w:eastAsia="zh-CN"/>
        </w:rPr>
        <w:t>3</w:t>
      </w:r>
      <w:r>
        <w:rPr>
          <w:rFonts w:hint="default" w:ascii="Times New Roman" w:hAnsi="Times New Roman" w:eastAsia="仿宋_GB2312" w:cs="Times New Roman"/>
          <w:sz w:val="32"/>
          <w:szCs w:val="32"/>
          <w:highlight w:val="none"/>
        </w:rPr>
        <w:t>年</w:t>
      </w:r>
      <w:r>
        <w:rPr>
          <w:rFonts w:hint="default" w:ascii="Times New Roman" w:hAnsi="Times New Roman" w:eastAsia="仿宋_GB2312" w:cs="Times New Roman"/>
          <w:sz w:val="32"/>
          <w:szCs w:val="32"/>
          <w:lang w:val="en-US" w:eastAsia="zh-CN"/>
        </w:rPr>
        <w:t>威海市文登区农业农村局</w:t>
      </w:r>
      <w:r>
        <w:rPr>
          <w:rFonts w:hint="default" w:ascii="Times New Roman" w:hAnsi="Times New Roman" w:eastAsia="仿宋_GB2312" w:cs="Times New Roman"/>
          <w:sz w:val="32"/>
          <w:szCs w:val="32"/>
          <w:highlight w:val="none"/>
        </w:rPr>
        <w:t>共承办人大代表建议6件，政协委员提案9件。目前，已全部办理完成，办复率</w:t>
      </w:r>
      <w:r>
        <w:rPr>
          <w:rFonts w:hint="default" w:ascii="Times New Roman" w:hAnsi="Times New Roman" w:cs="Times New Roman"/>
          <w:sz w:val="32"/>
          <w:szCs w:val="32"/>
          <w:highlight w:val="none"/>
        </w:rPr>
        <w:t>100%</w:t>
      </w:r>
      <w:r>
        <w:rPr>
          <w:rFonts w:hint="default" w:ascii="Times New Roman" w:hAnsi="Times New Roman" w:eastAsia="仿宋_GB2312" w:cs="Times New Roman"/>
          <w:sz w:val="32"/>
          <w:szCs w:val="32"/>
          <w:highlight w:val="none"/>
        </w:rPr>
        <w:t>，办理结果为</w:t>
      </w:r>
      <w:r>
        <w:rPr>
          <w:rFonts w:hint="default" w:ascii="Times New Roman" w:hAnsi="Times New Roman" w:cs="Times New Roman"/>
          <w:sz w:val="32"/>
          <w:szCs w:val="32"/>
          <w:highlight w:val="none"/>
        </w:rPr>
        <w:t>A</w:t>
      </w:r>
      <w:r>
        <w:rPr>
          <w:rFonts w:hint="default" w:ascii="Times New Roman" w:hAnsi="Times New Roman" w:eastAsia="仿宋_GB2312" w:cs="Times New Roman"/>
          <w:sz w:val="32"/>
          <w:szCs w:val="32"/>
          <w:highlight w:val="none"/>
        </w:rPr>
        <w:t>类</w:t>
      </w:r>
      <w:r>
        <w:rPr>
          <w:rFonts w:hint="default" w:ascii="Times New Roman" w:hAnsi="Times New Roman" w:eastAsia="仿宋_GB2312" w:cs="Times New Roman"/>
          <w:sz w:val="32"/>
          <w:szCs w:val="32"/>
          <w:u w:val="none"/>
          <w:lang w:val="en-US" w:eastAsia="zh-CN"/>
        </w:rPr>
        <w:t>15</w:t>
      </w:r>
      <w:r>
        <w:rPr>
          <w:rFonts w:hint="default" w:ascii="Times New Roman" w:hAnsi="Times New Roman" w:eastAsia="仿宋_GB2312" w:cs="Times New Roman"/>
          <w:sz w:val="32"/>
          <w:szCs w:val="32"/>
          <w:highlight w:val="none"/>
        </w:rPr>
        <w:t>件。</w:t>
      </w:r>
    </w:p>
    <w:p>
      <w:pPr>
        <w:keepNext w:val="0"/>
        <w:keepLines w:val="0"/>
        <w:pageBreakBefore w:val="0"/>
        <w:widowControl w:val="0"/>
        <w:kinsoku/>
        <w:wordWrap/>
        <w:overflowPunct/>
        <w:topLinePunct w:val="0"/>
        <w:autoSpaceDE/>
        <w:autoSpaceDN/>
        <w:bidi w:val="0"/>
        <w:adjustRightInd/>
        <w:snapToGrid/>
        <w:spacing w:line="560" w:lineRule="exact"/>
        <w:ind w:firstLine="646" w:firstLineChars="202"/>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楷体_GB2312" w:cs="Times New Roman"/>
          <w:b w:val="0"/>
          <w:bCs/>
          <w:color w:val="auto"/>
          <w:sz w:val="32"/>
          <w:szCs w:val="32"/>
          <w:lang w:val="en-US" w:eastAsia="zh-CN"/>
        </w:rPr>
        <w:t>（三）</w:t>
      </w:r>
      <w:r>
        <w:rPr>
          <w:rFonts w:hint="default" w:ascii="Times New Roman" w:hAnsi="Times New Roman" w:eastAsia="楷体_GB2312" w:cs="Times New Roman"/>
          <w:sz w:val="32"/>
          <w:szCs w:val="32"/>
        </w:rPr>
        <w:t>其他方面：</w:t>
      </w:r>
      <w:r>
        <w:rPr>
          <w:rFonts w:hint="default" w:ascii="Times New Roman" w:hAnsi="Times New Roman" w:eastAsia="仿宋_GB2312" w:cs="Times New Roman"/>
          <w:sz w:val="32"/>
          <w:szCs w:val="32"/>
          <w:lang w:eastAsia="zh-CN"/>
        </w:rPr>
        <w:t>在</w:t>
      </w:r>
      <w:r>
        <w:rPr>
          <w:rFonts w:hint="default" w:ascii="Times New Roman" w:hAnsi="Times New Roman" w:eastAsia="仿宋_GB2312" w:cs="Times New Roman"/>
          <w:b w:val="0"/>
          <w:bCs w:val="0"/>
          <w:sz w:val="32"/>
          <w:szCs w:val="32"/>
          <w:lang w:eastAsia="zh-CN"/>
        </w:rPr>
        <w:t>落实上级政务公开工作要点情况上，</w:t>
      </w:r>
      <w:r>
        <w:rPr>
          <w:rFonts w:hint="default" w:ascii="Times New Roman" w:hAnsi="Times New Roman" w:eastAsia="仿宋_GB2312" w:cs="Times New Roman"/>
          <w:sz w:val="32"/>
          <w:szCs w:val="32"/>
          <w:lang w:val="en-US" w:eastAsia="zh-CN"/>
        </w:rPr>
        <w:t>2023年，威海市文登区农业农村局全面落实威海市文登区政府信息公开工作要点，持续深化乡村振兴、涉农补贴、农技推广等重点工作信息公开，确保信息公开的全面性、准确性；2023年，威海市文登区农业农村局为加大政府信息公开力度，及时对“文登三农”微信公众号更新形式新颖、前瞻时尚的宣传解读方式，选派优秀青年干部到局宣传组工作并专职负责运营和宣传工作，让群众更好地理解政策主张，也能更好地了解新形势下政府部门的工作落实情况；2023年7月，威海市人民政府网威海公开行栏目刊发我区政务工作相关经验《文登区晒出“村务二维码”创新政务公开新格局》。</w:t>
      </w:r>
    </w:p>
    <w:p>
      <w:pPr>
        <w:pStyle w:val="2"/>
        <w:rPr>
          <w:rFonts w:hint="default" w:ascii="Times New Roman" w:hAnsi="Times New Roman" w:eastAsia="仿宋_GB2312" w:cs="Times New Roman"/>
          <w:sz w:val="32"/>
          <w:szCs w:val="32"/>
          <w:lang w:val="en-US" w:eastAsia="zh-CN"/>
        </w:rPr>
      </w:pPr>
    </w:p>
    <w:p>
      <w:pPr>
        <w:pStyle w:val="2"/>
        <w:rPr>
          <w:rFonts w:hint="default" w:ascii="Times New Roman" w:hAnsi="Times New Roman" w:eastAsia="仿宋_GB2312" w:cs="Times New Roman"/>
          <w:sz w:val="32"/>
          <w:szCs w:val="32"/>
          <w:lang w:val="en-US" w:eastAsia="zh-CN"/>
        </w:rPr>
      </w:pPr>
    </w:p>
    <w:p>
      <w:pPr>
        <w:pStyle w:val="2"/>
        <w:jc w:val="center"/>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 xml:space="preserve">                       威海市文登区农业农村局</w:t>
      </w:r>
    </w:p>
    <w:p>
      <w:pPr>
        <w:pStyle w:val="2"/>
        <w:ind w:firstLine="5120" w:firstLineChars="1600"/>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2024年1月2</w:t>
      </w:r>
      <w:r>
        <w:rPr>
          <w:rFonts w:hint="eastAsia" w:ascii="Times New Roman" w:hAnsi="Times New Roman" w:eastAsia="仿宋_GB2312" w:cs="Times New Roman"/>
          <w:sz w:val="32"/>
          <w:szCs w:val="32"/>
          <w:lang w:val="en-US" w:eastAsia="zh-CN"/>
        </w:rPr>
        <w:t>5</w:t>
      </w:r>
      <w:bookmarkStart w:id="10" w:name="_GoBack"/>
      <w:bookmarkEnd w:id="10"/>
      <w:r>
        <w:rPr>
          <w:rFonts w:hint="default" w:ascii="Times New Roman" w:hAnsi="Times New Roman" w:eastAsia="仿宋_GB2312" w:cs="Times New Roman"/>
          <w:sz w:val="32"/>
          <w:szCs w:val="32"/>
          <w:lang w:val="en-US" w:eastAsia="zh-CN"/>
        </w:rPr>
        <w:t>日</w:t>
      </w:r>
    </w:p>
    <w:p>
      <w:pPr>
        <w:pStyle w:val="2"/>
        <w:keepNext w:val="0"/>
        <w:keepLines w:val="0"/>
        <w:pageBreakBefore w:val="0"/>
        <w:kinsoku/>
        <w:wordWrap/>
        <w:overflowPunct/>
        <w:topLinePunct w:val="0"/>
        <w:bidi w:val="0"/>
        <w:snapToGrid/>
        <w:spacing w:line="560" w:lineRule="exact"/>
        <w:textAlignment w:val="auto"/>
        <w:rPr>
          <w:rFonts w:hint="eastAsia" w:ascii="仿宋_GB2312" w:hAnsi="仿宋_GB2312" w:eastAsia="仿宋_GB2312" w:cs="仿宋_GB2312"/>
          <w:sz w:val="32"/>
          <w:szCs w:val="32"/>
        </w:rPr>
      </w:pPr>
    </w:p>
    <w:p>
      <w:pPr>
        <w:pStyle w:val="2"/>
        <w:keepNext w:val="0"/>
        <w:keepLines w:val="0"/>
        <w:pageBreakBefore w:val="0"/>
        <w:kinsoku/>
        <w:wordWrap/>
        <w:overflowPunct/>
        <w:topLinePunct w:val="0"/>
        <w:bidi w:val="0"/>
        <w:snapToGrid/>
        <w:spacing w:line="560" w:lineRule="exact"/>
        <w:textAlignment w:val="auto"/>
        <w:rPr>
          <w:rFonts w:hint="eastAsia" w:ascii="仿宋_GB2312" w:hAnsi="仿宋_GB2312" w:eastAsia="仿宋_GB2312" w:cs="仿宋_GB2312"/>
          <w:b w:val="0"/>
          <w:bCs/>
          <w:i w:val="0"/>
          <w:caps w:val="0"/>
          <w:color w:val="333333"/>
          <w:spacing w:val="0"/>
          <w:sz w:val="32"/>
          <w:szCs w:val="32"/>
          <w:shd w:val="clear" w:fill="FFFFFF"/>
          <w:lang w:val="en-US" w:eastAsia="zh-CN"/>
        </w:rPr>
      </w:pPr>
    </w:p>
    <w:p>
      <w:pPr>
        <w:pStyle w:val="2"/>
        <w:keepNext w:val="0"/>
        <w:keepLines w:val="0"/>
        <w:pageBreakBefore w:val="0"/>
        <w:kinsoku/>
        <w:wordWrap/>
        <w:overflowPunct/>
        <w:topLinePunct w:val="0"/>
        <w:bidi w:val="0"/>
        <w:snapToGrid/>
        <w:spacing w:line="560" w:lineRule="exact"/>
        <w:textAlignment w:val="auto"/>
        <w:rPr>
          <w:rFonts w:hint="eastAsia" w:ascii="仿宋_GB2312" w:hAnsi="仿宋_GB2312" w:eastAsia="仿宋_GB2312" w:cs="仿宋_GB2312"/>
          <w:sz w:val="32"/>
          <w:szCs w:val="32"/>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decorative"/>
    <w:pitch w:val="default"/>
    <w:sig w:usb0="00000001" w:usb1="080E0000" w:usb2="00000000" w:usb3="00000000" w:csb0="00040000" w:csb1="00000000"/>
  </w:font>
  <w:font w:name="楷体_GB2312">
    <w:panose1 w:val="02010609030101010101"/>
    <w:charset w:val="86"/>
    <w:family w:val="decorative"/>
    <w:pitch w:val="default"/>
    <w:sig w:usb0="00000001" w:usb1="080E0000" w:usb2="00000000" w:usb3="00000000" w:csb0="00040000" w:csb1="00000000"/>
  </w:font>
  <w:font w:name="楷体">
    <w:panose1 w:val="02010609060101010101"/>
    <w:charset w:val="86"/>
    <w:family w:val="decorative"/>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EA31A8"/>
    <w:multiLevelType w:val="singleLevel"/>
    <w:tmpl w:val="2BEA31A8"/>
    <w:lvl w:ilvl="0" w:tentative="0">
      <w:start w:val="5"/>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1AF18C8"/>
    <w:rsid w:val="012052D5"/>
    <w:rsid w:val="016D6827"/>
    <w:rsid w:val="02D5638B"/>
    <w:rsid w:val="03AB4550"/>
    <w:rsid w:val="040A7125"/>
    <w:rsid w:val="04F10CE5"/>
    <w:rsid w:val="052A529B"/>
    <w:rsid w:val="058933E9"/>
    <w:rsid w:val="05C23443"/>
    <w:rsid w:val="08D157AC"/>
    <w:rsid w:val="095647AB"/>
    <w:rsid w:val="09A77DEA"/>
    <w:rsid w:val="0A464CF9"/>
    <w:rsid w:val="0A540D1E"/>
    <w:rsid w:val="0A9E1E22"/>
    <w:rsid w:val="0AF45F99"/>
    <w:rsid w:val="0C925540"/>
    <w:rsid w:val="0DC056BE"/>
    <w:rsid w:val="0E29143E"/>
    <w:rsid w:val="0FC057B6"/>
    <w:rsid w:val="0FDE42EA"/>
    <w:rsid w:val="10CB2F27"/>
    <w:rsid w:val="11AF18C8"/>
    <w:rsid w:val="11D274C1"/>
    <w:rsid w:val="12A03099"/>
    <w:rsid w:val="14BA14BB"/>
    <w:rsid w:val="18541C1B"/>
    <w:rsid w:val="18E642F8"/>
    <w:rsid w:val="19EF6847"/>
    <w:rsid w:val="1A252B97"/>
    <w:rsid w:val="1A6A77C7"/>
    <w:rsid w:val="1AC67267"/>
    <w:rsid w:val="1CBC09A1"/>
    <w:rsid w:val="1D981E51"/>
    <w:rsid w:val="1DE550C0"/>
    <w:rsid w:val="1EE730A5"/>
    <w:rsid w:val="1FAB517A"/>
    <w:rsid w:val="20E76914"/>
    <w:rsid w:val="21E9640B"/>
    <w:rsid w:val="221D3849"/>
    <w:rsid w:val="225E1303"/>
    <w:rsid w:val="22F426D3"/>
    <w:rsid w:val="23597F82"/>
    <w:rsid w:val="245015C0"/>
    <w:rsid w:val="26B427E8"/>
    <w:rsid w:val="26C05E56"/>
    <w:rsid w:val="2951200E"/>
    <w:rsid w:val="2993230A"/>
    <w:rsid w:val="2A615D7A"/>
    <w:rsid w:val="30567CFA"/>
    <w:rsid w:val="30B61599"/>
    <w:rsid w:val="326951CF"/>
    <w:rsid w:val="3289193C"/>
    <w:rsid w:val="339D144A"/>
    <w:rsid w:val="36815471"/>
    <w:rsid w:val="39BD71D1"/>
    <w:rsid w:val="3A55690D"/>
    <w:rsid w:val="3E8D5091"/>
    <w:rsid w:val="3F080E1F"/>
    <w:rsid w:val="3F6644A0"/>
    <w:rsid w:val="4050678B"/>
    <w:rsid w:val="42A817B8"/>
    <w:rsid w:val="464F74E8"/>
    <w:rsid w:val="482543C7"/>
    <w:rsid w:val="486864EF"/>
    <w:rsid w:val="4A1B52C4"/>
    <w:rsid w:val="4B395383"/>
    <w:rsid w:val="4F0B788A"/>
    <w:rsid w:val="50700D23"/>
    <w:rsid w:val="51172959"/>
    <w:rsid w:val="511E6463"/>
    <w:rsid w:val="51AE205E"/>
    <w:rsid w:val="528112BC"/>
    <w:rsid w:val="53701D32"/>
    <w:rsid w:val="54F23AC6"/>
    <w:rsid w:val="56F344A5"/>
    <w:rsid w:val="572247CB"/>
    <w:rsid w:val="58263EA5"/>
    <w:rsid w:val="586A38EC"/>
    <w:rsid w:val="595D6AA5"/>
    <w:rsid w:val="596213A8"/>
    <w:rsid w:val="597B4BBD"/>
    <w:rsid w:val="5A991767"/>
    <w:rsid w:val="5CEB68E8"/>
    <w:rsid w:val="5F3BB135"/>
    <w:rsid w:val="5F66268E"/>
    <w:rsid w:val="5FBB7C73"/>
    <w:rsid w:val="61DB774E"/>
    <w:rsid w:val="63F40C75"/>
    <w:rsid w:val="656D6D08"/>
    <w:rsid w:val="66551E7A"/>
    <w:rsid w:val="674A3C36"/>
    <w:rsid w:val="684D3F08"/>
    <w:rsid w:val="68C9088B"/>
    <w:rsid w:val="693B2A1F"/>
    <w:rsid w:val="69620038"/>
    <w:rsid w:val="69662231"/>
    <w:rsid w:val="6A50494F"/>
    <w:rsid w:val="6C7C7FF0"/>
    <w:rsid w:val="6F467A91"/>
    <w:rsid w:val="6FA0797A"/>
    <w:rsid w:val="71545288"/>
    <w:rsid w:val="73A900D6"/>
    <w:rsid w:val="754A0C85"/>
    <w:rsid w:val="758D6312"/>
    <w:rsid w:val="767E07D9"/>
    <w:rsid w:val="77181135"/>
    <w:rsid w:val="77BF314B"/>
    <w:rsid w:val="780475DB"/>
    <w:rsid w:val="79787B85"/>
    <w:rsid w:val="7B367EE2"/>
    <w:rsid w:val="7CB60017"/>
    <w:rsid w:val="7CDA0FCC"/>
    <w:rsid w:val="7D735E7E"/>
    <w:rsid w:val="7D800CCA"/>
    <w:rsid w:val="7E2277F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customStyle="1" w:styleId="2">
    <w:name w:val="Default"/>
    <w:qFormat/>
    <w:uiPriority w:val="99"/>
    <w:pPr>
      <w:widowControl w:val="0"/>
      <w:autoSpaceDE w:val="0"/>
      <w:autoSpaceDN w:val="0"/>
      <w:adjustRightInd w:val="0"/>
    </w:pPr>
    <w:rPr>
      <w:rFonts w:ascii="方正小标宋简体" w:hAnsi="方正小标宋简体" w:eastAsia="方正小标宋简体" w:cs="方正小标宋简体"/>
      <w:color w:val="000000"/>
      <w:sz w:val="24"/>
      <w:szCs w:val="24"/>
      <w:lang w:val="en-US" w:eastAsia="zh-CN" w:bidi="ar-SA"/>
    </w:r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1996</Words>
  <Characters>2151</Characters>
  <Lines>0</Lines>
  <Paragraphs>0</Paragraphs>
  <TotalTime>36</TotalTime>
  <ScaleCrop>false</ScaleCrop>
  <LinksUpToDate>false</LinksUpToDate>
  <CharactersWithSpaces>2190</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2023-01-16T15:45:00Z</dcterms:created>
  <dc:creator>诗人与熊</dc:creator>
  <cp:lastModifiedBy>刘俊辰</cp:lastModifiedBy>
  <cp:lastPrinted>2023-01-16T17:08:00Z</cp:lastPrinted>
  <dcterms:modified xsi:type="dcterms:W3CDTF">2024-01-25T08:44:18Z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y fmtid="{D5CDD505-2E9C-101B-9397-08002B2CF9AE}" pid="3" name="ICV">
    <vt:lpwstr>E69FC135B6704485BACA57740AE2D712</vt:lpwstr>
  </property>
</Properties>
</file>