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5E1F1A">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方正小标宋简体" w:cs="Times New Roman"/>
          <w:spacing w:val="40"/>
          <w:w w:val="100"/>
          <w:kern w:val="0"/>
          <w:sz w:val="48"/>
          <w:szCs w:val="48"/>
        </w:rPr>
      </w:pPr>
      <w:r>
        <w:rPr>
          <w:rFonts w:hint="eastAsia" w:ascii="Times New Roman" w:hAnsi="Times New Roman" w:eastAsia="方正小标宋简体" w:cs="Times New Roman"/>
          <w:spacing w:val="74"/>
          <w:kern w:val="0"/>
          <w:sz w:val="52"/>
          <w:szCs w:val="52"/>
          <w:lang w:eastAsia="zh-CN"/>
        </w:rPr>
        <w:t>威海市文登区</w:t>
      </w:r>
      <w:r>
        <w:rPr>
          <w:rFonts w:hint="default" w:ascii="Times New Roman" w:hAnsi="Times New Roman" w:eastAsia="方正小标宋简体" w:cs="Times New Roman"/>
          <w:spacing w:val="40"/>
          <w:w w:val="100"/>
          <w:kern w:val="0"/>
          <w:sz w:val="48"/>
          <w:szCs w:val="48"/>
        </w:rPr>
        <w:t>发展和改革局</w:t>
      </w:r>
    </w:p>
    <w:p w14:paraId="5EDE0BA1">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方正小标宋简体" w:cs="Times New Roman"/>
          <w:spacing w:val="40"/>
          <w:w w:val="100"/>
          <w:kern w:val="0"/>
          <w:sz w:val="48"/>
          <w:szCs w:val="48"/>
        </w:rPr>
      </w:pPr>
      <w:r>
        <w:rPr>
          <w:rFonts w:hint="eastAsia" w:ascii="Times New Roman" w:hAnsi="Times New Roman" w:eastAsia="方正小标宋简体" w:cs="Times New Roman"/>
          <w:spacing w:val="74"/>
          <w:kern w:val="0"/>
          <w:sz w:val="52"/>
          <w:szCs w:val="52"/>
          <w:lang w:eastAsia="zh-CN"/>
        </w:rPr>
        <w:t>威海市文登区</w:t>
      </w:r>
      <w:r>
        <w:rPr>
          <w:rFonts w:hint="default" w:ascii="Times New Roman" w:hAnsi="Times New Roman" w:eastAsia="方正小标宋简体" w:cs="Times New Roman"/>
          <w:spacing w:val="28"/>
          <w:kern w:val="28"/>
          <w:sz w:val="48"/>
          <w:szCs w:val="48"/>
          <w:lang w:val="en-US" w:eastAsia="zh-CN"/>
        </w:rPr>
        <w:t>财   政   局</w:t>
      </w:r>
    </w:p>
    <w:p w14:paraId="5F88D665">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方正小标宋简体" w:cs="Times New Roman"/>
          <w:spacing w:val="28"/>
          <w:kern w:val="28"/>
          <w:sz w:val="48"/>
          <w:szCs w:val="48"/>
          <w:lang w:eastAsia="zh-CN"/>
        </w:rPr>
      </w:pPr>
      <w:r>
        <w:rPr>
          <w:rFonts w:hint="eastAsia" w:ascii="Times New Roman" w:hAnsi="Times New Roman" w:eastAsia="方正小标宋简体" w:cs="Times New Roman"/>
          <w:spacing w:val="74"/>
          <w:kern w:val="0"/>
          <w:sz w:val="52"/>
          <w:szCs w:val="52"/>
          <w:lang w:eastAsia="zh-CN"/>
        </w:rPr>
        <w:t>威海市文登区</w:t>
      </w:r>
      <w:r>
        <w:rPr>
          <w:rFonts w:hint="default" w:ascii="Times New Roman" w:hAnsi="Times New Roman" w:eastAsia="方正小标宋简体" w:cs="Times New Roman"/>
          <w:spacing w:val="28"/>
          <w:kern w:val="28"/>
          <w:sz w:val="48"/>
          <w:szCs w:val="48"/>
          <w:lang w:val="en-US" w:eastAsia="zh-CN"/>
        </w:rPr>
        <w:t xml:space="preserve">民   政   </w:t>
      </w:r>
      <w:r>
        <w:rPr>
          <w:rFonts w:hint="default" w:ascii="Times New Roman" w:hAnsi="Times New Roman" w:eastAsia="方正小标宋简体" w:cs="Times New Roman"/>
          <w:spacing w:val="28"/>
          <w:kern w:val="28"/>
          <w:sz w:val="48"/>
          <w:szCs w:val="48"/>
          <w:lang w:eastAsia="zh-CN"/>
        </w:rPr>
        <w:t>局</w:t>
      </w:r>
    </w:p>
    <w:p w14:paraId="2D687AE6">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default" w:ascii="Times New Roman" w:hAnsi="Times New Roman" w:eastAsia="仿宋_GB2312" w:cs="Times New Roman"/>
          <w:sz w:val="36"/>
          <w:szCs w:val="36"/>
        </w:rPr>
      </w:pPr>
      <w:r>
        <w:rPr>
          <w:rFonts w:hint="eastAsia" w:ascii="Times New Roman" w:hAnsi="Times New Roman" w:eastAsia="方正小标宋简体" w:cs="Times New Roman"/>
          <w:spacing w:val="74"/>
          <w:kern w:val="0"/>
          <w:sz w:val="52"/>
          <w:szCs w:val="52"/>
          <w:lang w:eastAsia="zh-CN"/>
        </w:rPr>
        <w:t>威海市文登区</w:t>
      </w:r>
      <w:r>
        <w:rPr>
          <w:rFonts w:hint="default" w:ascii="Times New Roman" w:hAnsi="Times New Roman" w:eastAsia="方正小标宋简体" w:cs="Times New Roman"/>
          <w:spacing w:val="-28"/>
          <w:kern w:val="28"/>
          <w:sz w:val="48"/>
          <w:szCs w:val="48"/>
          <w:lang w:val="en-US" w:eastAsia="zh-CN"/>
        </w:rPr>
        <w:t>住房</w:t>
      </w:r>
      <w:r>
        <w:rPr>
          <w:rFonts w:hint="eastAsia" w:ascii="Times New Roman" w:hAnsi="Times New Roman" w:eastAsia="方正小标宋简体" w:cs="Times New Roman"/>
          <w:spacing w:val="-28"/>
          <w:kern w:val="28"/>
          <w:sz w:val="48"/>
          <w:szCs w:val="48"/>
          <w:lang w:val="en-US" w:eastAsia="zh-CN"/>
        </w:rPr>
        <w:t>和</w:t>
      </w:r>
      <w:r>
        <w:rPr>
          <w:rFonts w:hint="default" w:ascii="Times New Roman" w:hAnsi="Times New Roman" w:eastAsia="方正小标宋简体" w:cs="Times New Roman"/>
          <w:spacing w:val="-28"/>
          <w:kern w:val="28"/>
          <w:sz w:val="48"/>
          <w:szCs w:val="48"/>
          <w:lang w:val="en-US" w:eastAsia="zh-CN"/>
        </w:rPr>
        <w:t>城乡建设局</w:t>
      </w:r>
    </w:p>
    <w:p w14:paraId="2E42A79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w w:val="99"/>
          <w:sz w:val="32"/>
          <w:szCs w:val="32"/>
          <w:highlight w:val="none"/>
          <w:lang w:val="en-US" w:eastAsia="zh-CN"/>
        </w:rPr>
      </w:pPr>
    </w:p>
    <w:p w14:paraId="3BC178B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 w:val="32"/>
          <w:szCs w:val="32"/>
        </w:rPr>
      </w:pPr>
      <w:bookmarkStart w:id="0" w:name="_GoBack"/>
      <w:bookmarkEnd w:id="0"/>
      <w:r>
        <w:rPr>
          <w:rFonts w:hint="default" w:ascii="Times New Roman" w:hAnsi="Times New Roman" w:eastAsia="仿宋_GB2312" w:cs="Times New Roman"/>
          <w:w w:val="99"/>
          <w:sz w:val="32"/>
          <w:szCs w:val="32"/>
          <w:highlight w:val="none"/>
          <w:lang w:val="en-US" w:eastAsia="zh-CN"/>
        </w:rPr>
        <w:t>威文发改发</w:t>
      </w: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75</w:t>
      </w:r>
      <w:r>
        <w:rPr>
          <w:rFonts w:hint="default" w:ascii="Times New Roman" w:hAnsi="Times New Roman" w:eastAsia="仿宋_GB2312" w:cs="Times New Roman"/>
          <w:sz w:val="32"/>
          <w:szCs w:val="32"/>
        </w:rPr>
        <w:t>号</w:t>
      </w:r>
    </w:p>
    <w:p w14:paraId="115F9B96">
      <w:pPr>
        <w:pStyle w:val="7"/>
        <w:keepNext w:val="0"/>
        <w:keepLines w:val="0"/>
        <w:pageBreakBefore w:val="0"/>
        <w:kinsoku/>
        <w:wordWrap/>
        <w:overflowPunct/>
        <w:topLinePunct w:val="0"/>
        <w:bidi w:val="0"/>
        <w:spacing w:line="560" w:lineRule="exact"/>
        <w:textAlignment w:val="auto"/>
        <w:rPr>
          <w:rFonts w:hint="default" w:ascii="Times New Roman" w:hAnsi="Times New Roman" w:cs="Times New Roman"/>
          <w:lang w:val="en-US" w:eastAsia="zh-CN"/>
        </w:rPr>
      </w:pPr>
    </w:p>
    <w:p w14:paraId="0562CCF4">
      <w:pPr>
        <w:pStyle w:val="7"/>
        <w:keepNext w:val="0"/>
        <w:keepLines w:val="0"/>
        <w:pageBreakBefore w:val="0"/>
        <w:kinsoku/>
        <w:wordWrap/>
        <w:overflowPunct/>
        <w:topLinePunct w:val="0"/>
        <w:bidi w:val="0"/>
        <w:spacing w:line="560" w:lineRule="exact"/>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关于调整文登</w:t>
      </w:r>
      <w:r>
        <w:rPr>
          <w:rFonts w:hint="default" w:ascii="Times New Roman" w:hAnsi="Times New Roman" w:cs="Times New Roman"/>
        </w:rPr>
        <w:t>区</w:t>
      </w:r>
      <w:r>
        <w:rPr>
          <w:rFonts w:hint="default" w:ascii="Times New Roman" w:hAnsi="Times New Roman" w:cs="Times New Roman"/>
          <w:lang w:val="en-US" w:eastAsia="zh-CN"/>
        </w:rPr>
        <w:t>居民用管道天然气</w:t>
      </w:r>
    </w:p>
    <w:p w14:paraId="6FA4BE53">
      <w:pPr>
        <w:pStyle w:val="7"/>
        <w:keepNext w:val="0"/>
        <w:keepLines w:val="0"/>
        <w:pageBreakBefore w:val="0"/>
        <w:kinsoku/>
        <w:wordWrap/>
        <w:overflowPunct/>
        <w:topLinePunct w:val="0"/>
        <w:bidi w:val="0"/>
        <w:spacing w:line="560" w:lineRule="exact"/>
        <w:textAlignment w:val="auto"/>
        <w:rPr>
          <w:rFonts w:hint="default" w:ascii="Times New Roman" w:hAnsi="Times New Roman" w:cs="Times New Roman"/>
          <w:lang w:val="en-US" w:eastAsia="zh-CN"/>
        </w:rPr>
      </w:pPr>
      <w:r>
        <w:rPr>
          <w:rFonts w:hint="default" w:ascii="Times New Roman" w:hAnsi="Times New Roman" w:cs="Times New Roman"/>
          <w:lang w:val="en-US" w:eastAsia="zh-CN"/>
        </w:rPr>
        <w:t>销售</w:t>
      </w:r>
      <w:r>
        <w:rPr>
          <w:rFonts w:hint="default" w:ascii="Times New Roman" w:hAnsi="Times New Roman" w:cs="Times New Roman"/>
        </w:rPr>
        <w:t>价格</w:t>
      </w:r>
      <w:r>
        <w:rPr>
          <w:rFonts w:hint="default" w:ascii="Times New Roman" w:hAnsi="Times New Roman" w:cs="Times New Roman"/>
          <w:lang w:val="en-US" w:eastAsia="zh-CN"/>
        </w:rPr>
        <w:t>的通知</w:t>
      </w:r>
    </w:p>
    <w:p w14:paraId="280B712B">
      <w:pPr>
        <w:keepNext w:val="0"/>
        <w:keepLines w:val="0"/>
        <w:pageBreakBefore w:val="0"/>
        <w:kinsoku/>
        <w:wordWrap/>
        <w:overflowPunct/>
        <w:topLinePunct w:val="0"/>
        <w:bidi w:val="0"/>
        <w:spacing w:line="560" w:lineRule="exact"/>
        <w:textAlignment w:val="auto"/>
        <w:rPr>
          <w:rFonts w:hint="default" w:ascii="Times New Roman" w:hAnsi="Times New Roman" w:cs="Times New Roman"/>
          <w:lang w:val="en-US" w:eastAsia="zh-CN"/>
        </w:rPr>
      </w:pPr>
    </w:p>
    <w:p w14:paraId="302B815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各有关天然气经营企业：</w:t>
      </w:r>
    </w:p>
    <w:p w14:paraId="151BA39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为进一步疏导居民用管道天然气价格矛盾，根据《山东省发展和改革委员会关于落实居民用气价格联动政策的通知》（鲁发改价格〔2023〕286号）和《威海市</w:t>
      </w:r>
      <w:r>
        <w:rPr>
          <w:rFonts w:hint="default" w:ascii="Times New Roman" w:hAnsi="Times New Roman" w:eastAsia="仿宋_GB2312" w:cs="Times New Roman"/>
          <w:sz w:val="32"/>
          <w:szCs w:val="32"/>
          <w:lang w:val="en-US" w:eastAsia="zh-CN"/>
        </w:rPr>
        <w:t>文登区</w:t>
      </w:r>
      <w:r>
        <w:rPr>
          <w:rFonts w:hint="default" w:ascii="Times New Roman" w:hAnsi="Times New Roman" w:eastAsia="仿宋_GB2312" w:cs="Times New Roman"/>
          <w:sz w:val="32"/>
          <w:szCs w:val="32"/>
        </w:rPr>
        <w:t>发展和改革</w:t>
      </w:r>
      <w:r>
        <w:rPr>
          <w:rFonts w:hint="default" w:ascii="Times New Roman" w:hAnsi="Times New Roman" w:eastAsia="仿宋_GB2312" w:cs="Times New Roman"/>
          <w:sz w:val="32"/>
          <w:szCs w:val="32"/>
          <w:lang w:val="en-US" w:eastAsia="zh-CN"/>
        </w:rPr>
        <w:t>局</w:t>
      </w:r>
      <w:r>
        <w:rPr>
          <w:rFonts w:hint="default" w:ascii="Times New Roman" w:hAnsi="Times New Roman" w:eastAsia="仿宋_GB2312" w:cs="Times New Roman"/>
          <w:sz w:val="32"/>
          <w:szCs w:val="32"/>
        </w:rPr>
        <w:t>关于</w:t>
      </w:r>
      <w:r>
        <w:rPr>
          <w:rFonts w:hint="default" w:ascii="Times New Roman" w:hAnsi="Times New Roman" w:eastAsia="仿宋_GB2312" w:cs="Times New Roman"/>
          <w:sz w:val="32"/>
          <w:szCs w:val="32"/>
          <w:lang w:val="en-US" w:eastAsia="zh-CN"/>
        </w:rPr>
        <w:t>建立</w:t>
      </w:r>
      <w:r>
        <w:rPr>
          <w:rFonts w:hint="default" w:ascii="Times New Roman" w:hAnsi="Times New Roman" w:eastAsia="仿宋_GB2312" w:cs="Times New Roman"/>
          <w:sz w:val="32"/>
          <w:szCs w:val="32"/>
        </w:rPr>
        <w:t>管道天然气上下游价格联动机制的通知》（威</w:t>
      </w:r>
      <w:r>
        <w:rPr>
          <w:rFonts w:hint="default" w:ascii="Times New Roman" w:hAnsi="Times New Roman" w:eastAsia="仿宋_GB2312" w:cs="Times New Roman"/>
          <w:sz w:val="32"/>
          <w:szCs w:val="32"/>
          <w:lang w:val="en-US" w:eastAsia="zh-CN"/>
        </w:rPr>
        <w:t>文</w:t>
      </w:r>
      <w:r>
        <w:rPr>
          <w:rFonts w:hint="default" w:ascii="Times New Roman" w:hAnsi="Times New Roman" w:eastAsia="仿宋_GB2312" w:cs="Times New Roman"/>
          <w:sz w:val="32"/>
          <w:szCs w:val="32"/>
        </w:rPr>
        <w:t>发改发〔2020〕</w:t>
      </w:r>
      <w:r>
        <w:rPr>
          <w:rFonts w:hint="default" w:ascii="Times New Roman" w:hAnsi="Times New Roman" w:eastAsia="仿宋_GB2312" w:cs="Times New Roman"/>
          <w:sz w:val="32"/>
          <w:szCs w:val="32"/>
          <w:lang w:val="en-US" w:eastAsia="zh-CN"/>
        </w:rPr>
        <w:t>102</w:t>
      </w:r>
      <w:r>
        <w:rPr>
          <w:rFonts w:hint="default" w:ascii="Times New Roman" w:hAnsi="Times New Roman" w:eastAsia="仿宋_GB2312" w:cs="Times New Roman"/>
          <w:sz w:val="32"/>
          <w:szCs w:val="32"/>
        </w:rPr>
        <w:t>号）等有关要求，结合上游气源价格变动情况，</w:t>
      </w:r>
      <w:r>
        <w:rPr>
          <w:rFonts w:hint="default" w:ascii="Times New Roman" w:hAnsi="Times New Roman" w:eastAsia="仿宋_GB2312" w:cs="Times New Roman"/>
          <w:sz w:val="32"/>
          <w:szCs w:val="32"/>
          <w:lang w:val="en-US" w:eastAsia="zh-CN"/>
        </w:rPr>
        <w:t>经研究，决定联动</w:t>
      </w:r>
      <w:r>
        <w:rPr>
          <w:rFonts w:hint="default" w:ascii="Times New Roman" w:hAnsi="Times New Roman" w:eastAsia="仿宋_GB2312" w:cs="Times New Roman"/>
          <w:sz w:val="32"/>
          <w:szCs w:val="32"/>
        </w:rPr>
        <w:t>调整</w:t>
      </w:r>
      <w:r>
        <w:rPr>
          <w:rFonts w:hint="default" w:ascii="Times New Roman" w:hAnsi="Times New Roman" w:eastAsia="仿宋_GB2312" w:cs="Times New Roman"/>
          <w:sz w:val="32"/>
          <w:szCs w:val="32"/>
          <w:lang w:val="en-US" w:eastAsia="zh-CN"/>
        </w:rPr>
        <w:t>文登</w:t>
      </w:r>
      <w:r>
        <w:rPr>
          <w:rFonts w:hint="default" w:ascii="Times New Roman" w:hAnsi="Times New Roman" w:eastAsia="仿宋_GB2312" w:cs="Times New Roman"/>
          <w:sz w:val="32"/>
          <w:szCs w:val="32"/>
        </w:rPr>
        <w:t>区（含</w:t>
      </w:r>
      <w:r>
        <w:rPr>
          <w:rFonts w:hint="default" w:ascii="Times New Roman" w:hAnsi="Times New Roman" w:eastAsia="仿宋_GB2312" w:cs="Times New Roman"/>
          <w:sz w:val="32"/>
          <w:szCs w:val="32"/>
          <w:lang w:val="en-US" w:eastAsia="zh-CN"/>
        </w:rPr>
        <w:t>南海新</w:t>
      </w:r>
      <w:r>
        <w:rPr>
          <w:rFonts w:hint="default" w:ascii="Times New Roman" w:hAnsi="Times New Roman" w:eastAsia="仿宋_GB2312" w:cs="Times New Roman"/>
          <w:sz w:val="32"/>
          <w:szCs w:val="32"/>
        </w:rPr>
        <w:t>区）居民用管道天然气销售价格</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现将有关事项通知如下</w:t>
      </w:r>
      <w:r>
        <w:rPr>
          <w:rFonts w:hint="default" w:ascii="Times New Roman" w:hAnsi="Times New Roman" w:eastAsia="仿宋_GB2312" w:cs="Times New Roman"/>
          <w:sz w:val="32"/>
          <w:szCs w:val="32"/>
        </w:rPr>
        <w:t>：</w:t>
      </w:r>
    </w:p>
    <w:p w14:paraId="18E1052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一、居民用气继续实施阶梯价格制度</w:t>
      </w:r>
    </w:p>
    <w:p w14:paraId="6A5B5C3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sectPr>
          <w:pgSz w:w="11906" w:h="16838"/>
          <w:pgMar w:top="2154" w:right="1531" w:bottom="1871" w:left="1531" w:header="851" w:footer="992" w:gutter="0"/>
          <w:pgNumType w:fmt="numberInDash"/>
          <w:cols w:space="0" w:num="1"/>
          <w:rtlGutter w:val="0"/>
          <w:docGrid w:type="lines" w:linePitch="312" w:charSpace="0"/>
        </w:sectPr>
      </w:pPr>
    </w:p>
    <w:p w14:paraId="797130B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（一）普通用户，按户年用气量分三个阶梯</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第一阶梯为216立方米（含）以内的部分，价格调整为3.28元/立方米；第二阶梯为216-336立方米（含）之间的部分，价格调整为3.86元/立方米；第三阶梯为超过336立方米以上的部分，价格调整为4.73元/立方米。</w:t>
      </w:r>
    </w:p>
    <w:p w14:paraId="6DD24CE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（二）不具备集中供热条件的天然气独立采暖用户，按户年用气量分两个阶梯</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第一阶梯为1800立方米（含）以内的部分，价格调整为</w:t>
      </w:r>
      <w:r>
        <w:rPr>
          <w:rFonts w:hint="default" w:ascii="Times New Roman" w:hAnsi="Times New Roman" w:eastAsia="仿宋_GB2312" w:cs="Times New Roman"/>
          <w:sz w:val="32"/>
          <w:szCs w:val="32"/>
          <w:lang w:val="en-US" w:eastAsia="zh-CN"/>
        </w:rPr>
        <w:t>3.28</w:t>
      </w:r>
      <w:r>
        <w:rPr>
          <w:rFonts w:hint="default" w:ascii="Times New Roman" w:hAnsi="Times New Roman" w:eastAsia="仿宋_GB2312" w:cs="Times New Roman"/>
          <w:sz w:val="32"/>
          <w:szCs w:val="32"/>
        </w:rPr>
        <w:t>元/立方米；第二阶梯为超过1800立方米以上的部分，价格调整为3.</w:t>
      </w:r>
      <w:r>
        <w:rPr>
          <w:rFonts w:hint="default" w:ascii="Times New Roman" w:hAnsi="Times New Roman" w:eastAsia="仿宋_GB2312" w:cs="Times New Roman"/>
          <w:sz w:val="32"/>
          <w:szCs w:val="32"/>
          <w:lang w:val="en-US" w:eastAsia="zh-CN"/>
        </w:rPr>
        <w:t>86</w:t>
      </w:r>
      <w:r>
        <w:rPr>
          <w:rFonts w:hint="default" w:ascii="Times New Roman" w:hAnsi="Times New Roman" w:eastAsia="仿宋_GB2312" w:cs="Times New Roman"/>
          <w:sz w:val="32"/>
          <w:szCs w:val="32"/>
        </w:rPr>
        <w:t>元/立方米。</w:t>
      </w:r>
    </w:p>
    <w:p w14:paraId="42B3554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（三）居民阶梯气价以年度为执行周期，用气量在周期之间不累计、不结转。新通气</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新过户</w:t>
      </w:r>
      <w:r>
        <w:rPr>
          <w:rFonts w:hint="default" w:ascii="Times New Roman" w:hAnsi="Times New Roman" w:eastAsia="仿宋_GB2312" w:cs="Times New Roman"/>
          <w:sz w:val="32"/>
          <w:szCs w:val="32"/>
        </w:rPr>
        <w:t>的居民用户，通气</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过户</w:t>
      </w:r>
      <w:r>
        <w:rPr>
          <w:rFonts w:hint="default" w:ascii="Times New Roman" w:hAnsi="Times New Roman" w:eastAsia="仿宋_GB2312" w:cs="Times New Roman"/>
          <w:sz w:val="32"/>
          <w:szCs w:val="32"/>
        </w:rPr>
        <w:t>当年按实际用气月数计算阶梯分档气量。</w:t>
      </w:r>
    </w:p>
    <w:p w14:paraId="6F12874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（四）户籍人口超过4人（不含）的家庭用户，每增加1人，年用气量基数相应增加54立方米。</w:t>
      </w:r>
    </w:p>
    <w:p w14:paraId="44436D5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（五）价格调整前，预购买气量的磁卡表用户已购买的预付气量价格不再追溯。</w:t>
      </w:r>
    </w:p>
    <w:p w14:paraId="108CDA3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二、学校、</w:t>
      </w:r>
      <w:r>
        <w:rPr>
          <w:rFonts w:hint="default" w:ascii="Times New Roman" w:hAnsi="Times New Roman" w:eastAsia="仿宋_GB2312" w:cs="Times New Roman"/>
          <w:sz w:val="32"/>
          <w:szCs w:val="32"/>
          <w:lang w:val="en-US" w:eastAsia="zh-CN"/>
        </w:rPr>
        <w:t>幼儿园、托育机构、</w:t>
      </w:r>
      <w:r>
        <w:rPr>
          <w:rFonts w:hint="default" w:ascii="Times New Roman" w:hAnsi="Times New Roman" w:eastAsia="仿宋_GB2312" w:cs="Times New Roman"/>
          <w:sz w:val="32"/>
          <w:szCs w:val="32"/>
        </w:rPr>
        <w:t>社会福利场所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城乡社区居（村）民委员会</w:t>
      </w:r>
      <w:r>
        <w:rPr>
          <w:rFonts w:hint="default" w:ascii="Times New Roman" w:hAnsi="Times New Roman" w:eastAsia="仿宋_GB2312" w:cs="Times New Roman"/>
          <w:sz w:val="32"/>
          <w:szCs w:val="32"/>
          <w:lang w:val="en-US" w:eastAsia="zh-CN"/>
        </w:rPr>
        <w:t>以及</w:t>
      </w:r>
      <w:r>
        <w:rPr>
          <w:rFonts w:hint="default" w:ascii="Times New Roman" w:hAnsi="Times New Roman" w:eastAsia="仿宋_GB2312" w:cs="Times New Roman"/>
          <w:sz w:val="32"/>
          <w:szCs w:val="32"/>
        </w:rPr>
        <w:t>居民住宅小区公共场所等</w:t>
      </w:r>
      <w:r>
        <w:rPr>
          <w:rFonts w:hint="default" w:ascii="Times New Roman" w:hAnsi="Times New Roman" w:eastAsia="仿宋_GB2312" w:cs="Times New Roman"/>
          <w:sz w:val="32"/>
          <w:szCs w:val="32"/>
          <w:lang w:val="en-US" w:eastAsia="zh-CN"/>
        </w:rPr>
        <w:t>按规定</w:t>
      </w:r>
      <w:r>
        <w:rPr>
          <w:rFonts w:hint="default" w:ascii="Times New Roman" w:hAnsi="Times New Roman" w:eastAsia="仿宋_GB2312" w:cs="Times New Roman"/>
          <w:sz w:val="32"/>
          <w:szCs w:val="32"/>
        </w:rPr>
        <w:t>执行居民价格的非居民用户，不实行阶梯气价，价格调整为3.</w:t>
      </w:r>
      <w:r>
        <w:rPr>
          <w:rFonts w:hint="default" w:ascii="Times New Roman" w:hAnsi="Times New Roman" w:eastAsia="仿宋_GB2312" w:cs="Times New Roman"/>
          <w:sz w:val="32"/>
          <w:szCs w:val="32"/>
          <w:lang w:val="en-US" w:eastAsia="zh-CN"/>
        </w:rPr>
        <w:t>57</w:t>
      </w:r>
      <w:r>
        <w:rPr>
          <w:rFonts w:hint="default" w:ascii="Times New Roman" w:hAnsi="Times New Roman" w:eastAsia="仿宋_GB2312" w:cs="Times New Roman"/>
          <w:sz w:val="32"/>
          <w:szCs w:val="32"/>
        </w:rPr>
        <w:t>元</w:t>
      </w:r>
      <w:r>
        <w:rPr>
          <w:rFonts w:hint="default" w:ascii="Times New Roman" w:hAnsi="Times New Roman" w:eastAsia="仿宋_GB2312" w:cs="Times New Roman"/>
          <w:sz w:val="32"/>
          <w:szCs w:val="32"/>
          <w:lang w:val="en-US" w:eastAsia="zh-CN"/>
        </w:rPr>
        <w:t>/立方米</w:t>
      </w:r>
      <w:r>
        <w:rPr>
          <w:rFonts w:hint="default" w:ascii="Times New Roman" w:hAnsi="Times New Roman" w:eastAsia="仿宋_GB2312" w:cs="Times New Roman"/>
          <w:sz w:val="32"/>
          <w:szCs w:val="32"/>
        </w:rPr>
        <w:t>。</w:t>
      </w:r>
    </w:p>
    <w:p w14:paraId="50F4115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三、城乡低保和特困家庭生活用气</w:t>
      </w:r>
      <w:r>
        <w:rPr>
          <w:rFonts w:hint="eastAsia" w:ascii="Times New Roman" w:hAnsi="Times New Roman" w:eastAsia="仿宋_GB2312" w:cs="Times New Roman"/>
          <w:sz w:val="32"/>
          <w:szCs w:val="32"/>
          <w:lang w:val="en-US" w:eastAsia="zh-CN"/>
        </w:rPr>
        <w:t>价格不做调整</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仍按</w:t>
      </w:r>
      <w:r>
        <w:rPr>
          <w:rFonts w:hint="default" w:ascii="Times New Roman" w:hAnsi="Times New Roman" w:eastAsia="仿宋_GB2312" w:cs="Times New Roman"/>
          <w:sz w:val="32"/>
          <w:szCs w:val="32"/>
          <w:lang w:val="en-US" w:eastAsia="zh-CN"/>
        </w:rPr>
        <w:t>2.90元/立方米</w:t>
      </w:r>
      <w:r>
        <w:rPr>
          <w:rFonts w:hint="eastAsia" w:ascii="Times New Roman" w:hAnsi="Times New Roman" w:eastAsia="仿宋_GB2312" w:cs="Times New Roman"/>
          <w:sz w:val="32"/>
          <w:szCs w:val="32"/>
          <w:lang w:val="en-US" w:eastAsia="zh-CN"/>
        </w:rPr>
        <w:t>执行</w:t>
      </w:r>
      <w:r>
        <w:rPr>
          <w:rFonts w:hint="default" w:ascii="Times New Roman" w:hAnsi="Times New Roman" w:eastAsia="仿宋_GB2312" w:cs="Times New Roman"/>
          <w:sz w:val="32"/>
          <w:szCs w:val="32"/>
          <w:lang w:val="en-US" w:eastAsia="zh-CN"/>
        </w:rPr>
        <w:t>。</w:t>
      </w:r>
    </w:p>
    <w:p w14:paraId="1705B59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四</w:t>
      </w:r>
      <w:r>
        <w:rPr>
          <w:rFonts w:hint="default" w:ascii="Times New Roman" w:hAnsi="Times New Roman" w:eastAsia="仿宋_GB2312" w:cs="Times New Roman"/>
          <w:sz w:val="32"/>
          <w:szCs w:val="32"/>
        </w:rPr>
        <w:t>、管道天然气经营企业要严格执行天然气价格政策，做好价格公示、政策解释和调价抄表的衔接工作；定期向用户提供用气信息告知服务，指导提醒用户节约用气；普及安全用气、节约用气知识，落实安全巡检制度，保障居民安全用气。</w:t>
      </w:r>
    </w:p>
    <w:p w14:paraId="53105EA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本通知自2024年10月25日起执行。《威海市文登区物价局关于调整居民独立采暖天然气阶梯价格政策有关问题的通知》（文价工发〔2017〕19号）和《威海市文登区发展和改革局 威海市文登区财政局 威海市文登区住房和城乡建设局关于调整文登区居民用天然气销售价格的通知》（威文发改发〔2021〕93号）同时废止。</w:t>
      </w:r>
    </w:p>
    <w:p w14:paraId="6F0DE1B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p>
    <w:p w14:paraId="012B595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p>
    <w:p w14:paraId="701A4A00">
      <w:pPr>
        <w:keepNext w:val="0"/>
        <w:keepLines w:val="0"/>
        <w:pageBreakBefore w:val="0"/>
        <w:widowControl w:val="0"/>
        <w:tabs>
          <w:tab w:val="left" w:pos="7560"/>
        </w:tabs>
        <w:kinsoku/>
        <w:wordWrap/>
        <w:overflowPunct/>
        <w:topLinePunct w:val="0"/>
        <w:autoSpaceDE/>
        <w:autoSpaceDN/>
        <w:bidi w:val="0"/>
        <w:adjustRightInd/>
        <w:snapToGrid/>
        <w:spacing w:line="560" w:lineRule="exact"/>
        <w:ind w:firstLine="320" w:firstLineChars="100"/>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rPr>
        <w:t>威海市文登区发展和改革局</w:t>
      </w:r>
      <w:r>
        <w:rPr>
          <w:rFonts w:hint="default" w:ascii="Times New Roman" w:hAnsi="Times New Roman" w:eastAsia="仿宋_GB2312" w:cs="Times New Roman"/>
          <w:kern w:val="0"/>
          <w:sz w:val="32"/>
          <w:szCs w:val="32"/>
          <w:lang w:val="en-US" w:eastAsia="zh-CN"/>
        </w:rPr>
        <w:t xml:space="preserve">     </w:t>
      </w:r>
      <w:r>
        <w:rPr>
          <w:rFonts w:hint="default" w:ascii="Times New Roman" w:hAnsi="Times New Roman" w:eastAsia="仿宋_GB2312" w:cs="Times New Roman"/>
          <w:kern w:val="0"/>
          <w:sz w:val="32"/>
          <w:szCs w:val="32"/>
        </w:rPr>
        <w:t>威海市文登区</w:t>
      </w:r>
      <w:r>
        <w:rPr>
          <w:rFonts w:hint="default" w:ascii="Times New Roman" w:hAnsi="Times New Roman" w:eastAsia="仿宋_GB2312" w:cs="Times New Roman"/>
          <w:kern w:val="0"/>
          <w:sz w:val="32"/>
          <w:szCs w:val="32"/>
          <w:lang w:val="en-US" w:eastAsia="zh-CN"/>
        </w:rPr>
        <w:t>财政局</w:t>
      </w:r>
    </w:p>
    <w:p w14:paraId="60FF59B2">
      <w:pPr>
        <w:keepNext w:val="0"/>
        <w:keepLines w:val="0"/>
        <w:pageBreakBefore w:val="0"/>
        <w:widowControl w:val="0"/>
        <w:tabs>
          <w:tab w:val="left" w:pos="7560"/>
        </w:tabs>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kern w:val="0"/>
          <w:sz w:val="32"/>
          <w:szCs w:val="32"/>
          <w:lang w:eastAsia="zh-CN"/>
        </w:rPr>
      </w:pPr>
    </w:p>
    <w:p w14:paraId="37A8E3B6">
      <w:pPr>
        <w:keepNext w:val="0"/>
        <w:keepLines w:val="0"/>
        <w:pageBreakBefore w:val="0"/>
        <w:widowControl w:val="0"/>
        <w:tabs>
          <w:tab w:val="left" w:pos="7560"/>
        </w:tabs>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kern w:val="0"/>
          <w:sz w:val="32"/>
          <w:szCs w:val="32"/>
          <w:lang w:eastAsia="zh-CN"/>
        </w:rPr>
      </w:pPr>
    </w:p>
    <w:p w14:paraId="735A0DA2">
      <w:pPr>
        <w:keepNext w:val="0"/>
        <w:keepLines w:val="0"/>
        <w:pageBreakBefore w:val="0"/>
        <w:widowControl w:val="0"/>
        <w:tabs>
          <w:tab w:val="left" w:pos="7560"/>
        </w:tabs>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kern w:val="0"/>
          <w:sz w:val="32"/>
          <w:szCs w:val="32"/>
          <w:lang w:eastAsia="zh-CN"/>
        </w:rPr>
      </w:pPr>
    </w:p>
    <w:p w14:paraId="6531C3F6">
      <w:pPr>
        <w:keepNext w:val="0"/>
        <w:keepLines w:val="0"/>
        <w:pageBreakBefore w:val="0"/>
        <w:widowControl w:val="0"/>
        <w:tabs>
          <w:tab w:val="left" w:pos="7560"/>
        </w:tabs>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kern w:val="0"/>
          <w:sz w:val="32"/>
          <w:szCs w:val="32"/>
          <w:lang w:eastAsia="zh-CN"/>
        </w:rPr>
      </w:pPr>
    </w:p>
    <w:p w14:paraId="6FAEF7B9">
      <w:pPr>
        <w:keepNext w:val="0"/>
        <w:keepLines w:val="0"/>
        <w:pageBreakBefore w:val="0"/>
        <w:widowControl w:val="0"/>
        <w:tabs>
          <w:tab w:val="left" w:pos="7560"/>
        </w:tabs>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威海市文登区民政局    威海市文登区住房和城乡建设局</w:t>
      </w:r>
    </w:p>
    <w:p w14:paraId="504F13C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25</w:t>
      </w:r>
      <w:r>
        <w:rPr>
          <w:rFonts w:hint="default" w:ascii="Times New Roman" w:hAnsi="Times New Roman" w:eastAsia="仿宋_GB2312" w:cs="Times New Roman"/>
          <w:sz w:val="32"/>
          <w:szCs w:val="32"/>
        </w:rPr>
        <w:t>日</w:t>
      </w:r>
      <w:r>
        <w:rPr>
          <w:rFonts w:hint="default" w:ascii="Times New Roman" w:hAnsi="Times New Roman" w:eastAsia="仿宋_GB2312" w:cs="Times New Roman"/>
          <w:sz w:val="32"/>
          <w:szCs w:val="32"/>
          <w:lang w:val="en-US" w:eastAsia="zh-CN"/>
        </w:rPr>
        <w:t xml:space="preserve"> </w:t>
      </w:r>
    </w:p>
    <w:p w14:paraId="25357AB0">
      <w:pPr>
        <w:keepNext w:val="0"/>
        <w:keepLines w:val="0"/>
        <w:pageBreakBefore w:val="0"/>
        <w:widowControl w:val="0"/>
        <w:pBdr>
          <w:top w:val="none" w:color="auto" w:sz="0" w:space="1"/>
          <w:left w:val="none" w:color="auto" w:sz="0" w:space="0"/>
          <w:bottom w:val="none" w:color="auto" w:sz="0" w:space="1"/>
          <w:right w:val="none" w:color="auto" w:sz="0" w:space="0"/>
          <w:between w:val="none" w:color="auto" w:sz="0" w:space="0"/>
        </w:pBdr>
        <w:kinsoku/>
        <w:wordWrap/>
        <w:overflowPunct/>
        <w:topLinePunct w:val="0"/>
        <w:autoSpaceDE/>
        <w:autoSpaceDN/>
        <w:bidi w:val="0"/>
        <w:adjustRightInd w:val="0"/>
        <w:snapToGrid w:val="0"/>
        <w:spacing w:line="440" w:lineRule="exact"/>
        <w:textAlignment w:val="auto"/>
        <w:rPr>
          <w:rFonts w:hint="default" w:ascii="Times New Roman" w:hAnsi="Times New Roman" w:eastAsia="仿宋_GB2312" w:cs="Times New Roman"/>
          <w:color w:val="auto"/>
          <w:sz w:val="28"/>
          <w:szCs w:val="28"/>
          <w:lang w:eastAsia="zh-CN"/>
        </w:rPr>
      </w:pPr>
    </w:p>
    <w:p w14:paraId="3340B3C4">
      <w:pPr>
        <w:keepNext w:val="0"/>
        <w:keepLines w:val="0"/>
        <w:pageBreakBefore w:val="0"/>
        <w:widowControl w:val="0"/>
        <w:pBdr>
          <w:top w:val="none" w:color="auto" w:sz="0" w:space="1"/>
          <w:left w:val="none" w:color="auto" w:sz="0" w:space="0"/>
          <w:bottom w:val="none" w:color="auto" w:sz="0" w:space="1"/>
          <w:right w:val="none" w:color="auto" w:sz="0" w:space="0"/>
          <w:between w:val="none" w:color="auto" w:sz="0" w:space="0"/>
        </w:pBdr>
        <w:kinsoku/>
        <w:wordWrap/>
        <w:overflowPunct/>
        <w:topLinePunct w:val="0"/>
        <w:autoSpaceDE/>
        <w:autoSpaceDN/>
        <w:bidi w:val="0"/>
        <w:adjustRightInd w:val="0"/>
        <w:snapToGrid w:val="0"/>
        <w:spacing w:line="440" w:lineRule="exact"/>
        <w:textAlignment w:val="auto"/>
        <w:rPr>
          <w:rFonts w:hint="default" w:ascii="Times New Roman" w:hAnsi="Times New Roman" w:eastAsia="仿宋_GB2312" w:cs="Times New Roman"/>
          <w:color w:val="auto"/>
          <w:sz w:val="28"/>
          <w:szCs w:val="28"/>
          <w:lang w:eastAsia="zh-CN"/>
        </w:rPr>
      </w:pPr>
    </w:p>
    <w:p w14:paraId="59FF5DB3">
      <w:pPr>
        <w:keepNext w:val="0"/>
        <w:keepLines w:val="0"/>
        <w:pageBreakBefore w:val="0"/>
        <w:widowControl w:val="0"/>
        <w:pBdr>
          <w:top w:val="none" w:color="auto" w:sz="0" w:space="1"/>
          <w:left w:val="none" w:color="auto" w:sz="0" w:space="0"/>
          <w:bottom w:val="none" w:color="auto" w:sz="0" w:space="1"/>
          <w:right w:val="none" w:color="auto" w:sz="0" w:space="0"/>
          <w:between w:val="none" w:color="auto" w:sz="0" w:space="0"/>
        </w:pBdr>
        <w:kinsoku/>
        <w:wordWrap/>
        <w:overflowPunct/>
        <w:topLinePunct w:val="0"/>
        <w:autoSpaceDE/>
        <w:autoSpaceDN/>
        <w:bidi w:val="0"/>
        <w:adjustRightInd w:val="0"/>
        <w:snapToGrid w:val="0"/>
        <w:spacing w:line="440" w:lineRule="exact"/>
        <w:ind w:left="319" w:leftChars="152" w:firstLine="0" w:firstLineChars="0"/>
        <w:textAlignment w:val="auto"/>
        <w:rPr>
          <w:rFonts w:hint="default" w:ascii="Times New Roman" w:hAnsi="Times New Roman" w:eastAsia="仿宋_GB2312" w:cs="Times New Roman"/>
          <w:color w:val="auto"/>
          <w:sz w:val="28"/>
          <w:szCs w:val="28"/>
          <w:lang w:eastAsia="zh-CN"/>
        </w:rPr>
      </w:pPr>
      <w:r>
        <w:rPr>
          <w:rFonts w:hint="default" w:ascii="Times New Roman" w:hAnsi="Times New Roman" w:eastAsia="仿宋_GB2312" w:cs="Times New Roman"/>
          <w:sz w:val="32"/>
          <w:szCs w:val="32"/>
        </w:rPr>
        <mc:AlternateContent>
          <mc:Choice Requires="wps">
            <w:drawing>
              <wp:anchor distT="0" distB="0" distL="114300" distR="114300" simplePos="0" relativeHeight="251659264" behindDoc="0" locked="0" layoutInCell="1" allowOverlap="1">
                <wp:simplePos x="0" y="0"/>
                <wp:positionH relativeFrom="page">
                  <wp:posOffset>987425</wp:posOffset>
                </wp:positionH>
                <wp:positionV relativeFrom="page">
                  <wp:posOffset>8599170</wp:posOffset>
                </wp:positionV>
                <wp:extent cx="5591175" cy="0"/>
                <wp:effectExtent l="0" t="6350" r="0" b="6350"/>
                <wp:wrapNone/>
                <wp:docPr id="16" name="直接连接符 16"/>
                <wp:cNvGraphicFramePr/>
                <a:graphic xmlns:a="http://schemas.openxmlformats.org/drawingml/2006/main">
                  <a:graphicData uri="http://schemas.microsoft.com/office/word/2010/wordprocessingShape">
                    <wps:wsp>
                      <wps:cNvCnPr/>
                      <wps:spPr>
                        <a:xfrm flipV="1">
                          <a:off x="0" y="0"/>
                          <a:ext cx="5591175" cy="0"/>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77.75pt;margin-top:677.1pt;height:0pt;width:440.25pt;mso-position-horizontal-relative:page;mso-position-vertical-relative:page;z-index:251659264;mso-width-relative:page;mso-height-relative:page;" filled="f" stroked="t" coordsize="21600,21600" o:gfxdata="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FGqqM/ZAAAADgEAAA8AAAAAAAAAAQAgAAAAIgAAAGRycy9kb3du&#10;cmV2LnhtbFBLAQIUABQAAAAIAIdO4kC/l+BW/gEAAPEDAAAOAAAAAAAAAAEAIAAAACgBAABkcnMv&#10;ZTJvRG9jLnhtbFBLBQYAAAAABgAGAFkBAACYBQAAAAA=&#10;">
                <v:fill on="f" focussize="0,0"/>
                <v:stroke weight="1pt" color="#000000" joinstyle="round"/>
                <v:imagedata o:title=""/>
                <o:lock v:ext="edit" aspectratio="f"/>
              </v:line>
            </w:pict>
          </mc:Fallback>
        </mc:AlternateContent>
      </w:r>
    </w:p>
    <w:p w14:paraId="48FD4FAD">
      <w:pPr>
        <w:keepNext w:val="0"/>
        <w:keepLines w:val="0"/>
        <w:pageBreakBefore w:val="0"/>
        <w:widowControl w:val="0"/>
        <w:pBdr>
          <w:top w:val="none" w:color="auto" w:sz="0" w:space="1"/>
          <w:left w:val="none" w:color="auto" w:sz="0" w:space="0"/>
          <w:bottom w:val="none" w:color="auto" w:sz="0" w:space="1"/>
          <w:right w:val="none" w:color="auto" w:sz="0" w:space="0"/>
          <w:between w:val="none" w:color="auto" w:sz="0" w:space="0"/>
        </w:pBdr>
        <w:kinsoku/>
        <w:wordWrap/>
        <w:overflowPunct/>
        <w:topLinePunct w:val="0"/>
        <w:autoSpaceDE/>
        <w:autoSpaceDN/>
        <w:bidi w:val="0"/>
        <w:adjustRightInd w:val="0"/>
        <w:snapToGrid w:val="0"/>
        <w:spacing w:line="400" w:lineRule="exact"/>
        <w:ind w:left="319" w:leftChars="152" w:firstLine="0" w:firstLineChars="0"/>
        <w:textAlignment w:val="auto"/>
        <w:rPr>
          <w:rFonts w:hint="eastAsia"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eastAsia="zh-CN"/>
        </w:rPr>
        <w:t>抄送：市发展改革委</w:t>
      </w:r>
      <w:r>
        <w:rPr>
          <w:rFonts w:hint="eastAsia" w:ascii="Times New Roman" w:hAnsi="Times New Roman" w:eastAsia="仿宋_GB2312" w:cs="Times New Roman"/>
          <w:color w:val="auto"/>
          <w:sz w:val="28"/>
          <w:szCs w:val="28"/>
          <w:lang w:eastAsia="zh-CN"/>
        </w:rPr>
        <w:t>，</w:t>
      </w:r>
      <w:r>
        <w:rPr>
          <w:rFonts w:hint="eastAsia" w:ascii="Times New Roman" w:hAnsi="Times New Roman" w:eastAsia="仿宋_GB2312" w:cs="Times New Roman"/>
          <w:color w:val="auto"/>
          <w:sz w:val="28"/>
          <w:szCs w:val="28"/>
          <w:lang w:val="en-US" w:eastAsia="zh-CN"/>
        </w:rPr>
        <w:t>区政府办公室</w:t>
      </w:r>
      <w:r>
        <w:rPr>
          <w:rFonts w:hint="eastAsia" w:ascii="Times New Roman" w:hAnsi="Times New Roman" w:eastAsia="仿宋_GB2312" w:cs="Times New Roman"/>
          <w:color w:val="auto"/>
          <w:sz w:val="28"/>
          <w:szCs w:val="28"/>
          <w:lang w:eastAsia="zh-CN"/>
        </w:rPr>
        <w:t>，</w:t>
      </w:r>
      <w:r>
        <w:rPr>
          <w:rFonts w:hint="eastAsia" w:ascii="Times New Roman" w:hAnsi="Times New Roman" w:eastAsia="仿宋_GB2312" w:cs="Times New Roman"/>
          <w:color w:val="auto"/>
          <w:sz w:val="28"/>
          <w:szCs w:val="28"/>
          <w:lang w:val="en-US" w:eastAsia="zh-CN"/>
        </w:rPr>
        <w:t>南海新区管委，区教育体育</w:t>
      </w:r>
    </w:p>
    <w:p w14:paraId="1862A889">
      <w:pPr>
        <w:keepNext w:val="0"/>
        <w:keepLines w:val="0"/>
        <w:pageBreakBefore w:val="0"/>
        <w:widowControl w:val="0"/>
        <w:pBdr>
          <w:top w:val="none" w:color="auto" w:sz="0" w:space="1"/>
          <w:left w:val="none" w:color="auto" w:sz="0" w:space="0"/>
          <w:bottom w:val="none" w:color="auto" w:sz="0" w:space="1"/>
          <w:right w:val="none" w:color="auto" w:sz="0" w:space="0"/>
          <w:between w:val="none" w:color="auto" w:sz="0" w:space="0"/>
        </w:pBdr>
        <w:kinsoku/>
        <w:wordWrap/>
        <w:overflowPunct/>
        <w:topLinePunct w:val="0"/>
        <w:autoSpaceDE/>
        <w:autoSpaceDN/>
        <w:bidi w:val="0"/>
        <w:adjustRightInd w:val="0"/>
        <w:snapToGrid w:val="0"/>
        <w:spacing w:line="400" w:lineRule="exact"/>
        <w:ind w:left="319" w:leftChars="152" w:firstLine="840" w:firstLineChars="3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lang w:val="en-US" w:eastAsia="zh-CN"/>
        </w:rPr>
        <w:t>局、</w:t>
      </w:r>
      <w:r>
        <w:rPr>
          <w:rFonts w:hint="eastAsia" w:ascii="Times New Roman" w:hAnsi="Times New Roman" w:eastAsia="仿宋_GB2312" w:cs="Times New Roman"/>
          <w:color w:val="auto"/>
          <w:sz w:val="28"/>
          <w:szCs w:val="28"/>
          <w:lang w:val="en-US" w:eastAsia="zh-CN"/>
        </w:rPr>
        <w:t>卫生健康</w:t>
      </w:r>
      <w:r>
        <w:rPr>
          <w:rFonts w:hint="default" w:ascii="Times New Roman" w:hAnsi="Times New Roman" w:eastAsia="仿宋_GB2312" w:cs="Times New Roman"/>
          <w:color w:val="auto"/>
          <w:sz w:val="28"/>
          <w:szCs w:val="28"/>
          <w:lang w:val="en-US" w:eastAsia="zh-CN"/>
        </w:rPr>
        <w:t>局</w:t>
      </w:r>
      <w:r>
        <w:rPr>
          <w:rFonts w:hint="eastAsia" w:ascii="Times New Roman" w:hAnsi="Times New Roman" w:eastAsia="仿宋_GB2312" w:cs="Times New Roman"/>
          <w:color w:val="auto"/>
          <w:sz w:val="28"/>
          <w:szCs w:val="28"/>
          <w:lang w:val="en-US" w:eastAsia="zh-CN"/>
        </w:rPr>
        <w:t>、市场监管局</w:t>
      </w:r>
      <w:r>
        <w:rPr>
          <w:rFonts w:hint="default" w:ascii="Times New Roman" w:hAnsi="Times New Roman" w:eastAsia="仿宋_GB2312" w:cs="Times New Roman"/>
          <w:color w:val="auto"/>
          <w:sz w:val="28"/>
          <w:szCs w:val="28"/>
          <w:lang w:eastAsia="zh-CN"/>
        </w:rPr>
        <w:t>。</w:t>
      </w:r>
    </w:p>
    <w:p w14:paraId="6881D42B">
      <w:pPr>
        <w:keepNext w:val="0"/>
        <w:keepLines w:val="0"/>
        <w:pageBreakBefore w:val="0"/>
        <w:widowControl w:val="0"/>
        <w:pBdr>
          <w:top w:val="none" w:color="auto" w:sz="0" w:space="1"/>
          <w:left w:val="none" w:color="auto" w:sz="0" w:space="0"/>
          <w:bottom w:val="none" w:color="auto" w:sz="0" w:space="1"/>
          <w:right w:val="none" w:color="auto" w:sz="0" w:space="0"/>
          <w:between w:val="none" w:color="auto" w:sz="0" w:space="0"/>
        </w:pBdr>
        <w:kinsoku/>
        <w:wordWrap/>
        <w:overflowPunct/>
        <w:topLinePunct w:val="0"/>
        <w:autoSpaceDE/>
        <w:autoSpaceDN/>
        <w:bidi w:val="0"/>
        <w:adjustRightInd w:val="0"/>
        <w:snapToGrid w:val="0"/>
        <w:spacing w:line="400" w:lineRule="exact"/>
        <w:ind w:firstLine="280" w:firstLineChars="1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28"/>
          <w:szCs w:val="28"/>
        </w:rPr>
        <mc:AlternateContent>
          <mc:Choice Requires="wps">
            <w:drawing>
              <wp:anchor distT="0" distB="0" distL="114300" distR="114300" simplePos="0" relativeHeight="251661312" behindDoc="0" locked="0" layoutInCell="1" allowOverlap="1">
                <wp:simplePos x="0" y="0"/>
                <wp:positionH relativeFrom="page">
                  <wp:posOffset>973455</wp:posOffset>
                </wp:positionH>
                <wp:positionV relativeFrom="page">
                  <wp:posOffset>9450070</wp:posOffset>
                </wp:positionV>
                <wp:extent cx="5591175" cy="0"/>
                <wp:effectExtent l="0" t="6350" r="0" b="6350"/>
                <wp:wrapNone/>
                <wp:docPr id="2" name="直接连接符 2"/>
                <wp:cNvGraphicFramePr/>
                <a:graphic xmlns:a="http://schemas.openxmlformats.org/drawingml/2006/main">
                  <a:graphicData uri="http://schemas.microsoft.com/office/word/2010/wordprocessingShape">
                    <wps:wsp>
                      <wps:cNvCnPr/>
                      <wps:spPr>
                        <a:xfrm flipV="1">
                          <a:off x="0" y="0"/>
                          <a:ext cx="5591175" cy="0"/>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76.65pt;margin-top:744.1pt;height:0pt;width:440.25pt;mso-position-horizontal-relative:page;mso-position-vertical-relative:page;z-index:251661312;mso-width-relative:page;mso-height-relative:page;" filled="f" stroked="t" coordsize="21600,21600" o:gfxdata="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7CmwIdkAAAAOAQAADwAAAAAAAAABACAAAAAiAAAAZHJzL2Rvd25y&#10;ZXYueG1sUEsBAhQAFAAAAAgAh07iQNLDUsr9AQAA7wMAAA4AAAAAAAAAAQAgAAAAKAEAAGRycy9l&#10;Mm9Eb2MueG1sUEsFBgAAAAAGAAYAWQEAAJcFAAAAAA==&#10;">
                <v:fill on="f" focussize="0,0"/>
                <v:stroke weight="1pt" color="#000000" joinstyle="round"/>
                <v:imagedata o:title=""/>
                <o:lock v:ext="edit" aspectratio="f"/>
              </v:line>
            </w:pict>
          </mc:Fallback>
        </mc:AlternateContent>
      </w:r>
      <w:r>
        <w:rPr>
          <w:rFonts w:hint="default" w:ascii="Times New Roman" w:hAnsi="Times New Roman" w:eastAsia="仿宋_GB2312" w:cs="Times New Roman"/>
          <w:sz w:val="28"/>
          <w:szCs w:val="28"/>
        </w:rPr>
        <mc:AlternateContent>
          <mc:Choice Requires="wps">
            <w:drawing>
              <wp:anchor distT="0" distB="0" distL="114300" distR="114300" simplePos="0" relativeHeight="251660288" behindDoc="0" locked="0" layoutInCell="1" allowOverlap="1">
                <wp:simplePos x="0" y="0"/>
                <wp:positionH relativeFrom="page">
                  <wp:posOffset>973455</wp:posOffset>
                </wp:positionH>
                <wp:positionV relativeFrom="page">
                  <wp:posOffset>9157970</wp:posOffset>
                </wp:positionV>
                <wp:extent cx="5591175" cy="0"/>
                <wp:effectExtent l="0" t="4445" r="0" b="5080"/>
                <wp:wrapNone/>
                <wp:docPr id="1" name="直接连接符 1"/>
                <wp:cNvGraphicFramePr/>
                <a:graphic xmlns:a="http://schemas.openxmlformats.org/drawingml/2006/main">
                  <a:graphicData uri="http://schemas.microsoft.com/office/word/2010/wordprocessingShape">
                    <wps:wsp>
                      <wps:cNvCnPr/>
                      <wps:spPr>
                        <a:xfrm flipV="1">
                          <a:off x="0" y="0"/>
                          <a:ext cx="5591175" cy="0"/>
                        </a:xfrm>
                        <a:prstGeom prst="line">
                          <a:avLst/>
                        </a:prstGeom>
                        <a:ln w="7200"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76.65pt;margin-top:721.1pt;height:0pt;width:440.25pt;mso-position-horizontal-relative:page;mso-position-vertical-relative:page;z-index:251660288;mso-width-relative:page;mso-height-relative:page;" filled="f" stroked="t" coordsize="21600,21600" o:gfxdata="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KR4ktzaAAAADgEAAA8AAAAAAAAAAQAgAAAAIgAAAGRycy9kb3ducmV2&#10;LnhtbFBLAQIUABQAAAAIAIdO4kA1clbj+gEAAO4DAAAOAAAAAAAAAAEAIAAAACkBAABkcnMvZTJv&#10;RG9jLnhtbFBLBQYAAAAABgAGAFkBAACVBQAAAAA=&#10;">
                <v:fill on="f" focussize="0,0"/>
                <v:stroke weight="0.566929133858268pt" color="#000000" joinstyle="round"/>
                <v:imagedata o:title=""/>
                <o:lock v:ext="edit" aspectratio="f"/>
              </v:line>
            </w:pict>
          </mc:Fallback>
        </mc:AlternateContent>
      </w:r>
      <w:r>
        <w:rPr>
          <w:rFonts w:hint="default" w:ascii="Times New Roman" w:hAnsi="Times New Roman" w:eastAsia="仿宋_GB2312" w:cs="Times New Roman"/>
          <w:color w:val="auto"/>
          <w:sz w:val="28"/>
          <w:szCs w:val="28"/>
        </w:rPr>
        <w:t>威海市</w:t>
      </w:r>
      <w:r>
        <w:rPr>
          <w:rFonts w:hint="default" w:ascii="Times New Roman" w:hAnsi="Times New Roman" w:eastAsia="仿宋_GB2312" w:cs="Times New Roman"/>
          <w:color w:val="auto"/>
          <w:sz w:val="28"/>
          <w:szCs w:val="28"/>
          <w:lang w:eastAsia="zh-CN"/>
        </w:rPr>
        <w:t>文登</w:t>
      </w:r>
      <w:r>
        <w:rPr>
          <w:rFonts w:hint="default" w:ascii="Times New Roman" w:hAnsi="Times New Roman" w:eastAsia="仿宋_GB2312" w:cs="Times New Roman"/>
          <w:color w:val="auto"/>
          <w:sz w:val="28"/>
          <w:szCs w:val="28"/>
        </w:rPr>
        <w:t>区</w:t>
      </w:r>
      <w:r>
        <w:rPr>
          <w:rFonts w:hint="default" w:ascii="Times New Roman" w:hAnsi="Times New Roman" w:eastAsia="仿宋_GB2312" w:cs="Times New Roman"/>
          <w:color w:val="auto"/>
          <w:sz w:val="28"/>
          <w:szCs w:val="28"/>
          <w:lang w:eastAsia="zh-CN"/>
        </w:rPr>
        <w:t>发展和改革</w:t>
      </w:r>
      <w:r>
        <w:rPr>
          <w:rFonts w:hint="default" w:ascii="Times New Roman" w:hAnsi="Times New Roman" w:eastAsia="仿宋_GB2312" w:cs="Times New Roman"/>
          <w:color w:val="auto"/>
          <w:sz w:val="28"/>
          <w:szCs w:val="28"/>
        </w:rPr>
        <w:t>局</w:t>
      </w:r>
      <w:r>
        <w:rPr>
          <w:rFonts w:hint="default" w:ascii="Times New Roman" w:hAnsi="Times New Roman" w:eastAsia="仿宋_GB2312" w:cs="Times New Roman"/>
          <w:color w:val="auto"/>
          <w:sz w:val="28"/>
          <w:szCs w:val="28"/>
          <w:lang w:val="en-US" w:eastAsia="zh-CN"/>
        </w:rPr>
        <w:t>办公室</w:t>
      </w:r>
      <w:r>
        <w:rPr>
          <w:rFonts w:hint="default" w:ascii="Times New Roman" w:hAnsi="Times New Roman" w:eastAsia="仿宋_GB2312" w:cs="Times New Roman"/>
          <w:color w:val="auto"/>
          <w:sz w:val="28"/>
          <w:szCs w:val="28"/>
        </w:rPr>
        <w:t xml:space="preserve">        </w:t>
      </w:r>
      <w:r>
        <w:rPr>
          <w:rFonts w:hint="default" w:ascii="Times New Roman" w:hAnsi="Times New Roman" w:eastAsia="仿宋_GB2312" w:cs="Times New Roman"/>
          <w:color w:val="auto"/>
          <w:sz w:val="28"/>
          <w:szCs w:val="28"/>
          <w:lang w:val="en-US" w:eastAsia="zh-CN"/>
        </w:rPr>
        <w:t xml:space="preserve">  </w:t>
      </w:r>
      <w:r>
        <w:rPr>
          <w:rFonts w:hint="default" w:ascii="Times New Roman" w:hAnsi="Times New Roman" w:eastAsia="仿宋_GB2312" w:cs="Times New Roman"/>
          <w:color w:val="auto"/>
          <w:sz w:val="28"/>
          <w:szCs w:val="28"/>
        </w:rPr>
        <w:t>20</w:t>
      </w:r>
      <w:r>
        <w:rPr>
          <w:rFonts w:hint="default" w:ascii="Times New Roman" w:hAnsi="Times New Roman" w:eastAsia="仿宋_GB2312" w:cs="Times New Roman"/>
          <w:color w:val="auto"/>
          <w:sz w:val="28"/>
          <w:szCs w:val="28"/>
          <w:lang w:val="en-US" w:eastAsia="zh-CN"/>
        </w:rPr>
        <w:t>24</w:t>
      </w:r>
      <w:r>
        <w:rPr>
          <w:rFonts w:hint="default" w:ascii="Times New Roman" w:hAnsi="Times New Roman" w:eastAsia="仿宋_GB2312" w:cs="Times New Roman"/>
          <w:color w:val="auto"/>
          <w:sz w:val="28"/>
          <w:szCs w:val="28"/>
        </w:rPr>
        <w:t>年</w:t>
      </w:r>
      <w:r>
        <w:rPr>
          <w:rFonts w:hint="default" w:ascii="Times New Roman" w:hAnsi="Times New Roman" w:eastAsia="仿宋_GB2312" w:cs="Times New Roman"/>
          <w:color w:val="auto"/>
          <w:sz w:val="28"/>
          <w:szCs w:val="28"/>
          <w:lang w:val="en-US" w:eastAsia="zh-CN"/>
        </w:rPr>
        <w:t>9</w:t>
      </w:r>
      <w:r>
        <w:rPr>
          <w:rFonts w:hint="default" w:ascii="Times New Roman" w:hAnsi="Times New Roman" w:eastAsia="仿宋_GB2312" w:cs="Times New Roman"/>
          <w:color w:val="auto"/>
          <w:sz w:val="28"/>
          <w:szCs w:val="28"/>
        </w:rPr>
        <w:t>月</w:t>
      </w:r>
      <w:r>
        <w:rPr>
          <w:rFonts w:hint="default" w:ascii="Times New Roman" w:hAnsi="Times New Roman" w:eastAsia="仿宋_GB2312" w:cs="Times New Roman"/>
          <w:color w:val="auto"/>
          <w:sz w:val="28"/>
          <w:szCs w:val="28"/>
          <w:lang w:val="en-US" w:eastAsia="zh-CN"/>
        </w:rPr>
        <w:t>25</w:t>
      </w:r>
      <w:r>
        <w:rPr>
          <w:rFonts w:hint="default" w:ascii="Times New Roman" w:hAnsi="Times New Roman" w:eastAsia="仿宋_GB2312" w:cs="Times New Roman"/>
          <w:color w:val="auto"/>
          <w:sz w:val="28"/>
          <w:szCs w:val="28"/>
        </w:rPr>
        <w:t>日印发</w:t>
      </w:r>
    </w:p>
    <w:sectPr>
      <w:footerReference r:id="rId3" w:type="default"/>
      <w:pgSz w:w="11906" w:h="16838"/>
      <w:pgMar w:top="2154" w:right="1531" w:bottom="1871" w:left="1531" w:header="851" w:footer="992" w:gutter="0"/>
      <w:pgNumType w:fmt="numberInDash" w:start="2"/>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EEBEF7">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FEDC73">
                          <w:pPr>
                            <w:pStyle w:val="2"/>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cstheme="minorEastAsia"/>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3DFEDC73">
                    <w:pPr>
                      <w:pStyle w:val="2"/>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cstheme="minorEastAsia"/>
                        <w:sz w:val="28"/>
                        <w:szCs w:val="28"/>
                        <w:lang w:val="en-US" w:eastAsia="zh-CN"/>
                      </w:rPr>
                      <w:t xml:space="preserve"> </w:t>
                    </w:r>
                  </w:p>
                </w:txbxContent>
              </v:textbox>
            </v:shape>
          </w:pict>
        </mc:Fallback>
      </mc:AlternateContent>
    </w:r>
    <w:r>
      <w:rPr>
        <w:rFonts w:hint="eastAsia"/>
        <w:lang w:val="en-US" w:eastAsia="zh-CN"/>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g0ZTU0ZmQ1YzJhMzM2NTk4ZTg1OTcxZGU2MTI5YzIifQ=="/>
  </w:docVars>
  <w:rsids>
    <w:rsidRoot w:val="3EC5157F"/>
    <w:rsid w:val="014F43CB"/>
    <w:rsid w:val="07090CAD"/>
    <w:rsid w:val="0A7B2255"/>
    <w:rsid w:val="0B892FCF"/>
    <w:rsid w:val="0C62100D"/>
    <w:rsid w:val="17370474"/>
    <w:rsid w:val="17CC7113"/>
    <w:rsid w:val="186E33F9"/>
    <w:rsid w:val="1CD15092"/>
    <w:rsid w:val="1FEA3252"/>
    <w:rsid w:val="22475B7A"/>
    <w:rsid w:val="2D206638"/>
    <w:rsid w:val="2E1F4F44"/>
    <w:rsid w:val="33BD3362"/>
    <w:rsid w:val="35735201"/>
    <w:rsid w:val="3EC5157F"/>
    <w:rsid w:val="46A401F3"/>
    <w:rsid w:val="55BB77F8"/>
    <w:rsid w:val="5C9B3D47"/>
    <w:rsid w:val="69330081"/>
    <w:rsid w:val="69C4196B"/>
    <w:rsid w:val="69E03262"/>
    <w:rsid w:val="6D1B179F"/>
    <w:rsid w:val="74D619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7">
    <w:name w:val="主标题"/>
    <w:next w:val="1"/>
    <w:qFormat/>
    <w:uiPriority w:val="0"/>
    <w:pPr>
      <w:spacing w:line="560" w:lineRule="exact"/>
      <w:jc w:val="center"/>
    </w:pPr>
    <w:rPr>
      <w:rFonts w:ascii="Times New Roman" w:hAnsi="Times New Roman" w:eastAsia="方正小标宋简体" w:cstheme="majorBidi"/>
      <w:kern w:val="2"/>
      <w:sz w:val="44"/>
      <w:szCs w:val="3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1076</Words>
  <Characters>1149</Characters>
  <Lines>0</Lines>
  <Paragraphs>0</Paragraphs>
  <TotalTime>1</TotalTime>
  <ScaleCrop>false</ScaleCrop>
  <LinksUpToDate>false</LinksUpToDate>
  <CharactersWithSpaces>1249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2024-09-11T10:19:00Z</dcterms:created>
  <dc:creator>一切随缘</dc:creator>
  <cp:lastModifiedBy>种草的兔叽</cp:lastModifiedBy>
  <cp:lastPrinted>2024-09-23T06:03:00Z</cp:lastPrinted>
  <dcterms:modified xsi:type="dcterms:W3CDTF">2024-09-25T08:51:49Z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2E95EA4F65BD44898F0D81B6BC3F871F_13</vt:lpwstr>
  </property>
</Properties>
</file>