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i w:val="0"/>
          <w:iCs w:val="0"/>
          <w:caps w:val="0"/>
          <w:color w:val="333333"/>
          <w:spacing w:val="0"/>
          <w:sz w:val="44"/>
          <w:szCs w:val="44"/>
          <w:shd w:val="clear" w:fill="FFFFFF"/>
        </w:rPr>
      </w:pPr>
      <w:r>
        <w:rPr>
          <w:rFonts w:hint="eastAsia" w:ascii="方正小标宋简体" w:hAnsi="方正小标宋简体" w:eastAsia="方正小标宋简体" w:cs="方正小标宋简体"/>
          <w:i w:val="0"/>
          <w:iCs w:val="0"/>
          <w:caps w:val="0"/>
          <w:color w:val="333333"/>
          <w:spacing w:val="0"/>
          <w:sz w:val="44"/>
          <w:szCs w:val="44"/>
          <w:shd w:val="clear" w:fill="FFFFFF"/>
        </w:rPr>
        <w:t>威海市文登区龙山街道办事处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i w:val="0"/>
          <w:iCs w:val="0"/>
          <w:caps w:val="0"/>
          <w:color w:val="333333"/>
          <w:spacing w:val="0"/>
          <w:sz w:val="44"/>
          <w:szCs w:val="44"/>
          <w:shd w:val="clear" w:fill="FFFFFF"/>
        </w:rPr>
      </w:pPr>
      <w:r>
        <w:rPr>
          <w:rFonts w:hint="eastAsia" w:ascii="方正小标宋简体" w:hAnsi="方正小标宋简体" w:eastAsia="方正小标宋简体" w:cs="方正小标宋简体"/>
          <w:i w:val="0"/>
          <w:iCs w:val="0"/>
          <w:caps w:val="0"/>
          <w:color w:val="333333"/>
          <w:spacing w:val="0"/>
          <w:sz w:val="44"/>
          <w:szCs w:val="44"/>
          <w:shd w:val="clear" w:fill="FFFFFF"/>
        </w:rPr>
        <w:t>202</w:t>
      </w:r>
      <w:r>
        <w:rPr>
          <w:rFonts w:hint="eastAsia" w:ascii="方正小标宋简体" w:hAnsi="方正小标宋简体" w:eastAsia="方正小标宋简体" w:cs="方正小标宋简体"/>
          <w:i w:val="0"/>
          <w:iCs w:val="0"/>
          <w:caps w:val="0"/>
          <w:color w:val="333333"/>
          <w:spacing w:val="0"/>
          <w:sz w:val="44"/>
          <w:szCs w:val="44"/>
          <w:shd w:val="clear" w:fill="FFFFFF"/>
          <w:lang w:val="en-US" w:eastAsia="zh-CN"/>
        </w:rPr>
        <w:t>1</w:t>
      </w:r>
      <w:r>
        <w:rPr>
          <w:rFonts w:hint="eastAsia" w:ascii="方正小标宋简体" w:hAnsi="方正小标宋简体" w:eastAsia="方正小标宋简体" w:cs="方正小标宋简体"/>
          <w:i w:val="0"/>
          <w:iCs w:val="0"/>
          <w:caps w:val="0"/>
          <w:color w:val="333333"/>
          <w:spacing w:val="0"/>
          <w:sz w:val="44"/>
          <w:szCs w:val="44"/>
          <w:shd w:val="clear" w:fill="FFFFFF"/>
        </w:rPr>
        <w:t>年政府信息公开工作年度报告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jc w:val="center"/>
        <w:textAlignment w:val="auto"/>
        <w:rPr>
          <w:rFonts w:hint="eastAsia" w:ascii="方正小标宋简体" w:hAnsi="方正小标宋简体" w:eastAsia="方正小标宋简体" w:cs="方正小标宋简体"/>
          <w:i w:val="0"/>
          <w:iCs w:val="0"/>
          <w:caps w:val="0"/>
          <w:color w:val="333333"/>
          <w:spacing w:val="0"/>
          <w:sz w:val="44"/>
          <w:szCs w:val="44"/>
          <w:shd w:val="clear"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rPr>
      </w:pPr>
      <w:r>
        <w:rPr>
          <w:rFonts w:hint="eastAsia" w:ascii="仿宋_GB2312" w:hAnsi="仿宋_GB2312" w:eastAsia="仿宋_GB2312" w:cs="仿宋_GB2312"/>
          <w:i w:val="0"/>
          <w:iCs w:val="0"/>
          <w:caps w:val="0"/>
          <w:color w:val="333333"/>
          <w:spacing w:val="0"/>
          <w:sz w:val="32"/>
          <w:szCs w:val="32"/>
          <w:shd w:val="clear" w:fill="FFFFFF"/>
        </w:rPr>
        <w:t>根据新修订的《中华人民共和国政府信息公开条例》要求,现公布威海市文登区龙山街道办事处202</w:t>
      </w:r>
      <w:r>
        <w:rPr>
          <w:rFonts w:hint="eastAsia" w:ascii="仿宋_GB2312" w:hAnsi="仿宋_GB2312" w:eastAsia="仿宋_GB2312" w:cs="仿宋_GB2312"/>
          <w:i w:val="0"/>
          <w:iCs w:val="0"/>
          <w:caps w:val="0"/>
          <w:color w:val="333333"/>
          <w:spacing w:val="0"/>
          <w:sz w:val="32"/>
          <w:szCs w:val="32"/>
          <w:shd w:val="clear" w:fill="FFFFFF"/>
          <w:lang w:val="en-US" w:eastAsia="zh-CN"/>
        </w:rPr>
        <w:t>1</w:t>
      </w:r>
      <w:r>
        <w:rPr>
          <w:rFonts w:hint="eastAsia" w:ascii="仿宋_GB2312" w:hAnsi="仿宋_GB2312" w:eastAsia="仿宋_GB2312" w:cs="仿宋_GB2312"/>
          <w:i w:val="0"/>
          <w:iCs w:val="0"/>
          <w:caps w:val="0"/>
          <w:color w:val="333333"/>
          <w:spacing w:val="0"/>
          <w:sz w:val="32"/>
          <w:szCs w:val="32"/>
          <w:shd w:val="clear" w:fill="FFFFFF"/>
        </w:rPr>
        <w:t>年政府信息公开工作年度报告。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rPr>
      </w:pPr>
      <w:r>
        <w:rPr>
          <w:rFonts w:hint="eastAsia" w:ascii="仿宋_GB2312" w:hAnsi="仿宋_GB2312" w:eastAsia="仿宋_GB2312" w:cs="仿宋_GB2312"/>
          <w:i w:val="0"/>
          <w:iCs w:val="0"/>
          <w:caps w:val="0"/>
          <w:color w:val="333333"/>
          <w:spacing w:val="0"/>
          <w:sz w:val="32"/>
          <w:szCs w:val="32"/>
          <w:shd w:val="clear" w:fill="FFFFFF"/>
        </w:rPr>
        <w:t>本报告由总体情况、主动公开政府信息情况，收到和处理依申请公开政府信息情况，政府信息公开相关的行政复议、行政诉讼、举报投诉情况，存在的主要问题和改进措施，其他需要报告的事项等部分组成。</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i w:val="0"/>
          <w:iCs w:val="0"/>
          <w:caps w:val="0"/>
          <w:color w:val="333333"/>
          <w:spacing w:val="0"/>
          <w:sz w:val="32"/>
          <w:szCs w:val="32"/>
          <w:shd w:val="clear" w:fill="FFFFFF"/>
          <w:lang w:val="en-US" w:eastAsia="zh-CN"/>
        </w:rPr>
      </w:pPr>
      <w:r>
        <w:rPr>
          <w:rFonts w:hint="default" w:ascii="仿宋_GB2312" w:hAnsi="仿宋_GB2312" w:eastAsia="仿宋_GB2312" w:cs="仿宋_GB2312"/>
          <w:i w:val="0"/>
          <w:iCs w:val="0"/>
          <w:caps w:val="0"/>
          <w:color w:val="333333"/>
          <w:spacing w:val="0"/>
          <w:sz w:val="32"/>
          <w:szCs w:val="32"/>
          <w:shd w:val="clear" w:fill="FFFFFF"/>
          <w:lang w:val="en-US" w:eastAsia="zh-CN"/>
        </w:rPr>
        <w:t>本年度报告中所列数据的统计期限自</w:t>
      </w:r>
      <w:r>
        <w:rPr>
          <w:rFonts w:hint="eastAsia" w:ascii="仿宋_GB2312" w:hAnsi="仿宋_GB2312" w:eastAsia="仿宋_GB2312" w:cs="仿宋_GB2312"/>
          <w:i w:val="0"/>
          <w:iCs w:val="0"/>
          <w:caps w:val="0"/>
          <w:color w:val="333333"/>
          <w:spacing w:val="0"/>
          <w:sz w:val="32"/>
          <w:szCs w:val="32"/>
          <w:shd w:val="clear" w:fill="FFFFFF"/>
          <w:lang w:val="en-US" w:eastAsia="zh-CN"/>
        </w:rPr>
        <w:t>2021</w:t>
      </w:r>
      <w:r>
        <w:rPr>
          <w:rFonts w:hint="default" w:ascii="仿宋_GB2312" w:hAnsi="仿宋_GB2312" w:eastAsia="仿宋_GB2312" w:cs="仿宋_GB2312"/>
          <w:i w:val="0"/>
          <w:iCs w:val="0"/>
          <w:caps w:val="0"/>
          <w:color w:val="333333"/>
          <w:spacing w:val="0"/>
          <w:sz w:val="32"/>
          <w:szCs w:val="32"/>
          <w:shd w:val="clear" w:fill="FFFFFF"/>
          <w:lang w:val="en-US" w:eastAsia="zh-CN"/>
        </w:rPr>
        <w:t>年1月1日起至12月31日止。本报告的电子版可在威海市文登区人民政府门户网站（http://www.wendeng.gov.cn）</w:t>
      </w:r>
      <w:r>
        <w:rPr>
          <w:rFonts w:hint="eastAsia" w:ascii="仿宋_GB2312" w:hAnsi="仿宋_GB2312" w:eastAsia="仿宋_GB2312" w:cs="仿宋_GB2312"/>
          <w:i w:val="0"/>
          <w:iCs w:val="0"/>
          <w:caps w:val="0"/>
          <w:color w:val="333333"/>
          <w:spacing w:val="0"/>
          <w:sz w:val="32"/>
          <w:szCs w:val="32"/>
          <w:shd w:val="clear" w:fill="FFFFFF"/>
          <w:lang w:val="en-US" w:eastAsia="zh-CN"/>
        </w:rPr>
        <w:t>政府</w:t>
      </w:r>
      <w:r>
        <w:rPr>
          <w:rFonts w:hint="default" w:ascii="仿宋_GB2312" w:hAnsi="仿宋_GB2312" w:eastAsia="仿宋_GB2312" w:cs="仿宋_GB2312"/>
          <w:i w:val="0"/>
          <w:iCs w:val="0"/>
          <w:caps w:val="0"/>
          <w:color w:val="333333"/>
          <w:spacing w:val="0"/>
          <w:sz w:val="32"/>
          <w:szCs w:val="32"/>
          <w:shd w:val="clear" w:fill="FFFFFF"/>
          <w:lang w:val="en-US" w:eastAsia="zh-CN"/>
        </w:rPr>
        <w:t>信息公开专栏查阅。如对本报告有任何疑问，请与威海市文登区</w:t>
      </w:r>
      <w:r>
        <w:rPr>
          <w:rFonts w:hint="eastAsia" w:ascii="仿宋_GB2312" w:hAnsi="仿宋_GB2312" w:eastAsia="仿宋_GB2312" w:cs="仿宋_GB2312"/>
          <w:i w:val="0"/>
          <w:iCs w:val="0"/>
          <w:caps w:val="0"/>
          <w:color w:val="333333"/>
          <w:spacing w:val="0"/>
          <w:sz w:val="32"/>
          <w:szCs w:val="32"/>
          <w:shd w:val="clear" w:fill="FFFFFF"/>
          <w:lang w:val="en-US" w:eastAsia="zh-CN"/>
        </w:rPr>
        <w:t>龙山街道办事处</w:t>
      </w:r>
      <w:r>
        <w:rPr>
          <w:rFonts w:hint="default" w:ascii="仿宋_GB2312" w:hAnsi="仿宋_GB2312" w:eastAsia="仿宋_GB2312" w:cs="仿宋_GB2312"/>
          <w:i w:val="0"/>
          <w:iCs w:val="0"/>
          <w:caps w:val="0"/>
          <w:color w:val="333333"/>
          <w:spacing w:val="0"/>
          <w:sz w:val="32"/>
          <w:szCs w:val="32"/>
          <w:shd w:val="clear" w:fill="FFFFFF"/>
          <w:lang w:val="en-US" w:eastAsia="zh-CN"/>
        </w:rPr>
        <w:t>党政办联系（地址：威海市文登区</w:t>
      </w:r>
      <w:r>
        <w:rPr>
          <w:rFonts w:hint="eastAsia" w:ascii="仿宋_GB2312" w:hAnsi="仿宋_GB2312" w:eastAsia="仿宋_GB2312" w:cs="仿宋_GB2312"/>
          <w:i w:val="0"/>
          <w:iCs w:val="0"/>
          <w:caps w:val="0"/>
          <w:color w:val="333333"/>
          <w:spacing w:val="0"/>
          <w:sz w:val="32"/>
          <w:szCs w:val="32"/>
          <w:shd w:val="clear" w:fill="FFFFFF"/>
          <w:lang w:val="en-US" w:eastAsia="zh-CN"/>
        </w:rPr>
        <w:t>文山路107</w:t>
      </w:r>
      <w:r>
        <w:rPr>
          <w:rFonts w:hint="default" w:ascii="仿宋_GB2312" w:hAnsi="仿宋_GB2312" w:eastAsia="仿宋_GB2312" w:cs="仿宋_GB2312"/>
          <w:i w:val="0"/>
          <w:iCs w:val="0"/>
          <w:caps w:val="0"/>
          <w:color w:val="333333"/>
          <w:spacing w:val="0"/>
          <w:sz w:val="32"/>
          <w:szCs w:val="32"/>
          <w:shd w:val="clear" w:fill="FFFFFF"/>
          <w:lang w:val="en-US" w:eastAsia="zh-CN"/>
        </w:rPr>
        <w:t>号；邮编：264400；电话：</w:t>
      </w:r>
      <w:r>
        <w:rPr>
          <w:rFonts w:hint="eastAsia" w:ascii="仿宋_GB2312" w:hAnsi="仿宋_GB2312" w:eastAsia="仿宋_GB2312" w:cs="仿宋_GB2312"/>
          <w:i w:val="0"/>
          <w:iCs w:val="0"/>
          <w:caps w:val="0"/>
          <w:color w:val="333333"/>
          <w:spacing w:val="0"/>
          <w:sz w:val="32"/>
          <w:szCs w:val="32"/>
          <w:shd w:val="clear" w:fill="FFFFFF"/>
          <w:lang w:val="en-US" w:eastAsia="zh-CN"/>
        </w:rPr>
        <w:t>0631-8451401</w:t>
      </w:r>
      <w:r>
        <w:rPr>
          <w:rFonts w:hint="default" w:ascii="仿宋_GB2312" w:hAnsi="仿宋_GB2312" w:eastAsia="仿宋_GB2312" w:cs="仿宋_GB2312"/>
          <w:i w:val="0"/>
          <w:iCs w:val="0"/>
          <w:caps w:val="0"/>
          <w:color w:val="333333"/>
          <w:spacing w:val="0"/>
          <w:sz w:val="32"/>
          <w:szCs w:val="32"/>
          <w:shd w:val="clear" w:fill="FFFFFF"/>
          <w:lang w:val="en-US" w:eastAsia="zh-CN"/>
        </w:rPr>
        <w:t>）。</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黑体" w:hAnsi="黑体" w:eastAsia="黑体" w:cs="黑体"/>
          <w:sz w:val="32"/>
          <w:szCs w:val="32"/>
        </w:rPr>
      </w:pPr>
      <w:r>
        <w:rPr>
          <w:rFonts w:hint="eastAsia" w:ascii="黑体" w:hAnsi="黑体" w:eastAsia="黑体" w:cs="黑体"/>
          <w:spacing w:val="0"/>
          <w:sz w:val="32"/>
          <w:szCs w:val="32"/>
        </w:rPr>
        <w:t>一、总体情况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r>
        <w:rPr>
          <w:rFonts w:hint="eastAsia" w:ascii="仿宋_GB2312" w:hAnsi="仿宋_GB2312" w:eastAsia="仿宋_GB2312" w:cs="仿宋_GB2312"/>
          <w:i w:val="0"/>
          <w:iCs w:val="0"/>
          <w:caps w:val="0"/>
          <w:color w:val="333333"/>
          <w:spacing w:val="0"/>
          <w:sz w:val="32"/>
          <w:szCs w:val="32"/>
          <w:shd w:val="clear" w:fill="FFFFFF"/>
          <w:lang w:val="en-US" w:eastAsia="zh-CN"/>
        </w:rPr>
        <w:t>2021</w:t>
      </w:r>
      <w:r>
        <w:rPr>
          <w:rFonts w:hint="default" w:ascii="仿宋_GB2312" w:hAnsi="仿宋_GB2312" w:eastAsia="仿宋_GB2312" w:cs="仿宋_GB2312"/>
          <w:i w:val="0"/>
          <w:iCs w:val="0"/>
          <w:caps w:val="0"/>
          <w:color w:val="333333"/>
          <w:spacing w:val="0"/>
          <w:sz w:val="32"/>
          <w:szCs w:val="32"/>
          <w:shd w:val="clear" w:fill="FFFFFF"/>
          <w:lang w:val="en-US" w:eastAsia="zh-CN"/>
        </w:rPr>
        <w:t>年，威海市文登区</w:t>
      </w:r>
      <w:r>
        <w:rPr>
          <w:rFonts w:hint="eastAsia" w:ascii="仿宋_GB2312" w:hAnsi="仿宋_GB2312" w:eastAsia="仿宋_GB2312" w:cs="仿宋_GB2312"/>
          <w:i w:val="0"/>
          <w:iCs w:val="0"/>
          <w:caps w:val="0"/>
          <w:color w:val="333333"/>
          <w:spacing w:val="0"/>
          <w:sz w:val="32"/>
          <w:szCs w:val="32"/>
          <w:shd w:val="clear" w:fill="FFFFFF"/>
          <w:lang w:val="en-US" w:eastAsia="zh-CN"/>
        </w:rPr>
        <w:t>龙山街道办事处</w:t>
      </w:r>
      <w:r>
        <w:rPr>
          <w:rFonts w:hint="default" w:ascii="仿宋_GB2312" w:hAnsi="仿宋_GB2312" w:eastAsia="仿宋_GB2312" w:cs="仿宋_GB2312"/>
          <w:i w:val="0"/>
          <w:iCs w:val="0"/>
          <w:caps w:val="0"/>
          <w:color w:val="333333"/>
          <w:spacing w:val="0"/>
          <w:sz w:val="32"/>
          <w:szCs w:val="32"/>
          <w:shd w:val="clear" w:fill="FFFFFF"/>
          <w:lang w:val="en-US" w:eastAsia="zh-CN"/>
        </w:rPr>
        <w:t>以党的十九届</w:t>
      </w:r>
      <w:r>
        <w:rPr>
          <w:rFonts w:hint="eastAsia" w:ascii="仿宋_GB2312" w:hAnsi="仿宋_GB2312" w:eastAsia="仿宋_GB2312" w:cs="仿宋_GB2312"/>
          <w:i w:val="0"/>
          <w:iCs w:val="0"/>
          <w:caps w:val="0"/>
          <w:color w:val="333333"/>
          <w:spacing w:val="0"/>
          <w:sz w:val="32"/>
          <w:szCs w:val="32"/>
          <w:shd w:val="clear" w:fill="FFFFFF"/>
          <w:lang w:val="en-US" w:eastAsia="zh-CN"/>
        </w:rPr>
        <w:t>六</w:t>
      </w:r>
      <w:r>
        <w:rPr>
          <w:rFonts w:hint="default" w:ascii="仿宋_GB2312" w:hAnsi="仿宋_GB2312" w:eastAsia="仿宋_GB2312" w:cs="仿宋_GB2312"/>
          <w:i w:val="0"/>
          <w:iCs w:val="0"/>
          <w:caps w:val="0"/>
          <w:color w:val="333333"/>
          <w:spacing w:val="0"/>
          <w:sz w:val="32"/>
          <w:szCs w:val="32"/>
          <w:shd w:val="clear" w:fill="FFFFFF"/>
          <w:lang w:val="en-US" w:eastAsia="zh-CN"/>
        </w:rPr>
        <w:t>中全会精神和习近平新时代中国特色社会主义思想为指导，认真贯彻落实国家、省、市、区的部署要求，</w:t>
      </w:r>
      <w:r>
        <w:rPr>
          <w:rFonts w:hint="eastAsia" w:ascii="仿宋_GB2312" w:hAnsi="仿宋_GB2312" w:eastAsia="仿宋_GB2312" w:cs="仿宋_GB2312"/>
          <w:i w:val="0"/>
          <w:iCs w:val="0"/>
          <w:caps w:val="0"/>
          <w:color w:val="333333"/>
          <w:spacing w:val="0"/>
          <w:sz w:val="32"/>
          <w:szCs w:val="32"/>
          <w:shd w:val="clear" w:fill="FFFFFF"/>
          <w:lang w:val="en-US" w:eastAsia="zh-CN"/>
        </w:rPr>
        <w:t>坚持贯彻落实《中华人民共和国政府信息公开条例》，遵循“公开为常态、不公开为例外”的原则，认真履行推进、指导、协调、监督全区政府信息公开工作职责，通过扩大公开领域，规范依申请公开，健全公开机制，优化公开载体，强化监督保障，不断提升政府信息公开工作的质量和实效。</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Style w:val="6"/>
          <w:rFonts w:hint="eastAsia" w:ascii="楷体_GB2312" w:hAnsi="楷体_GB2312" w:eastAsia="楷体_GB2312" w:cs="楷体_GB2312"/>
          <w:b w:val="0"/>
          <w:bCs/>
          <w:i w:val="0"/>
          <w:iCs w:val="0"/>
          <w:caps w:val="0"/>
          <w:color w:val="333333"/>
          <w:spacing w:val="0"/>
          <w:sz w:val="32"/>
          <w:szCs w:val="32"/>
          <w:shd w:val="clear" w:fill="FFFFFF"/>
        </w:rPr>
      </w:pPr>
      <w:r>
        <w:rPr>
          <w:rStyle w:val="6"/>
          <w:rFonts w:hint="eastAsia" w:ascii="楷体_GB2312" w:hAnsi="楷体_GB2312" w:eastAsia="楷体_GB2312" w:cs="楷体_GB2312"/>
          <w:b w:val="0"/>
          <w:bCs/>
          <w:i w:val="0"/>
          <w:iCs w:val="0"/>
          <w:caps w:val="0"/>
          <w:color w:val="333333"/>
          <w:spacing w:val="0"/>
          <w:sz w:val="32"/>
          <w:szCs w:val="32"/>
          <w:shd w:val="clear" w:fill="FFFFFF"/>
          <w:lang w:eastAsia="zh-CN"/>
        </w:rPr>
        <w:t>（一）</w:t>
      </w:r>
      <w:r>
        <w:rPr>
          <w:rStyle w:val="6"/>
          <w:rFonts w:hint="eastAsia" w:ascii="楷体_GB2312" w:hAnsi="楷体_GB2312" w:eastAsia="楷体_GB2312" w:cs="楷体_GB2312"/>
          <w:b w:val="0"/>
          <w:bCs/>
          <w:i w:val="0"/>
          <w:iCs w:val="0"/>
          <w:caps w:val="0"/>
          <w:color w:val="333333"/>
          <w:spacing w:val="0"/>
          <w:sz w:val="32"/>
          <w:szCs w:val="32"/>
          <w:shd w:val="clear" w:fill="FFFFFF"/>
        </w:rPr>
        <w:t>主动公开政府信息情况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r>
        <w:rPr>
          <w:rFonts w:hint="default" w:ascii="仿宋_GB2312" w:hAnsi="仿宋_GB2312" w:eastAsia="仿宋_GB2312" w:cs="仿宋_GB2312"/>
          <w:i w:val="0"/>
          <w:iCs w:val="0"/>
          <w:caps w:val="0"/>
          <w:color w:val="333333"/>
          <w:spacing w:val="0"/>
          <w:sz w:val="32"/>
          <w:szCs w:val="32"/>
          <w:shd w:val="clear" w:fill="FFFFFF"/>
          <w:lang w:val="en-US" w:eastAsia="zh-CN"/>
        </w:rPr>
        <w:t>为方便公众了解信息，我</w:t>
      </w:r>
      <w:r>
        <w:rPr>
          <w:rFonts w:hint="eastAsia" w:ascii="仿宋_GB2312" w:hAnsi="仿宋_GB2312" w:eastAsia="仿宋_GB2312" w:cs="仿宋_GB2312"/>
          <w:i w:val="0"/>
          <w:iCs w:val="0"/>
          <w:caps w:val="0"/>
          <w:color w:val="333333"/>
          <w:spacing w:val="0"/>
          <w:sz w:val="32"/>
          <w:szCs w:val="32"/>
          <w:shd w:val="clear" w:fill="FFFFFF"/>
          <w:lang w:val="en-US" w:eastAsia="zh-CN"/>
        </w:rPr>
        <w:t>街道</w:t>
      </w:r>
      <w:r>
        <w:rPr>
          <w:rFonts w:hint="default" w:ascii="仿宋_GB2312" w:hAnsi="仿宋_GB2312" w:eastAsia="仿宋_GB2312" w:cs="仿宋_GB2312"/>
          <w:i w:val="0"/>
          <w:iCs w:val="0"/>
          <w:caps w:val="0"/>
          <w:color w:val="333333"/>
          <w:spacing w:val="0"/>
          <w:sz w:val="32"/>
          <w:szCs w:val="32"/>
          <w:shd w:val="clear" w:fill="FFFFFF"/>
          <w:lang w:val="en-US" w:eastAsia="zh-CN"/>
        </w:rPr>
        <w:t>在主动公开政府信息渠道方面以政府信息公开网为主要窗口，主动及时公开我</w:t>
      </w:r>
      <w:r>
        <w:rPr>
          <w:rFonts w:hint="eastAsia" w:ascii="仿宋_GB2312" w:hAnsi="仿宋_GB2312" w:eastAsia="仿宋_GB2312" w:cs="仿宋_GB2312"/>
          <w:i w:val="0"/>
          <w:iCs w:val="0"/>
          <w:caps w:val="0"/>
          <w:color w:val="333333"/>
          <w:spacing w:val="0"/>
          <w:sz w:val="32"/>
          <w:szCs w:val="32"/>
          <w:shd w:val="clear" w:fill="FFFFFF"/>
          <w:lang w:val="en-US" w:eastAsia="zh-CN"/>
        </w:rPr>
        <w:t>办事处</w:t>
      </w:r>
      <w:r>
        <w:rPr>
          <w:rFonts w:hint="default" w:ascii="仿宋_GB2312" w:hAnsi="仿宋_GB2312" w:eastAsia="仿宋_GB2312" w:cs="仿宋_GB2312"/>
          <w:i w:val="0"/>
          <w:iCs w:val="0"/>
          <w:caps w:val="0"/>
          <w:color w:val="333333"/>
          <w:spacing w:val="0"/>
          <w:sz w:val="32"/>
          <w:szCs w:val="32"/>
          <w:shd w:val="clear" w:fill="FFFFFF"/>
          <w:lang w:val="en-US" w:eastAsia="zh-CN"/>
        </w:rPr>
        <w:t>信息，并辅以政府信息公开查询点，热情接待群众咨询，为群众答疑解惑，切实做好政</w:t>
      </w:r>
      <w:r>
        <w:rPr>
          <w:rFonts w:hint="eastAsia" w:ascii="仿宋_GB2312" w:hAnsi="仿宋_GB2312" w:eastAsia="仿宋_GB2312" w:cs="仿宋_GB2312"/>
          <w:i w:val="0"/>
          <w:iCs w:val="0"/>
          <w:caps w:val="0"/>
          <w:color w:val="333333"/>
          <w:spacing w:val="0"/>
          <w:sz w:val="32"/>
          <w:szCs w:val="32"/>
          <w:shd w:val="clear" w:fill="FFFFFF"/>
          <w:lang w:val="en-US" w:eastAsia="zh-CN"/>
        </w:rPr>
        <w:t>府信息公开工作。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r>
        <w:rPr>
          <w:rFonts w:hint="eastAsia" w:ascii="仿宋_GB2312" w:hAnsi="仿宋_GB2312" w:eastAsia="仿宋_GB2312" w:cs="仿宋_GB2312"/>
          <w:i w:val="0"/>
          <w:iCs w:val="0"/>
          <w:caps w:val="0"/>
          <w:color w:val="333333"/>
          <w:spacing w:val="0"/>
          <w:sz w:val="32"/>
          <w:szCs w:val="32"/>
          <w:shd w:val="clear" w:fill="FFFFFF"/>
          <w:lang w:val="en-US" w:eastAsia="zh-CN"/>
        </w:rPr>
        <w:t>2021年，威海市文登区龙山街道办事处共主动公开信息60条。从内容分类看，公示公告2条，人事任免1条，工作动态40条，政策文件2条，政策解读5条，信息公开指南1条，财政信息2条，行政执法公示3条，政务公开组织推进3条，年度报告1条。今年没有收到人大代表建议和政协委员提案办理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8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r>
        <w:drawing>
          <wp:anchor distT="0" distB="0" distL="114300" distR="114300" simplePos="0" relativeHeight="251661312" behindDoc="1" locked="0" layoutInCell="1" allowOverlap="1">
            <wp:simplePos x="0" y="0"/>
            <wp:positionH relativeFrom="column">
              <wp:posOffset>347345</wp:posOffset>
            </wp:positionH>
            <wp:positionV relativeFrom="paragraph">
              <wp:posOffset>139700</wp:posOffset>
            </wp:positionV>
            <wp:extent cx="4572000" cy="2743200"/>
            <wp:effectExtent l="4445" t="4445" r="14605" b="14605"/>
            <wp:wrapTight wrapText="bothSides">
              <wp:wrapPolygon>
                <wp:start x="-21" y="-35"/>
                <wp:lineTo x="-21" y="21565"/>
                <wp:lineTo x="21579" y="21565"/>
                <wp:lineTo x="21579" y="-35"/>
                <wp:lineTo x="-21" y="-35"/>
              </wp:wrapPolygon>
            </wp:wrapTight>
            <wp:docPr id="9"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anchor>
        </w:drawing>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Style w:val="6"/>
          <w:rFonts w:hint="eastAsia" w:ascii="楷体_GB2312" w:hAnsi="楷体_GB2312" w:eastAsia="楷体_GB2312" w:cs="楷体_GB2312"/>
          <w:b w:val="0"/>
          <w:bCs/>
          <w:i w:val="0"/>
          <w:iCs w:val="0"/>
          <w:caps w:val="0"/>
          <w:color w:val="333333"/>
          <w:spacing w:val="0"/>
          <w:sz w:val="32"/>
          <w:szCs w:val="32"/>
          <w:shd w:val="clear" w:fill="FFFFFF"/>
          <w:lang w:eastAsia="zh-CN"/>
        </w:rPr>
      </w:pPr>
      <w:r>
        <w:rPr>
          <w:rStyle w:val="6"/>
          <w:rFonts w:hint="eastAsia" w:ascii="楷体_GB2312" w:hAnsi="楷体_GB2312" w:eastAsia="楷体_GB2312" w:cs="楷体_GB2312"/>
          <w:b w:val="0"/>
          <w:bCs/>
          <w:i w:val="0"/>
          <w:iCs w:val="0"/>
          <w:caps w:val="0"/>
          <w:color w:val="333333"/>
          <w:spacing w:val="0"/>
          <w:sz w:val="32"/>
          <w:szCs w:val="32"/>
          <w:shd w:val="clear" w:fill="FFFFFF"/>
          <w:lang w:eastAsia="zh-CN"/>
        </w:rPr>
        <w:t>（二）依申请公开政府信息情况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spacing w:val="0"/>
          <w:sz w:val="32"/>
          <w:szCs w:val="32"/>
          <w:lang w:val="en-US" w:eastAsia="zh-CN"/>
        </w:rPr>
      </w:pPr>
      <w:r>
        <w:rPr>
          <w:rFonts w:hint="eastAsia" w:ascii="仿宋_GB2312" w:hAnsi="仿宋_GB2312" w:eastAsia="仿宋_GB2312" w:cs="仿宋_GB2312"/>
          <w:i w:val="0"/>
          <w:iCs w:val="0"/>
          <w:caps w:val="0"/>
          <w:color w:val="333333"/>
          <w:spacing w:val="0"/>
          <w:sz w:val="32"/>
          <w:szCs w:val="32"/>
          <w:shd w:val="clear" w:fill="FFFFFF"/>
          <w:lang w:val="en-US" w:eastAsia="zh-CN"/>
        </w:rPr>
        <w:t>今年共受理依申请公开事项0件</w:t>
      </w:r>
      <w:r>
        <w:rPr>
          <w:rFonts w:hint="eastAsia" w:ascii="仿宋_GB2312" w:hAnsi="仿宋_GB2312" w:eastAsia="仿宋_GB2312" w:cs="仿宋_GB2312"/>
          <w:spacing w:val="0"/>
          <w:sz w:val="32"/>
          <w:szCs w:val="32"/>
          <w:lang w:val="en-US" w:eastAsia="zh-CN"/>
        </w:rPr>
        <w:t>。</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Style w:val="6"/>
          <w:rFonts w:hint="eastAsia" w:ascii="楷体_GB2312" w:hAnsi="楷体_GB2312" w:eastAsia="楷体_GB2312" w:cs="楷体_GB2312"/>
          <w:b w:val="0"/>
          <w:bCs/>
          <w:i w:val="0"/>
          <w:iCs w:val="0"/>
          <w:caps w:val="0"/>
          <w:color w:val="333333"/>
          <w:spacing w:val="0"/>
          <w:sz w:val="32"/>
          <w:szCs w:val="32"/>
          <w:shd w:val="clear" w:fill="FFFFFF"/>
          <w:lang w:eastAsia="zh-CN"/>
        </w:rPr>
      </w:pPr>
      <w:r>
        <w:rPr>
          <w:rStyle w:val="6"/>
          <w:rFonts w:hint="eastAsia" w:ascii="楷体_GB2312" w:hAnsi="楷体_GB2312" w:eastAsia="楷体_GB2312" w:cs="楷体_GB2312"/>
          <w:b w:val="0"/>
          <w:bCs/>
          <w:i w:val="0"/>
          <w:iCs w:val="0"/>
          <w:caps w:val="0"/>
          <w:color w:val="333333"/>
          <w:spacing w:val="0"/>
          <w:sz w:val="32"/>
          <w:szCs w:val="32"/>
          <w:shd w:val="clear" w:fill="FFFFFF"/>
          <w:lang w:eastAsia="zh-CN"/>
        </w:rPr>
        <w:t>（三）政府信息管理情况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i w:val="0"/>
          <w:iCs w:val="0"/>
          <w:caps w:val="0"/>
          <w:color w:val="333333"/>
          <w:spacing w:val="0"/>
          <w:sz w:val="32"/>
          <w:szCs w:val="32"/>
          <w:shd w:val="clear" w:fill="FFFFFF"/>
          <w:lang w:val="en-US" w:eastAsia="zh-CN"/>
        </w:rPr>
      </w:pPr>
      <w:r>
        <w:rPr>
          <w:rFonts w:hint="eastAsia" w:ascii="仿宋_GB2312" w:hAnsi="仿宋_GB2312" w:eastAsia="仿宋_GB2312" w:cs="仿宋_GB2312"/>
          <w:i w:val="0"/>
          <w:iCs w:val="0"/>
          <w:caps w:val="0"/>
          <w:color w:val="333333"/>
          <w:spacing w:val="0"/>
          <w:sz w:val="32"/>
          <w:szCs w:val="32"/>
          <w:shd w:val="clear" w:fill="FFFFFF"/>
          <w:lang w:val="en-US" w:eastAsia="zh-CN"/>
        </w:rPr>
        <w:t>龙山街道</w:t>
      </w:r>
      <w:r>
        <w:rPr>
          <w:rFonts w:hint="default" w:ascii="仿宋_GB2312" w:hAnsi="仿宋_GB2312" w:eastAsia="仿宋_GB2312" w:cs="仿宋_GB2312"/>
          <w:i w:val="0"/>
          <w:iCs w:val="0"/>
          <w:caps w:val="0"/>
          <w:color w:val="333333"/>
          <w:spacing w:val="0"/>
          <w:sz w:val="32"/>
          <w:szCs w:val="32"/>
          <w:shd w:val="clear" w:fill="FFFFFF"/>
          <w:lang w:val="en-US" w:eastAsia="zh-CN"/>
        </w:rPr>
        <w:t>严格按照《条例》，全面落实重点工作，平稳有序地推进政府信息公开工作</w:t>
      </w:r>
      <w:r>
        <w:rPr>
          <w:rFonts w:hint="eastAsia" w:ascii="仿宋_GB2312" w:hAnsi="仿宋_GB2312" w:eastAsia="仿宋_GB2312" w:cs="仿宋_GB2312"/>
          <w:i w:val="0"/>
          <w:iCs w:val="0"/>
          <w:caps w:val="0"/>
          <w:color w:val="333333"/>
          <w:spacing w:val="0"/>
          <w:sz w:val="32"/>
          <w:szCs w:val="32"/>
          <w:shd w:val="clear" w:fill="FFFFFF"/>
          <w:lang w:val="en-US" w:eastAsia="zh-CN"/>
        </w:rPr>
        <w:t>按时更新发布本部门信息公开指南和主动公开基本目录等，明确公开时限、载体等工作要求，及时、准确、全面发布政府信息，加强对政府信息的全生命周期管理。</w:t>
      </w:r>
      <w:r>
        <w:rPr>
          <w:rFonts w:hint="default" w:ascii="仿宋_GB2312" w:hAnsi="仿宋_GB2312" w:eastAsia="仿宋_GB2312" w:cs="仿宋_GB2312"/>
          <w:i w:val="0"/>
          <w:iCs w:val="0"/>
          <w:caps w:val="0"/>
          <w:color w:val="333333"/>
          <w:spacing w:val="0"/>
          <w:sz w:val="32"/>
          <w:szCs w:val="32"/>
          <w:shd w:val="clear" w:fill="FFFFFF"/>
          <w:lang w:val="en-US" w:eastAsia="zh-CN"/>
        </w:rPr>
        <w:t>规范文件的制发，需要经</w:t>
      </w:r>
      <w:r>
        <w:rPr>
          <w:rFonts w:hint="eastAsia" w:ascii="仿宋_GB2312" w:hAnsi="仿宋_GB2312" w:eastAsia="仿宋_GB2312" w:cs="仿宋_GB2312"/>
          <w:i w:val="0"/>
          <w:iCs w:val="0"/>
          <w:caps w:val="0"/>
          <w:color w:val="333333"/>
          <w:spacing w:val="0"/>
          <w:sz w:val="32"/>
          <w:szCs w:val="32"/>
          <w:shd w:val="clear" w:fill="FFFFFF"/>
          <w:lang w:val="en-US" w:eastAsia="zh-CN"/>
        </w:rPr>
        <w:t>专人</w:t>
      </w:r>
      <w:r>
        <w:rPr>
          <w:rFonts w:hint="default" w:ascii="仿宋_GB2312" w:hAnsi="仿宋_GB2312" w:eastAsia="仿宋_GB2312" w:cs="仿宋_GB2312"/>
          <w:i w:val="0"/>
          <w:iCs w:val="0"/>
          <w:caps w:val="0"/>
          <w:color w:val="333333"/>
          <w:spacing w:val="0"/>
          <w:sz w:val="32"/>
          <w:szCs w:val="32"/>
          <w:shd w:val="clear" w:fill="FFFFFF"/>
          <w:lang w:val="en-US" w:eastAsia="zh-CN"/>
        </w:rPr>
        <w:t>审核确保无误后发布，2021年我</w:t>
      </w:r>
      <w:r>
        <w:rPr>
          <w:rFonts w:hint="eastAsia" w:ascii="仿宋_GB2312" w:hAnsi="仿宋_GB2312" w:eastAsia="仿宋_GB2312" w:cs="仿宋_GB2312"/>
          <w:i w:val="0"/>
          <w:iCs w:val="0"/>
          <w:caps w:val="0"/>
          <w:color w:val="333333"/>
          <w:spacing w:val="0"/>
          <w:sz w:val="32"/>
          <w:szCs w:val="32"/>
          <w:shd w:val="clear" w:fill="FFFFFF"/>
          <w:lang w:val="en-US" w:eastAsia="zh-CN"/>
        </w:rPr>
        <w:t>街道</w:t>
      </w:r>
      <w:r>
        <w:rPr>
          <w:rFonts w:hint="default" w:ascii="仿宋_GB2312" w:hAnsi="仿宋_GB2312" w:eastAsia="仿宋_GB2312" w:cs="仿宋_GB2312"/>
          <w:i w:val="0"/>
          <w:iCs w:val="0"/>
          <w:caps w:val="0"/>
          <w:color w:val="333333"/>
          <w:spacing w:val="0"/>
          <w:sz w:val="32"/>
          <w:szCs w:val="32"/>
          <w:shd w:val="clear" w:fill="FFFFFF"/>
          <w:lang w:val="en-US" w:eastAsia="zh-CN"/>
        </w:rPr>
        <w:t>未制发行政规范性文件。</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jc w:val="left"/>
        <w:textAlignment w:val="auto"/>
        <w:rPr>
          <w:rFonts w:hint="default" w:ascii="Times New Roman" w:hAnsi="Times New Roman" w:eastAsia="仿宋_GB2312" w:cs="Times New Roman"/>
          <w:kern w:val="2"/>
          <w:sz w:val="32"/>
          <w:szCs w:val="21"/>
          <w:lang w:val="en-US" w:eastAsia="zh-CN" w:bidi="ar-SA"/>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eastAsiaTheme="minorEastAsia"/>
          <w:lang w:eastAsia="zh-CN"/>
        </w:rPr>
      </w:pPr>
      <w:r>
        <w:rPr>
          <w:rFonts w:hint="eastAsia" w:eastAsiaTheme="minorEastAsia"/>
          <w:lang w:eastAsia="zh-CN"/>
        </w:rPr>
        <w:drawing>
          <wp:anchor distT="0" distB="0" distL="114300" distR="114300" simplePos="0" relativeHeight="251659264" behindDoc="0" locked="0" layoutInCell="1" allowOverlap="1">
            <wp:simplePos x="0" y="0"/>
            <wp:positionH relativeFrom="column">
              <wp:posOffset>-28575</wp:posOffset>
            </wp:positionH>
            <wp:positionV relativeFrom="paragraph">
              <wp:posOffset>12065</wp:posOffset>
            </wp:positionV>
            <wp:extent cx="5605780" cy="2628900"/>
            <wp:effectExtent l="0" t="0" r="13970" b="0"/>
            <wp:wrapNone/>
            <wp:docPr id="4" name="图片 4" descr="16430258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643025864(1)"/>
                    <pic:cNvPicPr>
                      <a:picLocks noChangeAspect="1"/>
                    </pic:cNvPicPr>
                  </pic:nvPicPr>
                  <pic:blipFill>
                    <a:blip r:embed="rId5"/>
                    <a:stretch>
                      <a:fillRect/>
                    </a:stretch>
                  </pic:blipFill>
                  <pic:spPr>
                    <a:xfrm>
                      <a:off x="0" y="0"/>
                      <a:ext cx="5605780" cy="2628900"/>
                    </a:xfrm>
                    <a:prstGeom prst="rect">
                      <a:avLst/>
                    </a:prstGeom>
                  </pic:spPr>
                </pic:pic>
              </a:graphicData>
            </a:graphic>
          </wp:anchor>
        </w:drawing>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textAlignment w:val="auto"/>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Style w:val="6"/>
          <w:rFonts w:hint="eastAsia" w:ascii="楷体_GB2312" w:hAnsi="楷体_GB2312" w:eastAsia="楷体_GB2312" w:cs="楷体_GB2312"/>
          <w:b w:val="0"/>
          <w:bCs/>
          <w:i w:val="0"/>
          <w:iCs w:val="0"/>
          <w:caps w:val="0"/>
          <w:color w:val="333333"/>
          <w:spacing w:val="0"/>
          <w:sz w:val="32"/>
          <w:szCs w:val="32"/>
          <w:shd w:val="clear" w:fill="FFFFFF"/>
        </w:rPr>
      </w:pPr>
      <w:r>
        <w:rPr>
          <w:rStyle w:val="6"/>
          <w:rFonts w:hint="eastAsia" w:ascii="楷体_GB2312" w:hAnsi="楷体_GB2312" w:eastAsia="楷体_GB2312" w:cs="楷体_GB2312"/>
          <w:b w:val="0"/>
          <w:bCs/>
          <w:i w:val="0"/>
          <w:iCs w:val="0"/>
          <w:caps w:val="0"/>
          <w:color w:val="333333"/>
          <w:spacing w:val="0"/>
          <w:sz w:val="32"/>
          <w:szCs w:val="32"/>
          <w:shd w:val="clear" w:fill="FFFFFF"/>
          <w:lang w:eastAsia="zh-CN"/>
        </w:rPr>
        <w:t>（四）</w:t>
      </w:r>
      <w:r>
        <w:rPr>
          <w:rStyle w:val="6"/>
          <w:rFonts w:hint="eastAsia" w:ascii="楷体_GB2312" w:hAnsi="楷体_GB2312" w:eastAsia="楷体_GB2312" w:cs="楷体_GB2312"/>
          <w:b w:val="0"/>
          <w:bCs/>
          <w:i w:val="0"/>
          <w:iCs w:val="0"/>
          <w:caps w:val="0"/>
          <w:color w:val="333333"/>
          <w:spacing w:val="0"/>
          <w:sz w:val="32"/>
          <w:szCs w:val="32"/>
          <w:shd w:val="clear" w:fill="FFFFFF"/>
        </w:rPr>
        <w:t>平台建设情况</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420" w:leftChars="0" w:right="0" w:rightChars="0"/>
        <w:textAlignment w:val="auto"/>
        <w:rPr>
          <w:rStyle w:val="6"/>
          <w:rFonts w:hint="eastAsia" w:ascii="仿宋_GB2312" w:hAnsi="仿宋_GB2312" w:eastAsia="仿宋_GB2312" w:cs="仿宋_GB2312"/>
          <w:i w:val="0"/>
          <w:iCs w:val="0"/>
          <w:caps w:val="0"/>
          <w:color w:val="333333"/>
          <w:spacing w:val="0"/>
          <w:sz w:val="32"/>
          <w:szCs w:val="32"/>
          <w:shd w:val="clear" w:fill="FFFFFF"/>
          <w:lang w:eastAsia="zh-CN"/>
        </w:rPr>
      </w:pPr>
      <w:r>
        <w:rPr>
          <w:rStyle w:val="6"/>
          <w:rFonts w:hint="eastAsia" w:ascii="仿宋_GB2312" w:hAnsi="仿宋_GB2312" w:eastAsia="仿宋_GB2312" w:cs="仿宋_GB2312"/>
          <w:i w:val="0"/>
          <w:iCs w:val="0"/>
          <w:caps w:val="0"/>
          <w:color w:val="333333"/>
          <w:spacing w:val="0"/>
          <w:sz w:val="32"/>
          <w:szCs w:val="32"/>
          <w:shd w:val="clear" w:fill="FFFFFF"/>
          <w:lang w:eastAsia="zh-CN"/>
        </w:rPr>
        <w:drawing>
          <wp:anchor distT="0" distB="0" distL="114300" distR="114300" simplePos="0" relativeHeight="251660288" behindDoc="0" locked="0" layoutInCell="1" allowOverlap="1">
            <wp:simplePos x="0" y="0"/>
            <wp:positionH relativeFrom="column">
              <wp:posOffset>467360</wp:posOffset>
            </wp:positionH>
            <wp:positionV relativeFrom="paragraph">
              <wp:posOffset>257810</wp:posOffset>
            </wp:positionV>
            <wp:extent cx="4221480" cy="3238500"/>
            <wp:effectExtent l="0" t="0" r="7620" b="0"/>
            <wp:wrapNone/>
            <wp:docPr id="5" name="图片 5" descr="16430259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643025986(1)"/>
                    <pic:cNvPicPr>
                      <a:picLocks noChangeAspect="1"/>
                    </pic:cNvPicPr>
                  </pic:nvPicPr>
                  <pic:blipFill>
                    <a:blip r:embed="rId6"/>
                    <a:stretch>
                      <a:fillRect/>
                    </a:stretch>
                  </pic:blipFill>
                  <pic:spPr>
                    <a:xfrm>
                      <a:off x="0" y="0"/>
                      <a:ext cx="4221480" cy="3238500"/>
                    </a:xfrm>
                    <a:prstGeom prst="rect">
                      <a:avLst/>
                    </a:prstGeom>
                  </pic:spPr>
                </pic:pic>
              </a:graphicData>
            </a:graphic>
          </wp:anchor>
        </w:drawing>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420" w:leftChars="0" w:right="0" w:rightChars="0"/>
        <w:textAlignment w:val="auto"/>
        <w:rPr>
          <w:rStyle w:val="6"/>
          <w:rFonts w:hint="eastAsia" w:ascii="仿宋_GB2312" w:hAnsi="仿宋_GB2312" w:eastAsia="仿宋_GB2312" w:cs="仿宋_GB2312"/>
          <w:i w:val="0"/>
          <w:iCs w:val="0"/>
          <w:caps w:val="0"/>
          <w:color w:val="333333"/>
          <w:spacing w:val="0"/>
          <w:sz w:val="32"/>
          <w:szCs w:val="32"/>
          <w:shd w:val="clear" w:fill="FFFFFF"/>
          <w:lang w:eastAsia="zh-CN"/>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420" w:leftChars="0" w:right="0" w:rightChars="0"/>
        <w:textAlignment w:val="auto"/>
        <w:rPr>
          <w:rStyle w:val="6"/>
          <w:rFonts w:hint="eastAsia" w:ascii="仿宋_GB2312" w:hAnsi="仿宋_GB2312" w:eastAsia="仿宋_GB2312" w:cs="仿宋_GB2312"/>
          <w:i w:val="0"/>
          <w:iCs w:val="0"/>
          <w:caps w:val="0"/>
          <w:color w:val="333333"/>
          <w:spacing w:val="0"/>
          <w:sz w:val="32"/>
          <w:szCs w:val="32"/>
          <w:shd w:val="clear" w:fill="FFFFFF"/>
          <w:lang w:eastAsia="zh-CN"/>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420" w:leftChars="0" w:right="0" w:rightChars="0"/>
        <w:textAlignment w:val="auto"/>
        <w:rPr>
          <w:rStyle w:val="6"/>
          <w:rFonts w:hint="eastAsia" w:ascii="仿宋_GB2312" w:hAnsi="仿宋_GB2312" w:eastAsia="仿宋_GB2312" w:cs="仿宋_GB2312"/>
          <w:i w:val="0"/>
          <w:iCs w:val="0"/>
          <w:caps w:val="0"/>
          <w:color w:val="333333"/>
          <w:spacing w:val="0"/>
          <w:sz w:val="32"/>
          <w:szCs w:val="32"/>
          <w:shd w:val="clear" w:fill="FFFFFF"/>
          <w:lang w:eastAsia="zh-CN"/>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420" w:leftChars="0" w:right="0" w:rightChars="0"/>
        <w:textAlignment w:val="auto"/>
        <w:rPr>
          <w:rStyle w:val="6"/>
          <w:rFonts w:hint="eastAsia" w:ascii="仿宋_GB2312" w:hAnsi="仿宋_GB2312" w:eastAsia="仿宋_GB2312" w:cs="仿宋_GB2312"/>
          <w:i w:val="0"/>
          <w:iCs w:val="0"/>
          <w:caps w:val="0"/>
          <w:color w:val="333333"/>
          <w:spacing w:val="0"/>
          <w:sz w:val="32"/>
          <w:szCs w:val="32"/>
          <w:shd w:val="clear" w:fill="FFFFFF"/>
          <w:lang w:eastAsia="zh-CN"/>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420" w:leftChars="0" w:right="0" w:rightChars="0"/>
        <w:textAlignment w:val="auto"/>
        <w:rPr>
          <w:rStyle w:val="6"/>
          <w:rFonts w:hint="eastAsia" w:ascii="仿宋_GB2312" w:hAnsi="仿宋_GB2312" w:eastAsia="仿宋_GB2312" w:cs="仿宋_GB2312"/>
          <w:i w:val="0"/>
          <w:iCs w:val="0"/>
          <w:caps w:val="0"/>
          <w:color w:val="333333"/>
          <w:spacing w:val="0"/>
          <w:sz w:val="32"/>
          <w:szCs w:val="32"/>
          <w:shd w:val="clear" w:fill="FFFFFF"/>
          <w:lang w:eastAsia="zh-CN"/>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textAlignment w:val="auto"/>
        <w:rPr>
          <w:rStyle w:val="6"/>
          <w:rFonts w:hint="eastAsia" w:ascii="仿宋_GB2312" w:hAnsi="仿宋_GB2312" w:eastAsia="仿宋_GB2312" w:cs="仿宋_GB2312"/>
          <w:i w:val="0"/>
          <w:iCs w:val="0"/>
          <w:caps w:val="0"/>
          <w:color w:val="333333"/>
          <w:spacing w:val="0"/>
          <w:sz w:val="32"/>
          <w:szCs w:val="32"/>
          <w:shd w:val="clear" w:fill="FFFFFF"/>
          <w:lang w:eastAsia="zh-CN"/>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lang w:val="en-US" w:eastAsia="zh-CN"/>
        </w:rPr>
      </w:pPr>
      <w:r>
        <w:rPr>
          <w:rFonts w:hint="eastAsia" w:ascii="仿宋_GB2312" w:hAnsi="仿宋_GB2312" w:eastAsia="仿宋_GB2312" w:cs="仿宋_GB2312"/>
          <w:i w:val="0"/>
          <w:iCs w:val="0"/>
          <w:caps w:val="0"/>
          <w:color w:val="333333"/>
          <w:spacing w:val="0"/>
          <w:sz w:val="32"/>
          <w:szCs w:val="32"/>
          <w:shd w:val="clear" w:fill="FFFFFF"/>
        </w:rPr>
        <w:t>按照国办及省政府办公厅关于规范政府信息公开平台有关事项的具体要求，以政府网站改版升级为契机，围绕年度公开工作重点，合理优化网页布局和栏目设置。完善政府信息主动公开目录，优化重点领域信息公开专栏，特别是对涉及群众切身利益的征地拆迁、保障性住房、教育、医疗卫生等重点领域信息进行集中发布。</w:t>
      </w:r>
      <w:r>
        <w:rPr>
          <w:rFonts w:hint="eastAsia" w:ascii="仿宋_GB2312" w:hAnsi="仿宋_GB2312" w:eastAsia="仿宋_GB2312" w:cs="仿宋_GB2312"/>
          <w:i w:val="0"/>
          <w:iCs w:val="0"/>
          <w:caps w:val="0"/>
          <w:color w:val="333333"/>
          <w:spacing w:val="0"/>
          <w:sz w:val="32"/>
          <w:szCs w:val="32"/>
          <w:shd w:val="clear" w:fill="FFFFFF"/>
          <w:lang w:eastAsia="zh-CN"/>
        </w:rPr>
        <w:t>我街道</w:t>
      </w:r>
      <w:r>
        <w:rPr>
          <w:rFonts w:hint="eastAsia" w:ascii="仿宋_GB2312" w:hAnsi="仿宋_GB2312" w:eastAsia="仿宋_GB2312" w:cs="仿宋_GB2312"/>
          <w:i w:val="0"/>
          <w:iCs w:val="0"/>
          <w:caps w:val="0"/>
          <w:color w:val="333333"/>
          <w:spacing w:val="0"/>
          <w:sz w:val="32"/>
          <w:szCs w:val="32"/>
          <w:shd w:val="clear" w:fill="FFFFFF"/>
          <w:lang w:val="en-US" w:eastAsia="zh-CN"/>
        </w:rPr>
        <w:t>在便民服务大厅完成了政务公开专栏建设，采用线上＋线下的方式将政务与服务相结合，定期将政府公报、相关工作明白纸以及工作手册等存放在便民服务大厅，群众可在政务公开专栏查阅公开信息，进一步推动政务公开标准化、规范化。线上建立政务新媒体“和美龙山”公众号，</w:t>
      </w:r>
      <w:r>
        <w:rPr>
          <w:rFonts w:hint="default" w:ascii="仿宋_GB2312" w:hAnsi="仿宋_GB2312" w:eastAsia="仿宋_GB2312" w:cs="仿宋_GB2312"/>
          <w:i w:val="0"/>
          <w:iCs w:val="0"/>
          <w:caps w:val="0"/>
          <w:color w:val="333333"/>
          <w:spacing w:val="0"/>
          <w:sz w:val="32"/>
          <w:szCs w:val="32"/>
          <w:shd w:val="clear" w:fill="FFFFFF"/>
          <w:lang w:val="en-US" w:eastAsia="zh-CN"/>
        </w:rPr>
        <w:t>全年不定期的更新本</w:t>
      </w:r>
      <w:r>
        <w:rPr>
          <w:rFonts w:hint="eastAsia" w:ascii="仿宋_GB2312" w:hAnsi="仿宋_GB2312" w:eastAsia="仿宋_GB2312" w:cs="仿宋_GB2312"/>
          <w:i w:val="0"/>
          <w:iCs w:val="0"/>
          <w:caps w:val="0"/>
          <w:color w:val="333333"/>
          <w:spacing w:val="0"/>
          <w:sz w:val="32"/>
          <w:szCs w:val="32"/>
          <w:shd w:val="clear" w:fill="FFFFFF"/>
          <w:lang w:val="en-US" w:eastAsia="zh-CN"/>
        </w:rPr>
        <w:t>街道的日常工作动态，切实让群众了解街道的日常工作以及各类实时性相关政策，大大提高了群众的办事效率。</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Style w:val="6"/>
          <w:rFonts w:hint="eastAsia" w:ascii="楷体_GB2312" w:hAnsi="楷体_GB2312" w:eastAsia="楷体_GB2312" w:cs="楷体_GB2312"/>
          <w:b w:val="0"/>
          <w:bCs/>
          <w:i w:val="0"/>
          <w:iCs w:val="0"/>
          <w:caps w:val="0"/>
          <w:color w:val="333333"/>
          <w:spacing w:val="0"/>
          <w:sz w:val="32"/>
          <w:szCs w:val="32"/>
          <w:shd w:val="clear" w:fill="FFFFFF"/>
          <w:lang w:eastAsia="zh-CN"/>
        </w:rPr>
      </w:pPr>
      <w:r>
        <w:rPr>
          <w:rStyle w:val="6"/>
          <w:rFonts w:hint="eastAsia" w:ascii="楷体_GB2312" w:hAnsi="楷体_GB2312" w:eastAsia="楷体_GB2312" w:cs="楷体_GB2312"/>
          <w:b w:val="0"/>
          <w:bCs/>
          <w:i w:val="0"/>
          <w:iCs w:val="0"/>
          <w:caps w:val="0"/>
          <w:color w:val="333333"/>
          <w:spacing w:val="0"/>
          <w:sz w:val="32"/>
          <w:szCs w:val="32"/>
          <w:shd w:val="clear" w:fill="FFFFFF"/>
          <w:lang w:eastAsia="zh-CN"/>
        </w:rPr>
        <w:t>（五）监督保障情况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i w:val="0"/>
          <w:iCs w:val="0"/>
          <w:caps w:val="0"/>
          <w:color w:val="333333"/>
          <w:spacing w:val="0"/>
          <w:sz w:val="32"/>
          <w:szCs w:val="32"/>
          <w:shd w:val="clear" w:fill="FFFFFF"/>
        </w:rPr>
      </w:pPr>
      <w:r>
        <w:rPr>
          <w:rFonts w:hint="eastAsia" w:ascii="仿宋_GB2312" w:hAnsi="仿宋_GB2312" w:eastAsia="仿宋_GB2312" w:cs="仿宋_GB2312"/>
          <w:i w:val="0"/>
          <w:iCs w:val="0"/>
          <w:caps w:val="0"/>
          <w:color w:val="333333"/>
          <w:spacing w:val="0"/>
          <w:sz w:val="32"/>
          <w:szCs w:val="32"/>
          <w:shd w:val="clear" w:fill="FFFFFF"/>
        </w:rPr>
        <w:t>威海市文登区龙山街道办事处配备专职工作人员1名，</w:t>
      </w:r>
      <w:r>
        <w:rPr>
          <w:rFonts w:hint="eastAsia" w:ascii="仿宋_GB2312" w:hAnsi="仿宋_GB2312" w:eastAsia="仿宋_GB2312" w:cs="仿宋_GB2312"/>
          <w:i w:val="0"/>
          <w:iCs w:val="0"/>
          <w:caps w:val="0"/>
          <w:color w:val="333333"/>
          <w:spacing w:val="0"/>
          <w:sz w:val="32"/>
          <w:szCs w:val="32"/>
          <w:shd w:val="clear" w:fill="FFFFFF"/>
          <w:lang w:eastAsia="zh-CN"/>
        </w:rPr>
        <w:t>分工明确，责任到人，</w:t>
      </w:r>
      <w:r>
        <w:rPr>
          <w:rFonts w:hint="eastAsia" w:ascii="仿宋_GB2312" w:hAnsi="仿宋_GB2312" w:eastAsia="仿宋_GB2312" w:cs="仿宋_GB2312"/>
          <w:i w:val="0"/>
          <w:iCs w:val="0"/>
          <w:caps w:val="0"/>
          <w:color w:val="333333"/>
          <w:spacing w:val="0"/>
          <w:sz w:val="32"/>
          <w:szCs w:val="32"/>
          <w:shd w:val="clear" w:fill="FFFFFF"/>
        </w:rPr>
        <w:t>对相关工作内容进行责任分解，进一步健全了工作机制，提升政务公开工作标准化、规范化水平。</w:t>
      </w:r>
      <w:r>
        <w:rPr>
          <w:rFonts w:hint="eastAsia" w:ascii="仿宋_GB2312" w:hAnsi="仿宋_GB2312" w:eastAsia="仿宋_GB2312" w:cs="仿宋_GB2312"/>
          <w:i w:val="0"/>
          <w:iCs w:val="0"/>
          <w:caps w:val="0"/>
          <w:color w:val="333333"/>
          <w:spacing w:val="0"/>
          <w:sz w:val="32"/>
          <w:szCs w:val="32"/>
          <w:shd w:val="clear" w:fill="FFFFFF"/>
          <w:lang w:eastAsia="zh-CN"/>
        </w:rPr>
        <w:t>我街道对于需要发布的内容进行严格的把关，遵循“先审后改再审”的原则，确保做</w:t>
      </w:r>
      <w:r>
        <w:rPr>
          <w:rFonts w:hint="eastAsia" w:ascii="仿宋_GB2312" w:hAnsi="仿宋_GB2312" w:eastAsia="仿宋_GB2312" w:cs="仿宋_GB2312"/>
          <w:i w:val="0"/>
          <w:iCs w:val="0"/>
          <w:caps w:val="0"/>
          <w:color w:val="333333"/>
          <w:spacing w:val="0"/>
          <w:sz w:val="32"/>
          <w:szCs w:val="32"/>
          <w:shd w:val="clear" w:fill="FFFFFF"/>
          <w:lang w:val="en-US" w:eastAsia="zh-CN"/>
        </w:rPr>
        <w:t>到内容、文字、格式都无误后再进行发布。为更好的提高工作，进一步了解群众需求，我街道大力拓宽监督反馈渠道，积极的听取民众的声音，通过张贴公告、通知，在便民服务大厅设立相应的投诉信箱以及热线电话等渠道，安排专人不定期的汇总信息并反馈上级</w:t>
      </w:r>
      <w:r>
        <w:rPr>
          <w:rFonts w:hint="eastAsia" w:ascii="仿宋_GB2312" w:hAnsi="仿宋_GB2312" w:eastAsia="仿宋_GB2312" w:cs="仿宋_GB2312"/>
          <w:i w:val="0"/>
          <w:iCs w:val="0"/>
          <w:caps w:val="0"/>
          <w:color w:val="333333"/>
          <w:spacing w:val="0"/>
          <w:sz w:val="32"/>
          <w:szCs w:val="32"/>
          <w:shd w:val="clear" w:fill="FFFFFF"/>
          <w:lang w:eastAsia="zh-CN"/>
        </w:rPr>
        <w:t>，针对问题及时整改，更好的保障群众的各项权益，同时建立追踪机制，对于群众反映的问题后期进行跟进，并对我们的工作提出评价以便发现问题及时整改。除此之外，为了更好地推进政务公开工作，我街道每季度进行一次政务公开培训工作并进行自由发言，积极探讨各项工作。</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eastAsia" w:ascii="黑体" w:hAnsi="宋体" w:eastAsia="黑体" w:cs="黑体"/>
          <w:color w:val="0000FF"/>
          <w:spacing w:val="0"/>
          <w:sz w:val="32"/>
          <w:szCs w:val="32"/>
          <w:lang w:eastAsia="zh-CN"/>
        </w:rPr>
      </w:pPr>
      <w:r>
        <w:rPr>
          <w:rFonts w:hint="eastAsia" w:ascii="黑体" w:hAnsi="宋体" w:eastAsia="黑体" w:cs="黑体"/>
          <w:color w:val="auto"/>
          <w:spacing w:val="0"/>
          <w:sz w:val="32"/>
          <w:szCs w:val="32"/>
          <w:lang w:eastAsia="zh-CN"/>
        </w:rPr>
        <w:t>二、</w:t>
      </w:r>
      <w:r>
        <w:rPr>
          <w:rFonts w:hint="eastAsia" w:ascii="黑体" w:hAnsi="宋体" w:eastAsia="黑体" w:cs="黑体"/>
          <w:color w:val="auto"/>
          <w:spacing w:val="0"/>
          <w:sz w:val="32"/>
          <w:szCs w:val="32"/>
        </w:rPr>
        <w:t>主动公开政府信息情况</w:t>
      </w:r>
    </w:p>
    <w:tbl>
      <w:tblPr>
        <w:tblStyle w:val="4"/>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宋体" w:eastAsia="仿宋_GB2312" w:cs="宋体"/>
                <w:color w:val="000000"/>
                <w:kern w:val="0"/>
                <w:szCs w:val="21"/>
                <w:lang w:eastAsia="zh-CN"/>
              </w:rPr>
            </w:pPr>
            <w:r>
              <w:rPr>
                <w:rFonts w:hint="eastAsia" w:ascii="仿宋_GB2312" w:hAnsi="宋体" w:eastAsia="仿宋_GB2312" w:cs="宋体"/>
                <w:color w:val="auto"/>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c>
          <w:tcPr>
            <w:tcW w:w="2206" w:type="dxa"/>
            <w:tcBorders>
              <w:top w:val="nil"/>
              <w:left w:val="nil"/>
              <w:bottom w:val="single" w:color="auto" w:sz="8" w:space="0"/>
              <w:right w:val="single" w:color="auto" w:sz="8" w:space="0"/>
            </w:tcBorders>
            <w:noWrap w:val="0"/>
            <w:vAlign w:val="center"/>
          </w:tcPr>
          <w:p>
            <w:pPr>
              <w:widowControl/>
              <w:jc w:val="center"/>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行政许可</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行政强制</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hint="eastAsia" w:ascii="仿宋_GB2312" w:hAnsi="宋体" w:eastAsia="仿宋_GB2312" w:cs="宋体"/>
                <w:color w:val="000000"/>
                <w:kern w:val="0"/>
                <w:szCs w:val="21"/>
                <w:lang w:val="en-US" w:eastAsia="zh-CN"/>
              </w:rPr>
            </w:pPr>
            <w:r>
              <w:rPr>
                <w:rFonts w:hint="eastAsia" w:ascii="仿宋_GB2312" w:hAnsi="宋体" w:eastAsia="仿宋_GB2312" w:cs="宋体"/>
                <w:color w:val="000000"/>
                <w:kern w:val="0"/>
                <w:szCs w:val="21"/>
                <w:lang w:val="en-US" w:eastAsia="zh-CN"/>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noWrap w:val="0"/>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noWrap w:val="0"/>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行政事业性收费</w:t>
            </w:r>
          </w:p>
        </w:tc>
        <w:tc>
          <w:tcPr>
            <w:tcW w:w="6618" w:type="dxa"/>
            <w:gridSpan w:val="3"/>
            <w:tcBorders>
              <w:top w:val="single" w:color="auto" w:sz="8" w:space="0"/>
              <w:left w:val="nil"/>
              <w:bottom w:val="single" w:color="auto" w:sz="8" w:space="0"/>
              <w:right w:val="single" w:color="000000" w:sz="8" w:space="0"/>
            </w:tcBorders>
            <w:noWrap w:val="0"/>
            <w:vAlign w:val="center"/>
          </w:tcPr>
          <w:p>
            <w:pPr>
              <w:widowControl/>
              <w:jc w:val="center"/>
              <w:rPr>
                <w:rFonts w:hint="eastAsia" w:ascii="仿宋_GB2312" w:hAnsi="Calibri" w:eastAsia="仿宋_GB2312" w:cs="Calibri"/>
                <w:color w:val="000000"/>
                <w:kern w:val="0"/>
                <w:szCs w:val="21"/>
                <w:lang w:val="en-US" w:eastAsia="zh-CN"/>
              </w:rPr>
            </w:pPr>
            <w:r>
              <w:rPr>
                <w:rFonts w:hint="eastAsia" w:ascii="仿宋_GB2312" w:hAnsi="Calibri" w:eastAsia="仿宋_GB2312" w:cs="Calibri"/>
                <w:color w:val="000000"/>
                <w:kern w:val="0"/>
                <w:szCs w:val="21"/>
                <w:lang w:val="en-US" w:eastAsia="zh-CN"/>
              </w:rPr>
              <w:t>0</w:t>
            </w:r>
          </w:p>
        </w:tc>
      </w:tr>
    </w:tbl>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jc w:val="left"/>
        <w:textAlignment w:val="auto"/>
        <w:rPr>
          <w:rFonts w:hint="eastAsia" w:ascii="黑体" w:hAnsi="宋体" w:eastAsia="黑体" w:cs="黑体"/>
          <w:color w:val="0000FF"/>
          <w:spacing w:val="0"/>
          <w:sz w:val="32"/>
          <w:szCs w:val="32"/>
          <w:lang w:eastAsia="zh-CN"/>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320" w:firstLineChars="100"/>
        <w:textAlignment w:val="auto"/>
        <w:rPr>
          <w:rFonts w:hint="eastAsia" w:ascii="黑体" w:hAnsi="宋体" w:eastAsia="黑体" w:cs="黑体"/>
          <w:spacing w:val="0"/>
          <w:sz w:val="32"/>
          <w:szCs w:val="32"/>
          <w:lang w:eastAsia="zh-CN"/>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320" w:firstLineChars="100"/>
        <w:textAlignment w:val="auto"/>
        <w:rPr>
          <w:rFonts w:hint="eastAsia" w:ascii="黑体" w:hAnsi="宋体" w:eastAsia="黑体" w:cs="黑体"/>
          <w:spacing w:val="0"/>
          <w:sz w:val="32"/>
          <w:szCs w:val="32"/>
          <w:lang w:eastAsia="zh-CN"/>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320" w:firstLineChars="100"/>
        <w:textAlignment w:val="auto"/>
        <w:rPr>
          <w:rFonts w:hint="eastAsia" w:ascii="黑体" w:hAnsi="宋体" w:eastAsia="黑体" w:cs="黑体"/>
          <w:spacing w:val="0"/>
          <w:sz w:val="32"/>
          <w:szCs w:val="32"/>
          <w:lang w:eastAsia="zh-CN"/>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320" w:firstLineChars="100"/>
        <w:textAlignment w:val="auto"/>
        <w:rPr>
          <w:rFonts w:hint="eastAsia" w:ascii="黑体" w:hAnsi="宋体" w:eastAsia="黑体" w:cs="黑体"/>
          <w:spacing w:val="0"/>
          <w:sz w:val="32"/>
          <w:szCs w:val="32"/>
          <w:lang w:eastAsia="zh-CN"/>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textAlignment w:val="auto"/>
        <w:rPr>
          <w:rFonts w:hint="eastAsia" w:ascii="黑体" w:hAnsi="宋体" w:eastAsia="黑体" w:cs="黑体"/>
          <w:spacing w:val="0"/>
          <w:sz w:val="32"/>
          <w:szCs w:val="32"/>
        </w:rPr>
      </w:pPr>
      <w:r>
        <w:rPr>
          <w:rFonts w:hint="eastAsia" w:ascii="黑体" w:hAnsi="宋体" w:eastAsia="黑体" w:cs="黑体"/>
          <w:spacing w:val="0"/>
          <w:sz w:val="32"/>
          <w:szCs w:val="32"/>
          <w:lang w:eastAsia="zh-CN"/>
        </w:rPr>
        <w:t>三、</w:t>
      </w:r>
      <w:r>
        <w:rPr>
          <w:rFonts w:hint="eastAsia" w:ascii="黑体" w:hAnsi="宋体" w:eastAsia="黑体" w:cs="黑体"/>
          <w:spacing w:val="0"/>
          <w:sz w:val="32"/>
          <w:szCs w:val="32"/>
        </w:rPr>
        <w:t>收到和处理政府信息公开申请情况</w:t>
      </w: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730" w:leftChars="0" w:right="0" w:rightChars="0"/>
        <w:textAlignment w:val="auto"/>
        <w:rPr>
          <w:rFonts w:hint="eastAsia" w:ascii="黑体" w:hAnsi="宋体" w:eastAsia="黑体" w:cs="黑体"/>
          <w:spacing w:val="0"/>
          <w:sz w:val="32"/>
          <w:szCs w:val="32"/>
        </w:rPr>
      </w:pPr>
    </w:p>
    <w:tbl>
      <w:tblPr>
        <w:tblStyle w:val="4"/>
        <w:tblW w:w="4999"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636"/>
        <w:gridCol w:w="1428"/>
        <w:gridCol w:w="2610"/>
        <w:gridCol w:w="680"/>
        <w:gridCol w:w="455"/>
        <w:gridCol w:w="455"/>
        <w:gridCol w:w="596"/>
        <w:gridCol w:w="577"/>
        <w:gridCol w:w="460"/>
        <w:gridCol w:w="62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2568" w:type="pct"/>
            <w:gridSpan w:val="3"/>
            <w:vMerge w:val="restart"/>
            <w:noWrap w:val="0"/>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2431" w:type="pct"/>
            <w:gridSpan w:val="7"/>
            <w:noWrap w:val="0"/>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2568" w:type="pct"/>
            <w:gridSpan w:val="3"/>
            <w:vMerge w:val="continue"/>
            <w:noWrap w:val="0"/>
            <w:tcMar>
              <w:left w:w="108" w:type="dxa"/>
              <w:right w:w="108" w:type="dxa"/>
            </w:tcMar>
            <w:vAlign w:val="center"/>
          </w:tcPr>
          <w:p>
            <w:pPr>
              <w:jc w:val="center"/>
              <w:rPr>
                <w:rFonts w:ascii="仿宋_GB2312" w:hAnsi="Times New Roman" w:eastAsia="仿宋_GB2312"/>
                <w:szCs w:val="21"/>
              </w:rPr>
            </w:pPr>
          </w:p>
        </w:tc>
        <w:tc>
          <w:tcPr>
            <w:tcW w:w="417" w:type="pct"/>
            <w:vMerge w:val="restart"/>
            <w:noWrap w:val="0"/>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1583" w:type="pct"/>
            <w:gridSpan w:val="5"/>
            <w:noWrap w:val="0"/>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429" w:type="pct"/>
            <w:vMerge w:val="restart"/>
            <w:noWrap w:val="0"/>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2568" w:type="pct"/>
            <w:gridSpan w:val="3"/>
            <w:vMerge w:val="continue"/>
            <w:noWrap w:val="0"/>
            <w:tcMar>
              <w:left w:w="108" w:type="dxa"/>
              <w:right w:w="108" w:type="dxa"/>
            </w:tcMar>
            <w:vAlign w:val="center"/>
          </w:tcPr>
          <w:p>
            <w:pPr>
              <w:jc w:val="center"/>
              <w:rPr>
                <w:rFonts w:ascii="仿宋_GB2312" w:hAnsi="Times New Roman" w:eastAsia="仿宋_GB2312"/>
                <w:szCs w:val="21"/>
              </w:rPr>
            </w:pPr>
          </w:p>
        </w:tc>
        <w:tc>
          <w:tcPr>
            <w:tcW w:w="417" w:type="pct"/>
            <w:vMerge w:val="continue"/>
            <w:noWrap w:val="0"/>
            <w:tcMar>
              <w:left w:w="108" w:type="dxa"/>
              <w:right w:w="108" w:type="dxa"/>
            </w:tcMar>
            <w:vAlign w:val="center"/>
          </w:tcPr>
          <w:p>
            <w:pPr>
              <w:jc w:val="center"/>
              <w:rPr>
                <w:rFonts w:ascii="黑体" w:hAnsi="黑体" w:eastAsia="黑体"/>
                <w:szCs w:val="21"/>
              </w:rPr>
            </w:pPr>
          </w:p>
        </w:tc>
        <w:tc>
          <w:tcPr>
            <w:tcW w:w="285" w:type="pct"/>
            <w:noWrap w:val="0"/>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285" w:type="pct"/>
            <w:noWrap w:val="0"/>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368" w:type="pct"/>
            <w:noWrap w:val="0"/>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357" w:type="pct"/>
            <w:noWrap w:val="0"/>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285" w:type="pct"/>
            <w:noWrap w:val="0"/>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429" w:type="pct"/>
            <w:vMerge w:val="continue"/>
            <w:noWrap w:val="0"/>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68" w:type="pct"/>
            <w:gridSpan w:val="3"/>
            <w:noWrap w:val="0"/>
            <w:tcMar>
              <w:left w:w="108" w:type="dxa"/>
              <w:right w:w="108" w:type="dxa"/>
            </w:tcMar>
            <w:vAlign w:val="center"/>
          </w:tcPr>
          <w:p>
            <w:pPr>
              <w:widowControl/>
              <w:rPr>
                <w:rFonts w:ascii="黑体" w:hAnsi="黑体" w:eastAsia="黑体"/>
                <w:color w:val="auto"/>
                <w:szCs w:val="21"/>
              </w:rPr>
            </w:pPr>
            <w:r>
              <w:rPr>
                <w:rFonts w:hint="eastAsia" w:ascii="黑体" w:hAnsi="黑体" w:eastAsia="黑体"/>
                <w:color w:val="auto"/>
                <w:kern w:val="0"/>
                <w:szCs w:val="21"/>
              </w:rPr>
              <w:t>一、</w:t>
            </w:r>
            <w:bookmarkStart w:id="0" w:name="_Hlk66973412"/>
            <w:r>
              <w:rPr>
                <w:rFonts w:hint="eastAsia" w:ascii="黑体" w:hAnsi="黑体" w:eastAsia="黑体"/>
                <w:color w:val="auto"/>
                <w:kern w:val="0"/>
                <w:szCs w:val="21"/>
              </w:rPr>
              <w:t>本年新收政府信息公开申请数量</w:t>
            </w:r>
            <w:bookmarkEnd w:id="0"/>
          </w:p>
        </w:tc>
        <w:tc>
          <w:tcPr>
            <w:tcW w:w="417" w:type="pct"/>
            <w:noWrap w:val="0"/>
            <w:tcMar>
              <w:left w:w="108" w:type="dxa"/>
              <w:right w:w="108" w:type="dxa"/>
            </w:tcMar>
            <w:vAlign w:val="center"/>
          </w:tcPr>
          <w:p>
            <w:pPr>
              <w:widowControl/>
              <w:spacing w:after="180"/>
              <w:jc w:val="center"/>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jc w:val="center"/>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jc w:val="center"/>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368" w:type="pct"/>
            <w:noWrap w:val="0"/>
            <w:tcMar>
              <w:left w:w="108" w:type="dxa"/>
              <w:right w:w="108" w:type="dxa"/>
            </w:tcMar>
            <w:vAlign w:val="center"/>
          </w:tcPr>
          <w:p>
            <w:pPr>
              <w:widowControl/>
              <w:spacing w:after="180"/>
              <w:jc w:val="center"/>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357" w:type="pct"/>
            <w:noWrap w:val="0"/>
            <w:tcMar>
              <w:left w:w="108" w:type="dxa"/>
              <w:right w:w="108" w:type="dxa"/>
            </w:tcMar>
            <w:vAlign w:val="center"/>
          </w:tcPr>
          <w:p>
            <w:pPr>
              <w:widowControl/>
              <w:spacing w:after="180"/>
              <w:jc w:val="center"/>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jc w:val="center"/>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429" w:type="pct"/>
            <w:noWrap w:val="0"/>
            <w:tcMar>
              <w:left w:w="108" w:type="dxa"/>
              <w:right w:w="108" w:type="dxa"/>
            </w:tcMar>
            <w:vAlign w:val="center"/>
          </w:tcPr>
          <w:p>
            <w:pPr>
              <w:widowControl/>
              <w:spacing w:after="180"/>
              <w:jc w:val="center"/>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2568" w:type="pct"/>
            <w:gridSpan w:val="3"/>
            <w:noWrap w:val="0"/>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二、上年结转政府信息公开申请数量</w:t>
            </w:r>
          </w:p>
        </w:tc>
        <w:tc>
          <w:tcPr>
            <w:tcW w:w="417"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09" w:type="pct"/>
            <w:vMerge w:val="restart"/>
            <w:noWrap w:val="0"/>
            <w:tcMar>
              <w:left w:w="108" w:type="dxa"/>
              <w:right w:w="108" w:type="dxa"/>
            </w:tcMar>
            <w:vAlign w:val="center"/>
          </w:tcPr>
          <w:p>
            <w:pPr>
              <w:widowControl/>
              <w:spacing w:after="180"/>
              <w:rPr>
                <w:rFonts w:ascii="黑体" w:hAnsi="黑体" w:eastAsia="黑体"/>
                <w:szCs w:val="21"/>
              </w:rPr>
            </w:pPr>
            <w:r>
              <w:rPr>
                <w:rFonts w:hint="eastAsia" w:ascii="黑体" w:hAnsi="黑体" w:eastAsia="黑体"/>
                <w:kern w:val="0"/>
                <w:szCs w:val="21"/>
              </w:rPr>
              <w:t>三、本年度办理结果</w:t>
            </w:r>
          </w:p>
        </w:tc>
        <w:tc>
          <w:tcPr>
            <w:tcW w:w="2358" w:type="pct"/>
            <w:gridSpan w:val="2"/>
            <w:noWrap w:val="0"/>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417" w:type="pct"/>
            <w:noWrap w:val="0"/>
            <w:tcMar>
              <w:left w:w="108" w:type="dxa"/>
              <w:right w:w="108" w:type="dxa"/>
            </w:tcMar>
            <w:vAlign w:val="center"/>
          </w:tcPr>
          <w:p>
            <w:pPr>
              <w:widowControl/>
              <w:spacing w:after="180"/>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09" w:type="pct"/>
            <w:vMerge w:val="continue"/>
            <w:noWrap w:val="0"/>
            <w:tcMar>
              <w:left w:w="108" w:type="dxa"/>
              <w:right w:w="108" w:type="dxa"/>
            </w:tcMar>
            <w:vAlign w:val="center"/>
          </w:tcPr>
          <w:p>
            <w:pPr>
              <w:rPr>
                <w:rFonts w:ascii="黑体" w:hAnsi="黑体" w:eastAsia="黑体"/>
                <w:szCs w:val="21"/>
              </w:rPr>
            </w:pPr>
          </w:p>
        </w:tc>
        <w:tc>
          <w:tcPr>
            <w:tcW w:w="2358" w:type="pct"/>
            <w:gridSpan w:val="2"/>
            <w:noWrap w:val="0"/>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41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27"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restart"/>
            <w:noWrap w:val="0"/>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60"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61"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restart"/>
            <w:noWrap w:val="0"/>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417" w:type="pct"/>
            <w:noWrap w:val="0"/>
            <w:tcMar>
              <w:left w:w="108" w:type="dxa"/>
              <w:right w:w="108" w:type="dxa"/>
            </w:tcMar>
            <w:vAlign w:val="center"/>
          </w:tcPr>
          <w:p>
            <w:pPr>
              <w:widowControl/>
              <w:spacing w:after="180" w:line="200" w:lineRule="exact"/>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hint="eastAsia" w:ascii="仿宋_GB2312" w:hAnsi="Times New Roman" w:eastAsia="仿宋_GB2312"/>
                <w:szCs w:val="21"/>
                <w:lang w:val="en-US" w:eastAsia="zh-CN"/>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ind w:left="-107" w:leftChars="-51"/>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ind w:left="-107" w:leftChars="-51"/>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restart"/>
            <w:noWrap w:val="0"/>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34" w:hRule="exact"/>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rPr>
                <w:rFonts w:ascii="黑体" w:hAnsi="黑体" w:eastAsia="黑体"/>
                <w:szCs w:val="21"/>
              </w:rPr>
            </w:pPr>
          </w:p>
        </w:tc>
        <w:tc>
          <w:tcPr>
            <w:tcW w:w="1550" w:type="pct"/>
            <w:noWrap w:val="0"/>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spacing w:line="200" w:lineRule="exact"/>
              <w:rPr>
                <w:rFonts w:ascii="黑体" w:hAnsi="黑体" w:eastAsia="黑体"/>
                <w:szCs w:val="21"/>
              </w:rPr>
            </w:pPr>
          </w:p>
        </w:tc>
        <w:tc>
          <w:tcPr>
            <w:tcW w:w="1550" w:type="pct"/>
            <w:noWrap w:val="0"/>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restart"/>
            <w:noWrap w:val="0"/>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1550" w:type="pct"/>
            <w:noWrap w:val="0"/>
            <w:vAlign w:val="center"/>
          </w:tcPr>
          <w:p>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szCs w:val="21"/>
              </w:rPr>
            </w:pPr>
            <w:r>
              <w:rPr>
                <w:rFonts w:hint="eastAsia" w:ascii="仿宋_GB2312" w:hAnsi="Times New Roman" w:eastAsia="仿宋_GB2312"/>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widowControl/>
              <w:spacing w:line="300" w:lineRule="exact"/>
              <w:rPr>
                <w:rFonts w:ascii="黑体" w:hAnsi="黑体" w:eastAsia="黑体"/>
                <w:kern w:val="0"/>
                <w:szCs w:val="21"/>
              </w:rPr>
            </w:pPr>
          </w:p>
        </w:tc>
        <w:tc>
          <w:tcPr>
            <w:tcW w:w="1550" w:type="pct"/>
            <w:noWrap w:val="0"/>
            <w:vAlign w:val="center"/>
          </w:tcPr>
          <w:p>
            <w:pPr>
              <w:widowControl/>
              <w:spacing w:line="300" w:lineRule="exact"/>
              <w:rPr>
                <w:rFonts w:ascii="仿宋_GB2312" w:hAnsi="黑体" w:eastAsia="仿宋_GB2312"/>
                <w:color w:val="auto"/>
                <w:kern w:val="0"/>
                <w:szCs w:val="21"/>
              </w:rPr>
            </w:pPr>
            <w:r>
              <w:rPr>
                <w:rFonts w:hint="eastAsia" w:ascii="仿宋_GB2312" w:hAnsi="楷体" w:eastAsia="仿宋_GB2312"/>
                <w:color w:val="auto"/>
              </w:rPr>
              <w:t>2.申请人逾期未按收费通知要求缴纳费用、行政机关不再处理其政府信息公开申请</w:t>
            </w:r>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09" w:type="pct"/>
            <w:vMerge w:val="continue"/>
            <w:noWrap w:val="0"/>
            <w:tcMar>
              <w:left w:w="108" w:type="dxa"/>
              <w:right w:w="108" w:type="dxa"/>
            </w:tcMar>
            <w:vAlign w:val="center"/>
          </w:tcPr>
          <w:p>
            <w:pPr>
              <w:rPr>
                <w:rFonts w:ascii="黑体" w:hAnsi="黑体" w:eastAsia="黑体"/>
                <w:szCs w:val="21"/>
              </w:rPr>
            </w:pPr>
          </w:p>
        </w:tc>
        <w:tc>
          <w:tcPr>
            <w:tcW w:w="857" w:type="pct"/>
            <w:vMerge w:val="continue"/>
            <w:noWrap w:val="0"/>
            <w:tcMar>
              <w:left w:w="108" w:type="dxa"/>
              <w:right w:w="108" w:type="dxa"/>
            </w:tcMar>
            <w:vAlign w:val="center"/>
          </w:tcPr>
          <w:p>
            <w:pPr>
              <w:widowControl/>
              <w:spacing w:line="300" w:lineRule="exact"/>
              <w:rPr>
                <w:rFonts w:ascii="黑体" w:hAnsi="黑体" w:eastAsia="黑体"/>
                <w:kern w:val="0"/>
                <w:szCs w:val="21"/>
              </w:rPr>
            </w:pPr>
          </w:p>
        </w:tc>
        <w:tc>
          <w:tcPr>
            <w:tcW w:w="1501" w:type="pct"/>
            <w:noWrap w:val="0"/>
            <w:vAlign w:val="center"/>
          </w:tcPr>
          <w:p>
            <w:pPr>
              <w:widowControl/>
              <w:spacing w:line="300" w:lineRule="exact"/>
              <w:rPr>
                <w:rFonts w:ascii="仿宋_GB2312" w:hAnsi="黑体" w:eastAsia="仿宋_GB2312"/>
                <w:color w:val="auto"/>
                <w:kern w:val="0"/>
                <w:szCs w:val="21"/>
              </w:rPr>
            </w:pPr>
            <w:r>
              <w:rPr>
                <w:rFonts w:hint="eastAsia" w:ascii="仿宋_GB2312" w:hAnsi="楷体" w:eastAsia="仿宋_GB2312"/>
                <w:color w:val="auto"/>
              </w:rPr>
              <w:t>3.其他</w:t>
            </w:r>
          </w:p>
        </w:tc>
        <w:tc>
          <w:tcPr>
            <w:tcW w:w="417" w:type="pct"/>
            <w:noWrap w:val="0"/>
            <w:tcMar>
              <w:left w:w="108" w:type="dxa"/>
              <w:right w:w="108" w:type="dxa"/>
            </w:tcMar>
            <w:vAlign w:val="center"/>
          </w:tcPr>
          <w:p>
            <w:pPr>
              <w:widowControl/>
              <w:spacing w:after="180" w:line="200" w:lineRule="exact"/>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09" w:type="pct"/>
            <w:vMerge w:val="continue"/>
            <w:noWrap w:val="0"/>
            <w:tcMar>
              <w:left w:w="108" w:type="dxa"/>
              <w:right w:w="108" w:type="dxa"/>
            </w:tcMar>
            <w:vAlign w:val="center"/>
          </w:tcPr>
          <w:p>
            <w:pPr>
              <w:rPr>
                <w:rFonts w:ascii="黑体" w:hAnsi="黑体" w:eastAsia="黑体"/>
                <w:szCs w:val="21"/>
              </w:rPr>
            </w:pPr>
          </w:p>
        </w:tc>
        <w:tc>
          <w:tcPr>
            <w:tcW w:w="2358" w:type="pct"/>
            <w:gridSpan w:val="2"/>
            <w:noWrap w:val="0"/>
            <w:tcMar>
              <w:left w:w="108" w:type="dxa"/>
              <w:right w:w="108" w:type="dxa"/>
            </w:tcMar>
            <w:vAlign w:val="center"/>
          </w:tcPr>
          <w:p>
            <w:pPr>
              <w:widowControl/>
              <w:spacing w:line="300" w:lineRule="exact"/>
              <w:rPr>
                <w:rFonts w:ascii="黑体" w:hAnsi="黑体" w:eastAsia="黑体"/>
                <w:color w:val="auto"/>
                <w:kern w:val="0"/>
                <w:szCs w:val="21"/>
              </w:rPr>
            </w:pPr>
            <w:r>
              <w:rPr>
                <w:rFonts w:hint="eastAsia" w:ascii="黑体" w:hAnsi="黑体" w:eastAsia="黑体"/>
                <w:color w:val="auto"/>
                <w:kern w:val="0"/>
                <w:szCs w:val="21"/>
              </w:rPr>
              <w:t>（七）总计</w:t>
            </w:r>
          </w:p>
        </w:tc>
        <w:tc>
          <w:tcPr>
            <w:tcW w:w="417" w:type="pct"/>
            <w:noWrap w:val="0"/>
            <w:tcMar>
              <w:left w:w="108" w:type="dxa"/>
              <w:right w:w="108" w:type="dxa"/>
            </w:tcMar>
            <w:vAlign w:val="center"/>
          </w:tcPr>
          <w:p>
            <w:pPr>
              <w:widowControl/>
              <w:spacing w:after="180" w:line="200" w:lineRule="exact"/>
              <w:jc w:val="center"/>
              <w:rPr>
                <w:rFonts w:hint="default"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568" w:type="pct"/>
            <w:gridSpan w:val="3"/>
            <w:noWrap w:val="0"/>
            <w:tcMar>
              <w:left w:w="108" w:type="dxa"/>
              <w:right w:w="108" w:type="dxa"/>
            </w:tcMar>
            <w:vAlign w:val="center"/>
          </w:tcPr>
          <w:p>
            <w:pPr>
              <w:widowControl/>
              <w:spacing w:line="300" w:lineRule="exact"/>
              <w:rPr>
                <w:rFonts w:ascii="黑体" w:hAnsi="黑体" w:eastAsia="黑体"/>
                <w:color w:val="auto"/>
                <w:kern w:val="0"/>
                <w:szCs w:val="21"/>
              </w:rPr>
            </w:pPr>
            <w:r>
              <w:rPr>
                <w:rFonts w:hint="eastAsia" w:ascii="黑体" w:hAnsi="黑体" w:eastAsia="黑体"/>
                <w:color w:val="auto"/>
                <w:kern w:val="0"/>
                <w:szCs w:val="21"/>
              </w:rPr>
              <w:t>四、结转下年度继续办理</w:t>
            </w:r>
          </w:p>
        </w:tc>
        <w:tc>
          <w:tcPr>
            <w:tcW w:w="417" w:type="pct"/>
            <w:noWrap w:val="0"/>
            <w:tcMar>
              <w:left w:w="108" w:type="dxa"/>
              <w:right w:w="108" w:type="dxa"/>
            </w:tcMar>
            <w:vAlign w:val="center"/>
          </w:tcPr>
          <w:p>
            <w:pPr>
              <w:widowControl/>
              <w:spacing w:after="180" w:line="200" w:lineRule="exact"/>
              <w:jc w:val="center"/>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line="200" w:lineRule="exact"/>
              <w:jc w:val="center"/>
              <w:rPr>
                <w:rFonts w:hint="eastAsia" w:ascii="仿宋_GB2312" w:hAnsi="Times New Roman" w:eastAsia="仿宋_GB2312"/>
                <w:color w:val="auto"/>
                <w:szCs w:val="21"/>
                <w:lang w:val="en-US" w:eastAsia="zh-CN"/>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368"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357"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285"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c>
          <w:tcPr>
            <w:tcW w:w="429" w:type="pct"/>
            <w:noWrap w:val="0"/>
            <w:tcMar>
              <w:left w:w="108" w:type="dxa"/>
              <w:right w:w="108" w:type="dxa"/>
            </w:tcMar>
            <w:vAlign w:val="center"/>
          </w:tcPr>
          <w:p>
            <w:pPr>
              <w:widowControl/>
              <w:spacing w:after="180"/>
              <w:jc w:val="center"/>
              <w:rPr>
                <w:rFonts w:ascii="仿宋_GB2312" w:hAnsi="Times New Roman" w:eastAsia="仿宋_GB2312"/>
                <w:color w:val="auto"/>
                <w:szCs w:val="21"/>
              </w:rPr>
            </w:pPr>
            <w:r>
              <w:rPr>
                <w:rFonts w:hint="eastAsia" w:ascii="仿宋_GB2312" w:hAnsi="Times New Roman" w:eastAsia="仿宋_GB2312"/>
                <w:color w:val="auto"/>
                <w:szCs w:val="21"/>
                <w:lang w:val="en-US" w:eastAsia="zh-CN"/>
              </w:rPr>
              <w:t>0</w:t>
            </w:r>
          </w:p>
        </w:tc>
      </w:tr>
    </w:tbl>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jc w:val="left"/>
        <w:textAlignment w:val="auto"/>
        <w:rPr>
          <w:rFonts w:hint="eastAsia" w:ascii="黑体" w:hAnsi="宋体" w:eastAsia="黑体" w:cs="黑体"/>
          <w:spacing w:val="0"/>
          <w:sz w:val="32"/>
          <w:szCs w:val="32"/>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730" w:leftChars="0" w:right="0" w:rightChars="0"/>
        <w:textAlignment w:val="auto"/>
      </w:pPr>
      <w:r>
        <w:rPr>
          <w:rFonts w:hint="eastAsia" w:ascii="黑体" w:hAnsi="宋体" w:eastAsia="黑体" w:cs="黑体"/>
          <w:spacing w:val="0"/>
          <w:sz w:val="32"/>
          <w:szCs w:val="32"/>
          <w:lang w:eastAsia="zh-CN"/>
        </w:rPr>
        <w:t>四、</w:t>
      </w:r>
      <w:r>
        <w:rPr>
          <w:rFonts w:hint="eastAsia" w:ascii="黑体" w:hAnsi="宋体" w:eastAsia="黑体" w:cs="黑体"/>
          <w:spacing w:val="0"/>
          <w:sz w:val="32"/>
          <w:szCs w:val="32"/>
        </w:rPr>
        <w:t>政府信息公开行政复议、行政诉讼情况</w:t>
      </w:r>
    </w:p>
    <w:tbl>
      <w:tblPr>
        <w:tblStyle w:val="4"/>
        <w:tblW w:w="9039" w:type="dxa"/>
        <w:tblInd w:w="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hemeFill="background1"/>
        <w:tblLayout w:type="autofit"/>
        <w:tblCellMar>
          <w:top w:w="15" w:type="dxa"/>
          <w:left w:w="15" w:type="dxa"/>
          <w:bottom w:w="15" w:type="dxa"/>
          <w:right w:w="15" w:type="dxa"/>
        </w:tblCellMar>
      </w:tblPr>
      <w:tblGrid>
        <w:gridCol w:w="593"/>
        <w:gridCol w:w="593"/>
        <w:gridCol w:w="593"/>
        <w:gridCol w:w="593"/>
        <w:gridCol w:w="685"/>
        <w:gridCol w:w="547"/>
        <w:gridCol w:w="594"/>
        <w:gridCol w:w="594"/>
        <w:gridCol w:w="594"/>
        <w:gridCol w:w="629"/>
        <w:gridCol w:w="594"/>
        <w:gridCol w:w="594"/>
        <w:gridCol w:w="594"/>
        <w:gridCol w:w="594"/>
        <w:gridCol w:w="648"/>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FFFFFF" w:themeFill="background1"/>
          <w:tblCellMar>
            <w:top w:w="15" w:type="dxa"/>
            <w:left w:w="15" w:type="dxa"/>
            <w:bottom w:w="15" w:type="dxa"/>
            <w:right w:w="15" w:type="dxa"/>
          </w:tblCellMar>
        </w:tblPrEx>
        <w:trPr>
          <w:trHeight w:val="481" w:hRule="atLeast"/>
        </w:trPr>
        <w:tc>
          <w:tcPr>
            <w:tcW w:w="3057" w:type="dxa"/>
            <w:gridSpan w:val="5"/>
            <w:tcBorders>
              <w:top w:val="single" w:color="auto" w:sz="6" w:space="0"/>
              <w:left w:val="single" w:color="auto" w:sz="6" w:space="0"/>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行政复议</w:t>
            </w:r>
          </w:p>
        </w:tc>
        <w:tc>
          <w:tcPr>
            <w:tcW w:w="5982" w:type="dxa"/>
            <w:gridSpan w:val="10"/>
            <w:tcBorders>
              <w:top w:val="single" w:color="auto" w:sz="6" w:space="0"/>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行政诉讼</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481" w:hRule="atLeast"/>
        </w:trPr>
        <w:tc>
          <w:tcPr>
            <w:tcW w:w="593" w:type="dxa"/>
            <w:vMerge w:val="restart"/>
            <w:tcBorders>
              <w:top w:val="nil"/>
              <w:left w:val="single" w:color="auto" w:sz="6" w:space="0"/>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结果维持</w:t>
            </w:r>
          </w:p>
        </w:tc>
        <w:tc>
          <w:tcPr>
            <w:tcW w:w="593" w:type="dxa"/>
            <w:vMerge w:val="restart"/>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结果纠正</w:t>
            </w:r>
          </w:p>
        </w:tc>
        <w:tc>
          <w:tcPr>
            <w:tcW w:w="593" w:type="dxa"/>
            <w:vMerge w:val="restart"/>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其他结果</w:t>
            </w:r>
          </w:p>
        </w:tc>
        <w:tc>
          <w:tcPr>
            <w:tcW w:w="593" w:type="dxa"/>
            <w:vMerge w:val="restart"/>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尚未审结</w:t>
            </w:r>
          </w:p>
        </w:tc>
        <w:tc>
          <w:tcPr>
            <w:tcW w:w="685" w:type="dxa"/>
            <w:vMerge w:val="restart"/>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总计</w:t>
            </w:r>
          </w:p>
        </w:tc>
        <w:tc>
          <w:tcPr>
            <w:tcW w:w="2958" w:type="dxa"/>
            <w:gridSpan w:val="5"/>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未经复议直接起诉</w:t>
            </w:r>
          </w:p>
        </w:tc>
        <w:tc>
          <w:tcPr>
            <w:tcW w:w="3024" w:type="dxa"/>
            <w:gridSpan w:val="5"/>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复议后起诉</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1180" w:hRule="atLeast"/>
        </w:trPr>
        <w:tc>
          <w:tcPr>
            <w:tcW w:w="593" w:type="dxa"/>
            <w:vMerge w:val="continue"/>
            <w:tcBorders>
              <w:top w:val="nil"/>
              <w:left w:val="single" w:color="auto" w:sz="6" w:space="0"/>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default" w:ascii="sans-serif" w:hAnsi="sans-serif" w:eastAsia="sans-serif" w:cs="sans-serif"/>
                <w:sz w:val="24"/>
                <w:szCs w:val="24"/>
              </w:rPr>
            </w:pPr>
          </w:p>
        </w:tc>
        <w:tc>
          <w:tcPr>
            <w:tcW w:w="593" w:type="dxa"/>
            <w:vMerge w:val="continue"/>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default" w:ascii="sans-serif" w:hAnsi="sans-serif" w:eastAsia="sans-serif" w:cs="sans-serif"/>
                <w:sz w:val="24"/>
                <w:szCs w:val="24"/>
              </w:rPr>
            </w:pPr>
          </w:p>
        </w:tc>
        <w:tc>
          <w:tcPr>
            <w:tcW w:w="593" w:type="dxa"/>
            <w:vMerge w:val="continue"/>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default" w:ascii="sans-serif" w:hAnsi="sans-serif" w:eastAsia="sans-serif" w:cs="sans-serif"/>
                <w:sz w:val="24"/>
                <w:szCs w:val="24"/>
              </w:rPr>
            </w:pPr>
          </w:p>
        </w:tc>
        <w:tc>
          <w:tcPr>
            <w:tcW w:w="593" w:type="dxa"/>
            <w:vMerge w:val="continue"/>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default" w:ascii="sans-serif" w:hAnsi="sans-serif" w:eastAsia="sans-serif" w:cs="sans-serif"/>
                <w:sz w:val="24"/>
                <w:szCs w:val="24"/>
              </w:rPr>
            </w:pPr>
          </w:p>
        </w:tc>
        <w:tc>
          <w:tcPr>
            <w:tcW w:w="685" w:type="dxa"/>
            <w:vMerge w:val="continue"/>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keepNext w:val="0"/>
              <w:keepLines w:val="0"/>
              <w:pageBreakBefore w:val="0"/>
              <w:kinsoku/>
              <w:wordWrap/>
              <w:overflowPunct/>
              <w:topLinePunct w:val="0"/>
              <w:autoSpaceDE/>
              <w:autoSpaceDN/>
              <w:bidi w:val="0"/>
              <w:adjustRightInd/>
              <w:snapToGrid/>
              <w:spacing w:line="560" w:lineRule="exact"/>
              <w:textAlignment w:val="auto"/>
              <w:rPr>
                <w:rFonts w:hint="default" w:ascii="sans-serif" w:hAnsi="sans-serif" w:eastAsia="sans-serif" w:cs="sans-serif"/>
                <w:sz w:val="24"/>
                <w:szCs w:val="24"/>
              </w:rPr>
            </w:pPr>
          </w:p>
        </w:tc>
        <w:tc>
          <w:tcPr>
            <w:tcW w:w="547"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结果维持</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结果纠正</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其他结果</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尚未审结</w:t>
            </w:r>
          </w:p>
        </w:tc>
        <w:tc>
          <w:tcPr>
            <w:tcW w:w="629"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总计</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结果维持</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结果纠正</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其他结果</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尚未审结</w:t>
            </w:r>
          </w:p>
        </w:tc>
        <w:tc>
          <w:tcPr>
            <w:tcW w:w="648"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总计</w:t>
            </w:r>
          </w:p>
        </w:tc>
      </w:tr>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36" w:hRule="atLeast"/>
        </w:trPr>
        <w:tc>
          <w:tcPr>
            <w:tcW w:w="593" w:type="dxa"/>
            <w:tcBorders>
              <w:top w:val="nil"/>
              <w:left w:val="single" w:color="auto" w:sz="6" w:space="0"/>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593"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593"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593"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685"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547"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629"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594"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c>
          <w:tcPr>
            <w:tcW w:w="648" w:type="dxa"/>
            <w:tcBorders>
              <w:top w:val="nil"/>
              <w:left w:val="nil"/>
              <w:bottom w:val="single" w:color="auto" w:sz="6" w:space="0"/>
              <w:right w:val="single" w:color="auto" w:sz="6" w:space="0"/>
            </w:tcBorders>
            <w:shd w:val="clear" w:color="auto" w:fill="FFFFFF" w:themeFill="background1"/>
            <w:tcMar>
              <w:top w:w="0" w:type="dxa"/>
              <w:left w:w="105" w:type="dxa"/>
              <w:bottom w:w="0"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textAlignment w:val="auto"/>
            </w:pPr>
            <w:r>
              <w:rPr>
                <w:rFonts w:hint="default" w:ascii="Calibri" w:hAnsi="Calibri" w:eastAsia="sans-serif" w:cs="Calibri"/>
                <w:sz w:val="24"/>
                <w:szCs w:val="24"/>
              </w:rPr>
              <w:t>0</w:t>
            </w:r>
          </w:p>
        </w:tc>
      </w:tr>
    </w:tbl>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textAlignment w:val="auto"/>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eastAsia="黑体"/>
          <w:lang w:eastAsia="zh-CN"/>
        </w:rPr>
      </w:pPr>
      <w:r>
        <w:rPr>
          <w:rFonts w:hint="eastAsia" w:ascii="黑体" w:hAnsi="宋体" w:eastAsia="黑体" w:cs="黑体"/>
          <w:spacing w:val="0"/>
          <w:sz w:val="32"/>
          <w:szCs w:val="32"/>
        </w:rPr>
        <w:t>五、存在的主要问题及改进情况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000000" w:themeColor="text1"/>
          <w:spacing w:val="0"/>
          <w:sz w:val="32"/>
          <w:szCs w:val="32"/>
          <w14:textFill>
            <w14:solidFill>
              <w14:schemeClr w14:val="tx1"/>
            </w14:solidFill>
          </w14:textFill>
        </w:rPr>
        <w:t>存在的主要问题：</w:t>
      </w:r>
      <w:r>
        <w:rPr>
          <w:rFonts w:hint="eastAsia" w:ascii="仿宋_GB2312" w:hAnsi="仿宋_GB2312" w:eastAsia="仿宋_GB2312" w:cs="仿宋_GB2312"/>
          <w:color w:val="000000" w:themeColor="text1"/>
          <w:spacing w:val="0"/>
          <w:sz w:val="32"/>
          <w:szCs w:val="32"/>
          <w:lang w:eastAsia="zh-CN"/>
          <w14:textFill>
            <w14:solidFill>
              <w14:schemeClr w14:val="tx1"/>
            </w14:solidFill>
          </w14:textFill>
        </w:rPr>
        <w:t>一是</w:t>
      </w:r>
      <w:r>
        <w:rPr>
          <w:rFonts w:hint="eastAsia" w:ascii="Times New Roman" w:hAnsi="Times New Roman" w:eastAsia="仿宋_GB2312" w:cs="Times New Roman"/>
          <w:i w:val="0"/>
          <w:iCs w:val="0"/>
          <w:caps w:val="0"/>
          <w:color w:val="000000" w:themeColor="text1"/>
          <w:spacing w:val="0"/>
          <w:sz w:val="32"/>
          <w:szCs w:val="32"/>
          <w:lang w:val="en-US" w:eastAsia="zh-CN"/>
          <w14:textFill>
            <w14:solidFill>
              <w14:schemeClr w14:val="tx1"/>
            </w14:solidFill>
          </w14:textFill>
        </w:rPr>
        <w:t>政务公开工作业务水平不高，在信息公开方面工作不到位</w:t>
      </w:r>
      <w:r>
        <w:rPr>
          <w:rFonts w:hint="eastAsia" w:ascii="仿宋_GB2312" w:hAnsi="仿宋_GB2312" w:eastAsia="仿宋_GB2312" w:cs="仿宋_GB2312"/>
          <w:color w:val="000000" w:themeColor="text1"/>
          <w:spacing w:val="0"/>
          <w:sz w:val="32"/>
          <w:szCs w:val="32"/>
          <w14:textFill>
            <w14:solidFill>
              <w14:schemeClr w14:val="tx1"/>
            </w14:solidFill>
          </w14:textFill>
        </w:rPr>
        <w:t>。</w:t>
      </w:r>
      <w:r>
        <w:rPr>
          <w:rFonts w:hint="eastAsia" w:ascii="仿宋_GB2312" w:hAnsi="仿宋_GB2312" w:eastAsia="仿宋_GB2312" w:cs="仿宋_GB2312"/>
          <w:color w:val="000000" w:themeColor="text1"/>
          <w:spacing w:val="0"/>
          <w:sz w:val="32"/>
          <w:szCs w:val="32"/>
          <w:lang w:eastAsia="zh-CN"/>
          <w14:textFill>
            <w14:solidFill>
              <w14:schemeClr w14:val="tx1"/>
            </w14:solidFill>
          </w14:textFill>
        </w:rPr>
        <w:t>二</w:t>
      </w:r>
      <w:r>
        <w:rPr>
          <w:rFonts w:hint="eastAsia" w:ascii="仿宋_GB2312" w:hAnsi="仿宋_GB2312" w:eastAsia="仿宋_GB2312" w:cs="仿宋_GB2312"/>
          <w:color w:val="000000" w:themeColor="text1"/>
          <w:spacing w:val="0"/>
          <w:sz w:val="32"/>
          <w:szCs w:val="32"/>
          <w14:textFill>
            <w14:solidFill>
              <w14:schemeClr w14:val="tx1"/>
            </w14:solidFill>
          </w14:textFill>
        </w:rPr>
        <w:t>是</w:t>
      </w:r>
      <w:r>
        <w:rPr>
          <w:rFonts w:hint="eastAsia" w:ascii="Times New Roman" w:hAnsi="Times New Roman" w:eastAsia="仿宋_GB2312" w:cs="Times New Roman"/>
          <w:color w:val="000000" w:themeColor="text1"/>
          <w:spacing w:val="0"/>
          <w:sz w:val="32"/>
          <w:szCs w:val="32"/>
          <w:lang w:val="en-US" w:eastAsia="zh-CN"/>
          <w14:textFill>
            <w14:solidFill>
              <w14:schemeClr w14:val="tx1"/>
            </w14:solidFill>
          </w14:textFill>
        </w:rPr>
        <w:t>对政务公开相关的政策了解不够全面</w:t>
      </w:r>
      <w:r>
        <w:rPr>
          <w:rFonts w:hint="eastAsia" w:ascii="仿宋_GB2312" w:hAnsi="仿宋_GB2312" w:eastAsia="仿宋_GB2312" w:cs="仿宋_GB2312"/>
          <w:color w:val="000000" w:themeColor="text1"/>
          <w:spacing w:val="0"/>
          <w:sz w:val="32"/>
          <w:szCs w:val="32"/>
          <w14:textFill>
            <w14:solidFill>
              <w14:schemeClr w14:val="tx1"/>
            </w14:solidFill>
          </w14:textFill>
        </w:rPr>
        <w:t>。</w:t>
      </w:r>
      <w:r>
        <w:rPr>
          <w:rFonts w:hint="eastAsia" w:ascii="仿宋_GB2312" w:hAnsi="仿宋_GB2312" w:eastAsia="仿宋_GB2312" w:cs="仿宋_GB2312"/>
          <w:color w:val="000000" w:themeColor="text1"/>
          <w:spacing w:val="0"/>
          <w:sz w:val="32"/>
          <w:szCs w:val="32"/>
          <w:lang w:eastAsia="zh-CN"/>
          <w14:textFill>
            <w14:solidFill>
              <w14:schemeClr w14:val="tx1"/>
            </w14:solidFill>
          </w14:textFill>
        </w:rPr>
        <w:t>三是</w:t>
      </w:r>
      <w:r>
        <w:rPr>
          <w:rFonts w:hint="eastAsia" w:ascii="Times New Roman" w:hAnsi="Times New Roman" w:eastAsia="仿宋_GB2312" w:cs="Times New Roman"/>
          <w:color w:val="000000" w:themeColor="text1"/>
          <w:kern w:val="2"/>
          <w:sz w:val="32"/>
          <w:szCs w:val="21"/>
          <w:lang w:val="en-US" w:eastAsia="zh-CN" w:bidi="ar-SA"/>
          <w14:textFill>
            <w14:solidFill>
              <w14:schemeClr w14:val="tx1"/>
            </w14:solidFill>
          </w14:textFill>
        </w:rPr>
        <w:t>内容比较单一，缺乏创新型举措。</w:t>
      </w:r>
      <w:r>
        <w:rPr>
          <w:rFonts w:hint="eastAsia" w:ascii="仿宋_GB2312" w:hAnsi="仿宋_GB2312" w:eastAsia="仿宋_GB2312" w:cs="仿宋_GB2312"/>
          <w:color w:val="auto"/>
          <w:spacing w:val="0"/>
          <w:sz w:val="32"/>
          <w:szCs w:val="32"/>
        </w:rPr>
        <w:t>今后，街道将从以下几个方面采取措施，进一步加强政府信息公开工作。</w:t>
      </w:r>
    </w:p>
    <w:p>
      <w:pPr>
        <w:pStyle w:val="3"/>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Times New Roman" w:hAnsi="Times New Roman" w:eastAsia="仿宋_GB2312" w:cs="Times New Roman"/>
          <w:i w:val="0"/>
          <w:iCs w:val="0"/>
          <w:caps w:val="0"/>
          <w:color w:val="000000" w:themeColor="text1"/>
          <w:spacing w:val="0"/>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pacing w:val="0"/>
          <w:sz w:val="32"/>
          <w:szCs w:val="32"/>
          <w:lang w:val="en-US" w:eastAsia="zh-CN"/>
          <w14:textFill>
            <w14:solidFill>
              <w14:schemeClr w14:val="tx1"/>
            </w14:solidFill>
          </w14:textFill>
        </w:rPr>
        <w:t>加大培训。通过以干代练、以老带新、轮岗锻等形式，加强对于政务公开的</w:t>
      </w:r>
      <w:r>
        <w:rPr>
          <w:rFonts w:hint="eastAsia" w:ascii="Times New Roman" w:hAnsi="Times New Roman" w:eastAsia="仿宋_GB2312" w:cs="Times New Roman"/>
          <w:i w:val="0"/>
          <w:iCs w:val="0"/>
          <w:caps w:val="0"/>
          <w:color w:val="000000" w:themeColor="text1"/>
          <w:spacing w:val="0"/>
          <w:sz w:val="32"/>
          <w:szCs w:val="32"/>
          <w14:textFill>
            <w14:solidFill>
              <w14:schemeClr w14:val="tx1"/>
            </w14:solidFill>
          </w14:textFill>
        </w:rPr>
        <w:t>学习培训</w:t>
      </w:r>
      <w:r>
        <w:rPr>
          <w:rFonts w:hint="eastAsia" w:ascii="Times New Roman" w:hAnsi="Times New Roman" w:eastAsia="仿宋_GB2312" w:cs="Times New Roman"/>
          <w:i w:val="0"/>
          <w:iCs w:val="0"/>
          <w:caps w:val="0"/>
          <w:color w:val="000000" w:themeColor="text1"/>
          <w:spacing w:val="0"/>
          <w:sz w:val="32"/>
          <w:szCs w:val="32"/>
          <w:lang w:eastAsia="zh-CN"/>
          <w14:textFill>
            <w14:solidFill>
              <w14:schemeClr w14:val="tx1"/>
            </w14:solidFill>
          </w14:textFill>
        </w:rPr>
        <w:t>，相关业务人员</w:t>
      </w:r>
      <w:r>
        <w:rPr>
          <w:rFonts w:hint="eastAsia" w:ascii="Times New Roman" w:hAnsi="Times New Roman" w:eastAsia="仿宋_GB2312" w:cs="Times New Roman"/>
          <w:i w:val="0"/>
          <w:iCs w:val="0"/>
          <w:caps w:val="0"/>
          <w:color w:val="000000" w:themeColor="text1"/>
          <w:spacing w:val="0"/>
          <w:sz w:val="32"/>
          <w:szCs w:val="32"/>
          <w:lang w:val="en-US" w:eastAsia="zh-CN"/>
          <w14:textFill>
            <w14:solidFill>
              <w14:schemeClr w14:val="tx1"/>
            </w14:solidFill>
          </w14:textFill>
        </w:rPr>
        <w:t>熟练掌握政务公开操作流程。</w:t>
      </w:r>
    </w:p>
    <w:p>
      <w:pPr>
        <w:pStyle w:val="3"/>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仿宋_GB2312" w:hAnsi="仿宋_GB2312" w:eastAsia="仿宋_GB2312" w:cs="仿宋_GB2312"/>
          <w:color w:val="auto"/>
          <w:sz w:val="32"/>
          <w:szCs w:val="32"/>
        </w:rPr>
      </w:pPr>
      <w:r>
        <w:rPr>
          <w:rFonts w:hint="default" w:ascii="Times New Roman" w:hAnsi="Times New Roman" w:eastAsia="仿宋_GB2312" w:cs="Times New Roman"/>
          <w:spacing w:val="0"/>
          <w:sz w:val="32"/>
          <w:szCs w:val="32"/>
        </w:rPr>
        <w:t>加强政务公开部门网站</w:t>
      </w:r>
      <w:r>
        <w:rPr>
          <w:rFonts w:hint="eastAsia" w:ascii="Times New Roman" w:hAnsi="Times New Roman" w:eastAsia="仿宋_GB2312" w:cs="Times New Roman"/>
          <w:spacing w:val="0"/>
          <w:sz w:val="32"/>
          <w:szCs w:val="32"/>
          <w:lang w:eastAsia="zh-CN"/>
        </w:rPr>
        <w:t>工作人员的自身素质的提升，每周进行二至三个小时的学习，不断提升工作人员的知识面</w:t>
      </w:r>
      <w:r>
        <w:rPr>
          <w:rFonts w:hint="default" w:ascii="Times New Roman" w:hAnsi="Times New Roman" w:eastAsia="仿宋_GB2312" w:cs="Times New Roman"/>
          <w:spacing w:val="0"/>
          <w:sz w:val="32"/>
          <w:szCs w:val="32"/>
        </w:rPr>
        <w:t>，强化责任意识</w:t>
      </w:r>
      <w:r>
        <w:rPr>
          <w:rFonts w:hint="eastAsia" w:ascii="仿宋_GB2312" w:hAnsi="仿宋_GB2312" w:eastAsia="仿宋_GB2312" w:cs="仿宋_GB2312"/>
          <w:color w:val="auto"/>
          <w:sz w:val="32"/>
          <w:szCs w:val="32"/>
          <w:lang w:eastAsia="zh-CN"/>
        </w:rPr>
        <w:t>。</w:t>
      </w:r>
    </w:p>
    <w:p>
      <w:pPr>
        <w:pStyle w:val="3"/>
        <w:keepNext w:val="0"/>
        <w:keepLines w:val="0"/>
        <w:pageBreakBefore w:val="0"/>
        <w:widowControl/>
        <w:numPr>
          <w:ilvl w:val="0"/>
          <w:numId w:val="1"/>
        </w:numPr>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Times New Roman" w:hAnsi="Times New Roman" w:eastAsia="仿宋_GB2312" w:cs="Times New Roman"/>
          <w:spacing w:val="0"/>
          <w:sz w:val="32"/>
          <w:szCs w:val="32"/>
          <w:lang w:val="en-US" w:eastAsia="zh-CN"/>
        </w:rPr>
      </w:pPr>
      <w:r>
        <w:rPr>
          <w:rFonts w:hint="eastAsia" w:ascii="Times New Roman" w:hAnsi="Times New Roman" w:eastAsia="仿宋_GB2312" w:cs="Times New Roman"/>
          <w:spacing w:val="0"/>
          <w:sz w:val="32"/>
          <w:szCs w:val="32"/>
          <w:lang w:val="en-US" w:eastAsia="zh-CN"/>
        </w:rPr>
        <w:t>提升创新意识。通过学习别的镇街、别的地市一些新颖的点子，将其结合自身街道实际，</w:t>
      </w:r>
      <w:r>
        <w:rPr>
          <w:rFonts w:hint="default" w:ascii="Times New Roman" w:hAnsi="Times New Roman" w:eastAsia="仿宋_GB2312" w:cs="Times New Roman"/>
          <w:spacing w:val="0"/>
          <w:sz w:val="32"/>
          <w:szCs w:val="32"/>
        </w:rPr>
        <w:t>提升网站信息质量</w:t>
      </w:r>
      <w:r>
        <w:rPr>
          <w:rFonts w:hint="eastAsia" w:ascii="Times New Roman" w:hAnsi="Times New Roman" w:eastAsia="仿宋_GB2312" w:cs="Times New Roman"/>
          <w:spacing w:val="0"/>
          <w:sz w:val="32"/>
          <w:szCs w:val="32"/>
          <w:lang w:eastAsia="zh-CN"/>
        </w:rPr>
        <w:t>。</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rPr>
          <w:rFonts w:hint="eastAsia" w:ascii="黑体" w:hAnsi="宋体" w:eastAsia="黑体" w:cs="黑体"/>
          <w:spacing w:val="0"/>
          <w:sz w:val="32"/>
          <w:szCs w:val="32"/>
        </w:rPr>
      </w:pPr>
      <w:r>
        <w:rPr>
          <w:rFonts w:hint="eastAsia" w:ascii="黑体" w:hAnsi="宋体" w:eastAsia="黑体" w:cs="黑体"/>
          <w:spacing w:val="0"/>
          <w:sz w:val="32"/>
          <w:szCs w:val="32"/>
        </w:rPr>
        <w:t>六、其他需要报告的事项</w:t>
      </w:r>
    </w:p>
    <w:p>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eastAsia" w:ascii="楷体_GB2312" w:hAnsi="楷体_GB2312" w:eastAsia="楷体_GB2312" w:cs="楷体_GB2312"/>
          <w:color w:val="auto"/>
          <w:kern w:val="2"/>
          <w:sz w:val="32"/>
          <w:szCs w:val="21"/>
          <w:lang w:val="en-US" w:eastAsia="zh-CN" w:bidi="ar-SA"/>
        </w:rPr>
      </w:pPr>
      <w:r>
        <w:rPr>
          <w:rFonts w:hint="eastAsia" w:ascii="楷体_GB2312" w:hAnsi="楷体_GB2312" w:eastAsia="楷体_GB2312" w:cs="楷体_GB2312"/>
          <w:color w:val="auto"/>
          <w:kern w:val="2"/>
          <w:sz w:val="32"/>
          <w:szCs w:val="21"/>
          <w:lang w:val="en-US" w:eastAsia="zh-CN" w:bidi="ar-SA"/>
        </w:rPr>
        <w:t>（一）收取信息处理费情况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638" w:leftChars="304" w:right="0" w:firstLine="0" w:firstLineChars="0"/>
        <w:textAlignment w:val="auto"/>
        <w:rPr>
          <w:rFonts w:hint="eastAsia" w:ascii="微软雅黑" w:hAnsi="微软雅黑" w:eastAsia="微软雅黑" w:cs="微软雅黑"/>
          <w:i w:val="0"/>
          <w:iCs w:val="0"/>
          <w:caps w:val="0"/>
          <w:color w:val="171A1D"/>
          <w:spacing w:val="0"/>
          <w:sz w:val="21"/>
          <w:szCs w:val="21"/>
          <w:shd w:val="clear" w:fill="FFFFFF"/>
        </w:rPr>
      </w:pPr>
      <w:r>
        <w:rPr>
          <w:rFonts w:hint="eastAsia" w:ascii="Times New Roman" w:hAnsi="Times New Roman" w:eastAsia="仿宋_GB2312" w:cs="Times New Roman"/>
          <w:color w:val="auto"/>
          <w:kern w:val="2"/>
          <w:sz w:val="32"/>
          <w:szCs w:val="21"/>
          <w:lang w:val="en-US" w:eastAsia="zh-CN" w:bidi="ar-SA"/>
        </w:rPr>
        <w:t>2021年我街道无信息处理费用相关情况</w:t>
      </w:r>
      <w:r>
        <w:rPr>
          <w:rFonts w:hint="eastAsia" w:ascii="微软雅黑" w:hAnsi="微软雅黑" w:eastAsia="微软雅黑" w:cs="微软雅黑"/>
          <w:i w:val="0"/>
          <w:iCs w:val="0"/>
          <w:caps w:val="0"/>
          <w:color w:val="171A1D"/>
          <w:spacing w:val="0"/>
          <w:sz w:val="21"/>
          <w:szCs w:val="21"/>
          <w:shd w:val="clear" w:fill="FFFFFF"/>
        </w:rPr>
        <w:br w:type="textWrapping"/>
      </w:r>
      <w:r>
        <w:rPr>
          <w:rFonts w:hint="eastAsia" w:ascii="楷体_GB2312" w:hAnsi="楷体_GB2312" w:eastAsia="楷体_GB2312" w:cs="楷体_GB2312"/>
          <w:color w:val="auto"/>
          <w:kern w:val="2"/>
          <w:sz w:val="32"/>
          <w:szCs w:val="21"/>
          <w:lang w:val="en-US" w:eastAsia="zh-CN" w:bidi="ar-SA"/>
        </w:rPr>
        <w:t>（二）落实上级年度政务公开工作要点情况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微软雅黑" w:hAnsi="微软雅黑" w:eastAsia="微软雅黑" w:cs="微软雅黑"/>
          <w:i w:val="0"/>
          <w:iCs w:val="0"/>
          <w:caps w:val="0"/>
          <w:color w:val="171A1D"/>
          <w:spacing w:val="0"/>
          <w:sz w:val="21"/>
          <w:szCs w:val="21"/>
          <w:shd w:val="clear" w:fill="FFFFFF"/>
        </w:rPr>
      </w:pPr>
      <w:r>
        <w:rPr>
          <w:rFonts w:hint="eastAsia" w:ascii="Times New Roman" w:hAnsi="Times New Roman" w:eastAsia="仿宋_GB2312" w:cs="Times New Roman"/>
          <w:color w:val="auto"/>
          <w:kern w:val="2"/>
          <w:sz w:val="32"/>
          <w:szCs w:val="21"/>
          <w:lang w:val="en-US" w:eastAsia="zh-CN" w:bidi="ar-SA"/>
        </w:rPr>
        <w:t>2021年我街道按上级年度政务公开工作要点，及时达标完成各项工作任务。</w:t>
      </w:r>
      <w:r>
        <w:rPr>
          <w:rFonts w:hint="eastAsia" w:ascii="微软雅黑" w:hAnsi="微软雅黑" w:eastAsia="微软雅黑" w:cs="微软雅黑"/>
          <w:i w:val="0"/>
          <w:iCs w:val="0"/>
          <w:caps w:val="0"/>
          <w:color w:val="171A1D"/>
          <w:spacing w:val="0"/>
          <w:sz w:val="21"/>
          <w:szCs w:val="21"/>
          <w:shd w:val="clear" w:fill="FFFFFF"/>
        </w:rPr>
        <w:br w:type="textWrapping"/>
      </w:r>
      <w:r>
        <w:rPr>
          <w:rFonts w:hint="eastAsia" w:ascii="微软雅黑" w:hAnsi="微软雅黑" w:eastAsia="微软雅黑" w:cs="微软雅黑"/>
          <w:i w:val="0"/>
          <w:iCs w:val="0"/>
          <w:caps w:val="0"/>
          <w:color w:val="171A1D"/>
          <w:spacing w:val="0"/>
          <w:sz w:val="21"/>
          <w:szCs w:val="21"/>
          <w:shd w:val="clear" w:fill="FFFFFF"/>
          <w:lang w:val="en-US" w:eastAsia="zh-CN"/>
        </w:rPr>
        <w:t xml:space="preserve">      </w:t>
      </w:r>
      <w:r>
        <w:rPr>
          <w:rFonts w:hint="eastAsia" w:ascii="楷体_GB2312" w:hAnsi="楷体_GB2312" w:eastAsia="楷体_GB2312" w:cs="楷体_GB2312"/>
          <w:color w:val="auto"/>
          <w:kern w:val="2"/>
          <w:sz w:val="32"/>
          <w:szCs w:val="21"/>
          <w:lang w:val="en-US" w:eastAsia="zh-CN" w:bidi="ar-SA"/>
        </w:rPr>
        <w:t>（三）人大代表建议和政协提案办理结果公开情况</w:t>
      </w:r>
    </w:p>
    <w:p>
      <w:pPr>
        <w:keepNext w:val="0"/>
        <w:keepLines w:val="0"/>
        <w:pageBreakBefore w:val="0"/>
        <w:kinsoku/>
        <w:wordWrap/>
        <w:overflowPunct/>
        <w:topLinePunct w:val="0"/>
        <w:autoSpaceDE/>
        <w:autoSpaceDN/>
        <w:bidi w:val="0"/>
        <w:adjustRightInd/>
        <w:snapToGrid/>
        <w:spacing w:line="560" w:lineRule="exact"/>
        <w:ind w:left="319" w:leftChars="152" w:firstLine="320" w:firstLineChars="100"/>
        <w:textAlignment w:val="auto"/>
        <w:rPr>
          <w:rFonts w:hint="default" w:ascii="Times New Roman" w:hAnsi="Times New Roman" w:eastAsia="仿宋_GB2312" w:cs="Times New Roman"/>
          <w:color w:val="auto"/>
          <w:kern w:val="2"/>
          <w:sz w:val="32"/>
          <w:szCs w:val="21"/>
          <w:lang w:val="en-US" w:eastAsia="zh-CN" w:bidi="ar-SA"/>
        </w:rPr>
      </w:pPr>
      <w:r>
        <w:rPr>
          <w:rFonts w:hint="eastAsia" w:ascii="Times New Roman" w:hAnsi="Times New Roman" w:eastAsia="仿宋_GB2312" w:cs="Times New Roman"/>
          <w:color w:val="auto"/>
          <w:kern w:val="2"/>
          <w:sz w:val="32"/>
          <w:szCs w:val="21"/>
          <w:lang w:val="en-US" w:eastAsia="zh-CN" w:bidi="ar-SA"/>
        </w:rPr>
        <w:t>2021</w:t>
      </w:r>
      <w:r>
        <w:rPr>
          <w:rFonts w:hint="default" w:ascii="Times New Roman" w:hAnsi="Times New Roman" w:eastAsia="仿宋_GB2312" w:cs="Times New Roman"/>
          <w:color w:val="auto"/>
          <w:kern w:val="2"/>
          <w:sz w:val="32"/>
          <w:szCs w:val="21"/>
          <w:lang w:val="en-US" w:eastAsia="zh-CN" w:bidi="ar-SA"/>
        </w:rPr>
        <w:t>年我</w:t>
      </w:r>
      <w:r>
        <w:rPr>
          <w:rFonts w:hint="eastAsia" w:ascii="Times New Roman" w:hAnsi="Times New Roman" w:eastAsia="仿宋_GB2312" w:cs="Times New Roman"/>
          <w:color w:val="auto"/>
          <w:kern w:val="2"/>
          <w:sz w:val="32"/>
          <w:szCs w:val="21"/>
          <w:lang w:val="en-US" w:eastAsia="zh-CN" w:bidi="ar-SA"/>
        </w:rPr>
        <w:t>街道</w:t>
      </w:r>
      <w:r>
        <w:rPr>
          <w:rFonts w:hint="default" w:ascii="Times New Roman" w:hAnsi="Times New Roman" w:eastAsia="仿宋_GB2312" w:cs="Times New Roman"/>
          <w:color w:val="auto"/>
          <w:kern w:val="2"/>
          <w:sz w:val="32"/>
          <w:szCs w:val="21"/>
          <w:lang w:val="en-US" w:eastAsia="zh-CN" w:bidi="ar-SA"/>
        </w:rPr>
        <w:t>未承办过人大建议和政协提案办理。</w:t>
      </w:r>
    </w:p>
    <w:p>
      <w:pPr>
        <w:pStyle w:val="3"/>
        <w:keepNext w:val="0"/>
        <w:keepLines w:val="0"/>
        <w:pageBreakBefore w:val="0"/>
        <w:widowControl/>
        <w:numPr>
          <w:ilvl w:val="0"/>
          <w:numId w:val="2"/>
        </w:numPr>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textAlignment w:val="auto"/>
        <w:rPr>
          <w:rFonts w:hint="eastAsia" w:ascii="楷体_GB2312" w:hAnsi="楷体_GB2312" w:eastAsia="楷体_GB2312" w:cs="楷体_GB2312"/>
          <w:color w:val="000000" w:themeColor="text1"/>
          <w:kern w:val="2"/>
          <w:sz w:val="32"/>
          <w:szCs w:val="21"/>
          <w:lang w:val="en-US" w:eastAsia="zh-CN" w:bidi="ar-SA"/>
          <w14:textFill>
            <w14:solidFill>
              <w14:schemeClr w14:val="tx1"/>
            </w14:solidFill>
          </w14:textFill>
        </w:rPr>
      </w:pPr>
      <w:r>
        <w:rPr>
          <w:rFonts w:hint="eastAsia" w:ascii="楷体_GB2312" w:hAnsi="楷体_GB2312" w:eastAsia="楷体_GB2312" w:cs="楷体_GB2312"/>
          <w:color w:val="000000" w:themeColor="text1"/>
          <w:kern w:val="2"/>
          <w:sz w:val="32"/>
          <w:szCs w:val="21"/>
          <w:lang w:val="en-US" w:eastAsia="zh-CN" w:bidi="ar-SA"/>
          <w14:textFill>
            <w14:solidFill>
              <w14:schemeClr w14:val="tx1"/>
            </w14:solidFill>
          </w14:textFill>
        </w:rPr>
        <w:t>政务公开创新工作情况</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auto"/>
        <w:rPr>
          <w:rFonts w:hint="eastAsia" w:ascii="Times New Roman" w:hAnsi="Times New Roman" w:eastAsia="仿宋_GB2312" w:cs="Times New Roman"/>
          <w:color w:val="auto"/>
          <w:kern w:val="2"/>
          <w:sz w:val="32"/>
          <w:szCs w:val="21"/>
          <w:lang w:val="en-US" w:eastAsia="zh-CN" w:bidi="ar-SA"/>
        </w:rPr>
      </w:pPr>
      <w:r>
        <w:rPr>
          <w:rFonts w:hint="eastAsia" w:ascii="Times New Roman" w:hAnsi="Times New Roman" w:eastAsia="仿宋_GB2312" w:cs="Times New Roman"/>
          <w:color w:val="auto"/>
          <w:kern w:val="2"/>
          <w:sz w:val="32"/>
          <w:szCs w:val="21"/>
          <w:lang w:val="en-US" w:eastAsia="zh-CN" w:bidi="ar-SA"/>
        </w:rPr>
        <w:t>2021年杏坛社区开展为民办实事，打造政务公开“便捷之窗”项目，杏坛社区积极推动基层政务公开标准化规范化深入社区，整合资源、统筹服务，用“看得见、摸得着”的服务，为辖区居民开启了政务公开的“便捷之窗”。设立社区服务大厅，根据居民实际需求，加大对政务公开工作的宣传力度，注重解读居民关注的新政策，更实效的把国家的政策进行宣传，使社区居民切身感受到推行政务公开带来的便利实惠。</w:t>
      </w:r>
      <w:bookmarkStart w:id="9" w:name="_GoBack"/>
      <w:bookmarkEnd w:id="9"/>
      <w:r>
        <w:rPr>
          <w:rFonts w:hint="eastAsia" w:ascii="Times New Roman" w:hAnsi="Times New Roman" w:eastAsia="仿宋_GB2312" w:cs="Times New Roman"/>
          <w:color w:val="auto"/>
          <w:kern w:val="2"/>
          <w:sz w:val="32"/>
          <w:szCs w:val="21"/>
          <w:lang w:val="en-US" w:eastAsia="zh-CN" w:bidi="ar-SA"/>
        </w:rPr>
        <w:t>设立政务公开区，从社区便民服务大厅的“政务公开区”的依申请公开办理流程图，一键办理高频事项，公安局、社会事务科、市场准入科窗口等业务办理二维码，到社区的“政策宣传区”的社保、民政、计生、儿童健康等宣传手册，对于政务公开工作，杏坛社区脚踏实地，一步一个脚印，一致努力让社区更生活，让生活更美好。设立宣传区，下一步杏坛社区将联合文联，生态环境分局、泽库中学开展党员开放日、居民协商议事日等活动，进一步实现政务服务全流程公开，提升服务质量，用心用情解决群众烦心事，筑牢群众幸福生活根基。</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Times New Roman" w:hAnsi="Times New Roman" w:eastAsia="仿宋_GB2312" w:cs="Times New Roman"/>
          <w:color w:val="auto"/>
          <w:kern w:val="2"/>
          <w:sz w:val="32"/>
          <w:szCs w:val="21"/>
          <w:lang w:val="en-US" w:eastAsia="zh-CN" w:bidi="ar-SA"/>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Times New Roman" w:hAnsi="Times New Roman" w:eastAsia="仿宋_GB2312" w:cs="Times New Roman"/>
          <w:color w:val="auto"/>
          <w:kern w:val="2"/>
          <w:sz w:val="32"/>
          <w:szCs w:val="21"/>
          <w:lang w:val="en-US" w:eastAsia="zh-CN" w:bidi="ar-SA"/>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Times New Roman" w:hAnsi="Times New Roman" w:eastAsia="仿宋_GB2312" w:cs="Times New Roman"/>
          <w:color w:val="auto"/>
          <w:kern w:val="2"/>
          <w:sz w:val="32"/>
          <w:szCs w:val="21"/>
          <w:lang w:val="en-US" w:eastAsia="zh-CN" w:bidi="ar-SA"/>
        </w:rPr>
      </w:pPr>
    </w:p>
    <w:p>
      <w:pPr>
        <w:pStyle w:val="3"/>
        <w:keepNext w:val="0"/>
        <w:keepLines w:val="0"/>
        <w:pageBreakBefore w:val="0"/>
        <w:widowControl/>
        <w:numPr>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textAlignment w:val="auto"/>
        <w:rPr>
          <w:rFonts w:hint="eastAsia" w:ascii="楷体_GB2312" w:hAnsi="楷体_GB2312" w:eastAsia="楷体_GB2312" w:cs="楷体_GB2312"/>
          <w:color w:val="0000FF"/>
          <w:kern w:val="2"/>
          <w:sz w:val="32"/>
          <w:szCs w:val="21"/>
          <w:lang w:val="en-US" w:eastAsia="zh-CN" w:bidi="ar-SA"/>
        </w:rPr>
      </w:pPr>
    </w:p>
    <w:p>
      <w:pPr>
        <w:pStyle w:val="3"/>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textAlignment w:val="auto"/>
        <w:rPr>
          <w:rFonts w:hint="eastAsia" w:ascii="楷体_GB2312" w:hAnsi="楷体_GB2312" w:eastAsia="楷体_GB2312" w:cs="楷体_GB2312"/>
          <w:color w:val="auto"/>
          <w:kern w:val="2"/>
          <w:sz w:val="32"/>
          <w:szCs w:val="21"/>
          <w:lang w:val="en-US" w:eastAsia="zh-CN" w:bidi="ar-SA"/>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spacing w:val="0"/>
          <w:sz w:val="32"/>
          <w:szCs w:val="32"/>
        </w:rPr>
      </w:pP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right"/>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lang w:eastAsia="zh-CN"/>
        </w:rPr>
        <w:t>威海市文登区</w:t>
      </w:r>
      <w:r>
        <w:rPr>
          <w:rFonts w:hint="default" w:ascii="Times New Roman" w:hAnsi="Times New Roman" w:eastAsia="仿宋_GB2312" w:cs="Times New Roman"/>
          <w:spacing w:val="0"/>
          <w:sz w:val="32"/>
          <w:szCs w:val="32"/>
        </w:rPr>
        <w:t>龙山街道办事处</w:t>
      </w:r>
    </w:p>
    <w:p>
      <w:pPr>
        <w:pStyle w:val="3"/>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60" w:lineRule="exact"/>
        <w:ind w:left="0" w:right="0" w:firstLine="420"/>
        <w:jc w:val="right"/>
        <w:textAlignment w:val="auto"/>
        <w:rPr>
          <w:rFonts w:hint="default" w:ascii="Times New Roman" w:hAnsi="Times New Roman" w:eastAsia="仿宋_GB2312" w:cs="Times New Roman"/>
          <w:spacing w:val="0"/>
          <w:sz w:val="32"/>
          <w:szCs w:val="32"/>
          <w:lang w:val="en-US" w:eastAsia="zh-CN"/>
        </w:rPr>
      </w:pPr>
      <w:r>
        <w:rPr>
          <w:rFonts w:hint="default" w:ascii="Times New Roman" w:hAnsi="Times New Roman" w:eastAsia="仿宋_GB2312" w:cs="Times New Roman"/>
          <w:spacing w:val="0"/>
          <w:sz w:val="32"/>
          <w:szCs w:val="32"/>
          <w:lang w:val="en-US" w:eastAsia="zh-CN"/>
        </w:rPr>
        <w:t>2022年1月27日</w:t>
      </w:r>
      <w:r>
        <w:rPr>
          <w:rFonts w:hint="eastAsia" w:ascii="Times New Roman" w:hAnsi="Times New Roman" w:eastAsia="仿宋_GB2312" w:cs="Times New Roman"/>
          <w:spacing w:val="0"/>
          <w:sz w:val="32"/>
          <w:szCs w:val="32"/>
          <w:lang w:val="en-US" w:eastAsia="zh-CN"/>
        </w:rPr>
        <w:t xml:space="preserve">   </w:t>
      </w:r>
      <w:r>
        <w:rPr>
          <w:rFonts w:hint="default" w:ascii="Times New Roman" w:hAnsi="Times New Roman" w:eastAsia="仿宋_GB2312" w:cs="Times New Roman"/>
          <w:spacing w:val="0"/>
          <w:sz w:val="32"/>
          <w:szCs w:val="32"/>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E67716"/>
    <w:multiLevelType w:val="singleLevel"/>
    <w:tmpl w:val="BBE67716"/>
    <w:lvl w:ilvl="0" w:tentative="0">
      <w:start w:val="1"/>
      <w:numFmt w:val="decimal"/>
      <w:suff w:val="nothing"/>
      <w:lvlText w:val="%1、"/>
      <w:lvlJc w:val="left"/>
    </w:lvl>
  </w:abstractNum>
  <w:abstractNum w:abstractNumId="1">
    <w:nsid w:val="599228A5"/>
    <w:multiLevelType w:val="singleLevel"/>
    <w:tmpl w:val="599228A5"/>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7F527E"/>
    <w:rsid w:val="02B47BF5"/>
    <w:rsid w:val="07F61F28"/>
    <w:rsid w:val="12452810"/>
    <w:rsid w:val="13CF32AC"/>
    <w:rsid w:val="15460BD8"/>
    <w:rsid w:val="205C429D"/>
    <w:rsid w:val="288950AB"/>
    <w:rsid w:val="2E836D39"/>
    <w:rsid w:val="2EC202CA"/>
    <w:rsid w:val="39F94D11"/>
    <w:rsid w:val="3BB94712"/>
    <w:rsid w:val="3BBC11C0"/>
    <w:rsid w:val="3D3C22B6"/>
    <w:rsid w:val="3FE1769B"/>
    <w:rsid w:val="420B0934"/>
    <w:rsid w:val="497357D6"/>
    <w:rsid w:val="4CF81583"/>
    <w:rsid w:val="4DFE6EE8"/>
    <w:rsid w:val="527F7AAF"/>
    <w:rsid w:val="5A557E43"/>
    <w:rsid w:val="5B7F52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Normal (Web)"/>
    <w:basedOn w:val="1"/>
    <w:qFormat/>
    <w:uiPriority w:val="0"/>
    <w:pPr>
      <w:spacing w:before="0" w:beforeAutospacing="0" w:after="0" w:afterAutospacing="0" w:line="420" w:lineRule="atLeast"/>
      <w:ind w:left="0" w:right="0"/>
      <w:jc w:val="left"/>
    </w:pPr>
    <w:rPr>
      <w:kern w:val="0"/>
      <w:sz w:val="24"/>
      <w:lang w:val="en-US" w:eastAsia="zh-CN" w:bidi="ar"/>
    </w:rPr>
  </w:style>
  <w:style w:type="character" w:styleId="6">
    <w:name w:val="Strong"/>
    <w:basedOn w:val="5"/>
    <w:qFormat/>
    <w:uiPriority w:val="0"/>
    <w:rPr>
      <w:b/>
    </w:rPr>
  </w:style>
  <w:style w:type="character" w:styleId="7">
    <w:name w:val="FollowedHyperlink"/>
    <w:basedOn w:val="5"/>
    <w:qFormat/>
    <w:uiPriority w:val="0"/>
    <w:rPr>
      <w:color w:val="800080"/>
      <w:u w:val="single"/>
    </w:rPr>
  </w:style>
  <w:style w:type="character" w:styleId="8">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85;&#24120;&#24037;&#20316;\&#25919;&#21153;&#20844;&#24320;\&#25919;&#24220;&#20449;&#24687;&#20844;&#24320;&#24180;&#25253;\&#21382;&#24180;&#25968;&#25454;&#23545;&#27604;\&#21382;&#24180;&#25968;&#25454;&#23545;&#2760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历年主动公开的数据对比</a:t>
            </a:r>
          </a:p>
        </c:rich>
      </c:tx>
      <c:layout/>
      <c:overlay val="0"/>
      <c:spPr>
        <a:noFill/>
        <a:ln>
          <a:noFill/>
        </a:ln>
        <a:effectLst/>
      </c:spPr>
    </c:title>
    <c:autoTitleDeleted val="0"/>
    <c:plotArea>
      <c:layout/>
      <c:barChart>
        <c:barDir val="col"/>
        <c:grouping val="clustered"/>
        <c:varyColors val="0"/>
        <c:ser>
          <c:idx val="0"/>
          <c:order val="0"/>
          <c:tx>
            <c:strRef>
              <c:f>[历年数据对比.xlsx]Sheet1!$A$3</c:f>
              <c:strCache>
                <c:ptCount val="1"/>
                <c:pt idx="0">
                  <c:v>2020年</c:v>
                </c:pt>
              </c:strCache>
            </c:strRef>
          </c:tx>
          <c:spPr>
            <a:solidFill>
              <a:schemeClr val="accent1"/>
            </a:solidFill>
            <a:ln>
              <a:noFill/>
            </a:ln>
            <a:effectLst/>
          </c:spPr>
          <c:invertIfNegative val="0"/>
          <c:dLbls>
            <c:delete val="1"/>
          </c:dLbls>
          <c:cat>
            <c:strRef>
              <c:f>[历年数据对比.xlsx]Sheet1!$B$1:$J$1</c:f>
              <c:strCache>
                <c:ptCount val="9"/>
                <c:pt idx="0">
                  <c:v>公示公告</c:v>
                </c:pt>
                <c:pt idx="1">
                  <c:v>人事任免</c:v>
                </c:pt>
                <c:pt idx="2">
                  <c:v>工作动态</c:v>
                </c:pt>
                <c:pt idx="3">
                  <c:v>政策文件</c:v>
                </c:pt>
                <c:pt idx="4">
                  <c:v>政策解读</c:v>
                </c:pt>
                <c:pt idx="5">
                  <c:v>信息公开指南</c:v>
                </c:pt>
                <c:pt idx="6">
                  <c:v>决策公开</c:v>
                </c:pt>
                <c:pt idx="7">
                  <c:v>结果公开</c:v>
                </c:pt>
                <c:pt idx="8">
                  <c:v>年度报告</c:v>
                </c:pt>
              </c:strCache>
            </c:strRef>
          </c:cat>
          <c:val>
            <c:numRef>
              <c:f>[历年数据对比.xlsx]Sheet1!$B$3:$J$3</c:f>
              <c:numCache>
                <c:formatCode>General</c:formatCode>
                <c:ptCount val="9"/>
                <c:pt idx="0">
                  <c:v>3</c:v>
                </c:pt>
                <c:pt idx="1">
                  <c:v>1</c:v>
                </c:pt>
                <c:pt idx="2">
                  <c:v>37</c:v>
                </c:pt>
                <c:pt idx="3">
                  <c:v>4</c:v>
                </c:pt>
                <c:pt idx="4">
                  <c:v>4</c:v>
                </c:pt>
                <c:pt idx="5">
                  <c:v>1</c:v>
                </c:pt>
                <c:pt idx="6">
                  <c:v>2</c:v>
                </c:pt>
                <c:pt idx="7">
                  <c:v>2</c:v>
                </c:pt>
                <c:pt idx="8">
                  <c:v>1</c:v>
                </c:pt>
              </c:numCache>
            </c:numRef>
          </c:val>
        </c:ser>
        <c:ser>
          <c:idx val="1"/>
          <c:order val="1"/>
          <c:tx>
            <c:strRef>
              <c:f>[历年数据对比.xlsx]Sheet1!$A$2</c:f>
              <c:strCache>
                <c:ptCount val="1"/>
                <c:pt idx="0">
                  <c:v>2021年</c:v>
                </c:pt>
              </c:strCache>
            </c:strRef>
          </c:tx>
          <c:spPr>
            <a:solidFill>
              <a:schemeClr val="accent2"/>
            </a:solidFill>
            <a:ln>
              <a:noFill/>
            </a:ln>
            <a:effectLst/>
          </c:spPr>
          <c:invertIfNegative val="0"/>
          <c:dLbls>
            <c:delete val="1"/>
          </c:dLbls>
          <c:cat>
            <c:strRef>
              <c:f>[历年数据对比.xlsx]Sheet1!$B$1:$J$1</c:f>
              <c:strCache>
                <c:ptCount val="9"/>
                <c:pt idx="0">
                  <c:v>公示公告</c:v>
                </c:pt>
                <c:pt idx="1">
                  <c:v>人事任免</c:v>
                </c:pt>
                <c:pt idx="2">
                  <c:v>工作动态</c:v>
                </c:pt>
                <c:pt idx="3">
                  <c:v>政策文件</c:v>
                </c:pt>
                <c:pt idx="4">
                  <c:v>政策解读</c:v>
                </c:pt>
                <c:pt idx="5">
                  <c:v>信息公开指南</c:v>
                </c:pt>
                <c:pt idx="6">
                  <c:v>决策公开</c:v>
                </c:pt>
                <c:pt idx="7">
                  <c:v>结果公开</c:v>
                </c:pt>
                <c:pt idx="8">
                  <c:v>年度报告</c:v>
                </c:pt>
              </c:strCache>
            </c:strRef>
          </c:cat>
          <c:val>
            <c:numRef>
              <c:f>[历年数据对比.xlsx]Sheet1!$B$2:$J$2</c:f>
              <c:numCache>
                <c:formatCode>General</c:formatCode>
                <c:ptCount val="9"/>
                <c:pt idx="0">
                  <c:v>2</c:v>
                </c:pt>
                <c:pt idx="1">
                  <c:v>1</c:v>
                </c:pt>
                <c:pt idx="2">
                  <c:v>40</c:v>
                </c:pt>
                <c:pt idx="3">
                  <c:v>2</c:v>
                </c:pt>
                <c:pt idx="4">
                  <c:v>5</c:v>
                </c:pt>
                <c:pt idx="5">
                  <c:v>1</c:v>
                </c:pt>
                <c:pt idx="6">
                  <c:v>0</c:v>
                </c:pt>
                <c:pt idx="7">
                  <c:v>1</c:v>
                </c:pt>
                <c:pt idx="8">
                  <c:v>1</c:v>
                </c:pt>
              </c:numCache>
            </c:numRef>
          </c:val>
        </c:ser>
        <c:dLbls>
          <c:showLegendKey val="0"/>
          <c:showVal val="0"/>
          <c:showCatName val="0"/>
          <c:showSerName val="0"/>
          <c:showPercent val="0"/>
          <c:showBubbleSize val="0"/>
        </c:dLbls>
        <c:gapWidth val="219"/>
        <c:overlap val="-27"/>
        <c:axId val="534830444"/>
        <c:axId val="447646866"/>
      </c:barChart>
      <c:catAx>
        <c:axId val="53483044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7646866"/>
        <c:crosses val="autoZero"/>
        <c:auto val="1"/>
        <c:lblAlgn val="ctr"/>
        <c:lblOffset val="100"/>
        <c:noMultiLvlLbl val="0"/>
      </c:catAx>
      <c:valAx>
        <c:axId val="44764686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483044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2390</Words>
  <Characters>2492</Characters>
  <Lines>0</Lines>
  <Paragraphs>0</Paragraphs>
  <TotalTime>10</TotalTime>
  <ScaleCrop>false</ScaleCrop>
  <LinksUpToDate>false</LinksUpToDate>
  <CharactersWithSpaces>2785</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2021-12-15T09:26:00Z</dcterms:created>
  <dc:creator>Administrator</dc:creator>
  <cp:lastModifiedBy>Administrator</cp:lastModifiedBy>
  <dcterms:modified xsi:type="dcterms:W3CDTF">2022-01-28T02:28:54Z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DDAC7340EA9A45C6830EBBC6CB06DB51</vt:lpwstr>
  </property>
</Properties>
</file>