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DC1AA7">
      <w:pPr>
        <w:keepNext w:val="0"/>
        <w:keepLines w:val="0"/>
        <w:pageBreakBefore w:val="0"/>
        <w:kinsoku/>
        <w:overflowPunct/>
        <w:topLinePunct w:val="0"/>
        <w:autoSpaceDN/>
        <w:bidi w:val="0"/>
        <w:adjustRightInd/>
        <w:spacing w:line="579" w:lineRule="exact"/>
        <w:jc w:val="center"/>
        <w:textAlignment w:val="auto"/>
        <w:rPr>
          <w:rFonts w:hint="default" w:ascii="Times New Roman" w:hAnsi="Times New Roman" w:eastAsia="方正小标宋简体" w:cs="Times New Roman"/>
          <w:color w:val="auto"/>
          <w:sz w:val="44"/>
          <w:szCs w:val="44"/>
          <w:lang w:eastAsia="zh-CN"/>
        </w:rPr>
      </w:pPr>
      <w:r>
        <w:rPr>
          <w:rFonts w:hint="default" w:ascii="Times New Roman" w:hAnsi="Times New Roman" w:eastAsia="方正小标宋简体" w:cs="Times New Roman"/>
          <w:color w:val="auto"/>
          <w:sz w:val="44"/>
          <w:szCs w:val="44"/>
          <w:lang w:eastAsia="zh-CN"/>
        </w:rPr>
        <w:t>威海市文登区人力资源和社会保障局</w:t>
      </w:r>
    </w:p>
    <w:p w14:paraId="4BD81D60">
      <w:pPr>
        <w:keepNext w:val="0"/>
        <w:keepLines w:val="0"/>
        <w:pageBreakBefore w:val="0"/>
        <w:kinsoku/>
        <w:overflowPunct/>
        <w:topLinePunct w:val="0"/>
        <w:autoSpaceDN/>
        <w:bidi w:val="0"/>
        <w:adjustRightInd/>
        <w:spacing w:line="579"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val="en-US" w:eastAsia="zh-CN"/>
        </w:rPr>
        <w:t>2021年政府</w:t>
      </w:r>
      <w:r>
        <w:rPr>
          <w:rFonts w:hint="default" w:ascii="Times New Roman" w:hAnsi="Times New Roman" w:eastAsia="方正小标宋简体" w:cs="Times New Roman"/>
          <w:color w:val="auto"/>
          <w:sz w:val="44"/>
          <w:szCs w:val="44"/>
          <w:lang w:eastAsia="zh-CN"/>
        </w:rPr>
        <w:t>信息</w:t>
      </w:r>
      <w:r>
        <w:rPr>
          <w:rFonts w:hint="default" w:ascii="Times New Roman" w:hAnsi="Times New Roman" w:eastAsia="方正小标宋简体" w:cs="Times New Roman"/>
          <w:color w:val="auto"/>
          <w:sz w:val="44"/>
          <w:szCs w:val="44"/>
        </w:rPr>
        <w:t>公开</w:t>
      </w:r>
      <w:r>
        <w:rPr>
          <w:rFonts w:hint="default" w:ascii="Times New Roman" w:hAnsi="Times New Roman" w:eastAsia="方正小标宋简体" w:cs="Times New Roman"/>
          <w:color w:val="auto"/>
          <w:sz w:val="44"/>
          <w:szCs w:val="44"/>
          <w:lang w:eastAsia="zh-CN"/>
        </w:rPr>
        <w:t>工作</w:t>
      </w:r>
      <w:r>
        <w:rPr>
          <w:rFonts w:hint="default" w:ascii="Times New Roman" w:hAnsi="Times New Roman" w:eastAsia="方正小标宋简体" w:cs="Times New Roman"/>
          <w:color w:val="auto"/>
          <w:sz w:val="44"/>
          <w:szCs w:val="44"/>
        </w:rPr>
        <w:t>年度报告</w:t>
      </w:r>
    </w:p>
    <w:p w14:paraId="1C48CC3E">
      <w:pPr>
        <w:keepNext w:val="0"/>
        <w:keepLines w:val="0"/>
        <w:pageBreakBefore w:val="0"/>
        <w:kinsoku/>
        <w:overflowPunct/>
        <w:topLinePunct w:val="0"/>
        <w:autoSpaceDN/>
        <w:bidi w:val="0"/>
        <w:adjustRightInd/>
        <w:spacing w:beforeLines="0" w:afterLines="0" w:line="579" w:lineRule="exact"/>
        <w:ind w:firstLine="640" w:firstLineChars="200"/>
        <w:jc w:val="left"/>
        <w:textAlignment w:val="auto"/>
        <w:rPr>
          <w:rFonts w:hint="default" w:ascii="Times New Roman" w:hAnsi="Times New Roman" w:eastAsia="仿宋_GB2312" w:cs="Times New Roman"/>
          <w:color w:val="auto"/>
          <w:sz w:val="32"/>
          <w:lang w:val="en-US" w:eastAsia="zh-CN"/>
        </w:rPr>
      </w:pPr>
    </w:p>
    <w:p w14:paraId="3A7E2BD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根据新修订的《中华人民共和国政府信息公开条例》要求，现公布威海市文登区人力资源和社会保障局2021年政府信息公开工作年度报告。</w:t>
      </w:r>
    </w:p>
    <w:p w14:paraId="312F447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本报告由总体情况，主动公开政府信息情况，收到和处理政府信息公开申请情况，政府信息公开行政复议、行政诉讼情况，存在的主要问题及改进情况，其他需要报告的事项六部分组成。</w:t>
      </w:r>
    </w:p>
    <w:p w14:paraId="4337AED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本报告中所列数据的统计期限自20</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年1月1日起至20</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年12月31日止。</w:t>
      </w:r>
    </w:p>
    <w:p w14:paraId="7DD1C162">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本报告以网上公开的形式进行公布。本报告的电子版可在威海市文登区人民政府门户网站(http://www.wendeng.gov.cn)</w:t>
      </w:r>
      <w:r>
        <w:rPr>
          <w:rFonts w:hint="default" w:ascii="Times New Roman" w:hAnsi="Times New Roman" w:eastAsia="仿宋_GB2312" w:cs="Times New Roman"/>
          <w:color w:val="auto"/>
          <w:sz w:val="32"/>
          <w:szCs w:val="32"/>
          <w:lang w:eastAsia="zh-CN"/>
        </w:rPr>
        <w:t>政府</w:t>
      </w:r>
      <w:r>
        <w:rPr>
          <w:rFonts w:hint="default" w:ascii="Times New Roman" w:hAnsi="Times New Roman" w:eastAsia="仿宋_GB2312" w:cs="Times New Roman"/>
          <w:color w:val="auto"/>
          <w:sz w:val="32"/>
          <w:szCs w:val="32"/>
        </w:rPr>
        <w:t>信息公开专栏查阅。如对本报告有疑问，请与威海市文登区人力资源和社会保障局办公室联系（地址：文登区世纪大道84号903室；邮编：264400；电话：0631-8451085）。</w:t>
      </w:r>
    </w:p>
    <w:p w14:paraId="344E9E9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一、总体情况</w:t>
      </w:r>
    </w:p>
    <w:p w14:paraId="6EF84D7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right="0" w:firstLine="640"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2021年，</w:t>
      </w:r>
      <w:r>
        <w:rPr>
          <w:rFonts w:hint="default" w:ascii="Times New Roman" w:hAnsi="Times New Roman" w:eastAsia="仿宋_GB2312" w:cs="Times New Roman"/>
          <w:color w:val="auto"/>
          <w:sz w:val="32"/>
          <w:szCs w:val="32"/>
        </w:rPr>
        <w:t>威海市文登区人力资源和社会保障局</w:t>
      </w:r>
      <w:r>
        <w:rPr>
          <w:rFonts w:hint="default" w:ascii="Times New Roman" w:hAnsi="Times New Roman" w:eastAsia="仿宋_GB2312" w:cs="Times New Roman"/>
          <w:color w:val="auto"/>
          <w:sz w:val="32"/>
          <w:szCs w:val="32"/>
          <w:lang w:eastAsia="zh-CN"/>
        </w:rPr>
        <w:t>深入贯彻落实国家、省、市、区关于推进政府信息公开的部署要求，对标各级先进经验做法，结合文登区人力资源和社会保障事业工作实际，政府信息公开各项工作有序推进，有效保障了人民群众的知情权、参与权、监督权和表达权。</w:t>
      </w:r>
    </w:p>
    <w:p w14:paraId="288C4B8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（一）主动公开政府信息情况</w:t>
      </w:r>
    </w:p>
    <w:p w14:paraId="64B620E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right="0" w:firstLine="640" w:firstLineChars="200"/>
        <w:jc w:val="lef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202</w:t>
      </w:r>
      <w:r>
        <w:rPr>
          <w:rFonts w:hint="default"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eastAsia="zh-CN"/>
        </w:rPr>
        <w:t>年，</w:t>
      </w:r>
      <w:r>
        <w:rPr>
          <w:rFonts w:hint="default" w:ascii="Times New Roman" w:hAnsi="Times New Roman" w:eastAsia="仿宋_GB2312" w:cs="Times New Roman"/>
          <w:color w:val="auto"/>
          <w:sz w:val="32"/>
          <w:szCs w:val="32"/>
          <w:highlight w:val="none"/>
          <w:lang w:val="en-US" w:eastAsia="zh-CN"/>
        </w:rPr>
        <w:t>我局通过政府门户网站信息公开平台主动公开各类文件通知、工作动态等313条，其中，公告公示126条，计划总结3条，工作动态84条，人事信息7条，其他93条。通过“文登人社”微信公众号发布信息608条。</w:t>
      </w:r>
    </w:p>
    <w:p w14:paraId="568D98BD">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drawing>
          <wp:anchor distT="0" distB="0" distL="114300" distR="114300" simplePos="0" relativeHeight="251667456" behindDoc="0" locked="0" layoutInCell="1" allowOverlap="1">
            <wp:simplePos x="0" y="0"/>
            <wp:positionH relativeFrom="column">
              <wp:posOffset>3021330</wp:posOffset>
            </wp:positionH>
            <wp:positionV relativeFrom="paragraph">
              <wp:posOffset>127635</wp:posOffset>
            </wp:positionV>
            <wp:extent cx="2485390" cy="1671320"/>
            <wp:effectExtent l="0" t="0" r="10160" b="5080"/>
            <wp:wrapNone/>
            <wp:docPr id="7" name="图片 7" descr="1641266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641266007(1)"/>
                    <pic:cNvPicPr>
                      <a:picLocks noChangeAspect="1"/>
                    </pic:cNvPicPr>
                  </pic:nvPicPr>
                  <pic:blipFill>
                    <a:blip r:embed="rId4"/>
                    <a:stretch>
                      <a:fillRect/>
                    </a:stretch>
                  </pic:blipFill>
                  <pic:spPr>
                    <a:xfrm>
                      <a:off x="0" y="0"/>
                      <a:ext cx="2485390" cy="1671320"/>
                    </a:xfrm>
                    <a:prstGeom prst="rect">
                      <a:avLst/>
                    </a:prstGeom>
                  </pic:spPr>
                </pic:pic>
              </a:graphicData>
            </a:graphic>
          </wp:anchor>
        </w:drawing>
      </w:r>
      <w:r>
        <w:rPr>
          <w:rFonts w:hint="default" w:ascii="Times New Roman" w:hAnsi="Times New Roman" w:cs="Times New Roman"/>
          <w:color w:val="auto"/>
          <w:highlight w:val="none"/>
          <w:lang w:val="en-US" w:eastAsia="zh-CN"/>
        </w:rPr>
        <w:drawing>
          <wp:anchor distT="0" distB="0" distL="114300" distR="114300" simplePos="0" relativeHeight="251666432" behindDoc="0" locked="0" layoutInCell="1" allowOverlap="1">
            <wp:simplePos x="0" y="0"/>
            <wp:positionH relativeFrom="column">
              <wp:posOffset>8890</wp:posOffset>
            </wp:positionH>
            <wp:positionV relativeFrom="paragraph">
              <wp:posOffset>135890</wp:posOffset>
            </wp:positionV>
            <wp:extent cx="2642235" cy="1678305"/>
            <wp:effectExtent l="0" t="0" r="5715" b="17145"/>
            <wp:wrapNone/>
            <wp:docPr id="4" name="图片 4" descr="16412619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41261991(1)"/>
                    <pic:cNvPicPr>
                      <a:picLocks noChangeAspect="1"/>
                    </pic:cNvPicPr>
                  </pic:nvPicPr>
                  <pic:blipFill>
                    <a:blip r:embed="rId5"/>
                    <a:stretch>
                      <a:fillRect/>
                    </a:stretch>
                  </pic:blipFill>
                  <pic:spPr>
                    <a:xfrm>
                      <a:off x="0" y="0"/>
                      <a:ext cx="2642235" cy="1678305"/>
                    </a:xfrm>
                    <a:prstGeom prst="rect">
                      <a:avLst/>
                    </a:prstGeom>
                  </pic:spPr>
                </pic:pic>
              </a:graphicData>
            </a:graphic>
          </wp:anchor>
        </w:drawing>
      </w:r>
    </w:p>
    <w:p w14:paraId="3412DD95">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p>
    <w:p w14:paraId="747C94C9">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p>
    <w:p w14:paraId="7FF718C5">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p>
    <w:p w14:paraId="5618C929">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p>
    <w:p w14:paraId="0A459C38">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p>
    <w:p w14:paraId="0BF56993">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highlight w:val="none"/>
          <w:lang w:val="en-US" w:eastAsia="zh-CN"/>
        </w:rPr>
      </w:pPr>
    </w:p>
    <w:p w14:paraId="20E738ED">
      <w:pPr>
        <w:pStyle w:val="7"/>
        <w:keepNext w:val="0"/>
        <w:keepLines w:val="0"/>
        <w:widowControl/>
        <w:suppressLineNumbers w:val="0"/>
        <w:spacing w:before="0" w:beforeAutospacing="0" w:after="0" w:afterAutospacing="0" w:line="420" w:lineRule="atLeast"/>
        <w:ind w:right="0" w:firstLine="720" w:firstLineChars="300"/>
        <w:jc w:val="lef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drawing>
          <wp:anchor distT="0" distB="0" distL="114300" distR="114300" simplePos="0" relativeHeight="251659264" behindDoc="0" locked="0" layoutInCell="1" allowOverlap="1">
            <wp:simplePos x="0" y="0"/>
            <wp:positionH relativeFrom="column">
              <wp:posOffset>28575</wp:posOffset>
            </wp:positionH>
            <wp:positionV relativeFrom="paragraph">
              <wp:posOffset>2727325</wp:posOffset>
            </wp:positionV>
            <wp:extent cx="5548630" cy="1846580"/>
            <wp:effectExtent l="0" t="0" r="13970" b="1270"/>
            <wp:wrapNone/>
            <wp:docPr id="8" name="图片 8" descr="16395497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639549713(1)"/>
                    <pic:cNvPicPr>
                      <a:picLocks noChangeAspect="1"/>
                    </pic:cNvPicPr>
                  </pic:nvPicPr>
                  <pic:blipFill>
                    <a:blip r:embed="rId6"/>
                    <a:stretch>
                      <a:fillRect/>
                    </a:stretch>
                  </pic:blipFill>
                  <pic:spPr>
                    <a:xfrm>
                      <a:off x="0" y="0"/>
                      <a:ext cx="5548630" cy="1846580"/>
                    </a:xfrm>
                    <a:prstGeom prst="rect">
                      <a:avLst/>
                    </a:prstGeom>
                  </pic:spPr>
                </pic:pic>
              </a:graphicData>
            </a:graphic>
          </wp:anchor>
        </w:drawing>
      </w:r>
      <w:r>
        <w:rPr>
          <w:rFonts w:hint="default" w:ascii="Times New Roman" w:hAnsi="Times New Roman" w:eastAsia="仿宋_GB2312" w:cs="Times New Roman"/>
          <w:b/>
          <w:bCs/>
          <w:color w:val="auto"/>
          <w:sz w:val="32"/>
          <w:szCs w:val="32"/>
          <w:highlight w:val="none"/>
          <w:lang w:val="en-US" w:eastAsia="zh-CN"/>
        </w:rPr>
        <w:t>完善政府信息公开制度</w:t>
      </w:r>
      <w:r>
        <w:rPr>
          <w:rFonts w:hint="default" w:ascii="Times New Roman" w:hAnsi="Times New Roman" w:eastAsia="仿宋_GB2312" w:cs="Times New Roman"/>
          <w:color w:val="auto"/>
          <w:sz w:val="32"/>
          <w:szCs w:val="32"/>
          <w:highlight w:val="none"/>
          <w:lang w:val="en-US" w:eastAsia="zh-CN"/>
        </w:rPr>
        <w:t>。将政府信息公开工作纳入年度工作计划和考核任务。成立政府信息公开领导小组，由局长任组长，分管领导任副组长，政策法规科负责信息审核发布，形成了齐抓共管、纵横结合的工作格局。研究制定《政府信息发布协调工作制度》《政府信息公开保密审查制度》《重大行政决策程序规定》《政府信息依申请公开制度》等制度规定，强化政府信息公开组织推进。</w:t>
      </w:r>
    </w:p>
    <w:p w14:paraId="63F67DC3">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val="en-US" w:eastAsia="zh-CN"/>
        </w:rPr>
      </w:pPr>
    </w:p>
    <w:p w14:paraId="02209787">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val="en-US" w:eastAsia="zh-CN"/>
        </w:rPr>
      </w:pPr>
    </w:p>
    <w:p w14:paraId="1B2AFB28">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val="en-US" w:eastAsia="zh-CN"/>
        </w:rPr>
      </w:pPr>
    </w:p>
    <w:p w14:paraId="77F354CB">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val="en-US" w:eastAsia="zh-CN"/>
        </w:rPr>
      </w:pPr>
    </w:p>
    <w:p w14:paraId="36E2570A">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val="en-US" w:eastAsia="zh-CN"/>
        </w:rPr>
      </w:pPr>
    </w:p>
    <w:p w14:paraId="76334866">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val="en-US" w:eastAsia="zh-CN"/>
        </w:rPr>
      </w:pPr>
    </w:p>
    <w:p w14:paraId="28E20A9D">
      <w:pPr>
        <w:pStyle w:val="7"/>
        <w:keepNext w:val="0"/>
        <w:keepLines w:val="0"/>
        <w:widowControl/>
        <w:suppressLineNumbers w:val="0"/>
        <w:spacing w:before="0" w:beforeAutospacing="0" w:after="0" w:afterAutospacing="0" w:line="420" w:lineRule="atLeast"/>
        <w:ind w:right="0" w:firstLine="643"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及时公开发布政府信息</w:t>
      </w:r>
      <w:r>
        <w:rPr>
          <w:rFonts w:hint="default" w:ascii="Times New Roman" w:hAnsi="Times New Roman" w:eastAsia="仿宋_GB2312" w:cs="Times New Roman"/>
          <w:color w:val="auto"/>
          <w:sz w:val="32"/>
          <w:szCs w:val="32"/>
          <w:highlight w:val="none"/>
          <w:lang w:val="en-US" w:eastAsia="zh-CN"/>
        </w:rPr>
        <w:t>。坚持把行政执法、就业创业、社会保险、政策文件、财政信息以及群众最关心、最需要了解的信息作为政府信息公开的重点。不断扩大信息公开的范围，及时更新和充实信息公开内容，做到应公开尽公开。做好信息发布工作，宣传人社政策，努力提高政务公开的曝光率，加强宣传成效。</w:t>
      </w:r>
    </w:p>
    <w:p w14:paraId="25A982BD">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r>
        <w:rPr>
          <w:rFonts w:hint="default" w:ascii="Times New Roman" w:hAnsi="Times New Roman" w:cs="Times New Roman" w:eastAsiaTheme="minorEastAsia"/>
          <w:color w:val="auto"/>
          <w:lang w:eastAsia="zh-CN"/>
        </w:rPr>
        <w:drawing>
          <wp:anchor distT="0" distB="0" distL="114300" distR="114300" simplePos="0" relativeHeight="251660288" behindDoc="0" locked="0" layoutInCell="1" allowOverlap="1">
            <wp:simplePos x="0" y="0"/>
            <wp:positionH relativeFrom="column">
              <wp:posOffset>-12700</wp:posOffset>
            </wp:positionH>
            <wp:positionV relativeFrom="paragraph">
              <wp:posOffset>88265</wp:posOffset>
            </wp:positionV>
            <wp:extent cx="5680710" cy="2345690"/>
            <wp:effectExtent l="0" t="0" r="15240" b="16510"/>
            <wp:wrapNone/>
            <wp:docPr id="9" name="图片 9" descr="16395505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639550598(1)"/>
                    <pic:cNvPicPr>
                      <a:picLocks noChangeAspect="1"/>
                    </pic:cNvPicPr>
                  </pic:nvPicPr>
                  <pic:blipFill>
                    <a:blip r:embed="rId7"/>
                    <a:stretch>
                      <a:fillRect/>
                    </a:stretch>
                  </pic:blipFill>
                  <pic:spPr>
                    <a:xfrm>
                      <a:off x="0" y="0"/>
                      <a:ext cx="5680710" cy="2345690"/>
                    </a:xfrm>
                    <a:prstGeom prst="rect">
                      <a:avLst/>
                    </a:prstGeom>
                  </pic:spPr>
                </pic:pic>
              </a:graphicData>
            </a:graphic>
          </wp:anchor>
        </w:drawing>
      </w:r>
    </w:p>
    <w:p w14:paraId="69571E14">
      <w:pPr>
        <w:pStyle w:val="7"/>
        <w:keepNext w:val="0"/>
        <w:keepLines w:val="0"/>
        <w:widowControl/>
        <w:suppressLineNumbers w:val="0"/>
        <w:spacing w:before="0" w:beforeAutospacing="0" w:after="0" w:afterAutospacing="0" w:line="420" w:lineRule="atLeast"/>
        <w:ind w:left="0" w:right="0" w:firstLine="420"/>
        <w:jc w:val="both"/>
        <w:rPr>
          <w:rFonts w:hint="default" w:ascii="Times New Roman" w:hAnsi="Times New Roman" w:cs="Times New Roman" w:eastAsiaTheme="minorEastAsia"/>
          <w:color w:val="auto"/>
          <w:lang w:eastAsia="zh-CN"/>
        </w:rPr>
      </w:pPr>
    </w:p>
    <w:p w14:paraId="13F9B314">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57E0D28C">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4C553B89">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769790A4">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5FC4CC16">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78BA7DB7">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p>
    <w:p w14:paraId="2A2A6291">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p>
    <w:p w14:paraId="2E516071">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主动公开部门文件</w:t>
      </w:r>
    </w:p>
    <w:p w14:paraId="310DB3C7">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drawing>
          <wp:anchor distT="0" distB="0" distL="114300" distR="114300" simplePos="0" relativeHeight="251661312" behindDoc="0" locked="0" layoutInCell="1" allowOverlap="1">
            <wp:simplePos x="0" y="0"/>
            <wp:positionH relativeFrom="column">
              <wp:posOffset>6350</wp:posOffset>
            </wp:positionH>
            <wp:positionV relativeFrom="paragraph">
              <wp:posOffset>184785</wp:posOffset>
            </wp:positionV>
            <wp:extent cx="5683885" cy="1992630"/>
            <wp:effectExtent l="0" t="0" r="12065" b="7620"/>
            <wp:wrapNone/>
            <wp:docPr id="10" name="图片 10" descr="1639550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639550715(1)"/>
                    <pic:cNvPicPr>
                      <a:picLocks noChangeAspect="1"/>
                    </pic:cNvPicPr>
                  </pic:nvPicPr>
                  <pic:blipFill>
                    <a:blip r:embed="rId8"/>
                    <a:stretch>
                      <a:fillRect/>
                    </a:stretch>
                  </pic:blipFill>
                  <pic:spPr>
                    <a:xfrm>
                      <a:off x="0" y="0"/>
                      <a:ext cx="5683885" cy="1992630"/>
                    </a:xfrm>
                    <a:prstGeom prst="rect">
                      <a:avLst/>
                    </a:prstGeom>
                  </pic:spPr>
                </pic:pic>
              </a:graphicData>
            </a:graphic>
          </wp:anchor>
        </w:drawing>
      </w:r>
    </w:p>
    <w:p w14:paraId="16E7AC89">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val="en-US" w:eastAsia="zh-CN"/>
        </w:rPr>
      </w:pPr>
    </w:p>
    <w:p w14:paraId="2D7045E2">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val="en-US" w:eastAsia="zh-CN"/>
        </w:rPr>
      </w:pPr>
    </w:p>
    <w:p w14:paraId="645F4AF5">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284B36E9">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08881C1A">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10F9CAA3">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p>
    <w:p w14:paraId="00FF85D7">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p>
    <w:p w14:paraId="64366B42">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多角度做好政策解读</w:t>
      </w:r>
    </w:p>
    <w:p w14:paraId="5E544B0B">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eastAsiaTheme="minorEastAsia"/>
          <w:color w:val="auto"/>
          <w:lang w:eastAsia="zh-CN"/>
        </w:rPr>
      </w:pPr>
    </w:p>
    <w:p w14:paraId="5A526933">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eastAsia="zh-CN"/>
        </w:rPr>
        <w:drawing>
          <wp:anchor distT="0" distB="0" distL="114300" distR="114300" simplePos="0" relativeHeight="251662336" behindDoc="0" locked="0" layoutInCell="1" allowOverlap="1">
            <wp:simplePos x="0" y="0"/>
            <wp:positionH relativeFrom="column">
              <wp:posOffset>-635</wp:posOffset>
            </wp:positionH>
            <wp:positionV relativeFrom="paragraph">
              <wp:posOffset>83820</wp:posOffset>
            </wp:positionV>
            <wp:extent cx="5682615" cy="2189480"/>
            <wp:effectExtent l="0" t="0" r="13335" b="1270"/>
            <wp:wrapNone/>
            <wp:docPr id="11" name="图片 11" descr="16395508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639550886(1)"/>
                    <pic:cNvPicPr>
                      <a:picLocks noChangeAspect="1"/>
                    </pic:cNvPicPr>
                  </pic:nvPicPr>
                  <pic:blipFill>
                    <a:blip r:embed="rId9"/>
                    <a:stretch>
                      <a:fillRect/>
                    </a:stretch>
                  </pic:blipFill>
                  <pic:spPr>
                    <a:xfrm>
                      <a:off x="0" y="0"/>
                      <a:ext cx="5682615" cy="2189480"/>
                    </a:xfrm>
                    <a:prstGeom prst="rect">
                      <a:avLst/>
                    </a:prstGeom>
                  </pic:spPr>
                </pic:pic>
              </a:graphicData>
            </a:graphic>
          </wp:anchor>
        </w:drawing>
      </w:r>
    </w:p>
    <w:p w14:paraId="1BC3BB36">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13C7621F">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4E6A814D">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76DB8C71">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59CB74D7">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481B3D78">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10BF4190">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eastAsia="zh-CN"/>
        </w:rPr>
      </w:pPr>
    </w:p>
    <w:p w14:paraId="067B798F">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eastAsia="zh-CN"/>
        </w:rPr>
      </w:pPr>
    </w:p>
    <w:p w14:paraId="344B4B00">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及时发布公告公示</w:t>
      </w:r>
    </w:p>
    <w:p w14:paraId="67542289">
      <w:pPr>
        <w:pStyle w:val="7"/>
        <w:keepNext w:val="0"/>
        <w:keepLines w:val="0"/>
        <w:widowControl/>
        <w:suppressLineNumbers w:val="0"/>
        <w:spacing w:before="0" w:beforeAutospacing="0" w:after="0" w:afterAutospacing="0" w:line="240" w:lineRule="auto"/>
        <w:ind w:left="0" w:right="0" w:firstLine="643"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严格行政执法公示</w:t>
      </w:r>
      <w:r>
        <w:rPr>
          <w:rFonts w:hint="default" w:ascii="Times New Roman" w:hAnsi="Times New Roman" w:eastAsia="仿宋_GB2312" w:cs="Times New Roman"/>
          <w:color w:val="auto"/>
          <w:sz w:val="32"/>
          <w:szCs w:val="32"/>
          <w:highlight w:val="none"/>
          <w:lang w:val="en-US" w:eastAsia="zh-CN"/>
        </w:rPr>
        <w:t>。按照事前、事中、事后组织行政执法公示，落实行政执法信息公开全流程监督，提高行政执法公信力、透明度。</w:t>
      </w:r>
    </w:p>
    <w:p w14:paraId="2E4EB508">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eastAsia="zh-CN"/>
        </w:rPr>
        <w:drawing>
          <wp:anchor distT="0" distB="0" distL="114300" distR="114300" simplePos="0" relativeHeight="251663360" behindDoc="0" locked="0" layoutInCell="1" allowOverlap="1">
            <wp:simplePos x="0" y="0"/>
            <wp:positionH relativeFrom="column">
              <wp:posOffset>-1270</wp:posOffset>
            </wp:positionH>
            <wp:positionV relativeFrom="paragraph">
              <wp:posOffset>39370</wp:posOffset>
            </wp:positionV>
            <wp:extent cx="5687060" cy="1544320"/>
            <wp:effectExtent l="0" t="0" r="8890" b="17780"/>
            <wp:wrapNone/>
            <wp:docPr id="12" name="图片 12" descr="16395513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639551355(1)"/>
                    <pic:cNvPicPr>
                      <a:picLocks noChangeAspect="1"/>
                    </pic:cNvPicPr>
                  </pic:nvPicPr>
                  <pic:blipFill>
                    <a:blip r:embed="rId10"/>
                    <a:stretch>
                      <a:fillRect/>
                    </a:stretch>
                  </pic:blipFill>
                  <pic:spPr>
                    <a:xfrm>
                      <a:off x="0" y="0"/>
                      <a:ext cx="5687060" cy="1544320"/>
                    </a:xfrm>
                    <a:prstGeom prst="rect">
                      <a:avLst/>
                    </a:prstGeom>
                  </pic:spPr>
                </pic:pic>
              </a:graphicData>
            </a:graphic>
          </wp:anchor>
        </w:drawing>
      </w:r>
    </w:p>
    <w:p w14:paraId="6DAD406F">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009DC70F">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4DA3B2AF">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0ABB39C7">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0F0A3DEE">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06660DEF">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公开权责清单、服务指南和执法程序</w:t>
      </w:r>
    </w:p>
    <w:p w14:paraId="0223ED5A">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eastAsia="zh-CN"/>
        </w:rPr>
      </w:pPr>
      <w:r>
        <w:rPr>
          <w:rFonts w:hint="default" w:ascii="Times New Roman" w:hAnsi="Times New Roman" w:cs="Times New Roman" w:eastAsiaTheme="minorEastAsia"/>
          <w:color w:val="auto"/>
          <w:lang w:eastAsia="zh-CN"/>
        </w:rPr>
        <w:drawing>
          <wp:anchor distT="0" distB="0" distL="114300" distR="114300" simplePos="0" relativeHeight="251664384" behindDoc="0" locked="0" layoutInCell="1" allowOverlap="1">
            <wp:simplePos x="0" y="0"/>
            <wp:positionH relativeFrom="column">
              <wp:posOffset>-45085</wp:posOffset>
            </wp:positionH>
            <wp:positionV relativeFrom="paragraph">
              <wp:posOffset>29845</wp:posOffset>
            </wp:positionV>
            <wp:extent cx="5683250" cy="1564005"/>
            <wp:effectExtent l="0" t="0" r="12700" b="17145"/>
            <wp:wrapNone/>
            <wp:docPr id="13" name="图片 13" descr="16395516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1639551692(1)"/>
                    <pic:cNvPicPr>
                      <a:picLocks noChangeAspect="1"/>
                    </pic:cNvPicPr>
                  </pic:nvPicPr>
                  <pic:blipFill>
                    <a:blip r:embed="rId11"/>
                    <a:stretch>
                      <a:fillRect/>
                    </a:stretch>
                  </pic:blipFill>
                  <pic:spPr>
                    <a:xfrm>
                      <a:off x="0" y="0"/>
                      <a:ext cx="5683250" cy="1564005"/>
                    </a:xfrm>
                    <a:prstGeom prst="rect">
                      <a:avLst/>
                    </a:prstGeom>
                  </pic:spPr>
                </pic:pic>
              </a:graphicData>
            </a:graphic>
          </wp:anchor>
        </w:drawing>
      </w:r>
    </w:p>
    <w:p w14:paraId="78AC9731">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217C553E">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eastAsiaTheme="minorEastAsia"/>
          <w:color w:val="auto"/>
          <w:lang w:eastAsia="zh-CN"/>
        </w:rPr>
      </w:pPr>
    </w:p>
    <w:p w14:paraId="12496D98">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044998A8">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1146F9BF">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cs="Times New Roman"/>
          <w:color w:val="auto"/>
          <w:lang w:eastAsia="zh-CN"/>
        </w:rPr>
      </w:pPr>
    </w:p>
    <w:p w14:paraId="0A68A96C">
      <w:pPr>
        <w:pStyle w:val="7"/>
        <w:keepNext w:val="0"/>
        <w:keepLines w:val="0"/>
        <w:widowControl/>
        <w:suppressLineNumbers w:val="0"/>
        <w:spacing w:before="0" w:beforeAutospacing="0" w:after="0" w:afterAutospacing="0" w:line="420" w:lineRule="atLeast"/>
        <w:ind w:right="0"/>
        <w:jc w:val="cente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对外发布执法信息</w:t>
      </w:r>
    </w:p>
    <w:p w14:paraId="4F5D6BE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（二）依申请公开政府信息情况</w:t>
      </w:r>
    </w:p>
    <w:p w14:paraId="5884F5F3">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2021年度，文登区人力资源和社会保障局共收到政府信息公开申请3项，主要涉及社会保险缴纳人数和建筑业“同舟计划”工作方案等情况。其中，主动公开2件，占比66.7%；不予处理1件，占比33.3%，为重复申请。本年度，我局依申请公开政府信息未收取任何费用，没有因政府信息公开引起行政复议纠错和行政诉讼败诉的情形。</w:t>
      </w:r>
    </w:p>
    <w:p w14:paraId="0360A996">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（三）政府信息管理情况</w:t>
      </w:r>
    </w:p>
    <w:p w14:paraId="3F25B9BB">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按照上级要求，进一步梳理人社领域政务公开目录，细化《政府信息公开指南》，规范政府信息公开的受理、审查、处理、答复等各环节工作流程，做好合法性、保密性审查，确保答复时限和答复内容的依法依规。进一步健全完善政府信息公开管理机制，完善“三审三校”原则，围绕社会保险、就业创业、劳动关系等人社领域工作动态，做好主题策划和宣传推广工作，发布权威声音，做大做强正面宣传。本年度未制发或废止规范性文件。</w:t>
      </w:r>
    </w:p>
    <w:p w14:paraId="38FAFCD4">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r>
        <w:rPr>
          <w:rFonts w:hint="default" w:ascii="Times New Roman" w:hAnsi="Times New Roman" w:eastAsia="微软雅黑" w:cs="Times New Roman"/>
          <w:i w:val="0"/>
          <w:iCs w:val="0"/>
          <w:caps w:val="0"/>
          <w:color w:val="auto"/>
          <w:spacing w:val="0"/>
          <w:sz w:val="21"/>
          <w:szCs w:val="21"/>
          <w:shd w:val="clear" w:fill="FFFFFF"/>
        </w:rPr>
        <w:t>2021年，我局高度重视规范性文件的清理工作，及时整理汇总本行政机关的规范性文件，其中拟保留规范性文件1件，拟修改0件，拟废止0件，拟宣布失效0件。</w:t>
      </w:r>
      <w:r>
        <w:rPr>
          <w:rFonts w:hint="default" w:ascii="Times New Roman" w:hAnsi="Times New Roman" w:cs="Times New Roman" w:eastAsiaTheme="minorEastAsia"/>
          <w:color w:val="auto"/>
          <w:lang w:eastAsia="zh-CN"/>
        </w:rPr>
        <w:drawing>
          <wp:anchor distT="0" distB="0" distL="114300" distR="114300" simplePos="0" relativeHeight="251665408" behindDoc="0" locked="0" layoutInCell="1" allowOverlap="1">
            <wp:simplePos x="0" y="0"/>
            <wp:positionH relativeFrom="column">
              <wp:posOffset>-1905</wp:posOffset>
            </wp:positionH>
            <wp:positionV relativeFrom="paragraph">
              <wp:posOffset>111125</wp:posOffset>
            </wp:positionV>
            <wp:extent cx="5671820" cy="2099310"/>
            <wp:effectExtent l="0" t="0" r="5080" b="15240"/>
            <wp:wrapNone/>
            <wp:docPr id="14" name="图片 14" descr="16395529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639552901(1)"/>
                    <pic:cNvPicPr>
                      <a:picLocks noChangeAspect="1"/>
                    </pic:cNvPicPr>
                  </pic:nvPicPr>
                  <pic:blipFill>
                    <a:blip r:embed="rId12"/>
                    <a:stretch>
                      <a:fillRect/>
                    </a:stretch>
                  </pic:blipFill>
                  <pic:spPr>
                    <a:xfrm>
                      <a:off x="0" y="0"/>
                      <a:ext cx="5671820" cy="2099310"/>
                    </a:xfrm>
                    <a:prstGeom prst="rect">
                      <a:avLst/>
                    </a:prstGeom>
                  </pic:spPr>
                </pic:pic>
              </a:graphicData>
            </a:graphic>
          </wp:anchor>
        </w:drawing>
      </w:r>
    </w:p>
    <w:p w14:paraId="4C876596">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7D818349">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eastAsiaTheme="minorEastAsia"/>
          <w:color w:val="auto"/>
          <w:lang w:eastAsia="zh-CN"/>
        </w:rPr>
      </w:pPr>
    </w:p>
    <w:p w14:paraId="210B4C43">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42A63267">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18C209CF">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rPr>
      </w:pPr>
    </w:p>
    <w:p w14:paraId="1F67BBA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（四）平台建设情况</w:t>
      </w:r>
    </w:p>
    <w:p w14:paraId="64C6771B">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我局充分发挥区政府门户网站第一平台作用，以门户网站为主要载体和公开平台，围绕群众关心的热点和难点问题，依法、主动、及时、准确公开政务信息，积极回应社会关切。完善政务新媒体平台建设，依托“文登人社”微信公众号及时对外发布最新政策信息，设置互动交流、六稳六保、便民服务等版块，让老百姓关心关注的热点重点，第一时间得到回应解答。强化运用政府开放日平台作用，于5月25日组织了“政府开放日—走进人社”活动，邀请企业劳资代表、学生代表、职工代表等走进人社，零距离参观体验。严格落实新闻发布制度，全年先后组织和参加作风大改进新闻发布会、民生实事新闻发布会、十三五成就巡礼新闻发布会，共计3次。</w:t>
      </w:r>
    </w:p>
    <w:p w14:paraId="7E64779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（五）</w:t>
      </w:r>
      <w:r>
        <w:rPr>
          <w:rFonts w:hint="default" w:ascii="Times New Roman" w:hAnsi="Times New Roman" w:eastAsia="楷体_GB2312" w:cs="Times New Roman"/>
          <w:color w:val="auto"/>
          <w:sz w:val="32"/>
          <w:szCs w:val="32"/>
        </w:rPr>
        <w:t>监督保障情况</w:t>
      </w:r>
    </w:p>
    <w:p w14:paraId="47AA70A2">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局政府信息公开工作机构和申请受理机构为文登区人力资源和社会保障局办公室，配备政务公开专职工作人员2名，召开政府信息公开培训会议1次，围绕政府信息公开、行政复议、行政诉讼、依申请公开工作如何开展等内容进行了系统培训。2021年，本单位严格按照《条例》要求开展政府信息公开工作，未收到政府信息公开有关的投诉、举报，也无其它责任追究的情形。</w:t>
      </w:r>
    </w:p>
    <w:p w14:paraId="0FEEA31A">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eastAsia="zh-CN"/>
        </w:rPr>
      </w:pPr>
    </w:p>
    <w:p w14:paraId="2D8AD269">
      <w:pPr>
        <w:pStyle w:val="7"/>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cs="Times New Roman"/>
          <w:color w:val="auto"/>
          <w:lang w:eastAsia="zh-CN"/>
        </w:rPr>
      </w:pPr>
    </w:p>
    <w:p w14:paraId="585025D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eastAsia="zh-CN"/>
        </w:rPr>
        <w:t>二、主动公开政府信息情况</w:t>
      </w:r>
    </w:p>
    <w:tbl>
      <w:tblPr>
        <w:tblStyle w:val="9"/>
        <w:tblW w:w="8824"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2206"/>
        <w:gridCol w:w="2206"/>
        <w:gridCol w:w="2206"/>
        <w:gridCol w:w="2206"/>
      </w:tblGrid>
      <w:tr w14:paraId="0D47A09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8824" w:type="dxa"/>
            <w:gridSpan w:val="4"/>
            <w:tcBorders>
              <w:tl2br w:val="nil"/>
              <w:tr2bl w:val="nil"/>
            </w:tcBorders>
            <w:shd w:val="clear" w:color="000000" w:fill="C6D9F1"/>
            <w:vAlign w:val="center"/>
          </w:tcPr>
          <w:p w14:paraId="09314E64">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第二十条第（一）项</w:t>
            </w:r>
          </w:p>
        </w:tc>
      </w:tr>
      <w:tr w14:paraId="7B05870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506004A0">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l2br w:val="nil"/>
              <w:tr2bl w:val="nil"/>
            </w:tcBorders>
            <w:shd w:val="clear" w:color="auto" w:fill="auto"/>
            <w:vAlign w:val="center"/>
          </w:tcPr>
          <w:p w14:paraId="2162A15F">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l2br w:val="nil"/>
              <w:tr2bl w:val="nil"/>
            </w:tcBorders>
            <w:shd w:val="clear" w:color="auto" w:fill="auto"/>
            <w:vAlign w:val="center"/>
          </w:tcPr>
          <w:p w14:paraId="67BBCE87">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l2br w:val="nil"/>
              <w:tr2bl w:val="nil"/>
            </w:tcBorders>
            <w:shd w:val="clear" w:color="auto" w:fill="auto"/>
            <w:vAlign w:val="center"/>
          </w:tcPr>
          <w:p w14:paraId="1A1910D4">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14:paraId="2858FE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658A9728">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l2br w:val="nil"/>
              <w:tr2bl w:val="nil"/>
            </w:tcBorders>
            <w:shd w:val="clear" w:color="auto" w:fill="auto"/>
            <w:vAlign w:val="center"/>
          </w:tcPr>
          <w:p w14:paraId="12D80E37">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l2br w:val="nil"/>
              <w:tr2bl w:val="nil"/>
            </w:tcBorders>
            <w:shd w:val="clear" w:color="auto" w:fill="auto"/>
            <w:vAlign w:val="center"/>
          </w:tcPr>
          <w:p w14:paraId="6DC000B5">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l2br w:val="nil"/>
              <w:tr2bl w:val="nil"/>
            </w:tcBorders>
            <w:shd w:val="clear" w:color="auto" w:fill="auto"/>
            <w:vAlign w:val="center"/>
          </w:tcPr>
          <w:p w14:paraId="7049BA40">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2F54E36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73CA09DE">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l2br w:val="nil"/>
              <w:tr2bl w:val="nil"/>
            </w:tcBorders>
            <w:shd w:val="clear" w:color="auto" w:fill="auto"/>
            <w:vAlign w:val="center"/>
          </w:tcPr>
          <w:p w14:paraId="5D6852D7">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l2br w:val="nil"/>
              <w:tr2bl w:val="nil"/>
            </w:tcBorders>
            <w:shd w:val="clear" w:color="auto" w:fill="auto"/>
            <w:vAlign w:val="center"/>
          </w:tcPr>
          <w:p w14:paraId="4D09B2C0">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l2br w:val="nil"/>
              <w:tr2bl w:val="nil"/>
            </w:tcBorders>
            <w:shd w:val="clear" w:color="auto" w:fill="auto"/>
            <w:vAlign w:val="center"/>
          </w:tcPr>
          <w:p w14:paraId="38F1A2F7">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2AC6CD4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8824" w:type="dxa"/>
            <w:gridSpan w:val="4"/>
            <w:tcBorders>
              <w:tl2br w:val="nil"/>
              <w:tr2bl w:val="nil"/>
            </w:tcBorders>
            <w:shd w:val="clear" w:color="000000" w:fill="C6D9F1"/>
            <w:vAlign w:val="center"/>
          </w:tcPr>
          <w:p w14:paraId="14503C08">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14:paraId="6DBA2E4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47241A90">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l2br w:val="nil"/>
              <w:tr2bl w:val="nil"/>
            </w:tcBorders>
            <w:shd w:val="clear" w:color="auto" w:fill="auto"/>
            <w:vAlign w:val="center"/>
          </w:tcPr>
          <w:p w14:paraId="1140F778">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14:paraId="6EDCB3D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3BFD26CB">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l2br w:val="nil"/>
              <w:tr2bl w:val="nil"/>
            </w:tcBorders>
            <w:shd w:val="clear" w:color="auto" w:fill="auto"/>
            <w:vAlign w:val="center"/>
          </w:tcPr>
          <w:p w14:paraId="7B2E1DF5">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5D23D2F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8824" w:type="dxa"/>
            <w:gridSpan w:val="4"/>
            <w:tcBorders>
              <w:tl2br w:val="nil"/>
              <w:tr2bl w:val="nil"/>
            </w:tcBorders>
            <w:shd w:val="clear" w:color="000000" w:fill="C6D9F1"/>
            <w:vAlign w:val="center"/>
          </w:tcPr>
          <w:p w14:paraId="3364E0A4">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14:paraId="67BDEA8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413FDB26">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l2br w:val="nil"/>
              <w:tr2bl w:val="nil"/>
            </w:tcBorders>
            <w:shd w:val="clear" w:color="auto" w:fill="auto"/>
            <w:vAlign w:val="center"/>
          </w:tcPr>
          <w:p w14:paraId="7041E600">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14:paraId="3F94E6A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0C45572C">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l2br w:val="nil"/>
              <w:tr2bl w:val="nil"/>
            </w:tcBorders>
            <w:shd w:val="clear" w:color="auto" w:fill="auto"/>
            <w:vAlign w:val="center"/>
          </w:tcPr>
          <w:p w14:paraId="109E26B1">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highlight w:val="none"/>
                <w:lang w:val="en-US" w:eastAsia="zh-CN"/>
              </w:rPr>
              <w:t>4</w:t>
            </w:r>
          </w:p>
        </w:tc>
      </w:tr>
      <w:tr w14:paraId="7E07097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65A7B66B">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l2br w:val="nil"/>
              <w:tr2bl w:val="nil"/>
            </w:tcBorders>
            <w:shd w:val="clear" w:color="auto" w:fill="auto"/>
            <w:vAlign w:val="center"/>
          </w:tcPr>
          <w:p w14:paraId="2ADE3A5D">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332F74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8824" w:type="dxa"/>
            <w:gridSpan w:val="4"/>
            <w:tcBorders>
              <w:tl2br w:val="nil"/>
              <w:tr2bl w:val="nil"/>
            </w:tcBorders>
            <w:shd w:val="clear" w:color="000000" w:fill="C6D9F1"/>
            <w:vAlign w:val="center"/>
          </w:tcPr>
          <w:p w14:paraId="1BFAC823">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14:paraId="4AD0E0C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0F59A218">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l2br w:val="nil"/>
              <w:tr2bl w:val="nil"/>
            </w:tcBorders>
            <w:shd w:val="clear" w:color="auto" w:fill="auto"/>
            <w:vAlign w:val="center"/>
          </w:tcPr>
          <w:p w14:paraId="021E6F78">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本年收费金额（单位：万元）</w:t>
            </w:r>
          </w:p>
        </w:tc>
      </w:tr>
      <w:tr w14:paraId="73F2C08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2206" w:type="dxa"/>
            <w:tcBorders>
              <w:tl2br w:val="nil"/>
              <w:tr2bl w:val="nil"/>
            </w:tcBorders>
            <w:shd w:val="clear" w:color="auto" w:fill="auto"/>
            <w:vAlign w:val="center"/>
          </w:tcPr>
          <w:p w14:paraId="67A06CA5">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行政事业性收费</w:t>
            </w:r>
          </w:p>
        </w:tc>
        <w:tc>
          <w:tcPr>
            <w:tcW w:w="6618" w:type="dxa"/>
            <w:gridSpan w:val="3"/>
            <w:tcBorders>
              <w:tl2br w:val="nil"/>
              <w:tr2bl w:val="nil"/>
            </w:tcBorders>
            <w:shd w:val="clear" w:color="auto" w:fill="auto"/>
            <w:vAlign w:val="center"/>
          </w:tcPr>
          <w:p w14:paraId="326A690A">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zh-CN" w:eastAsia="zh-CN"/>
              </w:rPr>
              <w:t>44</w:t>
            </w:r>
            <w:r>
              <w:rPr>
                <w:rFonts w:hint="default" w:ascii="Times New Roman" w:hAnsi="Times New Roman" w:eastAsia="仿宋_GB2312" w:cs="Times New Roman"/>
                <w:color w:val="auto"/>
                <w:kern w:val="0"/>
                <w:szCs w:val="21"/>
                <w:lang w:val="en-US" w:eastAsia="zh-CN"/>
              </w:rPr>
              <w:t>.</w:t>
            </w:r>
            <w:r>
              <w:rPr>
                <w:rFonts w:hint="default" w:ascii="Times New Roman" w:hAnsi="Times New Roman" w:eastAsia="仿宋_GB2312" w:cs="Times New Roman"/>
                <w:color w:val="auto"/>
                <w:kern w:val="0"/>
                <w:szCs w:val="21"/>
                <w:lang w:val="zh-CN" w:eastAsia="zh-CN"/>
              </w:rPr>
              <w:t>862</w:t>
            </w:r>
          </w:p>
        </w:tc>
      </w:tr>
    </w:tbl>
    <w:p w14:paraId="62B59265">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三、收到和处理政府信息公开申请情况</w:t>
      </w:r>
    </w:p>
    <w:tbl>
      <w:tblPr>
        <w:tblStyle w:val="9"/>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27F2D5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33CC8729">
            <w:pPr>
              <w:widowControl/>
              <w:jc w:val="center"/>
              <w:rPr>
                <w:rFonts w:hint="default" w:ascii="Times New Roman" w:hAnsi="Times New Roman" w:eastAsia="楷体_GB2312" w:cs="Times New Roman"/>
                <w:color w:val="auto"/>
                <w:kern w:val="0"/>
                <w:szCs w:val="21"/>
              </w:rPr>
            </w:pPr>
            <w:r>
              <w:rPr>
                <w:rFonts w:hint="default" w:ascii="Times New Roman" w:hAnsi="Times New Roman" w:eastAsia="楷体_GB2312" w:cs="Times New Roman"/>
                <w:color w:val="auto"/>
                <w:kern w:val="0"/>
                <w:szCs w:val="21"/>
              </w:rPr>
              <w:t>（本列数据的勾稽关系为：第一项加第二项之和，</w:t>
            </w:r>
          </w:p>
          <w:p w14:paraId="334B9022">
            <w:pPr>
              <w:widowControl/>
              <w:jc w:val="center"/>
              <w:rPr>
                <w:rFonts w:hint="default" w:ascii="Times New Roman" w:hAnsi="Times New Roman" w:eastAsia="仿宋_GB2312" w:cs="Times New Roman"/>
                <w:color w:val="auto"/>
                <w:szCs w:val="21"/>
              </w:rPr>
            </w:pPr>
            <w:r>
              <w:rPr>
                <w:rFonts w:hint="default" w:ascii="Times New Roman" w:hAnsi="Times New Roman" w:eastAsia="楷体_GB2312" w:cs="Times New Roman"/>
                <w:color w:val="auto"/>
                <w:kern w:val="0"/>
                <w:szCs w:val="21"/>
              </w:rPr>
              <w:t>等于第三项加第四项之和）</w:t>
            </w:r>
          </w:p>
        </w:tc>
        <w:tc>
          <w:tcPr>
            <w:tcW w:w="4820" w:type="dxa"/>
            <w:gridSpan w:val="7"/>
            <w:shd w:val="clear" w:color="auto" w:fill="auto"/>
            <w:tcMar>
              <w:left w:w="108" w:type="dxa"/>
              <w:right w:w="108" w:type="dxa"/>
            </w:tcMar>
            <w:vAlign w:val="center"/>
          </w:tcPr>
          <w:p w14:paraId="2E2742FD">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申请人情况</w:t>
            </w:r>
          </w:p>
        </w:tc>
      </w:tr>
      <w:tr w14:paraId="4FEF78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0DDB5E52">
            <w:pPr>
              <w:jc w:val="center"/>
              <w:rPr>
                <w:rFonts w:hint="default" w:ascii="Times New Roman" w:hAnsi="Times New Roman" w:eastAsia="仿宋_GB2312" w:cs="Times New Roman"/>
                <w:color w:val="auto"/>
                <w:szCs w:val="21"/>
              </w:rPr>
            </w:pPr>
          </w:p>
        </w:tc>
        <w:tc>
          <w:tcPr>
            <w:tcW w:w="829" w:type="dxa"/>
            <w:vMerge w:val="restart"/>
            <w:shd w:val="clear" w:color="auto" w:fill="auto"/>
            <w:tcMar>
              <w:left w:w="108" w:type="dxa"/>
              <w:right w:w="108" w:type="dxa"/>
            </w:tcMar>
            <w:vAlign w:val="center"/>
          </w:tcPr>
          <w:p w14:paraId="44F541E9">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自然人</w:t>
            </w:r>
          </w:p>
        </w:tc>
        <w:tc>
          <w:tcPr>
            <w:tcW w:w="3140" w:type="dxa"/>
            <w:gridSpan w:val="5"/>
            <w:shd w:val="clear" w:color="auto" w:fill="auto"/>
            <w:tcMar>
              <w:left w:w="108" w:type="dxa"/>
              <w:right w:w="108" w:type="dxa"/>
            </w:tcMar>
            <w:vAlign w:val="center"/>
          </w:tcPr>
          <w:p w14:paraId="1C80AE99">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法人或其他组织</w:t>
            </w:r>
          </w:p>
        </w:tc>
        <w:tc>
          <w:tcPr>
            <w:tcW w:w="851" w:type="dxa"/>
            <w:vMerge w:val="restart"/>
            <w:shd w:val="clear" w:color="auto" w:fill="auto"/>
            <w:tcMar>
              <w:left w:w="108" w:type="dxa"/>
              <w:right w:w="108" w:type="dxa"/>
            </w:tcMar>
            <w:vAlign w:val="center"/>
          </w:tcPr>
          <w:p w14:paraId="7310530A">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总计</w:t>
            </w:r>
          </w:p>
        </w:tc>
      </w:tr>
      <w:tr w14:paraId="3008D4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78365524">
            <w:pPr>
              <w:jc w:val="center"/>
              <w:rPr>
                <w:rFonts w:hint="default" w:ascii="Times New Roman" w:hAnsi="Times New Roman" w:eastAsia="仿宋_GB2312" w:cs="Times New Roman"/>
                <w:color w:val="auto"/>
                <w:szCs w:val="21"/>
              </w:rPr>
            </w:pPr>
          </w:p>
        </w:tc>
        <w:tc>
          <w:tcPr>
            <w:tcW w:w="829" w:type="dxa"/>
            <w:vMerge w:val="continue"/>
            <w:shd w:val="clear" w:color="auto" w:fill="auto"/>
            <w:tcMar>
              <w:left w:w="108" w:type="dxa"/>
              <w:right w:w="108" w:type="dxa"/>
            </w:tcMar>
            <w:vAlign w:val="center"/>
          </w:tcPr>
          <w:p w14:paraId="54FBB9B4">
            <w:pPr>
              <w:jc w:val="center"/>
              <w:rPr>
                <w:rFonts w:hint="default" w:ascii="Times New Roman" w:hAnsi="Times New Roman" w:eastAsia="黑体" w:cs="Times New Roman"/>
                <w:color w:val="auto"/>
                <w:szCs w:val="21"/>
              </w:rPr>
            </w:pPr>
          </w:p>
        </w:tc>
        <w:tc>
          <w:tcPr>
            <w:tcW w:w="567" w:type="dxa"/>
            <w:shd w:val="clear" w:color="auto" w:fill="auto"/>
            <w:tcMar>
              <w:left w:w="108" w:type="dxa"/>
              <w:right w:w="108" w:type="dxa"/>
            </w:tcMar>
            <w:vAlign w:val="center"/>
          </w:tcPr>
          <w:p w14:paraId="45E8D8FD">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商业企业</w:t>
            </w:r>
          </w:p>
        </w:tc>
        <w:tc>
          <w:tcPr>
            <w:tcW w:w="567" w:type="dxa"/>
            <w:shd w:val="clear" w:color="auto" w:fill="auto"/>
            <w:tcMar>
              <w:left w:w="108" w:type="dxa"/>
              <w:right w:w="108" w:type="dxa"/>
            </w:tcMar>
            <w:vAlign w:val="center"/>
          </w:tcPr>
          <w:p w14:paraId="30C8EF51">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科研机构</w:t>
            </w:r>
          </w:p>
        </w:tc>
        <w:tc>
          <w:tcPr>
            <w:tcW w:w="731" w:type="dxa"/>
            <w:shd w:val="clear" w:color="auto" w:fill="auto"/>
            <w:tcMar>
              <w:left w:w="108" w:type="dxa"/>
              <w:right w:w="108" w:type="dxa"/>
            </w:tcMar>
            <w:vAlign w:val="center"/>
          </w:tcPr>
          <w:p w14:paraId="06E2D693">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社会公益组织</w:t>
            </w:r>
          </w:p>
        </w:tc>
        <w:tc>
          <w:tcPr>
            <w:tcW w:w="708" w:type="dxa"/>
            <w:shd w:val="clear" w:color="auto" w:fill="auto"/>
            <w:tcMar>
              <w:left w:w="108" w:type="dxa"/>
              <w:right w:w="108" w:type="dxa"/>
            </w:tcMar>
            <w:vAlign w:val="center"/>
          </w:tcPr>
          <w:p w14:paraId="1505979D">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法律服务机构</w:t>
            </w:r>
          </w:p>
        </w:tc>
        <w:tc>
          <w:tcPr>
            <w:tcW w:w="567" w:type="dxa"/>
            <w:shd w:val="clear" w:color="auto" w:fill="auto"/>
            <w:tcMar>
              <w:left w:w="108" w:type="dxa"/>
              <w:right w:w="108" w:type="dxa"/>
            </w:tcMar>
            <w:vAlign w:val="center"/>
          </w:tcPr>
          <w:p w14:paraId="488D80C9">
            <w:pPr>
              <w:widowControl/>
              <w:spacing w:line="360" w:lineRule="exact"/>
              <w:ind w:left="-63" w:leftChars="-30" w:right="-134" w:rightChars="-64"/>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其他</w:t>
            </w:r>
          </w:p>
        </w:tc>
        <w:tc>
          <w:tcPr>
            <w:tcW w:w="851" w:type="dxa"/>
            <w:vMerge w:val="continue"/>
            <w:shd w:val="clear" w:color="auto" w:fill="auto"/>
            <w:tcMar>
              <w:left w:w="108" w:type="dxa"/>
              <w:right w:w="108" w:type="dxa"/>
            </w:tcMar>
            <w:vAlign w:val="center"/>
          </w:tcPr>
          <w:p w14:paraId="6377592C">
            <w:pPr>
              <w:jc w:val="center"/>
              <w:rPr>
                <w:rFonts w:hint="default" w:ascii="Times New Roman" w:hAnsi="Times New Roman" w:eastAsia="仿宋_GB2312" w:cs="Times New Roman"/>
                <w:color w:val="auto"/>
                <w:szCs w:val="21"/>
              </w:rPr>
            </w:pPr>
          </w:p>
        </w:tc>
      </w:tr>
      <w:tr w14:paraId="135BFE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006F1FBE">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w:t>
            </w:r>
            <w:bookmarkStart w:id="0" w:name="_Hlk66973412"/>
            <w:r>
              <w:rPr>
                <w:rFonts w:hint="default" w:ascii="Times New Roman" w:hAnsi="Times New Roman" w:eastAsia="黑体" w:cs="Times New Roman"/>
                <w:color w:val="auto"/>
                <w:kern w:val="0"/>
                <w:szCs w:val="21"/>
              </w:rPr>
              <w:t>本年新收政府信息公开申请数量</w:t>
            </w:r>
            <w:bookmarkEnd w:id="0"/>
          </w:p>
        </w:tc>
        <w:tc>
          <w:tcPr>
            <w:tcW w:w="829" w:type="dxa"/>
            <w:shd w:val="clear" w:color="auto" w:fill="auto"/>
            <w:tcMar>
              <w:left w:w="108" w:type="dxa"/>
              <w:right w:w="108" w:type="dxa"/>
            </w:tcMar>
            <w:vAlign w:val="center"/>
          </w:tcPr>
          <w:p w14:paraId="5CBA94D1">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3</w:t>
            </w:r>
          </w:p>
        </w:tc>
        <w:tc>
          <w:tcPr>
            <w:tcW w:w="567" w:type="dxa"/>
            <w:shd w:val="clear" w:color="auto" w:fill="auto"/>
            <w:tcMar>
              <w:left w:w="108" w:type="dxa"/>
              <w:right w:w="108" w:type="dxa"/>
            </w:tcMar>
            <w:vAlign w:val="center"/>
          </w:tcPr>
          <w:p w14:paraId="2B9FEBB0">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6593BCB">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66AA396C">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1A921C28">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05365CA">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5F6442D5">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3</w:t>
            </w:r>
          </w:p>
        </w:tc>
      </w:tr>
      <w:tr w14:paraId="02F051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16979161">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二、上年结转政府信息公开申请数量</w:t>
            </w:r>
          </w:p>
        </w:tc>
        <w:tc>
          <w:tcPr>
            <w:tcW w:w="829" w:type="dxa"/>
            <w:shd w:val="clear" w:color="auto" w:fill="auto"/>
            <w:tcMar>
              <w:left w:w="108" w:type="dxa"/>
              <w:right w:w="108" w:type="dxa"/>
            </w:tcMar>
            <w:vAlign w:val="center"/>
          </w:tcPr>
          <w:p w14:paraId="018F9E12">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9BAC78F">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229F73D">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71D88B39">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3389E054">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06C3FCA7">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50E7BE76">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300D4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01A2F689">
            <w:pPr>
              <w:widowControl/>
              <w:spacing w:after="180"/>
              <w:rPr>
                <w:rFonts w:hint="default" w:ascii="Times New Roman" w:hAnsi="Times New Roman" w:eastAsia="黑体" w:cs="Times New Roman"/>
                <w:color w:val="auto"/>
                <w:kern w:val="0"/>
                <w:szCs w:val="21"/>
              </w:rPr>
            </w:pPr>
          </w:p>
          <w:p w14:paraId="6BFC1E8C">
            <w:pPr>
              <w:widowControl/>
              <w:spacing w:after="180"/>
              <w:rPr>
                <w:rFonts w:hint="default" w:ascii="Times New Roman" w:hAnsi="Times New Roman" w:eastAsia="黑体" w:cs="Times New Roman"/>
                <w:color w:val="auto"/>
                <w:kern w:val="0"/>
                <w:szCs w:val="21"/>
              </w:rPr>
            </w:pPr>
          </w:p>
          <w:p w14:paraId="279612BD">
            <w:pPr>
              <w:widowControl/>
              <w:spacing w:after="180"/>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三、本年度办理结果</w:t>
            </w:r>
          </w:p>
        </w:tc>
        <w:tc>
          <w:tcPr>
            <w:tcW w:w="4677" w:type="dxa"/>
            <w:gridSpan w:val="2"/>
            <w:shd w:val="clear" w:color="auto" w:fill="auto"/>
            <w:tcMar>
              <w:left w:w="108" w:type="dxa"/>
              <w:right w:w="108" w:type="dxa"/>
            </w:tcMar>
            <w:vAlign w:val="center"/>
          </w:tcPr>
          <w:p w14:paraId="2A9AD748">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（一）予以公开</w:t>
            </w:r>
          </w:p>
        </w:tc>
        <w:tc>
          <w:tcPr>
            <w:tcW w:w="829" w:type="dxa"/>
            <w:shd w:val="clear" w:color="auto" w:fill="auto"/>
            <w:tcMar>
              <w:left w:w="108" w:type="dxa"/>
              <w:right w:w="108" w:type="dxa"/>
            </w:tcMar>
            <w:vAlign w:val="center"/>
          </w:tcPr>
          <w:p w14:paraId="61293030">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w:t>
            </w:r>
          </w:p>
        </w:tc>
        <w:tc>
          <w:tcPr>
            <w:tcW w:w="567" w:type="dxa"/>
            <w:shd w:val="clear" w:color="auto" w:fill="auto"/>
            <w:tcMar>
              <w:left w:w="108" w:type="dxa"/>
              <w:right w:w="108" w:type="dxa"/>
            </w:tcMar>
            <w:vAlign w:val="center"/>
          </w:tcPr>
          <w:p w14:paraId="0DE310B4">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5663EBF">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2247C5BE">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6CB74028">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FECE2B2">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6478B76A">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w:t>
            </w:r>
          </w:p>
        </w:tc>
      </w:tr>
      <w:tr w14:paraId="705587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E329B9A">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14:paraId="0D775150">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（二）部分公开（</w:t>
            </w:r>
            <w:bookmarkStart w:id="1" w:name="_Hlk66973981"/>
            <w:r>
              <w:rPr>
                <w:rFonts w:hint="default" w:ascii="Times New Roman" w:hAnsi="Times New Roman" w:eastAsia="黑体" w:cs="Times New Roman"/>
                <w:color w:val="auto"/>
                <w:kern w:val="0"/>
                <w:szCs w:val="21"/>
              </w:rPr>
              <w:t>区分处理的，只计这一情形，不计其他情形</w:t>
            </w:r>
            <w:bookmarkEnd w:id="1"/>
            <w:r>
              <w:rPr>
                <w:rFonts w:hint="default" w:ascii="Times New Roman" w:hAnsi="Times New Roman" w:eastAsia="黑体" w:cs="Times New Roman"/>
                <w:color w:val="auto"/>
                <w:kern w:val="0"/>
                <w:szCs w:val="21"/>
              </w:rPr>
              <w:t>）</w:t>
            </w:r>
          </w:p>
        </w:tc>
        <w:tc>
          <w:tcPr>
            <w:tcW w:w="829" w:type="dxa"/>
            <w:shd w:val="clear" w:color="auto" w:fill="auto"/>
            <w:tcMar>
              <w:left w:w="108" w:type="dxa"/>
              <w:right w:w="108" w:type="dxa"/>
            </w:tcMar>
            <w:vAlign w:val="center"/>
          </w:tcPr>
          <w:p w14:paraId="41CBED2A">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48BF139">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2B2B5A6">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7DF6F918">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204CC4B5">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41EC1C2">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67B514A7">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61B1C3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CD0B4F9">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3D90B082">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（三）不予公开</w:t>
            </w:r>
          </w:p>
        </w:tc>
        <w:tc>
          <w:tcPr>
            <w:tcW w:w="2976" w:type="dxa"/>
            <w:shd w:val="clear" w:color="auto" w:fill="auto"/>
            <w:tcMar>
              <w:left w:w="108" w:type="dxa"/>
              <w:right w:w="108" w:type="dxa"/>
            </w:tcMar>
            <w:vAlign w:val="center"/>
          </w:tcPr>
          <w:p w14:paraId="174E06E2">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1.属于国家秘密</w:t>
            </w:r>
          </w:p>
        </w:tc>
        <w:tc>
          <w:tcPr>
            <w:tcW w:w="829" w:type="dxa"/>
            <w:shd w:val="clear" w:color="auto" w:fill="auto"/>
            <w:tcMar>
              <w:left w:w="108" w:type="dxa"/>
              <w:right w:w="108" w:type="dxa"/>
            </w:tcMar>
            <w:vAlign w:val="center"/>
          </w:tcPr>
          <w:p w14:paraId="1FF504A3">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06D320D">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E487A4B">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50555273">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1F895F04">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7658F8D">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5C07255C">
            <w:pPr>
              <w:widowControl/>
              <w:spacing w:after="180"/>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403E73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D30F9A4">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4BEC5172">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22EA0061">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2" w:name="_Hlk66974104"/>
            <w:r>
              <w:rPr>
                <w:rFonts w:hint="default" w:ascii="Times New Roman" w:hAnsi="Times New Roman" w:eastAsia="仿宋_GB2312" w:cs="Times New Roman"/>
                <w:color w:val="auto"/>
                <w:kern w:val="0"/>
                <w:szCs w:val="21"/>
              </w:rPr>
              <w:t>其他法律行政法规禁止公开</w:t>
            </w:r>
            <w:bookmarkEnd w:id="2"/>
          </w:p>
        </w:tc>
        <w:tc>
          <w:tcPr>
            <w:tcW w:w="829" w:type="dxa"/>
            <w:shd w:val="clear" w:color="auto" w:fill="auto"/>
            <w:tcMar>
              <w:left w:w="108" w:type="dxa"/>
              <w:right w:w="108" w:type="dxa"/>
            </w:tcMar>
            <w:vAlign w:val="center"/>
          </w:tcPr>
          <w:p w14:paraId="02F19B0E">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2681036">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562E4BF">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5569337D">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49D3A219">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BA871E5">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3FA1A63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22ACAA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E72554E">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75100E1">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C4342A3">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3.危及“三安全一稳定”</w:t>
            </w:r>
          </w:p>
        </w:tc>
        <w:tc>
          <w:tcPr>
            <w:tcW w:w="829" w:type="dxa"/>
            <w:shd w:val="clear" w:color="auto" w:fill="auto"/>
            <w:tcMar>
              <w:left w:w="108" w:type="dxa"/>
              <w:right w:w="108" w:type="dxa"/>
            </w:tcMar>
            <w:vAlign w:val="center"/>
          </w:tcPr>
          <w:p w14:paraId="753D7E04">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32BE8DA">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56BB76B">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3407117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445BA17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FC146D1">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549D7E9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03C902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89CE2FD">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5DCE4824">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B27CEB5">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w:t>
            </w:r>
            <w:bookmarkStart w:id="3" w:name="_Hlk66974290"/>
            <w:r>
              <w:rPr>
                <w:rFonts w:hint="default" w:ascii="Times New Roman" w:hAnsi="Times New Roman" w:eastAsia="仿宋_GB2312" w:cs="Times New Roman"/>
                <w:color w:val="auto"/>
                <w:kern w:val="0"/>
                <w:szCs w:val="21"/>
              </w:rPr>
              <w:t>保护第三方合法权益</w:t>
            </w:r>
            <w:bookmarkEnd w:id="3"/>
          </w:p>
        </w:tc>
        <w:tc>
          <w:tcPr>
            <w:tcW w:w="829" w:type="dxa"/>
            <w:shd w:val="clear" w:color="auto" w:fill="auto"/>
            <w:tcMar>
              <w:left w:w="108" w:type="dxa"/>
              <w:right w:w="108" w:type="dxa"/>
            </w:tcMar>
            <w:vAlign w:val="center"/>
          </w:tcPr>
          <w:p w14:paraId="50DD675D">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E79578F">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BBCB7DE">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297BFA3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60DE9CED">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AA7653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1DEAE2C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151FC7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11A6562">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5528B55A">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7A47C995">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5.属于三类内部事务信息</w:t>
            </w:r>
          </w:p>
        </w:tc>
        <w:tc>
          <w:tcPr>
            <w:tcW w:w="829" w:type="dxa"/>
            <w:shd w:val="clear" w:color="auto" w:fill="auto"/>
            <w:tcMar>
              <w:left w:w="108" w:type="dxa"/>
              <w:right w:w="108" w:type="dxa"/>
            </w:tcMar>
            <w:vAlign w:val="center"/>
          </w:tcPr>
          <w:p w14:paraId="164554A4">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6E441B8">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2EA84C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41C5BF4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7CE6D62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7724A1D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6A6E3B2D">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7200DF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24812F">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8888BF4">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3BFF2569">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6.</w:t>
            </w:r>
            <w:bookmarkStart w:id="4" w:name="_Hlk66974555"/>
            <w:r>
              <w:rPr>
                <w:rFonts w:hint="default" w:ascii="Times New Roman" w:hAnsi="Times New Roman" w:eastAsia="仿宋_GB2312" w:cs="Times New Roman"/>
                <w:color w:val="auto"/>
                <w:kern w:val="0"/>
                <w:szCs w:val="21"/>
              </w:rPr>
              <w:t>属于四类过程性信息</w:t>
            </w:r>
            <w:bookmarkEnd w:id="4"/>
          </w:p>
        </w:tc>
        <w:tc>
          <w:tcPr>
            <w:tcW w:w="829" w:type="dxa"/>
            <w:shd w:val="clear" w:color="auto" w:fill="auto"/>
            <w:tcMar>
              <w:left w:w="108" w:type="dxa"/>
              <w:right w:w="108" w:type="dxa"/>
            </w:tcMar>
            <w:vAlign w:val="center"/>
          </w:tcPr>
          <w:p w14:paraId="14DDFCAC">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0FC8E8ED">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3F495D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679BCE6B">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62D3931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EAAD3A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1F6F6C2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13D64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01E2E24">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A363C58">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150AABFD">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7.属于行政执法案卷</w:t>
            </w:r>
          </w:p>
        </w:tc>
        <w:tc>
          <w:tcPr>
            <w:tcW w:w="829" w:type="dxa"/>
            <w:shd w:val="clear" w:color="auto" w:fill="auto"/>
            <w:tcMar>
              <w:left w:w="108" w:type="dxa"/>
              <w:right w:w="108" w:type="dxa"/>
            </w:tcMar>
            <w:vAlign w:val="center"/>
          </w:tcPr>
          <w:p w14:paraId="64838436">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8F5416A">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C4D846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56792C2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087E440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D90AA5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0056596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245ACE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B2DC2B2">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5EE57FAE">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C49C4D1">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w:t>
            </w:r>
            <w:bookmarkStart w:id="5" w:name="_Hlk66975211"/>
            <w:r>
              <w:rPr>
                <w:rFonts w:hint="default" w:ascii="Times New Roman" w:hAnsi="Times New Roman" w:eastAsia="仿宋_GB2312" w:cs="Times New Roman"/>
                <w:color w:val="auto"/>
                <w:kern w:val="0"/>
                <w:szCs w:val="21"/>
              </w:rPr>
              <w:t>属于行政查询事项</w:t>
            </w:r>
            <w:bookmarkEnd w:id="5"/>
          </w:p>
        </w:tc>
        <w:tc>
          <w:tcPr>
            <w:tcW w:w="829" w:type="dxa"/>
            <w:shd w:val="clear" w:color="auto" w:fill="auto"/>
            <w:tcMar>
              <w:left w:w="108" w:type="dxa"/>
              <w:right w:w="108" w:type="dxa"/>
            </w:tcMar>
            <w:vAlign w:val="center"/>
          </w:tcPr>
          <w:p w14:paraId="1210BED0">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55D219F">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72DFF18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3AB0B4C5">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0381457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DCF33F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36B3997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4A5903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8DF3797">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593D579A">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（四）无法提供</w:t>
            </w:r>
          </w:p>
        </w:tc>
        <w:tc>
          <w:tcPr>
            <w:tcW w:w="2976" w:type="dxa"/>
            <w:shd w:val="clear" w:color="auto" w:fill="auto"/>
            <w:tcMar>
              <w:left w:w="108" w:type="dxa"/>
              <w:right w:w="108" w:type="dxa"/>
            </w:tcMar>
            <w:vAlign w:val="center"/>
          </w:tcPr>
          <w:p w14:paraId="1F15DD03">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1.本机关不掌握相关政府信息</w:t>
            </w:r>
          </w:p>
        </w:tc>
        <w:tc>
          <w:tcPr>
            <w:tcW w:w="829" w:type="dxa"/>
            <w:shd w:val="clear" w:color="auto" w:fill="auto"/>
            <w:tcMar>
              <w:left w:w="108" w:type="dxa"/>
              <w:right w:w="108" w:type="dxa"/>
            </w:tcMar>
            <w:vAlign w:val="center"/>
          </w:tcPr>
          <w:p w14:paraId="3475D3C7">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3DA88A0">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102B16E">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6078724D">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278DA52E">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725A47B">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6E4F483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6783DB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0A35A84">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6180FBE">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4FBA9155">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6" w:name="_Hlk66975392"/>
            <w:r>
              <w:rPr>
                <w:rFonts w:hint="default" w:ascii="Times New Roman" w:hAnsi="Times New Roman" w:eastAsia="仿宋_GB2312" w:cs="Times New Roman"/>
                <w:color w:val="auto"/>
                <w:kern w:val="0"/>
                <w:szCs w:val="21"/>
              </w:rPr>
              <w:t>没有现成信息需要另行制作</w:t>
            </w:r>
            <w:bookmarkEnd w:id="6"/>
          </w:p>
        </w:tc>
        <w:tc>
          <w:tcPr>
            <w:tcW w:w="829" w:type="dxa"/>
            <w:shd w:val="clear" w:color="auto" w:fill="auto"/>
            <w:tcMar>
              <w:left w:w="108" w:type="dxa"/>
              <w:right w:w="108" w:type="dxa"/>
            </w:tcMar>
            <w:vAlign w:val="center"/>
          </w:tcPr>
          <w:p w14:paraId="1FCB2D8B">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D6A2F14">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0B963181">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0F742E1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5DE247F9">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01ECBE2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1525E9B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5C3E9D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95241FD">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3F760CD">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0444750">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w:t>
            </w:r>
            <w:bookmarkStart w:id="7" w:name="_Hlk66975466"/>
            <w:r>
              <w:rPr>
                <w:rFonts w:hint="default" w:ascii="Times New Roman" w:hAnsi="Times New Roman" w:eastAsia="仿宋_GB2312" w:cs="Times New Roman"/>
                <w:color w:val="auto"/>
                <w:kern w:val="0"/>
                <w:szCs w:val="21"/>
              </w:rPr>
              <w:t>补正后申请内容仍不明确</w:t>
            </w:r>
            <w:bookmarkEnd w:id="7"/>
          </w:p>
        </w:tc>
        <w:tc>
          <w:tcPr>
            <w:tcW w:w="829" w:type="dxa"/>
            <w:shd w:val="clear" w:color="auto" w:fill="auto"/>
            <w:tcMar>
              <w:left w:w="108" w:type="dxa"/>
              <w:right w:w="108" w:type="dxa"/>
            </w:tcMar>
            <w:vAlign w:val="center"/>
          </w:tcPr>
          <w:p w14:paraId="6294C55C">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DECDE26">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01CFB229">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00A64DF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726AC4D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823FD1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22B8F107">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7C1C2E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DA7BDF3">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51B1E947">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（五）不予处理</w:t>
            </w:r>
          </w:p>
        </w:tc>
        <w:tc>
          <w:tcPr>
            <w:tcW w:w="2976" w:type="dxa"/>
            <w:shd w:val="clear" w:color="auto" w:fill="auto"/>
            <w:tcMar>
              <w:left w:w="108" w:type="dxa"/>
              <w:right w:w="108" w:type="dxa"/>
            </w:tcMar>
            <w:vAlign w:val="center"/>
          </w:tcPr>
          <w:p w14:paraId="06EF2BD9">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w:t>
            </w:r>
            <w:bookmarkStart w:id="8" w:name="_Hlk66975537"/>
            <w:r>
              <w:rPr>
                <w:rFonts w:hint="default" w:ascii="Times New Roman" w:hAnsi="Times New Roman" w:eastAsia="仿宋_GB2312" w:cs="Times New Roman"/>
                <w:color w:val="auto"/>
                <w:kern w:val="0"/>
                <w:szCs w:val="21"/>
              </w:rPr>
              <w:t>信访举报投诉类申请</w:t>
            </w:r>
            <w:bookmarkEnd w:id="8"/>
          </w:p>
        </w:tc>
        <w:tc>
          <w:tcPr>
            <w:tcW w:w="829" w:type="dxa"/>
            <w:shd w:val="clear" w:color="auto" w:fill="auto"/>
            <w:tcMar>
              <w:left w:w="108" w:type="dxa"/>
              <w:right w:w="108" w:type="dxa"/>
            </w:tcMar>
            <w:vAlign w:val="center"/>
          </w:tcPr>
          <w:p w14:paraId="3C75C8CD">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3F22CA3">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74577A6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00CC3E8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6EFE0627">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1B6CC2F">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0F143BF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4D12C7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39F2F45">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79969999">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3A43932C">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2.重复申请</w:t>
            </w:r>
          </w:p>
        </w:tc>
        <w:tc>
          <w:tcPr>
            <w:tcW w:w="829" w:type="dxa"/>
            <w:shd w:val="clear" w:color="auto" w:fill="auto"/>
            <w:tcMar>
              <w:left w:w="108" w:type="dxa"/>
              <w:right w:w="108" w:type="dxa"/>
            </w:tcMar>
            <w:vAlign w:val="center"/>
          </w:tcPr>
          <w:p w14:paraId="5A2C253D">
            <w:pPr>
              <w:widowControl/>
              <w:spacing w:after="180" w:line="200" w:lineRule="exact"/>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1</w:t>
            </w:r>
          </w:p>
        </w:tc>
        <w:tc>
          <w:tcPr>
            <w:tcW w:w="567" w:type="dxa"/>
            <w:shd w:val="clear" w:color="auto" w:fill="auto"/>
            <w:tcMar>
              <w:left w:w="108" w:type="dxa"/>
              <w:right w:w="108" w:type="dxa"/>
            </w:tcMar>
            <w:vAlign w:val="center"/>
          </w:tcPr>
          <w:p w14:paraId="63A29F26">
            <w:pPr>
              <w:widowControl/>
              <w:spacing w:after="180" w:line="200" w:lineRule="exact"/>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0</w:t>
            </w:r>
          </w:p>
        </w:tc>
        <w:tc>
          <w:tcPr>
            <w:tcW w:w="567" w:type="dxa"/>
            <w:shd w:val="clear" w:color="auto" w:fill="auto"/>
            <w:tcMar>
              <w:left w:w="108" w:type="dxa"/>
              <w:right w:w="108" w:type="dxa"/>
            </w:tcMar>
            <w:vAlign w:val="center"/>
          </w:tcPr>
          <w:p w14:paraId="54480DC0">
            <w:pPr>
              <w:widowControl/>
              <w:spacing w:after="180"/>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0</w:t>
            </w:r>
          </w:p>
        </w:tc>
        <w:tc>
          <w:tcPr>
            <w:tcW w:w="731" w:type="dxa"/>
            <w:shd w:val="clear" w:color="auto" w:fill="auto"/>
            <w:tcMar>
              <w:left w:w="108" w:type="dxa"/>
              <w:right w:w="108" w:type="dxa"/>
            </w:tcMar>
            <w:vAlign w:val="center"/>
          </w:tcPr>
          <w:p w14:paraId="05889F51">
            <w:pPr>
              <w:widowControl/>
              <w:spacing w:after="180"/>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0</w:t>
            </w:r>
          </w:p>
        </w:tc>
        <w:tc>
          <w:tcPr>
            <w:tcW w:w="708" w:type="dxa"/>
            <w:shd w:val="clear" w:color="auto" w:fill="auto"/>
            <w:tcMar>
              <w:left w:w="108" w:type="dxa"/>
              <w:right w:w="108" w:type="dxa"/>
            </w:tcMar>
            <w:vAlign w:val="center"/>
          </w:tcPr>
          <w:p w14:paraId="0A4D9114">
            <w:pPr>
              <w:widowControl/>
              <w:spacing w:after="180"/>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0</w:t>
            </w:r>
          </w:p>
        </w:tc>
        <w:tc>
          <w:tcPr>
            <w:tcW w:w="567" w:type="dxa"/>
            <w:shd w:val="clear" w:color="auto" w:fill="auto"/>
            <w:tcMar>
              <w:left w:w="108" w:type="dxa"/>
              <w:right w:w="108" w:type="dxa"/>
            </w:tcMar>
            <w:vAlign w:val="center"/>
          </w:tcPr>
          <w:p w14:paraId="4C92513A">
            <w:pPr>
              <w:widowControl/>
              <w:spacing w:after="180"/>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0</w:t>
            </w:r>
          </w:p>
        </w:tc>
        <w:tc>
          <w:tcPr>
            <w:tcW w:w="851" w:type="dxa"/>
            <w:shd w:val="clear" w:color="auto" w:fill="auto"/>
            <w:tcMar>
              <w:left w:w="108" w:type="dxa"/>
              <w:right w:w="108" w:type="dxa"/>
            </w:tcMar>
            <w:vAlign w:val="center"/>
          </w:tcPr>
          <w:p w14:paraId="6A4BBE60">
            <w:pPr>
              <w:widowControl/>
              <w:spacing w:after="180"/>
              <w:jc w:val="center"/>
              <w:rPr>
                <w:rFonts w:hint="default" w:ascii="Times New Roman" w:hAnsi="Times New Roman" w:eastAsia="仿宋_GB2312" w:cs="Times New Roman"/>
                <w:color w:val="auto"/>
                <w:kern w:val="2"/>
                <w:sz w:val="21"/>
                <w:szCs w:val="21"/>
                <w:highlight w:val="none"/>
                <w:lang w:val="en-US" w:eastAsia="zh-CN" w:bidi="ar-SA"/>
              </w:rPr>
            </w:pPr>
            <w:r>
              <w:rPr>
                <w:rFonts w:hint="default" w:ascii="Times New Roman" w:hAnsi="Times New Roman" w:eastAsia="仿宋_GB2312" w:cs="Times New Roman"/>
                <w:color w:val="auto"/>
                <w:szCs w:val="21"/>
                <w:highlight w:val="none"/>
                <w:lang w:val="en-US" w:eastAsia="zh-CN"/>
              </w:rPr>
              <w:t>1</w:t>
            </w:r>
          </w:p>
        </w:tc>
      </w:tr>
      <w:tr w14:paraId="2430DF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05CA05A">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306949B1">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0396577">
            <w:pPr>
              <w:widowControl/>
              <w:spacing w:line="20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3.要求提供公开出版物</w:t>
            </w:r>
          </w:p>
        </w:tc>
        <w:tc>
          <w:tcPr>
            <w:tcW w:w="829" w:type="dxa"/>
            <w:shd w:val="clear" w:color="auto" w:fill="auto"/>
            <w:tcMar>
              <w:left w:w="108" w:type="dxa"/>
              <w:right w:w="108" w:type="dxa"/>
            </w:tcMar>
            <w:vAlign w:val="center"/>
          </w:tcPr>
          <w:p w14:paraId="061A15BE">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9BF681E">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F9547D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2A399377">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495DCE8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A639E5D">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7E6AFFA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5E0997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3FA259A2">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66C78E2">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6C252E9">
            <w:pPr>
              <w:widowControl/>
              <w:spacing w:line="20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4.无正当理由大量反复申请</w:t>
            </w:r>
          </w:p>
        </w:tc>
        <w:tc>
          <w:tcPr>
            <w:tcW w:w="829" w:type="dxa"/>
            <w:shd w:val="clear" w:color="auto" w:fill="auto"/>
            <w:tcMar>
              <w:left w:w="108" w:type="dxa"/>
              <w:right w:w="108" w:type="dxa"/>
            </w:tcMar>
            <w:vAlign w:val="center"/>
          </w:tcPr>
          <w:p w14:paraId="0BD5A3F1">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7ADD90A1">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AB6F44F">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306D6B3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6B5A79F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D577F9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6D60FB8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0A3C18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28" w:hRule="atLeast"/>
          <w:jc w:val="center"/>
        </w:trPr>
        <w:tc>
          <w:tcPr>
            <w:tcW w:w="416" w:type="dxa"/>
            <w:vMerge w:val="continue"/>
            <w:shd w:val="clear" w:color="auto" w:fill="auto"/>
            <w:tcMar>
              <w:left w:w="108" w:type="dxa"/>
              <w:right w:w="108" w:type="dxa"/>
            </w:tcMar>
            <w:vAlign w:val="center"/>
          </w:tcPr>
          <w:p w14:paraId="3744FA2D">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2EFA2AD">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735F0FCB">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5.要求行政机关确认或重新</w:t>
            </w:r>
          </w:p>
          <w:p w14:paraId="4BAB11D2">
            <w:pPr>
              <w:widowControl/>
              <w:spacing w:line="300" w:lineRule="exact"/>
              <w:ind w:firstLine="210" w:firstLineChars="100"/>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出具已获取信息</w:t>
            </w:r>
          </w:p>
        </w:tc>
        <w:tc>
          <w:tcPr>
            <w:tcW w:w="829" w:type="dxa"/>
            <w:shd w:val="clear" w:color="auto" w:fill="auto"/>
            <w:tcMar>
              <w:left w:w="108" w:type="dxa"/>
              <w:right w:w="108" w:type="dxa"/>
            </w:tcMar>
            <w:vAlign w:val="center"/>
          </w:tcPr>
          <w:p w14:paraId="17749092">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EB234A2">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45B12D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7E80DA2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1230AF57">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D72EB9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1EC3445B">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39E3A8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6E836C0">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2B05712C">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（六）其他处理</w:t>
            </w:r>
          </w:p>
        </w:tc>
        <w:tc>
          <w:tcPr>
            <w:tcW w:w="2976" w:type="dxa"/>
            <w:shd w:val="clear" w:color="auto" w:fill="auto"/>
            <w:vAlign w:val="center"/>
          </w:tcPr>
          <w:p w14:paraId="076DC82C">
            <w:pPr>
              <w:widowControl/>
              <w:spacing w:line="300" w:lineRule="exact"/>
              <w:rPr>
                <w:rFonts w:hint="default" w:ascii="Times New Roman" w:hAnsi="Times New Roman" w:eastAsia="仿宋_GB2312" w:cs="Times New Roman"/>
                <w:color w:val="auto"/>
              </w:rPr>
            </w:pPr>
            <w:r>
              <w:rPr>
                <w:rFonts w:hint="default" w:ascii="Times New Roman" w:hAnsi="Times New Roman" w:eastAsia="仿宋_GB2312" w:cs="Times New Roman"/>
                <w:color w:val="auto"/>
              </w:rPr>
              <w:t>1.申请人无正当理由逾期不补正、行政机关不再处理其政府信息公开申请</w:t>
            </w:r>
          </w:p>
        </w:tc>
        <w:tc>
          <w:tcPr>
            <w:tcW w:w="829" w:type="dxa"/>
            <w:shd w:val="clear" w:color="auto" w:fill="auto"/>
            <w:tcMar>
              <w:left w:w="108" w:type="dxa"/>
              <w:right w:w="108" w:type="dxa"/>
            </w:tcMar>
            <w:vAlign w:val="center"/>
          </w:tcPr>
          <w:p w14:paraId="3E171AF5">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5E66783">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5773B51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244259E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09A219E9">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024FF2A">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3E71E84B">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5E7E2C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10020BA">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3F774925">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14:paraId="5299AF70">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53DDAA85">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43D494D3">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B5F45B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782AFE1E">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691C716D">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1C776E83">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1E5C8127">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053455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20" w:hRule="atLeast"/>
          <w:jc w:val="center"/>
        </w:trPr>
        <w:tc>
          <w:tcPr>
            <w:tcW w:w="416" w:type="dxa"/>
            <w:vMerge w:val="continue"/>
            <w:shd w:val="clear" w:color="auto" w:fill="auto"/>
            <w:tcMar>
              <w:left w:w="108" w:type="dxa"/>
              <w:right w:w="108" w:type="dxa"/>
            </w:tcMar>
            <w:vAlign w:val="center"/>
          </w:tcPr>
          <w:p w14:paraId="5AE2E138">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3A89BCAC">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14:paraId="3110CC8D">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3.其他</w:t>
            </w:r>
          </w:p>
        </w:tc>
        <w:tc>
          <w:tcPr>
            <w:tcW w:w="829" w:type="dxa"/>
            <w:shd w:val="clear" w:color="auto" w:fill="auto"/>
            <w:tcMar>
              <w:left w:w="108" w:type="dxa"/>
              <w:right w:w="108" w:type="dxa"/>
            </w:tcMar>
            <w:vAlign w:val="center"/>
          </w:tcPr>
          <w:p w14:paraId="53BEDDC6">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DF37351">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286B851B">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50345F4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1F68080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60009904">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01804FA6">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14:paraId="71DC52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20" w:hRule="atLeast"/>
          <w:jc w:val="center"/>
        </w:trPr>
        <w:tc>
          <w:tcPr>
            <w:tcW w:w="416" w:type="dxa"/>
            <w:vMerge w:val="continue"/>
            <w:shd w:val="clear" w:color="auto" w:fill="auto"/>
            <w:tcMar>
              <w:left w:w="108" w:type="dxa"/>
              <w:right w:w="108" w:type="dxa"/>
            </w:tcMar>
            <w:vAlign w:val="center"/>
          </w:tcPr>
          <w:p w14:paraId="554A19C0">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14:paraId="3529B986">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（七）总计</w:t>
            </w:r>
          </w:p>
        </w:tc>
        <w:tc>
          <w:tcPr>
            <w:tcW w:w="829" w:type="dxa"/>
            <w:shd w:val="clear" w:color="auto" w:fill="auto"/>
            <w:tcMar>
              <w:left w:w="108" w:type="dxa"/>
              <w:right w:w="108" w:type="dxa"/>
            </w:tcMar>
            <w:vAlign w:val="center"/>
          </w:tcPr>
          <w:p w14:paraId="41BDE872">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3</w:t>
            </w:r>
          </w:p>
        </w:tc>
        <w:tc>
          <w:tcPr>
            <w:tcW w:w="567" w:type="dxa"/>
            <w:shd w:val="clear" w:color="auto" w:fill="auto"/>
            <w:tcMar>
              <w:left w:w="108" w:type="dxa"/>
              <w:right w:w="108" w:type="dxa"/>
            </w:tcMar>
            <w:vAlign w:val="center"/>
          </w:tcPr>
          <w:p w14:paraId="4A0238EB">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0346B36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54386BFC">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1F10FE27">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71C39F5E">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7278E7E1">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3</w:t>
            </w:r>
          </w:p>
        </w:tc>
      </w:tr>
      <w:tr w14:paraId="41F357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29" w:hRule="atLeast"/>
          <w:jc w:val="center"/>
        </w:trPr>
        <w:tc>
          <w:tcPr>
            <w:tcW w:w="5093" w:type="dxa"/>
            <w:gridSpan w:val="3"/>
            <w:shd w:val="clear" w:color="auto" w:fill="auto"/>
            <w:tcMar>
              <w:left w:w="108" w:type="dxa"/>
              <w:right w:w="108" w:type="dxa"/>
            </w:tcMar>
            <w:vAlign w:val="center"/>
          </w:tcPr>
          <w:p w14:paraId="617D37E9">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四、结转下年度继续办理</w:t>
            </w:r>
          </w:p>
        </w:tc>
        <w:tc>
          <w:tcPr>
            <w:tcW w:w="829" w:type="dxa"/>
            <w:shd w:val="clear" w:color="auto" w:fill="auto"/>
            <w:tcMar>
              <w:left w:w="108" w:type="dxa"/>
              <w:right w:w="108" w:type="dxa"/>
            </w:tcMar>
            <w:vAlign w:val="center"/>
          </w:tcPr>
          <w:p w14:paraId="09557047">
            <w:pPr>
              <w:widowControl/>
              <w:spacing w:after="180" w:line="200" w:lineRule="exact"/>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4509D4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D6DA16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31" w:type="dxa"/>
            <w:shd w:val="clear" w:color="auto" w:fill="auto"/>
            <w:tcMar>
              <w:left w:w="108" w:type="dxa"/>
              <w:right w:w="108" w:type="dxa"/>
            </w:tcMar>
            <w:vAlign w:val="center"/>
          </w:tcPr>
          <w:p w14:paraId="357D7030">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8" w:type="dxa"/>
            <w:shd w:val="clear" w:color="auto" w:fill="auto"/>
            <w:tcMar>
              <w:left w:w="108" w:type="dxa"/>
              <w:right w:w="108" w:type="dxa"/>
            </w:tcMar>
            <w:vAlign w:val="center"/>
          </w:tcPr>
          <w:p w14:paraId="1864F988">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67" w:type="dxa"/>
            <w:shd w:val="clear" w:color="auto" w:fill="auto"/>
            <w:tcMar>
              <w:left w:w="108" w:type="dxa"/>
              <w:right w:w="108" w:type="dxa"/>
            </w:tcMar>
            <w:vAlign w:val="center"/>
          </w:tcPr>
          <w:p w14:paraId="31D827D2">
            <w:pPr>
              <w:widowControl/>
              <w:spacing w:after="180"/>
              <w:jc w:val="center"/>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851" w:type="dxa"/>
            <w:shd w:val="clear" w:color="auto" w:fill="auto"/>
            <w:tcMar>
              <w:left w:w="108" w:type="dxa"/>
              <w:right w:w="108" w:type="dxa"/>
            </w:tcMar>
            <w:vAlign w:val="center"/>
          </w:tcPr>
          <w:p w14:paraId="23F25961">
            <w:pPr>
              <w:widowControl/>
              <w:spacing w:after="180"/>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bl>
    <w:p w14:paraId="472A30EA">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四、政府信息公开行政复议、行政诉讼情况</w:t>
      </w:r>
    </w:p>
    <w:tbl>
      <w:tblPr>
        <w:tblStyle w:val="9"/>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F6389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5158A9A">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2C4468E">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行政诉讼</w:t>
            </w:r>
          </w:p>
        </w:tc>
      </w:tr>
      <w:tr w14:paraId="553C91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56FD404">
            <w:pPr>
              <w:widowControl/>
              <w:ind w:left="-149" w:leftChars="-71" w:right="-170" w:rightChars="-8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14:paraId="7971B38A">
            <w:pPr>
              <w:widowControl/>
              <w:ind w:left="-149" w:leftChars="-71" w:right="-170" w:rightChars="-8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4D252751">
            <w:pPr>
              <w:widowControl/>
              <w:ind w:left="-43" w:leftChars="-21" w:right="-132" w:rightChars="-63"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558D421">
            <w:pPr>
              <w:widowControl/>
              <w:ind w:left="-82" w:leftChars="-39" w:right="-97" w:rightChars="-4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BEBA948">
            <w:pPr>
              <w:widowControl/>
              <w:ind w:left="-118" w:leftChars="-56" w:right="-118" w:rightChars="-56"/>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14:paraId="21A60562">
            <w:pPr>
              <w:widowControl/>
              <w:ind w:left="-118" w:leftChars="-56" w:right="-118" w:rightChars="-5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D14AEC6">
            <w:pPr>
              <w:widowControl/>
              <w:spacing w:line="320" w:lineRule="exact"/>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总</w:t>
            </w:r>
          </w:p>
          <w:p w14:paraId="4E924339">
            <w:pPr>
              <w:widowControl/>
              <w:spacing w:line="320" w:lineRule="exact"/>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ACDCD8B">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FA145B4">
            <w:pPr>
              <w:widowControl/>
              <w:jc w:val="center"/>
              <w:rPr>
                <w:rFonts w:hint="default" w:ascii="Times New Roman" w:hAnsi="Times New Roman" w:eastAsia="黑体" w:cs="Times New Roman"/>
                <w:color w:val="auto"/>
              </w:rPr>
            </w:pPr>
            <w:bookmarkStart w:id="9" w:name="_Hlk67039688"/>
            <w:r>
              <w:rPr>
                <w:rFonts w:hint="default" w:ascii="Times New Roman" w:hAnsi="Times New Roman" w:eastAsia="黑体" w:cs="Times New Roman"/>
                <w:color w:val="auto"/>
                <w:kern w:val="0"/>
                <w:sz w:val="20"/>
                <w:szCs w:val="20"/>
              </w:rPr>
              <w:t>复议后起诉</w:t>
            </w:r>
            <w:bookmarkEnd w:id="9"/>
          </w:p>
        </w:tc>
      </w:tr>
      <w:tr w14:paraId="677F55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E53813">
            <w:pPr>
              <w:rPr>
                <w:rFonts w:hint="default" w:ascii="Times New Roman" w:hAnsi="Times New Roman" w:eastAsia="黑体" w:cs="Times New Roman"/>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6C5ED877">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DE87B8E">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9DEC3D">
            <w:pPr>
              <w:rPr>
                <w:rFonts w:hint="default" w:ascii="Times New Roman" w:hAnsi="Times New Roman" w:eastAsia="黑体" w:cs="Times New Roman"/>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1892E6B">
            <w:pPr>
              <w:rPr>
                <w:rFonts w:hint="default" w:ascii="Times New Roman" w:hAnsi="Times New Roman" w:eastAsia="黑体" w:cs="Times New Roman"/>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25C62D1B">
            <w:pPr>
              <w:widowControl/>
              <w:ind w:left="-105" w:leftChars="-50" w:right="-126" w:rightChars="-60"/>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613F2D5">
            <w:pPr>
              <w:widowControl/>
              <w:ind w:left="-86" w:leftChars="-41" w:right="-88" w:rightChars="-42"/>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1710960">
            <w:pPr>
              <w:widowControl/>
              <w:ind w:left="-126" w:leftChars="-60" w:right="-136" w:rightChars="-65"/>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14:paraId="5FBD87A7">
            <w:pPr>
              <w:widowControl/>
              <w:ind w:left="-126" w:leftChars="-60" w:right="-136" w:rightChars="-65"/>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784C74A">
            <w:pPr>
              <w:widowControl/>
              <w:ind w:left="-164" w:leftChars="-78" w:right="-153" w:rightChars="-73"/>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14:paraId="0F886658">
            <w:pPr>
              <w:widowControl/>
              <w:ind w:left="-164" w:leftChars="-78" w:right="-153" w:rightChars="-73"/>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F095776">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0EC3CCC">
            <w:pPr>
              <w:widowControl/>
              <w:ind w:left="-99" w:leftChars="-47" w:right="-78" w:rightChars="-37"/>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61F3F73">
            <w:pPr>
              <w:widowControl/>
              <w:ind w:left="-136" w:leftChars="-65" w:right="-124" w:rightChars="-59"/>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14:paraId="0377F3CA">
            <w:pPr>
              <w:widowControl/>
              <w:ind w:left="-136" w:leftChars="-65" w:right="-124" w:rightChars="-59"/>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D25B0C8">
            <w:pPr>
              <w:widowControl/>
              <w:ind w:left="-173" w:leftChars="-83" w:right="-134" w:rightChars="-64" w:hanging="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14:paraId="70FDF4D6">
            <w:pPr>
              <w:widowControl/>
              <w:ind w:left="-173" w:leftChars="-83" w:right="-134" w:rightChars="-64"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F14C19F">
            <w:pPr>
              <w:widowControl/>
              <w:ind w:left="-67" w:leftChars="-33" w:right="-105" w:rightChars="-50" w:hanging="2" w:hangingChars="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9E8468B">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r>
      <w:tr w14:paraId="66A0B3B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AC2B06">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B4507C3">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B55C6F5">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683BD81">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31D99BA5">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2ABE067C">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E64AD3A">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4DC7E30">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88C7A01">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61E88F9">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6BA83E1">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DAE47CC">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0D60390">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7C8580BB">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13A9C4E">
            <w:pPr>
              <w:widowControl/>
              <w:spacing w:after="180" w:line="200" w:lineRule="exact"/>
              <w:jc w:val="center"/>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bl>
    <w:p w14:paraId="7FB42C6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val="en-US" w:eastAsia="zh-CN"/>
        </w:rPr>
      </w:pPr>
    </w:p>
    <w:p w14:paraId="2C9EEB1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val="en-US" w:eastAsia="zh-CN"/>
        </w:rPr>
        <w:t>五、</w:t>
      </w:r>
      <w:r>
        <w:rPr>
          <w:rFonts w:hint="default" w:ascii="Times New Roman" w:hAnsi="Times New Roman" w:eastAsia="黑体" w:cs="Times New Roman"/>
          <w:color w:val="auto"/>
          <w:sz w:val="32"/>
          <w:szCs w:val="32"/>
          <w:lang w:eastAsia="zh-CN"/>
        </w:rPr>
        <w:t>存在的主要问题及改进情况</w:t>
      </w:r>
    </w:p>
    <w:p w14:paraId="098595E1">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（一）工作中存在的主要问题和困难</w:t>
      </w:r>
      <w:r>
        <w:rPr>
          <w:rFonts w:hint="default" w:ascii="Times New Roman" w:hAnsi="Times New Roman" w:eastAsia="仿宋_GB2312" w:cs="Times New Roman"/>
          <w:color w:val="auto"/>
          <w:sz w:val="32"/>
          <w:szCs w:val="32"/>
          <w:highlight w:val="none"/>
          <w:lang w:val="en-US" w:eastAsia="zh-CN"/>
        </w:rPr>
        <w:t>。2021年，我局政府信息公开工作虽然取得了一些进步，但是对照文件规定和上级要求，距离社会公众的愿望，都还存在较大的差距。一是组织建设仍需改进。政府信息公开工作业务骨干以兼职为主，队伍建设整体不够稳定，且法律、互联网及相关业务领域专业人员配备不足。二是依法主动公开意识有待增强。少数科室对政府信息公开工作的重要性认识依然不足，怕公开、烦公开等惯性倾向依然存在，影响到主动公开工作的落实。三是政策文件公开不够全面，政策解读力度还不够大。四是信息公开类型及内容覆盖不够全面，对公众关心的热点、焦点问题信息关注、回应不够。</w:t>
      </w:r>
    </w:p>
    <w:p w14:paraId="31722564">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（二）具体的解决办法及改进措施</w:t>
      </w:r>
      <w:r>
        <w:rPr>
          <w:rFonts w:hint="default" w:ascii="Times New Roman" w:hAnsi="Times New Roman" w:eastAsia="仿宋_GB2312" w:cs="Times New Roman"/>
          <w:color w:val="auto"/>
          <w:sz w:val="32"/>
          <w:szCs w:val="32"/>
          <w:highlight w:val="none"/>
          <w:lang w:val="en-US" w:eastAsia="zh-CN"/>
        </w:rPr>
        <w:t>。2022年，我局将认真贯彻落实《条例》和各级指示要求，坚持以公开为常态、不公开为例外，紧紧围绕经济社会发展和人民群众关切，以社会需求为导向，以制度机制为基础，以平台建设为载体，继续深入推进政府信息公开工作。一是进一步健全完善公开制度体系。建立健全政府信息公开工作领导和协调机制，建立健全政府信息公开申请接受、登记、办理、审核、答复、归档环节工作制度，推进政府信息公开标准化建设。二是着力深化重点领域信息公开。加大推进稳岗就业、社会保险、考试招聘、优化营商环境、行政执法公示等重点领域信息公开力度，切实提升公开质量和实效，更好地服务经济社会发展和民生改善。三是努力扩大公众参与。积极推进通过政府信息公开让公众更大程度参与政策制定，大力推进重要政策解读和政策制定工作同步考虑、同步安排，提高解读的针对性、科学性、可读性和权威性。四是着力加强公开工作队伍建设。加大政府信息公开工作人员培训力度，制定业务培训计划和考核考评办法，分级分层组织实施，切实提高人员队伍的综合素质和业务能力。</w:t>
      </w:r>
    </w:p>
    <w:p w14:paraId="3F27204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9" w:lineRule="exact"/>
        <w:ind w:left="0" w:right="0" w:firstLine="420"/>
        <w:jc w:val="left"/>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六、其他需要报告的事项</w:t>
      </w:r>
    </w:p>
    <w:p w14:paraId="7112EC9E">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（一）政府信息公开收费情况</w:t>
      </w:r>
    </w:p>
    <w:p w14:paraId="7F8D6260">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2021年，我局未发生政府信息公开收费情况。</w:t>
      </w:r>
    </w:p>
    <w:p w14:paraId="6CE4AE82">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（二）落实上级年度政务公开工作要点情况</w:t>
      </w:r>
    </w:p>
    <w:p w14:paraId="2965E915">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2021年，我局严格按照《威海市文登区人民政府办公室关于印发2021年威海市文登区政务公开重点工作及责任分工的通知》要求，加强社会保障、稳岗就业、优化营商环境等重点工作信息公开，并按照强化组织领导、抓好任务落实、加强监督检查的要求扎实推进政府信息公开工作培训、考核等各项工作。</w:t>
      </w:r>
    </w:p>
    <w:p w14:paraId="65B4EBC5">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（三）人大代表建议、政协委员提案办理结果公开情况</w:t>
      </w:r>
    </w:p>
    <w:p w14:paraId="39D4E2B5">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2021年，我局办理区人大代表建议2件，比2020年多2件。办理区政协提案2件，比2020年少1件。代表和委员反馈满意率为100%，均通过政府网站专栏主动公开。</w:t>
      </w:r>
    </w:p>
    <w:p w14:paraId="2C0644A4">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（四）政务公开工作创新情况</w:t>
      </w:r>
    </w:p>
    <w:p w14:paraId="7070E132">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2021年，我局积极响应国家、省、市各级要求，创新举措加大以政府信息公开促稳岗就业力度。在文登区政府门户网站开设“稳岗就业”专题栏目，面向就业困难人员、高校毕业生、贫困劳动力等，分类公开有关就业创业补贴政策和服务。通过政府门户网站、“文登人社”微信订阅号以及各类新闻媒体，第一时间发布人才招引政策、线上线下招聘信息、稳岗就业服务指南等政务信息，做到企业和群众最关心、最需要的信息第一时间推送，全力打好稳就业保就业攻坚战。</w:t>
      </w:r>
    </w:p>
    <w:p w14:paraId="0A8D4C72">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（五）所属事业单位信息公开工作推进措施和落实情况</w:t>
      </w:r>
    </w:p>
    <w:p w14:paraId="55F8643E">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2021年，我局所属公共就业和人才服务中心、社会保险事业中心、人才创新发展中心、劳动人事争议仲裁院、劳动保障监察大队5个事业单位，均按照要求建立了政府信息公开组织机构，并指定专人负责所属领域政府信息公开工作。同时，按照工作职责强化政务信息维护，其中公共就业和人才服务中心运营维护“稳岗就业”专题，社会保险事业中心运营维护“社会保险”栏目，人才创新发展中心参与乡村振兴专题并提供人才振兴相关政策和信息，劳动人事争议仲裁院和劳动保障监察大队负责“行政执法公示”等内容的运营和维护，各单位严格落实政府信息公开保密审查、依申请公开等各项制度，均及时、准确发布各类政府</w:t>
      </w:r>
      <w:bookmarkStart w:id="10" w:name="_GoBack"/>
      <w:bookmarkEnd w:id="10"/>
      <w:r>
        <w:rPr>
          <w:rFonts w:hint="default" w:ascii="Times New Roman" w:hAnsi="Times New Roman" w:eastAsia="仿宋_GB2312" w:cs="Times New Roman"/>
          <w:color w:val="auto"/>
          <w:sz w:val="32"/>
          <w:szCs w:val="32"/>
          <w:highlight w:val="none"/>
          <w:lang w:val="en-US" w:eastAsia="zh-CN"/>
        </w:rPr>
        <w:t>信息。</w:t>
      </w:r>
    </w:p>
    <w:p w14:paraId="495755A3">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p>
    <w:p w14:paraId="17D05B18">
      <w:pPr>
        <w:pStyle w:val="7"/>
        <w:keepNext w:val="0"/>
        <w:keepLines w:val="0"/>
        <w:widowControl/>
        <w:suppressLineNumbers w:val="0"/>
        <w:spacing w:before="0" w:beforeAutospacing="0" w:after="0" w:afterAutospacing="0" w:line="240" w:lineRule="auto"/>
        <w:ind w:left="0" w:right="0" w:firstLine="640" w:firstLineChars="200"/>
        <w:jc w:val="left"/>
        <w:rPr>
          <w:rFonts w:hint="default" w:ascii="Times New Roman" w:hAnsi="Times New Roman" w:eastAsia="仿宋_GB2312" w:cs="Times New Roman"/>
          <w:color w:val="auto"/>
          <w:sz w:val="32"/>
          <w:szCs w:val="32"/>
          <w:highlight w:val="none"/>
          <w:lang w:val="en-US" w:eastAsia="zh-CN"/>
        </w:rPr>
      </w:pPr>
    </w:p>
    <w:p w14:paraId="17E891F0">
      <w:pPr>
        <w:pStyle w:val="7"/>
        <w:keepNext w:val="0"/>
        <w:keepLines w:val="0"/>
        <w:widowControl/>
        <w:suppressLineNumbers w:val="0"/>
        <w:spacing w:before="0" w:beforeAutospacing="0" w:after="0" w:afterAutospacing="0" w:line="240" w:lineRule="auto"/>
        <w:ind w:left="0" w:right="0" w:firstLine="640" w:firstLineChars="200"/>
        <w:jc w:val="righ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威海市文登区人力资源和社会保障局</w:t>
      </w:r>
    </w:p>
    <w:p w14:paraId="1251CC87">
      <w:pPr>
        <w:pStyle w:val="7"/>
        <w:keepNext w:val="0"/>
        <w:keepLines w:val="0"/>
        <w:widowControl/>
        <w:suppressLineNumbers w:val="0"/>
        <w:spacing w:before="0" w:beforeAutospacing="0" w:after="0" w:afterAutospacing="0" w:line="240" w:lineRule="auto"/>
        <w:ind w:left="0" w:right="0" w:firstLine="640" w:firstLineChars="200"/>
        <w:jc w:val="right"/>
        <w:rPr>
          <w:rFonts w:hint="default" w:ascii="Times New Roman" w:hAnsi="Times New Roman" w:cs="Times New Roman"/>
          <w:color w:val="auto"/>
          <w:lang w:val="en-US" w:eastAsia="zh-CN"/>
        </w:rPr>
      </w:pPr>
      <w:r>
        <w:rPr>
          <w:rFonts w:hint="default" w:ascii="Times New Roman" w:hAnsi="Times New Roman" w:eastAsia="仿宋_GB2312" w:cs="Times New Roman"/>
          <w:color w:val="auto"/>
          <w:sz w:val="32"/>
          <w:szCs w:val="32"/>
          <w:highlight w:val="none"/>
          <w:lang w:val="en-US" w:eastAsia="zh-CN"/>
        </w:rPr>
        <w:t xml:space="preserve">2022年1月26日      </w:t>
      </w:r>
      <w:r>
        <w:rPr>
          <w:rFonts w:hint="default" w:ascii="Times New Roman" w:hAnsi="Times New Roman" w:cs="Times New Roman"/>
          <w:color w:val="auto"/>
          <w:lang w:val="en-US" w:eastAsia="zh-CN"/>
        </w:rPr>
        <w:t xml:space="preserve"> </w:t>
      </w:r>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62319"/>
    <w:rsid w:val="00250B7C"/>
    <w:rsid w:val="00832355"/>
    <w:rsid w:val="00B96402"/>
    <w:rsid w:val="00BF706B"/>
    <w:rsid w:val="00E531CD"/>
    <w:rsid w:val="00FB62F5"/>
    <w:rsid w:val="01695955"/>
    <w:rsid w:val="01910A08"/>
    <w:rsid w:val="019D1CDE"/>
    <w:rsid w:val="01C81F50"/>
    <w:rsid w:val="01E4322D"/>
    <w:rsid w:val="01F110DF"/>
    <w:rsid w:val="025655F4"/>
    <w:rsid w:val="02750329"/>
    <w:rsid w:val="027F3D47"/>
    <w:rsid w:val="02924A37"/>
    <w:rsid w:val="02C70D51"/>
    <w:rsid w:val="02F23728"/>
    <w:rsid w:val="03433F84"/>
    <w:rsid w:val="03535AE2"/>
    <w:rsid w:val="038B27FC"/>
    <w:rsid w:val="03F60FF6"/>
    <w:rsid w:val="04895A96"/>
    <w:rsid w:val="049D3995"/>
    <w:rsid w:val="049D6ACC"/>
    <w:rsid w:val="04CC45D7"/>
    <w:rsid w:val="04D035F5"/>
    <w:rsid w:val="05524381"/>
    <w:rsid w:val="05720B50"/>
    <w:rsid w:val="06161FDB"/>
    <w:rsid w:val="06392CCA"/>
    <w:rsid w:val="064D1F35"/>
    <w:rsid w:val="067D02EC"/>
    <w:rsid w:val="06F537E7"/>
    <w:rsid w:val="074402CA"/>
    <w:rsid w:val="075524D7"/>
    <w:rsid w:val="07595DBB"/>
    <w:rsid w:val="0778608B"/>
    <w:rsid w:val="077D2EC5"/>
    <w:rsid w:val="077F0CDD"/>
    <w:rsid w:val="080203D9"/>
    <w:rsid w:val="082D0D5E"/>
    <w:rsid w:val="084E4E2A"/>
    <w:rsid w:val="087846CF"/>
    <w:rsid w:val="087C2FA1"/>
    <w:rsid w:val="08A61555"/>
    <w:rsid w:val="08E85B44"/>
    <w:rsid w:val="09026D9F"/>
    <w:rsid w:val="09082084"/>
    <w:rsid w:val="092314BA"/>
    <w:rsid w:val="096552E8"/>
    <w:rsid w:val="098A46BA"/>
    <w:rsid w:val="09BB2B7A"/>
    <w:rsid w:val="09DB4F16"/>
    <w:rsid w:val="0A2A19F9"/>
    <w:rsid w:val="0A3B3327"/>
    <w:rsid w:val="0A7E2A11"/>
    <w:rsid w:val="0AA7304A"/>
    <w:rsid w:val="0AB11920"/>
    <w:rsid w:val="0AC104F6"/>
    <w:rsid w:val="0AE11098"/>
    <w:rsid w:val="0B0C55A3"/>
    <w:rsid w:val="0B4958BE"/>
    <w:rsid w:val="0B4B1C27"/>
    <w:rsid w:val="0B4C19DF"/>
    <w:rsid w:val="0B705B32"/>
    <w:rsid w:val="0BB974D9"/>
    <w:rsid w:val="0BD451FD"/>
    <w:rsid w:val="0BE0022D"/>
    <w:rsid w:val="0BEB476F"/>
    <w:rsid w:val="0C1607C9"/>
    <w:rsid w:val="0C1A4005"/>
    <w:rsid w:val="0C1B3A0E"/>
    <w:rsid w:val="0C57776C"/>
    <w:rsid w:val="0C721436"/>
    <w:rsid w:val="0C81016F"/>
    <w:rsid w:val="0CCF4ECD"/>
    <w:rsid w:val="0CE54A0D"/>
    <w:rsid w:val="0CF777AC"/>
    <w:rsid w:val="0CFE1B8B"/>
    <w:rsid w:val="0D1A5EA5"/>
    <w:rsid w:val="0D2070E4"/>
    <w:rsid w:val="0D892EDB"/>
    <w:rsid w:val="0D9F625A"/>
    <w:rsid w:val="0DEA0A83"/>
    <w:rsid w:val="0E054EB6"/>
    <w:rsid w:val="0E513DC8"/>
    <w:rsid w:val="0E6A7CB1"/>
    <w:rsid w:val="0E7537D8"/>
    <w:rsid w:val="0EAC66EA"/>
    <w:rsid w:val="0EB50BC5"/>
    <w:rsid w:val="0EE864E0"/>
    <w:rsid w:val="0F0547E3"/>
    <w:rsid w:val="0F1D1B2D"/>
    <w:rsid w:val="0F39623B"/>
    <w:rsid w:val="0F3A55BC"/>
    <w:rsid w:val="0F4546C8"/>
    <w:rsid w:val="0F89399E"/>
    <w:rsid w:val="0FBF686B"/>
    <w:rsid w:val="10166221"/>
    <w:rsid w:val="101F2093"/>
    <w:rsid w:val="10416663"/>
    <w:rsid w:val="109C763C"/>
    <w:rsid w:val="10AD5132"/>
    <w:rsid w:val="10AE1B26"/>
    <w:rsid w:val="10C95875"/>
    <w:rsid w:val="10F52E63"/>
    <w:rsid w:val="112B18AD"/>
    <w:rsid w:val="114710E3"/>
    <w:rsid w:val="117B5460"/>
    <w:rsid w:val="11E614B4"/>
    <w:rsid w:val="11E9564D"/>
    <w:rsid w:val="12051714"/>
    <w:rsid w:val="124A5361"/>
    <w:rsid w:val="12590151"/>
    <w:rsid w:val="125E66E4"/>
    <w:rsid w:val="126C5595"/>
    <w:rsid w:val="12971075"/>
    <w:rsid w:val="1297299C"/>
    <w:rsid w:val="129B6276"/>
    <w:rsid w:val="129C0697"/>
    <w:rsid w:val="130C6140"/>
    <w:rsid w:val="13561AB1"/>
    <w:rsid w:val="135E1CC6"/>
    <w:rsid w:val="1376180B"/>
    <w:rsid w:val="139B44B1"/>
    <w:rsid w:val="13B03510"/>
    <w:rsid w:val="13BF582E"/>
    <w:rsid w:val="13D84274"/>
    <w:rsid w:val="13FA41EA"/>
    <w:rsid w:val="14535FF1"/>
    <w:rsid w:val="146547CA"/>
    <w:rsid w:val="14687479"/>
    <w:rsid w:val="14905A70"/>
    <w:rsid w:val="14AC63C4"/>
    <w:rsid w:val="15031186"/>
    <w:rsid w:val="150D1398"/>
    <w:rsid w:val="153F46B7"/>
    <w:rsid w:val="15674EC2"/>
    <w:rsid w:val="15704718"/>
    <w:rsid w:val="15756D51"/>
    <w:rsid w:val="158431ED"/>
    <w:rsid w:val="15870185"/>
    <w:rsid w:val="15BD1BCA"/>
    <w:rsid w:val="15D46CBD"/>
    <w:rsid w:val="15D60C87"/>
    <w:rsid w:val="161C7807"/>
    <w:rsid w:val="16346F47"/>
    <w:rsid w:val="16AE750E"/>
    <w:rsid w:val="172B6E34"/>
    <w:rsid w:val="1736755D"/>
    <w:rsid w:val="173C2D6C"/>
    <w:rsid w:val="17802B71"/>
    <w:rsid w:val="17B44FF8"/>
    <w:rsid w:val="17E6429B"/>
    <w:rsid w:val="180C31E2"/>
    <w:rsid w:val="183208FE"/>
    <w:rsid w:val="18624A54"/>
    <w:rsid w:val="18CD4D57"/>
    <w:rsid w:val="18CE5C46"/>
    <w:rsid w:val="19582DF5"/>
    <w:rsid w:val="195B52E1"/>
    <w:rsid w:val="19696186"/>
    <w:rsid w:val="1990649D"/>
    <w:rsid w:val="19DD456B"/>
    <w:rsid w:val="1A037B71"/>
    <w:rsid w:val="1A044760"/>
    <w:rsid w:val="1AA97869"/>
    <w:rsid w:val="1AB05F4B"/>
    <w:rsid w:val="1AB07C36"/>
    <w:rsid w:val="1AB757D7"/>
    <w:rsid w:val="1AE81519"/>
    <w:rsid w:val="1AF241FB"/>
    <w:rsid w:val="1AFA6E09"/>
    <w:rsid w:val="1B293A8F"/>
    <w:rsid w:val="1B5C7426"/>
    <w:rsid w:val="1B5D38F1"/>
    <w:rsid w:val="1B600FD8"/>
    <w:rsid w:val="1BBE1E52"/>
    <w:rsid w:val="1C1B0B84"/>
    <w:rsid w:val="1C5927EB"/>
    <w:rsid w:val="1C5E5533"/>
    <w:rsid w:val="1C964CCC"/>
    <w:rsid w:val="1CCE1543"/>
    <w:rsid w:val="1CD425BD"/>
    <w:rsid w:val="1D260907"/>
    <w:rsid w:val="1D32457C"/>
    <w:rsid w:val="1D69565B"/>
    <w:rsid w:val="1D7019C1"/>
    <w:rsid w:val="1DC923D1"/>
    <w:rsid w:val="1DF61EC7"/>
    <w:rsid w:val="1E2D340E"/>
    <w:rsid w:val="1E5A0FAF"/>
    <w:rsid w:val="1E696B3C"/>
    <w:rsid w:val="1E6D0ADF"/>
    <w:rsid w:val="1E8C672B"/>
    <w:rsid w:val="1EBD324E"/>
    <w:rsid w:val="1EC90863"/>
    <w:rsid w:val="1ECE55CB"/>
    <w:rsid w:val="1ED0096A"/>
    <w:rsid w:val="1ED815CC"/>
    <w:rsid w:val="1F9951FF"/>
    <w:rsid w:val="1FCA656E"/>
    <w:rsid w:val="204948AC"/>
    <w:rsid w:val="206F41B2"/>
    <w:rsid w:val="207C71C2"/>
    <w:rsid w:val="20B15243"/>
    <w:rsid w:val="20E954D8"/>
    <w:rsid w:val="21022930"/>
    <w:rsid w:val="211A7CF3"/>
    <w:rsid w:val="21455CAA"/>
    <w:rsid w:val="2152146C"/>
    <w:rsid w:val="21717AB6"/>
    <w:rsid w:val="228D191B"/>
    <w:rsid w:val="22A965B3"/>
    <w:rsid w:val="22C07DBD"/>
    <w:rsid w:val="22C27850"/>
    <w:rsid w:val="22E52772"/>
    <w:rsid w:val="23415E3E"/>
    <w:rsid w:val="2354371E"/>
    <w:rsid w:val="23BF03B6"/>
    <w:rsid w:val="241621D7"/>
    <w:rsid w:val="241C3417"/>
    <w:rsid w:val="244F2331"/>
    <w:rsid w:val="24D720E8"/>
    <w:rsid w:val="24EE3666"/>
    <w:rsid w:val="256516E0"/>
    <w:rsid w:val="25772EBD"/>
    <w:rsid w:val="25787665"/>
    <w:rsid w:val="257C53A7"/>
    <w:rsid w:val="25C23D86"/>
    <w:rsid w:val="25EB6089"/>
    <w:rsid w:val="26170C2C"/>
    <w:rsid w:val="26220611"/>
    <w:rsid w:val="26695200"/>
    <w:rsid w:val="26CD39E1"/>
    <w:rsid w:val="278E13C2"/>
    <w:rsid w:val="27EC4BB9"/>
    <w:rsid w:val="28052C16"/>
    <w:rsid w:val="283A3E55"/>
    <w:rsid w:val="284670EE"/>
    <w:rsid w:val="288F6F6D"/>
    <w:rsid w:val="28E445A7"/>
    <w:rsid w:val="28EA2628"/>
    <w:rsid w:val="28F87B93"/>
    <w:rsid w:val="29AC3C39"/>
    <w:rsid w:val="29F5055B"/>
    <w:rsid w:val="29F75721"/>
    <w:rsid w:val="29FD057D"/>
    <w:rsid w:val="2A0140CD"/>
    <w:rsid w:val="2A171D72"/>
    <w:rsid w:val="2AAA1AC6"/>
    <w:rsid w:val="2AB92391"/>
    <w:rsid w:val="2AF01D7B"/>
    <w:rsid w:val="2AFE23BA"/>
    <w:rsid w:val="2B153182"/>
    <w:rsid w:val="2B4F7F40"/>
    <w:rsid w:val="2B9F5705"/>
    <w:rsid w:val="2BD575BF"/>
    <w:rsid w:val="2BE5357A"/>
    <w:rsid w:val="2BE64D82"/>
    <w:rsid w:val="2C2045B2"/>
    <w:rsid w:val="2C4C3216"/>
    <w:rsid w:val="2C7838ED"/>
    <w:rsid w:val="2C9E7AF8"/>
    <w:rsid w:val="2CCB451E"/>
    <w:rsid w:val="2CFC5020"/>
    <w:rsid w:val="2CFE0C6C"/>
    <w:rsid w:val="2D0D062D"/>
    <w:rsid w:val="2D102879"/>
    <w:rsid w:val="2D1102A0"/>
    <w:rsid w:val="2D964B2C"/>
    <w:rsid w:val="2DFB7085"/>
    <w:rsid w:val="2E456552"/>
    <w:rsid w:val="2E5009DC"/>
    <w:rsid w:val="2E95234A"/>
    <w:rsid w:val="2E9848D4"/>
    <w:rsid w:val="2ED2428A"/>
    <w:rsid w:val="2EE144CD"/>
    <w:rsid w:val="2F0B23E2"/>
    <w:rsid w:val="2F9D2C0A"/>
    <w:rsid w:val="30425D98"/>
    <w:rsid w:val="3069420D"/>
    <w:rsid w:val="3075311F"/>
    <w:rsid w:val="307D6477"/>
    <w:rsid w:val="30915A7F"/>
    <w:rsid w:val="30997731"/>
    <w:rsid w:val="30BC0D4E"/>
    <w:rsid w:val="30FC2180"/>
    <w:rsid w:val="3115045E"/>
    <w:rsid w:val="3133325F"/>
    <w:rsid w:val="318932D1"/>
    <w:rsid w:val="31BE28A4"/>
    <w:rsid w:val="3216448E"/>
    <w:rsid w:val="322E6A23"/>
    <w:rsid w:val="322F0BDC"/>
    <w:rsid w:val="329F166A"/>
    <w:rsid w:val="345B087E"/>
    <w:rsid w:val="34AA0A89"/>
    <w:rsid w:val="34B72DB1"/>
    <w:rsid w:val="34C603ED"/>
    <w:rsid w:val="34D348B8"/>
    <w:rsid w:val="34F211E2"/>
    <w:rsid w:val="354F4314"/>
    <w:rsid w:val="357A2F85"/>
    <w:rsid w:val="357D65D2"/>
    <w:rsid w:val="35C44854"/>
    <w:rsid w:val="35CD1307"/>
    <w:rsid w:val="35DF12D5"/>
    <w:rsid w:val="36054F45"/>
    <w:rsid w:val="36121410"/>
    <w:rsid w:val="36222D9E"/>
    <w:rsid w:val="36644647"/>
    <w:rsid w:val="367814F7"/>
    <w:rsid w:val="367E2254"/>
    <w:rsid w:val="36CA1CEB"/>
    <w:rsid w:val="36EF7F8A"/>
    <w:rsid w:val="36F45B17"/>
    <w:rsid w:val="37555A58"/>
    <w:rsid w:val="37ED3EE3"/>
    <w:rsid w:val="382845E4"/>
    <w:rsid w:val="382B1AF4"/>
    <w:rsid w:val="38E26BF0"/>
    <w:rsid w:val="38F92980"/>
    <w:rsid w:val="3929753F"/>
    <w:rsid w:val="394A600A"/>
    <w:rsid w:val="39902D77"/>
    <w:rsid w:val="39904B26"/>
    <w:rsid w:val="39AF5291"/>
    <w:rsid w:val="3A5E2E76"/>
    <w:rsid w:val="3A6F2FB9"/>
    <w:rsid w:val="3A7958B5"/>
    <w:rsid w:val="3A802DEC"/>
    <w:rsid w:val="3AA06FEA"/>
    <w:rsid w:val="3AF1773B"/>
    <w:rsid w:val="3B2714BA"/>
    <w:rsid w:val="3B590718"/>
    <w:rsid w:val="3B6D4796"/>
    <w:rsid w:val="3BC073E4"/>
    <w:rsid w:val="3C243C4B"/>
    <w:rsid w:val="3C2B3D16"/>
    <w:rsid w:val="3C59493B"/>
    <w:rsid w:val="3C8918A9"/>
    <w:rsid w:val="3CBF544F"/>
    <w:rsid w:val="3CC525C8"/>
    <w:rsid w:val="3D354890"/>
    <w:rsid w:val="3D6A1B31"/>
    <w:rsid w:val="3D7B5AED"/>
    <w:rsid w:val="3D9B1CEB"/>
    <w:rsid w:val="3DD35929"/>
    <w:rsid w:val="3DD97A8E"/>
    <w:rsid w:val="3DDA0A65"/>
    <w:rsid w:val="3DEE4511"/>
    <w:rsid w:val="3DFA540D"/>
    <w:rsid w:val="3E6C1D75"/>
    <w:rsid w:val="3E861E30"/>
    <w:rsid w:val="3EBA64E7"/>
    <w:rsid w:val="3EEB2C23"/>
    <w:rsid w:val="3F152721"/>
    <w:rsid w:val="3F58302E"/>
    <w:rsid w:val="3FA12FE6"/>
    <w:rsid w:val="3FC96FE3"/>
    <w:rsid w:val="405C6E3B"/>
    <w:rsid w:val="40913503"/>
    <w:rsid w:val="40914873"/>
    <w:rsid w:val="40F6645A"/>
    <w:rsid w:val="410A2B27"/>
    <w:rsid w:val="410E4D67"/>
    <w:rsid w:val="4110479E"/>
    <w:rsid w:val="416219AA"/>
    <w:rsid w:val="41B25855"/>
    <w:rsid w:val="41B90682"/>
    <w:rsid w:val="41E040DE"/>
    <w:rsid w:val="42611F16"/>
    <w:rsid w:val="42BC4BDD"/>
    <w:rsid w:val="42D45F00"/>
    <w:rsid w:val="43571114"/>
    <w:rsid w:val="43860D47"/>
    <w:rsid w:val="43B65AD0"/>
    <w:rsid w:val="43CC70A2"/>
    <w:rsid w:val="43D83C99"/>
    <w:rsid w:val="43E22422"/>
    <w:rsid w:val="43F06CA6"/>
    <w:rsid w:val="4436276D"/>
    <w:rsid w:val="449C01BC"/>
    <w:rsid w:val="44BA3A41"/>
    <w:rsid w:val="44E41FB7"/>
    <w:rsid w:val="451A5BEB"/>
    <w:rsid w:val="4557299B"/>
    <w:rsid w:val="457807DE"/>
    <w:rsid w:val="45790B64"/>
    <w:rsid w:val="459C2AA4"/>
    <w:rsid w:val="45CD4445"/>
    <w:rsid w:val="45DE4E6B"/>
    <w:rsid w:val="462F1B6A"/>
    <w:rsid w:val="46431380"/>
    <w:rsid w:val="464A3D8B"/>
    <w:rsid w:val="464C44CA"/>
    <w:rsid w:val="46873754"/>
    <w:rsid w:val="46CA1AA4"/>
    <w:rsid w:val="47046B53"/>
    <w:rsid w:val="474F41E9"/>
    <w:rsid w:val="47532B62"/>
    <w:rsid w:val="4760647F"/>
    <w:rsid w:val="47AA594C"/>
    <w:rsid w:val="47C87B80"/>
    <w:rsid w:val="483E294A"/>
    <w:rsid w:val="4884619D"/>
    <w:rsid w:val="48B022BB"/>
    <w:rsid w:val="48D229B2"/>
    <w:rsid w:val="491D214E"/>
    <w:rsid w:val="4952534E"/>
    <w:rsid w:val="49843F7B"/>
    <w:rsid w:val="49883A6B"/>
    <w:rsid w:val="49E1482B"/>
    <w:rsid w:val="4A292153"/>
    <w:rsid w:val="4A922E64"/>
    <w:rsid w:val="4AA523FB"/>
    <w:rsid w:val="4AC31B73"/>
    <w:rsid w:val="4B663938"/>
    <w:rsid w:val="4BA44460"/>
    <w:rsid w:val="4C1B2975"/>
    <w:rsid w:val="4C1C584D"/>
    <w:rsid w:val="4C2023A8"/>
    <w:rsid w:val="4C263827"/>
    <w:rsid w:val="4C4D3142"/>
    <w:rsid w:val="4C680495"/>
    <w:rsid w:val="4CCD027E"/>
    <w:rsid w:val="4CD442EE"/>
    <w:rsid w:val="4CDB3521"/>
    <w:rsid w:val="4D0478AD"/>
    <w:rsid w:val="4D0978E2"/>
    <w:rsid w:val="4D0F1DAD"/>
    <w:rsid w:val="4D492239"/>
    <w:rsid w:val="4DB56A1C"/>
    <w:rsid w:val="4DCB03CA"/>
    <w:rsid w:val="4DFF06C5"/>
    <w:rsid w:val="4E0807A7"/>
    <w:rsid w:val="4E47623B"/>
    <w:rsid w:val="4E573A0C"/>
    <w:rsid w:val="4E6600F3"/>
    <w:rsid w:val="4E704ACE"/>
    <w:rsid w:val="4E7520E4"/>
    <w:rsid w:val="4F0508F0"/>
    <w:rsid w:val="4F5B7BB9"/>
    <w:rsid w:val="4FA414D9"/>
    <w:rsid w:val="4FD37522"/>
    <w:rsid w:val="4FDE088E"/>
    <w:rsid w:val="4FEA34AF"/>
    <w:rsid w:val="506E1F2E"/>
    <w:rsid w:val="50AE5722"/>
    <w:rsid w:val="50C96E3F"/>
    <w:rsid w:val="50DC102C"/>
    <w:rsid w:val="50E6341F"/>
    <w:rsid w:val="50F25B31"/>
    <w:rsid w:val="510F5142"/>
    <w:rsid w:val="511E4CB5"/>
    <w:rsid w:val="51884553"/>
    <w:rsid w:val="51C8234F"/>
    <w:rsid w:val="51E11F6A"/>
    <w:rsid w:val="51E23F34"/>
    <w:rsid w:val="522E2CD6"/>
    <w:rsid w:val="52AD62F0"/>
    <w:rsid w:val="52D4387D"/>
    <w:rsid w:val="52E061D5"/>
    <w:rsid w:val="52EC36E4"/>
    <w:rsid w:val="531243A6"/>
    <w:rsid w:val="5345291D"/>
    <w:rsid w:val="536966BB"/>
    <w:rsid w:val="53C62D54"/>
    <w:rsid w:val="53D61877"/>
    <w:rsid w:val="53EC6546"/>
    <w:rsid w:val="53EF0CF7"/>
    <w:rsid w:val="541F771E"/>
    <w:rsid w:val="542720D3"/>
    <w:rsid w:val="543A0CE7"/>
    <w:rsid w:val="547F49A0"/>
    <w:rsid w:val="54880F6B"/>
    <w:rsid w:val="54D83366"/>
    <w:rsid w:val="55020B76"/>
    <w:rsid w:val="55436A98"/>
    <w:rsid w:val="55441147"/>
    <w:rsid w:val="555B1EB0"/>
    <w:rsid w:val="557B05CF"/>
    <w:rsid w:val="559C4C71"/>
    <w:rsid w:val="55C00E84"/>
    <w:rsid w:val="55DC2223"/>
    <w:rsid w:val="55E4027B"/>
    <w:rsid w:val="573174F0"/>
    <w:rsid w:val="573419E0"/>
    <w:rsid w:val="57574A7D"/>
    <w:rsid w:val="5779215E"/>
    <w:rsid w:val="57B27F05"/>
    <w:rsid w:val="57EC1690"/>
    <w:rsid w:val="57EE52C9"/>
    <w:rsid w:val="58637DD6"/>
    <w:rsid w:val="58706F94"/>
    <w:rsid w:val="58AD704A"/>
    <w:rsid w:val="58BC12DE"/>
    <w:rsid w:val="58D5034F"/>
    <w:rsid w:val="58ED79B9"/>
    <w:rsid w:val="596A6CE9"/>
    <w:rsid w:val="59B60181"/>
    <w:rsid w:val="59BB5ECF"/>
    <w:rsid w:val="59C75EEA"/>
    <w:rsid w:val="59F22DC5"/>
    <w:rsid w:val="5A0F5433"/>
    <w:rsid w:val="5A6B0F6B"/>
    <w:rsid w:val="5AFC37C6"/>
    <w:rsid w:val="5B013AD3"/>
    <w:rsid w:val="5B107E10"/>
    <w:rsid w:val="5B2F1D6D"/>
    <w:rsid w:val="5B4A0DB5"/>
    <w:rsid w:val="5BC329F6"/>
    <w:rsid w:val="5BC96AFE"/>
    <w:rsid w:val="5BF907F8"/>
    <w:rsid w:val="5C7774FE"/>
    <w:rsid w:val="5CF27722"/>
    <w:rsid w:val="5D221689"/>
    <w:rsid w:val="5D22487D"/>
    <w:rsid w:val="5D4E273D"/>
    <w:rsid w:val="5D63417B"/>
    <w:rsid w:val="5D8C724C"/>
    <w:rsid w:val="5DA14C02"/>
    <w:rsid w:val="5DDF3C5F"/>
    <w:rsid w:val="5E176F72"/>
    <w:rsid w:val="5E63268B"/>
    <w:rsid w:val="5E8F0FA0"/>
    <w:rsid w:val="5EAC1B52"/>
    <w:rsid w:val="5ECC1F8D"/>
    <w:rsid w:val="5F075342"/>
    <w:rsid w:val="6065020A"/>
    <w:rsid w:val="606F63FA"/>
    <w:rsid w:val="60B62814"/>
    <w:rsid w:val="60C72393"/>
    <w:rsid w:val="60E21B7A"/>
    <w:rsid w:val="60E3568C"/>
    <w:rsid w:val="60E646F3"/>
    <w:rsid w:val="60E92BEA"/>
    <w:rsid w:val="615362B5"/>
    <w:rsid w:val="61F335F4"/>
    <w:rsid w:val="62595B4D"/>
    <w:rsid w:val="625A2344"/>
    <w:rsid w:val="626369CC"/>
    <w:rsid w:val="629E17B2"/>
    <w:rsid w:val="62E06C51"/>
    <w:rsid w:val="62EB663D"/>
    <w:rsid w:val="62F25ACE"/>
    <w:rsid w:val="62F702D4"/>
    <w:rsid w:val="63113E65"/>
    <w:rsid w:val="632469AE"/>
    <w:rsid w:val="646A4041"/>
    <w:rsid w:val="64A2491E"/>
    <w:rsid w:val="64DB0A9B"/>
    <w:rsid w:val="64E2007C"/>
    <w:rsid w:val="64E46A48"/>
    <w:rsid w:val="64F8164D"/>
    <w:rsid w:val="6502071E"/>
    <w:rsid w:val="6543006E"/>
    <w:rsid w:val="657A6506"/>
    <w:rsid w:val="658C4D76"/>
    <w:rsid w:val="658C7FE7"/>
    <w:rsid w:val="65960E66"/>
    <w:rsid w:val="659A14FB"/>
    <w:rsid w:val="663A67DB"/>
    <w:rsid w:val="664D52E1"/>
    <w:rsid w:val="669B4986"/>
    <w:rsid w:val="66AF1277"/>
    <w:rsid w:val="66B72345"/>
    <w:rsid w:val="66E55C01"/>
    <w:rsid w:val="670C632F"/>
    <w:rsid w:val="672738C2"/>
    <w:rsid w:val="67580001"/>
    <w:rsid w:val="6780592A"/>
    <w:rsid w:val="67DD505B"/>
    <w:rsid w:val="67E20393"/>
    <w:rsid w:val="67F81964"/>
    <w:rsid w:val="68184196"/>
    <w:rsid w:val="68212C69"/>
    <w:rsid w:val="68525518"/>
    <w:rsid w:val="68B43759"/>
    <w:rsid w:val="68D94EF1"/>
    <w:rsid w:val="68F8339E"/>
    <w:rsid w:val="6917406C"/>
    <w:rsid w:val="693B477C"/>
    <w:rsid w:val="696279DD"/>
    <w:rsid w:val="697F18E0"/>
    <w:rsid w:val="699E02E9"/>
    <w:rsid w:val="69B54C94"/>
    <w:rsid w:val="69EE74C3"/>
    <w:rsid w:val="6A081A3B"/>
    <w:rsid w:val="6A0F1A38"/>
    <w:rsid w:val="6A415844"/>
    <w:rsid w:val="6A56797A"/>
    <w:rsid w:val="6ACF3458"/>
    <w:rsid w:val="6ADE378A"/>
    <w:rsid w:val="6AF05DA3"/>
    <w:rsid w:val="6B25384F"/>
    <w:rsid w:val="6B785296"/>
    <w:rsid w:val="6BA11BA6"/>
    <w:rsid w:val="6BA72EB5"/>
    <w:rsid w:val="6BB673A1"/>
    <w:rsid w:val="6BB83EAE"/>
    <w:rsid w:val="6BF879A1"/>
    <w:rsid w:val="6C295F66"/>
    <w:rsid w:val="6C4E3951"/>
    <w:rsid w:val="6C4E4B53"/>
    <w:rsid w:val="6C660A88"/>
    <w:rsid w:val="6C765DEF"/>
    <w:rsid w:val="6CB55F70"/>
    <w:rsid w:val="6CBC5EE5"/>
    <w:rsid w:val="6CD504C6"/>
    <w:rsid w:val="6D062D75"/>
    <w:rsid w:val="6D0C5474"/>
    <w:rsid w:val="6D0C7C9A"/>
    <w:rsid w:val="6D1F61C4"/>
    <w:rsid w:val="6D3C6766"/>
    <w:rsid w:val="6D4341E8"/>
    <w:rsid w:val="6D7712DE"/>
    <w:rsid w:val="6D873F6C"/>
    <w:rsid w:val="6DB057E6"/>
    <w:rsid w:val="6DCF760B"/>
    <w:rsid w:val="6DEB2B1C"/>
    <w:rsid w:val="6E5A5127"/>
    <w:rsid w:val="6E5F02C2"/>
    <w:rsid w:val="6E6E0BD2"/>
    <w:rsid w:val="6E8F0AEA"/>
    <w:rsid w:val="6E9F1BE4"/>
    <w:rsid w:val="6F171EBE"/>
    <w:rsid w:val="6F2968A7"/>
    <w:rsid w:val="6F2F51A6"/>
    <w:rsid w:val="6F71097A"/>
    <w:rsid w:val="6F7D7EAF"/>
    <w:rsid w:val="6F8C7562"/>
    <w:rsid w:val="6FE86762"/>
    <w:rsid w:val="6FEC3203"/>
    <w:rsid w:val="70645DE9"/>
    <w:rsid w:val="70A34A95"/>
    <w:rsid w:val="70D2369A"/>
    <w:rsid w:val="70D31FDB"/>
    <w:rsid w:val="70DF1DC1"/>
    <w:rsid w:val="71051663"/>
    <w:rsid w:val="71110948"/>
    <w:rsid w:val="714B6FA9"/>
    <w:rsid w:val="7159599D"/>
    <w:rsid w:val="715F4802"/>
    <w:rsid w:val="71AF7F1E"/>
    <w:rsid w:val="71B037A0"/>
    <w:rsid w:val="71CC4DCA"/>
    <w:rsid w:val="72103E48"/>
    <w:rsid w:val="72160F52"/>
    <w:rsid w:val="72501BF8"/>
    <w:rsid w:val="72895FDA"/>
    <w:rsid w:val="72AA253A"/>
    <w:rsid w:val="72FB2A83"/>
    <w:rsid w:val="732E26DE"/>
    <w:rsid w:val="73412411"/>
    <w:rsid w:val="735040E0"/>
    <w:rsid w:val="737D55C9"/>
    <w:rsid w:val="737D7FA7"/>
    <w:rsid w:val="74010D7D"/>
    <w:rsid w:val="74014AFC"/>
    <w:rsid w:val="741F19BB"/>
    <w:rsid w:val="743276C9"/>
    <w:rsid w:val="746D0C11"/>
    <w:rsid w:val="746F0FDC"/>
    <w:rsid w:val="74A25132"/>
    <w:rsid w:val="74AC5E53"/>
    <w:rsid w:val="74DD1B5A"/>
    <w:rsid w:val="74EF5D24"/>
    <w:rsid w:val="74F602F9"/>
    <w:rsid w:val="753336DD"/>
    <w:rsid w:val="755660B2"/>
    <w:rsid w:val="759B2170"/>
    <w:rsid w:val="76473AAD"/>
    <w:rsid w:val="764969D6"/>
    <w:rsid w:val="764A3BB2"/>
    <w:rsid w:val="76607052"/>
    <w:rsid w:val="768D17DA"/>
    <w:rsid w:val="768F308A"/>
    <w:rsid w:val="76A34D33"/>
    <w:rsid w:val="76B64EC4"/>
    <w:rsid w:val="77613082"/>
    <w:rsid w:val="77862D76"/>
    <w:rsid w:val="778C3E77"/>
    <w:rsid w:val="78160D21"/>
    <w:rsid w:val="781E764C"/>
    <w:rsid w:val="7820118F"/>
    <w:rsid w:val="785E75C1"/>
    <w:rsid w:val="786848E4"/>
    <w:rsid w:val="78742ED4"/>
    <w:rsid w:val="78DF69BB"/>
    <w:rsid w:val="78F61EF0"/>
    <w:rsid w:val="792B7CF1"/>
    <w:rsid w:val="793842B6"/>
    <w:rsid w:val="798C73BF"/>
    <w:rsid w:val="7A3B7CAD"/>
    <w:rsid w:val="7A634565"/>
    <w:rsid w:val="7A81354C"/>
    <w:rsid w:val="7AAC0AB8"/>
    <w:rsid w:val="7B041116"/>
    <w:rsid w:val="7B38234C"/>
    <w:rsid w:val="7B6E2F9B"/>
    <w:rsid w:val="7B787E08"/>
    <w:rsid w:val="7B950C28"/>
    <w:rsid w:val="7BAB5CF6"/>
    <w:rsid w:val="7BB87930"/>
    <w:rsid w:val="7C087FE5"/>
    <w:rsid w:val="7C094960"/>
    <w:rsid w:val="7C43369E"/>
    <w:rsid w:val="7C635D2A"/>
    <w:rsid w:val="7C9712F4"/>
    <w:rsid w:val="7CA103C5"/>
    <w:rsid w:val="7CA87269"/>
    <w:rsid w:val="7CB71996"/>
    <w:rsid w:val="7D643172"/>
    <w:rsid w:val="7DDC6BBF"/>
    <w:rsid w:val="7DF961BC"/>
    <w:rsid w:val="7E0A2917"/>
    <w:rsid w:val="7E0E1A8A"/>
    <w:rsid w:val="7E12672A"/>
    <w:rsid w:val="7E141A72"/>
    <w:rsid w:val="7E2412AD"/>
    <w:rsid w:val="7E2966CB"/>
    <w:rsid w:val="7E617E0B"/>
    <w:rsid w:val="7E682B99"/>
    <w:rsid w:val="7E7A5BE3"/>
    <w:rsid w:val="7F030EC3"/>
    <w:rsid w:val="7F0F5AB9"/>
    <w:rsid w:val="7F1B7FBA"/>
    <w:rsid w:val="7F4E65E2"/>
    <w:rsid w:val="7F6853C9"/>
    <w:rsid w:val="7FC344DC"/>
    <w:rsid w:val="7FE86FDA"/>
    <w:rsid w:val="7FF0122F"/>
    <w:rsid w:val="7FF301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240" w:lineRule="auto"/>
      <w:jc w:val="center"/>
      <w:outlineLvl w:val="0"/>
    </w:pPr>
    <w:rPr>
      <w:rFonts w:ascii="Calibri" w:hAnsi="Calibri" w:eastAsia="仿宋_GB2312" w:cs="Times New Roman"/>
      <w:kern w:val="44"/>
    </w:rPr>
  </w:style>
  <w:style w:type="paragraph" w:styleId="3">
    <w:name w:val="heading 2"/>
    <w:basedOn w:val="1"/>
    <w:next w:val="1"/>
    <w:link w:val="14"/>
    <w:semiHidden/>
    <w:unhideWhenUsed/>
    <w:qFormat/>
    <w:uiPriority w:val="0"/>
    <w:pPr>
      <w:keepNext/>
      <w:keepLines/>
      <w:spacing w:before="260" w:beforeLines="0" w:beforeAutospacing="0" w:after="260" w:afterLines="0" w:afterAutospacing="0" w:line="240" w:lineRule="auto"/>
      <w:outlineLvl w:val="1"/>
    </w:pPr>
    <w:rPr>
      <w:rFonts w:ascii="Arial" w:hAnsi="Arial" w:eastAsia="仿宋_GB2312" w:cs="Times New Roman"/>
      <w:b/>
      <w:sz w:val="21"/>
    </w:rPr>
  </w:style>
  <w:style w:type="paragraph" w:styleId="4">
    <w:name w:val="heading 3"/>
    <w:basedOn w:val="1"/>
    <w:next w:val="1"/>
    <w:semiHidden/>
    <w:unhideWhenUsed/>
    <w:qFormat/>
    <w:uiPriority w:val="0"/>
    <w:pPr>
      <w:keepNext/>
      <w:keepLines/>
      <w:spacing w:before="260" w:beforeLines="0" w:beforeAutospacing="0" w:after="260" w:afterLines="0" w:afterAutospacing="0" w:line="413" w:lineRule="auto"/>
      <w:outlineLvl w:val="2"/>
    </w:pPr>
    <w:rPr>
      <w:rFonts w:ascii="Calibri" w:hAnsi="Calibri" w:eastAsia="仿宋_GB2312" w:cs="Times New Roman"/>
      <w:b/>
      <w:sz w:val="21"/>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Indent"/>
    <w:basedOn w:val="1"/>
    <w:qFormat/>
    <w:uiPriority w:val="0"/>
    <w:pPr>
      <w:spacing w:after="120" w:afterLines="0" w:afterAutospacing="0"/>
      <w:ind w:left="420" w:leftChars="200"/>
    </w:pPr>
  </w:style>
  <w:style w:type="paragraph" w:styleId="6">
    <w:name w:val="toc 1"/>
    <w:basedOn w:val="1"/>
    <w:next w:val="1"/>
    <w:semiHidden/>
    <w:qFormat/>
    <w:uiPriority w:val="0"/>
    <w:pPr>
      <w:snapToGrid w:val="0"/>
      <w:spacing w:line="640" w:lineRule="exact"/>
      <w:ind w:firstLine="705"/>
    </w:pPr>
    <w:rPr>
      <w:rFonts w:ascii="??_GB2312" w:hAnsi="宋体" w:eastAsia="Times New Roman" w:cs="??_GB2312"/>
      <w:color w:val="000000"/>
      <w:sz w:val="36"/>
      <w:szCs w:val="36"/>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styleId="8">
    <w:name w:val="Body Text First Indent 2"/>
    <w:basedOn w:val="5"/>
    <w:qFormat/>
    <w:uiPriority w:val="0"/>
    <w:pPr>
      <w:ind w:left="0" w:leftChars="0" w:firstLine="420" w:firstLineChars="200"/>
    </w:p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FollowedHyperlink"/>
    <w:basedOn w:val="11"/>
    <w:qFormat/>
    <w:uiPriority w:val="0"/>
    <w:rPr>
      <w:color w:val="555555"/>
      <w:u w:val="none"/>
    </w:rPr>
  </w:style>
  <w:style w:type="character" w:customStyle="1" w:styleId="14">
    <w:name w:val="标题 2 Char"/>
    <w:link w:val="3"/>
    <w:qFormat/>
    <w:uiPriority w:val="0"/>
    <w:rPr>
      <w:rFonts w:ascii="Arial" w:hAnsi="Arial" w:eastAsia="仿宋_GB2312" w:cs="Times New Roman"/>
      <w:b/>
      <w:sz w:val="21"/>
    </w:rPr>
  </w:style>
  <w:style w:type="paragraph" w:customStyle="1" w:styleId="15">
    <w:name w:val="Default"/>
    <w:unhideWhenUsed/>
    <w:qFormat/>
    <w:uiPriority w:val="99"/>
    <w:pPr>
      <w:widowControl w:val="0"/>
      <w:autoSpaceDE w:val="0"/>
      <w:autoSpaceDN w:val="0"/>
      <w:adjustRightInd w:val="0"/>
      <w:spacing w:beforeLines="0" w:afterLines="0"/>
    </w:pPr>
    <w:rPr>
      <w:rFonts w:hint="eastAsia" w:ascii="仿宋_GB2312" w:hAnsi="仿宋_GB2312" w:eastAsia="仿宋_GB2312" w:cs="Times New Roman"/>
      <w:color w:val="000000"/>
      <w:sz w:val="24"/>
    </w:rPr>
  </w:style>
  <w:style w:type="character" w:customStyle="1" w:styleId="16">
    <w:name w:val="current"/>
    <w:basedOn w:val="11"/>
    <w:qFormat/>
    <w:uiPriority w:val="0"/>
    <w:rPr>
      <w:color w:val="FFFFFF"/>
      <w:u w:val="none"/>
      <w:bdr w:val="single" w:color="FB6E52" w:sz="6" w:space="0"/>
      <w:shd w:val="clear" w:fill="FB6E52"/>
    </w:rPr>
  </w:style>
  <w:style w:type="character" w:customStyle="1" w:styleId="17">
    <w:name w:val="current1"/>
    <w:basedOn w:val="11"/>
    <w:qFormat/>
    <w:uiPriority w:val="0"/>
    <w:rPr>
      <w:b/>
      <w:color w:val="FFFFFF"/>
      <w:bdr w:val="single" w:color="D80D00" w:sz="6" w:space="0"/>
      <w:shd w:val="clear" w:fill="D80D00"/>
    </w:rPr>
  </w:style>
  <w:style w:type="character" w:customStyle="1" w:styleId="18">
    <w:name w:val="disabled"/>
    <w:basedOn w:val="11"/>
    <w:qFormat/>
    <w:uiPriority w:val="0"/>
    <w:rPr>
      <w:color w:val="CCCCCC"/>
      <w:bdr w:val="single" w:color="F3F3F3" w:sz="6" w:space="0"/>
    </w:rPr>
  </w:style>
  <w:style w:type="paragraph" w:customStyle="1" w:styleId="19">
    <w:name w:val="Other|1"/>
    <w:qFormat/>
    <w:uiPriority w:val="0"/>
    <w:pPr>
      <w:widowControl w:val="0"/>
      <w:shd w:val="clear" w:color="auto" w:fill="auto"/>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4323</Words>
  <Characters>4475</Characters>
  <Lines>0</Lines>
  <Paragraphs>0</Paragraphs>
  <TotalTime>24</TotalTime>
  <ScaleCrop>false</ScaleCrop>
  <LinksUpToDate>false</LinksUpToDate>
  <CharactersWithSpaces>4482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灰。咖啡</cp:lastModifiedBy>
  <cp:lastPrinted>2020-01-09T03:12:00Z</cp:lastPrinted>
  <dcterms:modified xsi:type="dcterms:W3CDTF">2025-02-11T08:33:55Z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EC17C46950B44A81ACA5E14783812D9D</vt:lpwstr>
  </property>
  <property fmtid="{D5CDD505-2E9C-101B-9397-08002B2CF9AE}" pid="4" name="KSOTemplateDocerSaveRecord">
    <vt:lpwstr>eyJoZGlkIjoiYjM2YjY1MmUzZTEyYTBiZDYyZWJhMDAyM2Q5MzBlOTkiLCJ1c2VySWQiOiI3MTgzNjU2OTYifQ==</vt:lpwstr>
  </property>
</Properties>
</file>