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378E6D">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lang w:eastAsia="zh-CN"/>
        </w:rPr>
        <w:t>威海市文登区市场监督管理局</w:t>
      </w:r>
    </w:p>
    <w:p w14:paraId="2B69A04F">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2020</w:t>
      </w:r>
      <w:r>
        <w:rPr>
          <w:rFonts w:hint="default" w:ascii="Times New Roman" w:hAnsi="Times New Roman" w:eastAsia="方正小标宋简体" w:cs="Times New Roman"/>
          <w:sz w:val="44"/>
          <w:szCs w:val="44"/>
          <w:lang w:val="en-US" w:eastAsia="zh-CN"/>
        </w:rPr>
        <w:t>年政府信息公开工作年度报告</w:t>
      </w:r>
    </w:p>
    <w:p w14:paraId="07A91C7A">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default" w:ascii="Times New Roman" w:hAnsi="Times New Roman" w:eastAsia="方正小标宋简体" w:cs="Times New Roman"/>
          <w:sz w:val="44"/>
          <w:szCs w:val="44"/>
          <w:lang w:val="en-US" w:eastAsia="zh-CN"/>
        </w:rPr>
      </w:pPr>
    </w:p>
    <w:p w14:paraId="685643A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20" w:firstLineChars="200"/>
        <w:jc w:val="both"/>
        <w:textAlignment w:val="auto"/>
        <w:outlineLvl w:val="9"/>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根据《中华人民共和国政府信息公开条例》（以下简称《条例》）和《山东省政府信息公开办法》（以下简称《办法》）的规定要求，现公布威海市文登区</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市场监督管理</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局</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2020年度政府信息公开工作报告。</w:t>
      </w:r>
    </w:p>
    <w:p w14:paraId="39EC748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微软雅黑" w:cs="Times New Roman"/>
          <w:i w:val="0"/>
          <w:iCs w:val="0"/>
          <w:caps w:val="0"/>
          <w:color w:val="333333"/>
          <w:spacing w:val="0"/>
          <w:sz w:val="27"/>
          <w:szCs w:val="27"/>
          <w:shd w:val="clear" w:fill="FFFFFF"/>
          <w:lang w:val="en-US" w:eastAsia="zh-CN"/>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本报告由总体情况，主动公开政府信息情况，收到和处理政府信息公开申请情况，政府信息公开行政复议、行政诉讼情况，存在的主要问题及改进措施，建议和提案办理结果公开情况共</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6</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部分组成。</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 xml:space="preserve"> </w:t>
      </w: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739B83D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本报告中所列数据的统计时限自2020年1月1日起至2020年12月31日止。</w:t>
      </w:r>
    </w:p>
    <w:p w14:paraId="5198E74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本报告的电子版可在威海市文登区人民政府门户网站（http://www.wendeng.gov.cn）信息公开专栏查阅。如对本报告有疑问，请与威海市文登区</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市场监督管理局</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办公室联系（地址：威海市文登区天福路298号，邮编：264400，电话：0631-</w:t>
      </w:r>
      <w:r>
        <w:rPr>
          <w:rFonts w:hint="default" w:ascii="Times New Roman" w:hAnsi="Times New Roman" w:eastAsia="仿宋_GB2312" w:cs="Times New Roman"/>
          <w:i w:val="0"/>
          <w:caps w:val="0"/>
          <w:color w:val="000000" w:themeColor="text1"/>
          <w:spacing w:val="0"/>
          <w:sz w:val="31"/>
          <w:szCs w:val="31"/>
          <w:shd w:val="clear" w:fill="FFFFFF"/>
          <w:lang w:val="en-US" w:eastAsia="zh-CN"/>
          <w14:textFill>
            <w14:solidFill>
              <w14:schemeClr w14:val="tx1"/>
            </w14:solidFill>
          </w14:textFill>
        </w:rPr>
        <w:t>8983512</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w:t>
      </w:r>
    </w:p>
    <w:p w14:paraId="6FB6809A">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left"/>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一、总体情况</w:t>
      </w:r>
    </w:p>
    <w:p w14:paraId="2F9A06CD">
      <w:pPr>
        <w:pStyle w:val="2"/>
        <w:keepNext w:val="0"/>
        <w:keepLines w:val="0"/>
        <w:widowControl/>
        <w:suppressLineNumbers w:val="0"/>
        <w:spacing w:before="0" w:beforeAutospacing="0" w:after="0" w:afterAutospacing="0" w:line="555" w:lineRule="atLeast"/>
        <w:ind w:left="0" w:right="0" w:firstLine="645"/>
        <w:jc w:val="both"/>
        <w:rPr>
          <w:rFonts w:hint="default" w:ascii="Times New Roman" w:hAnsi="Times New Roman" w:eastAsia="sans-serif" w:cs="Times New Roman"/>
          <w:i w:val="0"/>
          <w:iCs w:val="0"/>
          <w:caps w:val="0"/>
          <w:color w:val="000000"/>
          <w:spacing w:val="0"/>
          <w:sz w:val="21"/>
          <w:szCs w:val="21"/>
        </w:rPr>
      </w:pPr>
      <w:r>
        <w:rPr>
          <w:rFonts w:hint="default" w:ascii="Times New Roman" w:hAnsi="Times New Roman" w:eastAsia="sans-serif" w:cs="Times New Roman"/>
          <w:i w:val="0"/>
          <w:iCs w:val="0"/>
          <w:caps w:val="0"/>
          <w:color w:val="000000"/>
          <w:spacing w:val="0"/>
          <w:sz w:val="31"/>
          <w:szCs w:val="31"/>
        </w:rPr>
        <w:t>2020</w:t>
      </w:r>
      <w:r>
        <w:rPr>
          <w:rFonts w:hint="default" w:ascii="Times New Roman" w:hAnsi="Times New Roman" w:eastAsia="仿宋_GB2312" w:cs="Times New Roman"/>
          <w:i w:val="0"/>
          <w:iCs w:val="0"/>
          <w:caps w:val="0"/>
          <w:color w:val="000000"/>
          <w:spacing w:val="0"/>
          <w:sz w:val="31"/>
          <w:szCs w:val="31"/>
        </w:rPr>
        <w:t>年威海市文登区</w:t>
      </w:r>
      <w:r>
        <w:rPr>
          <w:rFonts w:hint="default" w:ascii="Times New Roman" w:hAnsi="Times New Roman" w:eastAsia="仿宋_GB2312" w:cs="Times New Roman"/>
          <w:i w:val="0"/>
          <w:iCs w:val="0"/>
          <w:caps w:val="0"/>
          <w:color w:val="000000"/>
          <w:spacing w:val="0"/>
          <w:sz w:val="31"/>
          <w:szCs w:val="31"/>
          <w:lang w:val="en-US" w:eastAsia="zh-CN"/>
        </w:rPr>
        <w:t>市场</w:t>
      </w:r>
      <w:r>
        <w:rPr>
          <w:rFonts w:hint="default" w:ascii="Times New Roman" w:hAnsi="Times New Roman" w:eastAsia="仿宋_GB2312" w:cs="Times New Roman"/>
          <w:i w:val="0"/>
          <w:iCs w:val="0"/>
          <w:caps w:val="0"/>
          <w:color w:val="000000"/>
          <w:spacing w:val="0"/>
          <w:sz w:val="31"/>
          <w:szCs w:val="31"/>
        </w:rPr>
        <w:t>监督管理局认真贯彻落实《中华人民共和国政府信息公开条例》，根据《国务院办公厅政府信息与政务公开办公室关于政府信息公开工作年度报告有关事项的通知》（国办公开办函</w:t>
      </w:r>
      <w:r>
        <w:rPr>
          <w:rFonts w:hint="default" w:ascii="Times New Roman" w:hAnsi="Times New Roman" w:eastAsia="仿宋_GB2312" w:cs="Times New Roman"/>
          <w:i w:val="0"/>
          <w:iCs w:val="0"/>
          <w:caps w:val="0"/>
          <w:color w:val="000000"/>
          <w:spacing w:val="0"/>
          <w:sz w:val="31"/>
          <w:szCs w:val="31"/>
        </w:rPr>
        <w:t>〔2019〕60</w:t>
      </w:r>
      <w:r>
        <w:rPr>
          <w:rFonts w:hint="default" w:ascii="Times New Roman" w:hAnsi="Times New Roman" w:eastAsia="仿宋_GB2312" w:cs="Times New Roman"/>
          <w:i w:val="0"/>
          <w:iCs w:val="0"/>
          <w:caps w:val="0"/>
          <w:color w:val="000000"/>
          <w:spacing w:val="0"/>
          <w:sz w:val="31"/>
          <w:szCs w:val="31"/>
        </w:rPr>
        <w:t>号）要求，结合今年工作开展实际，编制了</w:t>
      </w:r>
      <w:r>
        <w:rPr>
          <w:rFonts w:hint="default" w:ascii="Times New Roman" w:hAnsi="Times New Roman" w:eastAsia="sans-serif" w:cs="Times New Roman"/>
          <w:i w:val="0"/>
          <w:iCs w:val="0"/>
          <w:caps w:val="0"/>
          <w:color w:val="000000"/>
          <w:spacing w:val="0"/>
          <w:sz w:val="31"/>
          <w:szCs w:val="31"/>
        </w:rPr>
        <w:t>2020</w:t>
      </w:r>
      <w:r>
        <w:rPr>
          <w:rFonts w:hint="default" w:ascii="Times New Roman" w:hAnsi="Times New Roman" w:eastAsia="仿宋_GB2312" w:cs="Times New Roman"/>
          <w:i w:val="0"/>
          <w:iCs w:val="0"/>
          <w:caps w:val="0"/>
          <w:color w:val="000000"/>
          <w:spacing w:val="0"/>
          <w:sz w:val="31"/>
          <w:szCs w:val="31"/>
        </w:rPr>
        <w:t>年威海市文登区市场监督管理局政府信息公开工作年度报告。</w:t>
      </w:r>
    </w:p>
    <w:p w14:paraId="7C4E1BF7">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right="0" w:firstLine="640" w:firstLineChars="200"/>
        <w:jc w:val="both"/>
        <w:textAlignment w:val="auto"/>
        <w:outlineLvl w:val="9"/>
        <w:rPr>
          <w:rFonts w:hint="default" w:ascii="Times New Roman" w:hAnsi="Times New Roman" w:eastAsia="仿宋_GB2312" w:cs="Times New Roman"/>
          <w:color w:val="000000" w:themeColor="text1"/>
          <w:sz w:val="32"/>
          <w:szCs w:val="32"/>
          <w:shd w:val="clear" w:color="auto" w:fill="FFFFFF"/>
          <w14:textFill>
            <w14:solidFill>
              <w14:schemeClr w14:val="tx1"/>
            </w14:solidFill>
          </w14:textFill>
        </w:rPr>
      </w:pPr>
      <w:r>
        <w:rPr>
          <w:rFonts w:hint="default" w:ascii="Times New Roman" w:hAnsi="Times New Roman" w:eastAsia="楷体_GB2312" w:cs="Times New Roman"/>
          <w:color w:val="000000" w:themeColor="text1"/>
          <w:kern w:val="0"/>
          <w:sz w:val="32"/>
          <w:szCs w:val="32"/>
          <w:shd w:val="clear" w:fill="FFFFFF"/>
          <w:lang w:val="en-US" w:eastAsia="zh-CN" w:bidi="ar"/>
          <w14:textFill>
            <w14:solidFill>
              <w14:schemeClr w14:val="tx1"/>
            </w14:solidFill>
          </w14:textFill>
        </w:rPr>
        <w:t>（一）主动公开政府信息情况</w:t>
      </w:r>
    </w:p>
    <w:p w14:paraId="2035028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outlineLvl w:val="9"/>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2020</w:t>
      </w: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年，</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通过威海市文登区政府网站信息公开专栏以及新闻媒体、新媒体平台等多种形式，发布各类法律法规、办事指南等服务信息</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1100</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多条，及时、全面、有效地主动公开政府信息。</w:t>
      </w:r>
    </w:p>
    <w:p w14:paraId="57E414C7">
      <w:pPr>
        <w:pStyle w:val="2"/>
        <w:keepNext w:val="0"/>
        <w:keepLines w:val="0"/>
        <w:pageBreakBefore w:val="0"/>
        <w:widowControl/>
        <w:suppressLineNumbers w:val="0"/>
        <w:kinsoku/>
        <w:wordWrap/>
        <w:overflowPunct/>
        <w:topLinePunct w:val="0"/>
        <w:autoSpaceDE/>
        <w:autoSpaceDN/>
        <w:bidi w:val="0"/>
        <w:spacing w:beforeAutospacing="0" w:afterAutospacing="0" w:line="560" w:lineRule="exact"/>
        <w:ind w:firstLine="640" w:firstLineChars="200"/>
        <w:jc w:val="both"/>
        <w:textAlignment w:val="auto"/>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pP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公开建议提案办理回复结果。</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2020</w:t>
      </w: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年，区市场监管局</w:t>
      </w:r>
      <w:r>
        <w:rPr>
          <w:rFonts w:hint="default" w:ascii="Times New Roman" w:hAnsi="Times New Roman" w:eastAsia="仿宋_GB2312" w:cs="Times New Roman"/>
          <w:i w:val="0"/>
          <w:caps w:val="0"/>
          <w:color w:val="000000" w:themeColor="text1"/>
          <w:spacing w:val="0"/>
          <w:sz w:val="31"/>
          <w:szCs w:val="31"/>
          <w14:textFill>
            <w14:solidFill>
              <w14:schemeClr w14:val="tx1"/>
            </w14:solidFill>
          </w14:textFill>
        </w:rPr>
        <w:t>共办理人大代表建议</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31"/>
          <w:szCs w:val="31"/>
          <w14:textFill>
            <w14:solidFill>
              <w14:schemeClr w14:val="tx1"/>
            </w14:solidFill>
          </w14:textFill>
        </w:rPr>
        <w:t>件</w:t>
      </w:r>
      <w:r>
        <w:rPr>
          <w:rFonts w:hint="default" w:ascii="Times New Roman" w:hAnsi="Times New Roman" w:eastAsia="仿宋_GB2312" w:cs="Times New Roman"/>
          <w:i w:val="0"/>
          <w:caps w:val="0"/>
          <w:color w:val="000000" w:themeColor="text1"/>
          <w:spacing w:val="0"/>
          <w:sz w:val="31"/>
          <w:szCs w:val="31"/>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1"/>
          <w:szCs w:val="31"/>
          <w14:textFill>
            <w14:solidFill>
              <w14:schemeClr w14:val="tx1"/>
            </w14:solidFill>
          </w14:textFill>
        </w:rPr>
        <w:t>政协委员提案</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5</w:t>
      </w:r>
      <w:r>
        <w:rPr>
          <w:rFonts w:hint="default" w:ascii="Times New Roman" w:hAnsi="Times New Roman" w:eastAsia="仿宋_GB2312" w:cs="Times New Roman"/>
          <w:i w:val="0"/>
          <w:caps w:val="0"/>
          <w:color w:val="000000" w:themeColor="text1"/>
          <w:spacing w:val="0"/>
          <w:sz w:val="31"/>
          <w:szCs w:val="31"/>
          <w14:textFill>
            <w14:solidFill>
              <w14:schemeClr w14:val="tx1"/>
            </w14:solidFill>
          </w14:textFill>
        </w:rPr>
        <w:t>件</w:t>
      </w: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，及时向建议人和提案人作出了依法、准确、严谨的书面答复，并按要求全部在威海文登区政府网站主动公开。</w:t>
      </w:r>
    </w:p>
    <w:p w14:paraId="0F4A4587">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kern w:val="0"/>
          <w:sz w:val="32"/>
          <w:szCs w:val="32"/>
          <w:shd w:val="clear" w:fill="FFFFFF"/>
          <w:lang w:val="en-US" w:eastAsia="zh-CN" w:bidi="ar"/>
          <w14:textFill>
            <w14:solidFill>
              <w14:schemeClr w14:val="tx1"/>
            </w14:solidFill>
          </w14:textFill>
        </w:rPr>
        <w:t xml:space="preserve">（二）依申请公开政府信息情况 </w:t>
      </w:r>
    </w:p>
    <w:p w14:paraId="68ADB33F">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w:t>
      </w: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年，区市场监管局收到和处理政府信息依申请公开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kern w:val="0"/>
          <w:sz w:val="32"/>
          <w:szCs w:val="32"/>
          <w:shd w:val="clear" w:fill="FFFFFF"/>
          <w:lang w:val="en-US" w:eastAsia="zh-CN" w:bidi="ar"/>
          <w14:textFill>
            <w14:solidFill>
              <w14:schemeClr w14:val="tx1"/>
            </w14:solidFill>
          </w14:textFill>
        </w:rPr>
        <w:t xml:space="preserve">件，已全部及时公开回复，无行政复议、行政诉讼情况。 </w:t>
      </w:r>
    </w:p>
    <w:p w14:paraId="3537B97C">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kern w:val="0"/>
          <w:sz w:val="32"/>
          <w:szCs w:val="32"/>
          <w:shd w:val="clear" w:fill="FFFFFF"/>
          <w:lang w:val="en-US" w:eastAsia="zh-CN" w:bidi="ar"/>
          <w14:textFill>
            <w14:solidFill>
              <w14:schemeClr w14:val="tx1"/>
            </w14:solidFill>
          </w14:textFill>
        </w:rPr>
        <w:t xml:space="preserve">（三）政府信息管理情况 </w:t>
      </w:r>
    </w:p>
    <w:p w14:paraId="34D8DE8E">
      <w:pPr>
        <w:adjustRightInd w:val="0"/>
        <w:snapToGrid w:val="0"/>
        <w:spacing w:line="580" w:lineRule="exact"/>
        <w:ind w:firstLine="640" w:firstLineChars="200"/>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发布《威海市文登区市场监督管理局信息公开指南》《文登区市场监督管理局主动公开基本目录》等，明确公开时限、</w:t>
      </w:r>
      <w:r>
        <w:rPr>
          <w:rFonts w:hint="default" w:ascii="Times New Roman" w:hAnsi="Times New Roman" w:eastAsia="仿宋_GB2312" w:cs="Times New Roman"/>
          <w:color w:val="000000" w:themeColor="text1"/>
          <w:sz w:val="32"/>
          <w:szCs w:val="32"/>
          <w14:textFill>
            <w14:solidFill>
              <w14:schemeClr w14:val="tx1"/>
            </w14:solidFill>
          </w14:textFill>
        </w:rPr>
        <w:t>载体等工作要求。</w:t>
      </w:r>
    </w:p>
    <w:p w14:paraId="68C69E50">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kern w:val="0"/>
          <w:sz w:val="32"/>
          <w:szCs w:val="32"/>
          <w:shd w:val="clear" w:fill="FFFFFF"/>
          <w:lang w:val="en-US" w:eastAsia="zh-CN" w:bidi="ar"/>
          <w14:textFill>
            <w14:solidFill>
              <w14:schemeClr w14:val="tx1"/>
            </w14:solidFill>
          </w14:textFill>
        </w:rPr>
        <w:t xml:space="preserve">（四）平台建设情况 </w:t>
      </w:r>
    </w:p>
    <w:p w14:paraId="5B02B22E">
      <w:pPr>
        <w:adjustRightInd w:val="0"/>
        <w:snapToGrid w:val="0"/>
        <w:spacing w:line="580" w:lineRule="exact"/>
        <w:ind w:firstLine="640" w:firstLineChars="200"/>
        <w:jc w:val="both"/>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现有</w:t>
      </w:r>
      <w:r>
        <w:rPr>
          <w:rFonts w:hint="default" w:ascii="Times New Roman" w:hAnsi="Times New Roman" w:eastAsia="仿宋_GB2312" w:cs="Times New Roman"/>
          <w:i w:val="0"/>
          <w:caps w:val="0"/>
          <w:color w:val="000000" w:themeColor="text1"/>
          <w:spacing w:val="0"/>
          <w:sz w:val="31"/>
          <w:szCs w:val="31"/>
          <w:shd w:val="clear" w:fill="FFFFFF"/>
          <w14:textFill>
            <w14:solidFill>
              <w14:schemeClr w14:val="tx1"/>
            </w14:solidFill>
          </w14:textFill>
        </w:rPr>
        <w:t>新媒体平台</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为“文登</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fldChar w:fldCharType="begin"/>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instrText xml:space="preserve"> HYPERLINK "https://mp.weixin.qq.com/javascript:void(0);" </w:instrTex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fldChar w:fldCharType="separate"/>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区市场监督管理局</w:t>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fldChar w:fldCharType="end"/>
      </w:r>
      <w:r>
        <w:rPr>
          <w:rFonts w:hint="default" w:ascii="Times New Roman" w:hAnsi="Times New Roman" w:eastAsia="仿宋_GB2312" w:cs="Times New Roman"/>
          <w:i w:val="0"/>
          <w:caps w:val="0"/>
          <w:color w:val="000000" w:themeColor="text1"/>
          <w:spacing w:val="0"/>
          <w:sz w:val="31"/>
          <w:szCs w:val="31"/>
          <w:shd w:val="clear" w:fill="FFFFFF"/>
          <w:lang w:eastAsia="zh-CN"/>
          <w14:textFill>
            <w14:solidFill>
              <w14:schemeClr w14:val="tx1"/>
            </w14:solidFill>
          </w14:textFill>
        </w:rPr>
        <w:t>”微信公众号</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合理</w:t>
      </w:r>
      <w:r>
        <w:rPr>
          <w:rFonts w:hint="default" w:ascii="Times New Roman" w:hAnsi="Times New Roman" w:eastAsia="仿宋_GB2312" w:cs="Times New Roman"/>
          <w:color w:val="000000" w:themeColor="text1"/>
          <w:sz w:val="32"/>
          <w:szCs w:val="32"/>
          <w14:textFill>
            <w14:solidFill>
              <w14:schemeClr w14:val="tx1"/>
            </w14:solidFill>
          </w14:textFill>
        </w:rPr>
        <w:t>规划微信公众号栏目设置，</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提高便民服务性。</w:t>
      </w:r>
    </w:p>
    <w:p w14:paraId="1B44B348">
      <w:pPr>
        <w:keepNext w:val="0"/>
        <w:keepLines w:val="0"/>
        <w:pageBreakBefore w:val="0"/>
        <w:widowControl/>
        <w:suppressLineNumbers w:val="0"/>
        <w:kinsoku/>
        <w:wordWrap/>
        <w:overflowPunct/>
        <w:topLinePunct w:val="0"/>
        <w:autoSpaceDE/>
        <w:autoSpaceDN/>
        <w:bidi w:val="0"/>
        <w:adjustRightInd/>
        <w:snapToGrid/>
        <w:spacing w:beforeAutospacing="0" w:after="0" w:afterAutospacing="0" w:line="560" w:lineRule="exact"/>
        <w:ind w:left="0" w:right="0" w:firstLine="640"/>
        <w:jc w:val="both"/>
        <w:textAlignment w:val="auto"/>
        <w:outlineLvl w:val="9"/>
        <w:rPr>
          <w:rFonts w:hint="default" w:ascii="Times New Roman" w:hAnsi="Times New Roman" w:eastAsia="楷体_GB2312" w:cs="Times New Roman"/>
          <w:color w:val="000000" w:themeColor="text1"/>
          <w:sz w:val="32"/>
          <w:szCs w:val="32"/>
          <w14:textFill>
            <w14:solidFill>
              <w14:schemeClr w14:val="tx1"/>
            </w14:solidFill>
          </w14:textFill>
        </w:rPr>
      </w:pPr>
      <w:r>
        <w:rPr>
          <w:rFonts w:hint="default" w:ascii="Times New Roman" w:hAnsi="Times New Roman" w:eastAsia="楷体_GB2312" w:cs="Times New Roman"/>
          <w:color w:val="000000" w:themeColor="text1"/>
          <w:kern w:val="0"/>
          <w:sz w:val="32"/>
          <w:szCs w:val="32"/>
          <w:shd w:val="clear" w:fill="FFFFFF"/>
          <w:lang w:val="en-US" w:eastAsia="zh-CN" w:bidi="ar"/>
          <w14:textFill>
            <w14:solidFill>
              <w14:schemeClr w14:val="tx1"/>
            </w14:solidFill>
          </w14:textFill>
        </w:rPr>
        <w:t xml:space="preserve">（五）监督保障情况 </w:t>
      </w:r>
    </w:p>
    <w:p w14:paraId="1E95645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制定</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了《</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威海市文登区市场监督管理局</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2020</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年政务公开工作考核办法</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》将政务公开工作纳入年终考评。</w:t>
      </w:r>
      <w:r>
        <w:rPr>
          <w:rFonts w:hint="default" w:ascii="Times New Roman" w:hAnsi="Times New Roman" w:eastAsia="仿宋_GB2312" w:cs="Times New Roman"/>
          <w:color w:val="000000" w:themeColor="text1"/>
          <w:sz w:val="32"/>
          <w:szCs w:val="32"/>
          <w14:textFill>
            <w14:solidFill>
              <w14:schemeClr w14:val="tx1"/>
            </w14:solidFill>
          </w14:textFill>
        </w:rPr>
        <w:t>明确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办公室</w:t>
      </w:r>
      <w:r>
        <w:rPr>
          <w:rFonts w:hint="default" w:ascii="Times New Roman" w:hAnsi="Times New Roman" w:eastAsia="仿宋_GB2312" w:cs="Times New Roman"/>
          <w:color w:val="000000" w:themeColor="text1"/>
          <w:sz w:val="32"/>
          <w:szCs w:val="32"/>
          <w14:textFill>
            <w14:solidFill>
              <w14:schemeClr w14:val="tx1"/>
            </w14:solidFill>
          </w14:textFill>
        </w:rPr>
        <w:t>负责信息公开工作，</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办公室</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分管领导</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作</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为政务公开工作分管领导，安排</w:t>
      </w:r>
      <w:r>
        <w:rPr>
          <w:rFonts w:hint="default" w:ascii="Times New Roman" w:hAnsi="Times New Roman" w:eastAsia="仿宋_GB2312" w:cs="Times New Roman"/>
          <w:color w:val="000000" w:themeColor="text1"/>
          <w:sz w:val="32"/>
          <w:szCs w:val="32"/>
          <w14:textFill>
            <w14:solidFill>
              <w14:schemeClr w14:val="tx1"/>
            </w14:solidFill>
          </w14:textFill>
        </w:rPr>
        <w:t>专人协调</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、调度</w:t>
      </w:r>
      <w:r>
        <w:rPr>
          <w:rFonts w:hint="default" w:ascii="Times New Roman" w:hAnsi="Times New Roman" w:eastAsia="仿宋_GB2312" w:cs="Times New Roman"/>
          <w:color w:val="000000" w:themeColor="text1"/>
          <w:sz w:val="32"/>
          <w:szCs w:val="32"/>
          <w14:textFill>
            <w14:solidFill>
              <w14:schemeClr w14:val="tx1"/>
            </w14:solidFill>
          </w14:textFill>
        </w:rPr>
        <w:t>相关科室单位</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对公开的政府信息进行审核，确保公开信息</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及时、</w:t>
      </w:r>
      <w:r>
        <w:rPr>
          <w:rFonts w:hint="default" w:ascii="Times New Roman" w:hAnsi="Times New Roman" w:eastAsia="仿宋_GB2312" w:cs="Times New Roman"/>
          <w:color w:val="000000" w:themeColor="text1"/>
          <w:sz w:val="32"/>
          <w:szCs w:val="32"/>
          <w14:textFill>
            <w14:solidFill>
              <w14:schemeClr w14:val="tx1"/>
            </w14:solidFill>
          </w14:textFill>
        </w:rPr>
        <w:t>准确</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14:paraId="5C750B4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二、主动公开政府信息情况</w:t>
      </w:r>
    </w:p>
    <w:tbl>
      <w:tblPr>
        <w:tblStyle w:val="3"/>
        <w:tblW w:w="8145" w:type="dxa"/>
        <w:jc w:val="center"/>
        <w:shd w:val="clear" w:color="auto" w:fill="auto"/>
        <w:tblLayout w:type="fixed"/>
        <w:tblCellMar>
          <w:top w:w="15" w:type="dxa"/>
          <w:left w:w="15" w:type="dxa"/>
          <w:bottom w:w="15" w:type="dxa"/>
          <w:right w:w="15" w:type="dxa"/>
        </w:tblCellMar>
      </w:tblPr>
      <w:tblGrid>
        <w:gridCol w:w="3120"/>
        <w:gridCol w:w="1875"/>
        <w:gridCol w:w="1275"/>
        <w:gridCol w:w="1875"/>
      </w:tblGrid>
      <w:tr w14:paraId="15ADEF96">
        <w:tblPrEx>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71B280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第二十条第（一）项</w:t>
            </w:r>
          </w:p>
        </w:tc>
      </w:tr>
      <w:tr w14:paraId="217B16A4">
        <w:tblPrEx>
          <w:shd w:val="clear" w:color="auto" w:fill="auto"/>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9EDA3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DD1B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本年新制作数量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3422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本年新</w:t>
            </w:r>
          </w:p>
          <w:p w14:paraId="3E5CB6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公开数量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B951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对外公开总数量</w:t>
            </w:r>
          </w:p>
        </w:tc>
      </w:tr>
      <w:tr w14:paraId="291283DB">
        <w:tblPrEx>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DE077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规章</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8A01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shd w:val="clear" w:color="FFFFFF" w:fill="D9D9D9"/>
              </w:rPr>
            </w:pPr>
            <w:r>
              <w:rPr>
                <w:rFonts w:hint="default" w:ascii="Times New Roman" w:hAnsi="Times New Roman" w:eastAsia="宋体" w:cs="Times New Roman"/>
                <w:color w:val="auto"/>
                <w:sz w:val="24"/>
                <w:szCs w:val="24"/>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943C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shd w:val="clear" w:color="FFFFFF" w:fill="D9D9D9"/>
              </w:rPr>
            </w:pPr>
            <w:r>
              <w:rPr>
                <w:rFonts w:hint="default" w:ascii="Times New Roman" w:hAnsi="Times New Roman" w:eastAsia="宋体" w:cs="Times New Roman"/>
                <w:color w:val="auto"/>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68F3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shd w:val="clear" w:color="FFFFFF" w:fill="D9D9D9"/>
              </w:rPr>
            </w:pPr>
            <w:r>
              <w:rPr>
                <w:rFonts w:hint="default" w:ascii="Times New Roman" w:hAnsi="Times New Roman" w:eastAsia="宋体" w:cs="Times New Roman"/>
                <w:color w:val="auto"/>
                <w:sz w:val="24"/>
                <w:szCs w:val="24"/>
              </w:rPr>
              <w:t>0</w:t>
            </w:r>
          </w:p>
        </w:tc>
      </w:tr>
      <w:tr w14:paraId="757AAFFA">
        <w:tblPrEx>
          <w:shd w:val="clear" w:color="auto" w:fill="auto"/>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477A0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规范性文件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D770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shd w:val="clear" w:color="FFFFFF" w:fill="D9D9D9"/>
                <w:lang w:eastAsia="zh-CN"/>
              </w:rPr>
            </w:pPr>
            <w:r>
              <w:rPr>
                <w:rFonts w:hint="default" w:ascii="Times New Roman" w:hAnsi="Times New Roman" w:eastAsia="宋体" w:cs="Times New Roman"/>
                <w:color w:val="auto"/>
                <w:sz w:val="24"/>
                <w:szCs w:val="24"/>
                <w:lang w:val="en-US" w:eastAsia="zh-CN"/>
              </w:rPr>
              <w:t>1</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E360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4F15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w:t>
            </w:r>
          </w:p>
        </w:tc>
      </w:tr>
      <w:tr w14:paraId="67809D7A">
        <w:tblPrEx>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56BA39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第二十条第（五）项</w:t>
            </w:r>
          </w:p>
        </w:tc>
      </w:tr>
      <w:tr w14:paraId="0EF10E4F">
        <w:tblPrEx>
          <w:shd w:val="clear" w:color="auto" w:fill="auto"/>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00D7D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388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DDD4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本年增/</w:t>
            </w:r>
            <w:r>
              <w:rPr>
                <w:rFonts w:hint="default" w:ascii="Times New Roman" w:hAnsi="Times New Roman" w:eastAsia="宋体" w:cs="Times New Roman"/>
                <w:sz w:val="19"/>
                <w:szCs w:val="19"/>
              </w:rPr>
              <w:t>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78A8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处理决定数量</w:t>
            </w:r>
          </w:p>
        </w:tc>
      </w:tr>
      <w:tr w14:paraId="76B74B5A">
        <w:tblPrEx>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992BC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行政许可</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43E60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eastAsia="zh-CN"/>
              </w:rPr>
            </w:pPr>
            <w:r>
              <w:rPr>
                <w:rFonts w:hint="default" w:ascii="Times New Roman" w:hAnsi="Times New Roman" w:eastAsia="宋体" w:cs="Times New Roman"/>
                <w:color w:val="auto"/>
                <w:sz w:val="24"/>
                <w:szCs w:val="24"/>
                <w:lang w:val="en-US" w:eastAsia="zh-CN"/>
              </w:rPr>
              <w:t>2</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93D2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+1</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4EBB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1041</w:t>
            </w:r>
          </w:p>
        </w:tc>
      </w:tr>
      <w:tr w14:paraId="30BE886E">
        <w:tblPrEx>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B1BB1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F58D4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lang w:val="en-US" w:eastAsia="zh-CN"/>
              </w:rPr>
            </w:pPr>
            <w:r>
              <w:rPr>
                <w:rFonts w:hint="default" w:ascii="Times New Roman" w:hAnsi="Times New Roman" w:eastAsia="宋体" w:cs="Times New Roman"/>
                <w:color w:val="auto"/>
                <w:sz w:val="24"/>
                <w:szCs w:val="24"/>
                <w:lang w:val="en-US" w:eastAsia="zh-CN"/>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499B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lang w:val="en-US" w:eastAsia="zh-CN"/>
              </w:rPr>
            </w:pPr>
            <w:r>
              <w:rPr>
                <w:rFonts w:hint="default" w:ascii="Times New Roman" w:hAnsi="Times New Roman" w:eastAsia="宋体" w:cs="Times New Roman"/>
                <w:color w:val="auto"/>
                <w:sz w:val="24"/>
                <w:szCs w:val="24"/>
                <w:lang w:val="en-US" w:eastAsia="zh-CN"/>
              </w:rPr>
              <w:t>+28</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5CF8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lang w:val="en-US" w:eastAsia="zh-CN"/>
              </w:rPr>
            </w:pPr>
            <w:r>
              <w:rPr>
                <w:rFonts w:hint="default" w:ascii="Times New Roman" w:hAnsi="Times New Roman" w:eastAsia="宋体" w:cs="Times New Roman"/>
                <w:color w:val="auto"/>
                <w:sz w:val="24"/>
                <w:szCs w:val="24"/>
                <w:lang w:val="en-US" w:eastAsia="zh-CN"/>
              </w:rPr>
              <w:t>7185</w:t>
            </w:r>
          </w:p>
        </w:tc>
      </w:tr>
      <w:tr w14:paraId="1D5AB657">
        <w:tblPrEx>
          <w:shd w:val="clear" w:color="auto" w:fill="auto"/>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148FC1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FF0000"/>
                <w:sz w:val="21"/>
                <w:szCs w:val="21"/>
              </w:rPr>
            </w:pPr>
            <w:r>
              <w:rPr>
                <w:rFonts w:hint="default" w:ascii="Times New Roman" w:hAnsi="Times New Roman" w:cs="Times New Roman"/>
                <w:color w:val="auto"/>
                <w:sz w:val="19"/>
                <w:szCs w:val="19"/>
              </w:rPr>
              <w:t>第二十条第（六）项</w:t>
            </w:r>
          </w:p>
        </w:tc>
      </w:tr>
      <w:tr w14:paraId="20AD6345">
        <w:tblPrEx>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C60DF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83B8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rPr>
            </w:pPr>
            <w:r>
              <w:rPr>
                <w:rFonts w:hint="default" w:ascii="Times New Roman" w:hAnsi="Times New Roman" w:cs="Times New Roman"/>
                <w:color w:val="auto"/>
                <w:sz w:val="19"/>
                <w:szCs w:val="19"/>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402F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rPr>
            </w:pPr>
            <w:r>
              <w:rPr>
                <w:rFonts w:hint="default" w:ascii="Times New Roman" w:hAnsi="Times New Roman" w:cs="Times New Roman"/>
                <w:color w:val="auto"/>
                <w:sz w:val="19"/>
                <w:szCs w:val="19"/>
              </w:rPr>
              <w:t>本年增/</w:t>
            </w:r>
            <w:r>
              <w:rPr>
                <w:rFonts w:hint="default" w:ascii="Times New Roman" w:hAnsi="Times New Roman" w:eastAsia="宋体" w:cs="Times New Roman"/>
                <w:color w:val="auto"/>
                <w:sz w:val="19"/>
                <w:szCs w:val="19"/>
              </w:rPr>
              <w:t>减</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B2B2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color w:val="auto"/>
                <w:sz w:val="21"/>
                <w:szCs w:val="21"/>
              </w:rPr>
            </w:pPr>
            <w:r>
              <w:rPr>
                <w:rFonts w:hint="default" w:ascii="Times New Roman" w:hAnsi="Times New Roman" w:cs="Times New Roman"/>
                <w:color w:val="auto"/>
                <w:sz w:val="19"/>
                <w:szCs w:val="19"/>
              </w:rPr>
              <w:t>处理决定数量</w:t>
            </w:r>
          </w:p>
        </w:tc>
      </w:tr>
      <w:tr w14:paraId="693EE06B">
        <w:tblPrEx>
          <w:shd w:val="clear" w:color="auto" w:fill="auto"/>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EB4A8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行政处罚</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41D62B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468</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9706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+435</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1D08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903</w:t>
            </w:r>
          </w:p>
        </w:tc>
      </w:tr>
      <w:tr w14:paraId="542A2BAB">
        <w:tblPrEx>
          <w:shd w:val="clear" w:color="auto" w:fill="auto"/>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E3C73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行政强制</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B1C6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153</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4048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-49</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F277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eastAsia="宋体" w:cs="Times New Roman"/>
                <w:color w:val="auto"/>
                <w:sz w:val="24"/>
                <w:szCs w:val="24"/>
                <w:lang w:val="en-US" w:eastAsia="zh-CN"/>
              </w:rPr>
              <w:t>104</w:t>
            </w:r>
          </w:p>
        </w:tc>
      </w:tr>
      <w:tr w14:paraId="56B04D38">
        <w:tblPrEx>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559B14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第二十条第（八）项</w:t>
            </w:r>
          </w:p>
        </w:tc>
      </w:tr>
      <w:tr w14:paraId="4402F864">
        <w:tblPrEx>
          <w:shd w:val="clear" w:color="auto" w:fill="auto"/>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3278D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1694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上一年项目数量</w:t>
            </w:r>
          </w:p>
        </w:tc>
        <w:tc>
          <w:tcPr>
            <w:tcW w:w="315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68777B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本年增/</w:t>
            </w:r>
            <w:r>
              <w:rPr>
                <w:rFonts w:hint="default" w:ascii="Times New Roman" w:hAnsi="Times New Roman" w:eastAsia="宋体" w:cs="Times New Roman"/>
                <w:sz w:val="19"/>
                <w:szCs w:val="19"/>
              </w:rPr>
              <w:t>减</w:t>
            </w:r>
          </w:p>
        </w:tc>
      </w:tr>
      <w:tr w14:paraId="6FDADB31">
        <w:tblPrEx>
          <w:shd w:val="clear" w:color="auto" w:fill="auto"/>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39CEA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行政事业性收费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186E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lang w:eastAsia="zh-CN"/>
              </w:rPr>
            </w:pPr>
            <w:r>
              <w:rPr>
                <w:rFonts w:hint="default" w:ascii="Times New Roman" w:hAnsi="Times New Roman" w:eastAsia="宋体" w:cs="Times New Roman"/>
                <w:color w:val="auto"/>
                <w:sz w:val="24"/>
                <w:szCs w:val="24"/>
                <w:lang w:val="en-US" w:eastAsia="zh-CN"/>
              </w:rPr>
              <w:t>0</w:t>
            </w:r>
          </w:p>
        </w:tc>
        <w:tc>
          <w:tcPr>
            <w:tcW w:w="315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36C085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FF0000"/>
                <w:sz w:val="21"/>
                <w:szCs w:val="21"/>
                <w:lang w:val="en-US" w:eastAsia="zh-CN"/>
              </w:rPr>
            </w:pPr>
            <w:r>
              <w:rPr>
                <w:rFonts w:hint="default" w:ascii="Times New Roman" w:hAnsi="Times New Roman" w:eastAsia="宋体" w:cs="Times New Roman"/>
                <w:color w:val="auto"/>
                <w:sz w:val="24"/>
                <w:szCs w:val="24"/>
                <w:lang w:val="en-US" w:eastAsia="zh-CN"/>
              </w:rPr>
              <w:t>+1</w:t>
            </w:r>
          </w:p>
        </w:tc>
      </w:tr>
      <w:tr w14:paraId="1BC53900">
        <w:tblPrEx>
          <w:shd w:val="clear" w:color="auto" w:fill="auto"/>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105" w:type="dxa"/>
              <w:bottom w:w="0" w:type="dxa"/>
              <w:right w:w="105" w:type="dxa"/>
            </w:tcMar>
            <w:vAlign w:val="center"/>
          </w:tcPr>
          <w:p w14:paraId="1BCF25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第二十条第（九）项</w:t>
            </w:r>
          </w:p>
        </w:tc>
      </w:tr>
      <w:tr w14:paraId="6148AABC">
        <w:tblPrEx>
          <w:shd w:val="clear" w:color="auto" w:fill="auto"/>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BD6A6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48EE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采购项目数量</w:t>
            </w:r>
          </w:p>
        </w:tc>
        <w:tc>
          <w:tcPr>
            <w:tcW w:w="3150" w:type="dxa"/>
            <w:gridSpan w:val="2"/>
            <w:tcBorders>
              <w:top w:val="single" w:color="auto" w:sz="6" w:space="0"/>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5E11E5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采购总金额</w:t>
            </w:r>
          </w:p>
        </w:tc>
      </w:tr>
      <w:tr w14:paraId="1DBD2106">
        <w:tblPrEx>
          <w:shd w:val="clear" w:color="auto" w:fill="auto"/>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BC8F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bookmarkStart w:id="0" w:name="_GoBack"/>
            <w:bookmarkEnd w:id="0"/>
            <w:r>
              <w:rPr>
                <w:rFonts w:hint="default" w:ascii="Times New Roman" w:hAnsi="Times New Roman" w:cs="Times New Roman"/>
                <w:sz w:val="19"/>
                <w:szCs w:val="19"/>
              </w:rPr>
              <w:t>政府集中采购</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C631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eastAsia="zh-CN"/>
              </w:rPr>
            </w:pPr>
            <w:r>
              <w:rPr>
                <w:rFonts w:hint="default" w:ascii="Times New Roman" w:hAnsi="Times New Roman" w:eastAsia="宋体" w:cs="Times New Roman"/>
                <w:color w:val="auto"/>
                <w:sz w:val="24"/>
                <w:szCs w:val="24"/>
                <w:lang w:val="en-US" w:eastAsia="zh-CN"/>
              </w:rPr>
              <w:t>0</w:t>
            </w:r>
          </w:p>
        </w:tc>
        <w:tc>
          <w:tcPr>
            <w:tcW w:w="3150" w:type="dxa"/>
            <w:gridSpan w:val="2"/>
            <w:tcBorders>
              <w:top w:val="nil"/>
              <w:left w:val="nil"/>
              <w:bottom w:val="single" w:color="auto" w:sz="6" w:space="0"/>
              <w:right w:val="single" w:color="000000" w:sz="6" w:space="0"/>
            </w:tcBorders>
            <w:shd w:val="clear" w:color="auto" w:fill="auto"/>
            <w:tcMar>
              <w:top w:w="0" w:type="dxa"/>
              <w:left w:w="105" w:type="dxa"/>
              <w:bottom w:w="0" w:type="dxa"/>
              <w:right w:w="105" w:type="dxa"/>
            </w:tcMar>
            <w:vAlign w:val="center"/>
          </w:tcPr>
          <w:p w14:paraId="0E6D26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color w:val="auto"/>
                <w:sz w:val="21"/>
                <w:szCs w:val="21"/>
                <w:lang w:eastAsia="zh-CN"/>
              </w:rPr>
            </w:pPr>
            <w:r>
              <w:rPr>
                <w:rFonts w:hint="default" w:ascii="Times New Roman" w:hAnsi="Times New Roman" w:eastAsia="宋体" w:cs="Times New Roman"/>
                <w:color w:val="auto"/>
                <w:sz w:val="24"/>
                <w:szCs w:val="24"/>
                <w:lang w:val="en-US" w:eastAsia="zh-CN"/>
              </w:rPr>
              <w:t>0</w:t>
            </w:r>
          </w:p>
        </w:tc>
      </w:tr>
    </w:tbl>
    <w:p w14:paraId="0D72E844">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default" w:ascii="Times New Roman" w:hAnsi="Times New Roman" w:eastAsia="仿宋_GB2312" w:cs="Times New Roman"/>
          <w:i w:val="0"/>
          <w:caps w:val="0"/>
          <w:color w:val="3D3D3D"/>
          <w:spacing w:val="0"/>
          <w:sz w:val="31"/>
          <w:szCs w:val="31"/>
          <w:shd w:val="clear" w:fill="FFFFFF"/>
          <w:lang w:val="en-US" w:eastAsia="zh-CN"/>
        </w:rPr>
      </w:pPr>
    </w:p>
    <w:p w14:paraId="334FB583">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default" w:ascii="Times New Roman" w:hAnsi="Times New Roman" w:eastAsia="仿宋_GB2312" w:cs="Times New Roman"/>
          <w:i w:val="0"/>
          <w:caps w:val="0"/>
          <w:color w:val="3D3D3D"/>
          <w:spacing w:val="0"/>
          <w:sz w:val="31"/>
          <w:szCs w:val="31"/>
          <w:shd w:val="clear" w:fill="FFFFFF"/>
          <w:lang w:val="en-US" w:eastAsia="zh-CN"/>
        </w:rPr>
      </w:pPr>
    </w:p>
    <w:p w14:paraId="1BA009D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default" w:ascii="Times New Roman" w:hAnsi="Times New Roman" w:eastAsia="微软雅黑" w:cs="Times New Roman"/>
          <w:i w:val="0"/>
          <w:caps w:val="0"/>
          <w:color w:val="3D3D3D"/>
          <w:spacing w:val="0"/>
          <w:sz w:val="21"/>
          <w:szCs w:val="21"/>
        </w:rPr>
      </w:pPr>
      <w:r>
        <w:rPr>
          <w:rFonts w:hint="default" w:ascii="Times New Roman" w:hAnsi="Times New Roman" w:eastAsia="黑体" w:cs="Times New Roman"/>
          <w:i w:val="0"/>
          <w:caps w:val="0"/>
          <w:color w:val="3D3D3D"/>
          <w:spacing w:val="0"/>
          <w:sz w:val="31"/>
          <w:szCs w:val="31"/>
          <w:shd w:val="clear" w:fill="FFFFFF"/>
        </w:rPr>
        <w:t>三、收到和处理政府信息公开申请情况</w:t>
      </w:r>
    </w:p>
    <w:tbl>
      <w:tblPr>
        <w:tblStyle w:val="3"/>
        <w:tblW w:w="9054" w:type="dxa"/>
        <w:jc w:val="center"/>
        <w:shd w:val="clear" w:color="auto" w:fill="auto"/>
        <w:tblLayout w:type="fixed"/>
        <w:tblCellMar>
          <w:top w:w="15" w:type="dxa"/>
          <w:left w:w="15" w:type="dxa"/>
          <w:bottom w:w="15" w:type="dxa"/>
          <w:right w:w="15" w:type="dxa"/>
        </w:tblCellMar>
      </w:tblPr>
      <w:tblGrid>
        <w:gridCol w:w="494"/>
        <w:gridCol w:w="855"/>
        <w:gridCol w:w="2125"/>
        <w:gridCol w:w="824"/>
        <w:gridCol w:w="764"/>
        <w:gridCol w:w="764"/>
        <w:gridCol w:w="824"/>
        <w:gridCol w:w="988"/>
        <w:gridCol w:w="719"/>
        <w:gridCol w:w="697"/>
      </w:tblGrid>
      <w:tr w14:paraId="0D5ACA40">
        <w:tblPrEx>
          <w:tblCellMar>
            <w:top w:w="15" w:type="dxa"/>
            <w:left w:w="15" w:type="dxa"/>
            <w:bottom w:w="15" w:type="dxa"/>
            <w:right w:w="15" w:type="dxa"/>
          </w:tblCellMar>
        </w:tblPrEx>
        <w:trPr>
          <w:jc w:val="center"/>
        </w:trPr>
        <w:tc>
          <w:tcPr>
            <w:tcW w:w="3474"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7DF13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（本列数据的勾稽关系为：第一项加第二项之和，等于第三项加第四项之和）</w:t>
            </w:r>
          </w:p>
        </w:tc>
        <w:tc>
          <w:tcPr>
            <w:tcW w:w="558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CE86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申请人情况</w:t>
            </w:r>
          </w:p>
        </w:tc>
      </w:tr>
      <w:tr w14:paraId="61C0AC50">
        <w:tblPrEx>
          <w:shd w:val="clear" w:color="auto" w:fill="auto"/>
          <w:tblCellMar>
            <w:top w:w="15" w:type="dxa"/>
            <w:left w:w="15" w:type="dxa"/>
            <w:bottom w:w="15" w:type="dxa"/>
            <w:right w:w="15" w:type="dxa"/>
          </w:tblCellMar>
        </w:tblPrEx>
        <w:trPr>
          <w:jc w:val="center"/>
        </w:trPr>
        <w:tc>
          <w:tcPr>
            <w:tcW w:w="347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E93A301">
            <w:pPr>
              <w:rPr>
                <w:rFonts w:hint="default" w:ascii="Times New Roman" w:hAnsi="Times New Roman" w:cs="Times New Roman"/>
                <w:sz w:val="24"/>
                <w:szCs w:val="24"/>
              </w:rPr>
            </w:pPr>
          </w:p>
        </w:tc>
        <w:tc>
          <w:tcPr>
            <w:tcW w:w="82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0B9E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自然人</w:t>
            </w:r>
          </w:p>
        </w:tc>
        <w:tc>
          <w:tcPr>
            <w:tcW w:w="4059"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8CFC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法人或其他组织</w:t>
            </w:r>
          </w:p>
        </w:tc>
        <w:tc>
          <w:tcPr>
            <w:tcW w:w="697"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A4BA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总计</w:t>
            </w:r>
          </w:p>
        </w:tc>
      </w:tr>
      <w:tr w14:paraId="30DBA5A3">
        <w:tblPrEx>
          <w:shd w:val="clear" w:color="auto" w:fill="auto"/>
          <w:tblCellMar>
            <w:top w:w="15" w:type="dxa"/>
            <w:left w:w="15" w:type="dxa"/>
            <w:bottom w:w="15" w:type="dxa"/>
            <w:right w:w="15" w:type="dxa"/>
          </w:tblCellMar>
        </w:tblPrEx>
        <w:trPr>
          <w:jc w:val="center"/>
        </w:trPr>
        <w:tc>
          <w:tcPr>
            <w:tcW w:w="347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D6EB0C">
            <w:pPr>
              <w:rPr>
                <w:rFonts w:hint="default" w:ascii="Times New Roman" w:hAnsi="Times New Roman" w:cs="Times New Roman"/>
                <w:sz w:val="24"/>
                <w:szCs w:val="24"/>
              </w:rPr>
            </w:pPr>
          </w:p>
        </w:tc>
        <w:tc>
          <w:tcPr>
            <w:tcW w:w="82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3785FD">
            <w:pPr>
              <w:rPr>
                <w:rFonts w:hint="default" w:ascii="Times New Roman" w:hAnsi="Times New Roman" w:cs="Times New Roman"/>
                <w:sz w:val="24"/>
                <w:szCs w:val="24"/>
              </w:rPr>
            </w:pP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81C8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商业企业</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3988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科研机构</w:t>
            </w:r>
          </w:p>
        </w:tc>
        <w:tc>
          <w:tcPr>
            <w:tcW w:w="824"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FC34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社会公益组织</w:t>
            </w:r>
          </w:p>
        </w:tc>
        <w:tc>
          <w:tcPr>
            <w:tcW w:w="98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85BC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法律服务机构</w:t>
            </w:r>
          </w:p>
        </w:tc>
        <w:tc>
          <w:tcPr>
            <w:tcW w:w="719"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4593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其他</w:t>
            </w:r>
          </w:p>
        </w:tc>
        <w:tc>
          <w:tcPr>
            <w:tcW w:w="697"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B8D23F">
            <w:pPr>
              <w:rPr>
                <w:rFonts w:hint="default" w:ascii="Times New Roman" w:hAnsi="Times New Roman" w:cs="Times New Roman"/>
                <w:sz w:val="24"/>
                <w:szCs w:val="24"/>
              </w:rPr>
            </w:pPr>
          </w:p>
        </w:tc>
      </w:tr>
      <w:tr w14:paraId="44694544">
        <w:tblPrEx>
          <w:shd w:val="clear" w:color="auto" w:fill="auto"/>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F8A8B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一、本年新收政府信息公开申请数量</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BE6B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2</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FFDC43">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eastAsia="zh-CN"/>
              </w:rPr>
            </w:pPr>
            <w:r>
              <w:rPr>
                <w:rFonts w:hint="default" w:ascii="Times New Roman" w:hAnsi="Times New Roman" w:cs="Times New Roman"/>
                <w:lang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C4E6A8">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483E05">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213FD">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847287">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D92B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 xml:space="preserve"> 2</w:t>
            </w:r>
          </w:p>
        </w:tc>
      </w:tr>
      <w:tr w14:paraId="28B4095D">
        <w:tblPrEx>
          <w:shd w:val="clear" w:color="auto" w:fill="auto"/>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280BE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二、上年结转政府信息公开申请数量</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BE07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jc w:val="both"/>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B7A294">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D95070">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FDBF60">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5C91B6">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D6CFAA">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0CFA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12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0</w:t>
            </w:r>
          </w:p>
        </w:tc>
      </w:tr>
      <w:tr w14:paraId="388A940D">
        <w:tblPrEx>
          <w:shd w:val="clear" w:color="auto" w:fill="auto"/>
          <w:tblCellMar>
            <w:top w:w="15" w:type="dxa"/>
            <w:left w:w="15" w:type="dxa"/>
            <w:bottom w:w="15" w:type="dxa"/>
            <w:right w:w="15" w:type="dxa"/>
          </w:tblCellMar>
        </w:tblPrEx>
        <w:trPr>
          <w:jc w:val="center"/>
        </w:trPr>
        <w:tc>
          <w:tcPr>
            <w:tcW w:w="494" w:type="dxa"/>
            <w:vMerge w:val="restar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1F9FE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三、本年度办理结果</w:t>
            </w: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07097C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（一）予以公开</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928B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74D4C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C1D1B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E5FD2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A1DE5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4C294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A1AF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12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1</w:t>
            </w:r>
          </w:p>
        </w:tc>
      </w:tr>
      <w:tr w14:paraId="3D775787">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3B7A971">
            <w:pPr>
              <w:rPr>
                <w:rFonts w:hint="default" w:ascii="Times New Roman" w:hAnsi="Times New Roman" w:cs="Times New Roman"/>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5C8113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（二）部分公开（区分处理的，只计这一情形，不计其他情形）</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F273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E9A3D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49A27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5455E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1958E4">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64F82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F048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r>
      <w:tr w14:paraId="4D6E6519">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D19CA3D">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20EC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（三）不予公开</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4A02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1.属于国家秘密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0451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D408B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FA1864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DE046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62843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7E8146">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D06D5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304CD2D3">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E26D79E">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3A3DF8">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3112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2.其他法律行政法规禁止公开</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0027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5580B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4F3FF4">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CB7194">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418C8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5A9001">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46B5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4C292619">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FC25B25">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4AD8BE">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A21E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3.危及“三安全一稳定”</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1AC0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33371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FE341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3BA33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6A0B2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33C7C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F2B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573A316E">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DB280F4">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7767D9">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B1C9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4.保护第三方合法权益</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F566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F2AAAE">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0B8426">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BCF73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D003B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E1853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9510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6B99E77C">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7EAFAC9">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2990A8">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B82F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5.属于三类内部事务信息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FE3A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5A378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A7F09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6FE731">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6C646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2CA3D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67F9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5E539FAB">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3F84EA9">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7A646D">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4794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6.属于四类过程性信息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8DA8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D2855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A55F4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0AA56E">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276BB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27A7D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3497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4A777D76">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9B2F32A">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8B06FA">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2B5F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7.属于行政执法案卷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C334AE">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1</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73F2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F7235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B7F9C1">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91CEF0">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1379D1">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36E445">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 xml:space="preserve"> 1</w:t>
            </w:r>
          </w:p>
        </w:tc>
      </w:tr>
      <w:tr w14:paraId="079E9061">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2B70CC8">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F8AC4E">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096B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8.属于行政查询事项</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AEA5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0614A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C738C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11409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2BE790">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0D4DA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7D7E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010D4B3E">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562F99D">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C6CD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（四）无法提供</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9235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1.本机关不掌握相关政府信息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BF19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CB806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B98721">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7A9C1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A4B60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87BE7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7648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r>
      <w:tr w14:paraId="60BE5ED3">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18397B4">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2EFB2C">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43B8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2.没有现成信息需要另行制作</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F1DE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7CFFB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304F2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5B262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A576F0">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37DB5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CBB0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sz w:val="21"/>
                <w:szCs w:val="21"/>
              </w:rPr>
            </w:pPr>
            <w:r>
              <w:rPr>
                <w:rFonts w:hint="default" w:ascii="Times New Roman" w:hAnsi="Times New Roman" w:cs="Times New Roman"/>
                <w:sz w:val="21"/>
                <w:szCs w:val="21"/>
                <w:lang w:val="en-US" w:eastAsia="zh-CN"/>
              </w:rPr>
              <w:t>0</w:t>
            </w:r>
          </w:p>
        </w:tc>
      </w:tr>
      <w:tr w14:paraId="770AB0CF">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2847007">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5103DA">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02AB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3.补正后申请内容仍不明确</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3A55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ACC9B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D199A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C0534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0C44E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F8B7A6">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ECFC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280B1A85">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F40BE84">
            <w:pPr>
              <w:rPr>
                <w:rFonts w:hint="default" w:ascii="Times New Roman" w:hAnsi="Times New Roman" w:cs="Times New Roman"/>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F19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（五）不予处理</w:t>
            </w: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55E5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1.信访举报投诉类申请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C6C4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D9D534">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CAEF3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08EB10">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4286C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9323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0951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13A5DA8F">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F2407D5">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9BB60C">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694E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2.重复申请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4F0F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88E0A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52077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07F12C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16F6C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CE114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C61B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7C2125B4">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A8E0C09">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138B2F">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BF77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3.要求提供公开出版物</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FE3D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BB6F8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F1D5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A048E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70A51F">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E9F2F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3D40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5E9273F0">
        <w:tblPrEx>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648C7CB">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95527E">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9CE9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4.无正当理由大量反复申请</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FFC6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6B266E">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73C7C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0C8D7E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94DC6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0E2C5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814E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3C5A9ADC">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DB17E0C">
            <w:pPr>
              <w:rPr>
                <w:rFonts w:hint="default" w:ascii="Times New Roman" w:hAnsi="Times New Roman" w:cs="Times New Roman"/>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CF80B9">
            <w:pPr>
              <w:rPr>
                <w:rFonts w:hint="default" w:ascii="Times New Roman" w:hAnsi="Times New Roman" w:cs="Times New Roman"/>
                <w:sz w:val="24"/>
                <w:szCs w:val="24"/>
              </w:rPr>
            </w:pPr>
          </w:p>
        </w:tc>
        <w:tc>
          <w:tcPr>
            <w:tcW w:w="21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0B2F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19"/>
                <w:szCs w:val="19"/>
              </w:rPr>
              <w:t>5.要求行政机关确认或重新出具已获取信息</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6AC2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803DC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745B3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37845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070C3B">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1D37A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0BB4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3EDA1019">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D99DA70">
            <w:pPr>
              <w:rPr>
                <w:rFonts w:hint="default" w:ascii="Times New Roman" w:hAnsi="Times New Roman" w:cs="Times New Roman"/>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7429C6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（六）其他处理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E125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240" w:firstLineChars="0"/>
              <w:jc w:val="both"/>
              <w:rPr>
                <w:rFonts w:hint="default" w:ascii="Times New Roman" w:hAnsi="Times New Roman" w:cs="Times New Roman"/>
              </w:rPr>
            </w:pPr>
            <w:r>
              <w:rPr>
                <w:rFonts w:hint="default" w:ascii="Times New Roman" w:hAnsi="Times New Roman" w:cs="Times New Roman"/>
                <w:sz w:val="21"/>
                <w:szCs w:val="21"/>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F69D2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A3C839">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68B76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290FB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E006F4">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EFD9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firstLine="120" w:firstLineChars="0"/>
              <w:jc w:val="center"/>
              <w:rPr>
                <w:rFonts w:hint="default" w:ascii="Times New Roman" w:hAnsi="Times New Roman" w:cs="Times New Roman"/>
              </w:rPr>
            </w:pPr>
            <w:r>
              <w:rPr>
                <w:rFonts w:hint="default" w:ascii="Times New Roman" w:hAnsi="Times New Roman" w:cs="Times New Roman"/>
                <w:sz w:val="21"/>
                <w:szCs w:val="21"/>
                <w:lang w:val="en-US" w:eastAsia="zh-CN"/>
              </w:rPr>
              <w:t>0</w:t>
            </w:r>
          </w:p>
        </w:tc>
      </w:tr>
      <w:tr w14:paraId="72BB9060">
        <w:tblPrEx>
          <w:shd w:val="clear" w:color="auto" w:fill="auto"/>
          <w:tblCellMar>
            <w:top w:w="15" w:type="dxa"/>
            <w:left w:w="15" w:type="dxa"/>
            <w:bottom w:w="15" w:type="dxa"/>
            <w:right w:w="15" w:type="dxa"/>
          </w:tblCellMar>
        </w:tblPrEx>
        <w:trPr>
          <w:jc w:val="center"/>
        </w:trPr>
        <w:tc>
          <w:tcPr>
            <w:tcW w:w="494"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2E94039">
            <w:pPr>
              <w:rPr>
                <w:rFonts w:hint="default" w:ascii="Times New Roman" w:hAnsi="Times New Roman" w:cs="Times New Roman"/>
                <w:sz w:val="24"/>
                <w:szCs w:val="24"/>
              </w:rPr>
            </w:pPr>
          </w:p>
        </w:tc>
        <w:tc>
          <w:tcPr>
            <w:tcW w:w="2980" w:type="dxa"/>
            <w:gridSpan w:val="2"/>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50B513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（七）总计</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1415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240"/>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2</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CD70FF">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AA8E2D">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7E59F5">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454F3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954847">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4D7E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val="en-US" w:eastAsia="zh-CN"/>
              </w:rPr>
            </w:pPr>
            <w:r>
              <w:rPr>
                <w:rFonts w:hint="default" w:ascii="Times New Roman" w:hAnsi="Times New Roman" w:cs="Times New Roman"/>
                <w:sz w:val="21"/>
                <w:szCs w:val="21"/>
                <w:lang w:val="en-US" w:eastAsia="zh-CN"/>
              </w:rPr>
              <w:t xml:space="preserve"> 2</w:t>
            </w:r>
          </w:p>
        </w:tc>
      </w:tr>
      <w:tr w14:paraId="69B3CDA4">
        <w:tblPrEx>
          <w:shd w:val="clear" w:color="auto" w:fill="auto"/>
          <w:tblCellMar>
            <w:top w:w="15" w:type="dxa"/>
            <w:left w:w="15" w:type="dxa"/>
            <w:bottom w:w="15" w:type="dxa"/>
            <w:right w:w="15" w:type="dxa"/>
          </w:tblCellMar>
        </w:tblPrEx>
        <w:trPr>
          <w:jc w:val="center"/>
        </w:trPr>
        <w:tc>
          <w:tcPr>
            <w:tcW w:w="3474" w:type="dxa"/>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79205A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rPr>
                <w:rFonts w:hint="default" w:ascii="Times New Roman" w:hAnsi="Times New Roman" w:cs="Times New Roman"/>
                <w:sz w:val="21"/>
                <w:szCs w:val="21"/>
              </w:rPr>
            </w:pPr>
            <w:r>
              <w:rPr>
                <w:rFonts w:hint="default" w:ascii="Times New Roman" w:hAnsi="Times New Roman" w:cs="Times New Roman"/>
                <w:sz w:val="19"/>
                <w:szCs w:val="19"/>
              </w:rPr>
              <w:t>四、结转下年度继续办理</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432EF3">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sz w:val="21"/>
                <w:szCs w:val="21"/>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DDBE4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lang w:val="en-US"/>
              </w:rPr>
            </w:pPr>
            <w:r>
              <w:rPr>
                <w:rFonts w:hint="default" w:ascii="Times New Roman" w:hAnsi="Times New Roman" w:cs="Times New Roman"/>
                <w:lang w:val="en-US" w:eastAsia="zh-CN"/>
              </w:rPr>
              <w:t>0</w:t>
            </w:r>
          </w:p>
        </w:tc>
        <w:tc>
          <w:tcPr>
            <w:tcW w:w="76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C107EA">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lang w:val="en-US"/>
              </w:rPr>
            </w:pPr>
            <w:r>
              <w:rPr>
                <w:rFonts w:hint="default" w:ascii="Times New Roman" w:hAnsi="Times New Roman" w:cs="Times New Roman"/>
                <w:lang w:val="en-US" w:eastAsia="zh-CN"/>
              </w:rPr>
              <w:t>0</w:t>
            </w:r>
          </w:p>
        </w:tc>
        <w:tc>
          <w:tcPr>
            <w:tcW w:w="82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D143CD">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lang w:val="en-US"/>
              </w:rPr>
            </w:pPr>
            <w:r>
              <w:rPr>
                <w:rFonts w:hint="default" w:ascii="Times New Roman" w:hAnsi="Times New Roman" w:cs="Times New Roman"/>
                <w:lang w:val="en-US" w:eastAsia="zh-CN"/>
              </w:rPr>
              <w:t>0</w:t>
            </w:r>
          </w:p>
        </w:tc>
        <w:tc>
          <w:tcPr>
            <w:tcW w:w="98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9CDDCC">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lang w:val="en-US"/>
              </w:rPr>
            </w:pPr>
            <w:r>
              <w:rPr>
                <w:rFonts w:hint="default" w:ascii="Times New Roman" w:hAnsi="Times New Roman" w:cs="Times New Roman"/>
                <w:lang w:val="en-US" w:eastAsia="zh-CN"/>
              </w:rPr>
              <w:t>0</w:t>
            </w:r>
          </w:p>
        </w:tc>
        <w:tc>
          <w:tcPr>
            <w:tcW w:w="71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38D248">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lang w:val="en-US"/>
              </w:rPr>
            </w:pPr>
            <w:r>
              <w:rPr>
                <w:rFonts w:hint="default" w:ascii="Times New Roman" w:hAnsi="Times New Roman" w:cs="Times New Roman"/>
                <w:lang w:val="en-US" w:eastAsia="zh-CN"/>
              </w:rPr>
              <w:t>0</w:t>
            </w:r>
          </w:p>
        </w:tc>
        <w:tc>
          <w:tcPr>
            <w:tcW w:w="69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6B40A2">
            <w:pPr>
              <w:keepNext w:val="0"/>
              <w:keepLines w:val="0"/>
              <w:widowControl/>
              <w:suppressLineNumbers w:val="0"/>
              <w:spacing w:before="0" w:beforeAutospacing="0" w:after="0" w:afterAutospacing="0"/>
              <w:ind w:left="0" w:leftChars="0" w:right="0" w:rightChars="0"/>
              <w:jc w:val="center"/>
              <w:rPr>
                <w:rFonts w:hint="default" w:ascii="Times New Roman" w:hAnsi="Times New Roman" w:cs="Times New Roman"/>
                <w:sz w:val="21"/>
                <w:szCs w:val="21"/>
              </w:rPr>
            </w:pPr>
            <w:r>
              <w:rPr>
                <w:rFonts w:hint="default" w:ascii="Times New Roman" w:hAnsi="Times New Roman" w:cs="Times New Roman"/>
                <w:lang w:val="en-US" w:eastAsia="zh-CN"/>
              </w:rPr>
              <w:t xml:space="preserve"> 0</w:t>
            </w:r>
          </w:p>
        </w:tc>
      </w:tr>
    </w:tbl>
    <w:p w14:paraId="3DA0FFF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default" w:ascii="Times New Roman" w:hAnsi="Times New Roman" w:eastAsia="微软雅黑" w:cs="Times New Roman"/>
          <w:i w:val="0"/>
          <w:caps w:val="0"/>
          <w:color w:val="3D3D3D"/>
          <w:spacing w:val="0"/>
          <w:sz w:val="21"/>
          <w:szCs w:val="21"/>
        </w:rPr>
      </w:pPr>
      <w:r>
        <w:rPr>
          <w:rFonts w:hint="default" w:ascii="Times New Roman" w:hAnsi="Times New Roman" w:eastAsia="微软雅黑" w:cs="Times New Roman"/>
          <w:i w:val="0"/>
          <w:caps w:val="0"/>
          <w:color w:val="3D3D3D"/>
          <w:spacing w:val="0"/>
          <w:sz w:val="24"/>
          <w:szCs w:val="24"/>
          <w:shd w:val="clear" w:fill="FFFFFF"/>
        </w:rPr>
        <w:t> </w:t>
      </w:r>
    </w:p>
    <w:p w14:paraId="02AD0A3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default" w:ascii="Times New Roman" w:hAnsi="Times New Roman" w:eastAsia="黑体" w:cs="Times New Roman"/>
          <w:i w:val="0"/>
          <w:caps w:val="0"/>
          <w:color w:val="3D3D3D"/>
          <w:spacing w:val="0"/>
          <w:sz w:val="31"/>
          <w:szCs w:val="31"/>
          <w:shd w:val="clear" w:fill="FFFFFF"/>
        </w:rPr>
      </w:pPr>
    </w:p>
    <w:p w14:paraId="526EB9CF">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default" w:ascii="Times New Roman" w:hAnsi="Times New Roman" w:eastAsia="黑体" w:cs="Times New Roman"/>
          <w:i w:val="0"/>
          <w:caps w:val="0"/>
          <w:color w:val="3D3D3D"/>
          <w:spacing w:val="0"/>
          <w:sz w:val="31"/>
          <w:szCs w:val="31"/>
          <w:shd w:val="clear" w:fill="FFFFFF"/>
        </w:rPr>
      </w:pPr>
    </w:p>
    <w:p w14:paraId="056C7E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rPr>
          <w:rFonts w:hint="default" w:ascii="Times New Roman" w:hAnsi="Times New Roman" w:eastAsia="微软雅黑" w:cs="Times New Roman"/>
          <w:i w:val="0"/>
          <w:caps w:val="0"/>
          <w:color w:val="3D3D3D"/>
          <w:spacing w:val="0"/>
          <w:sz w:val="21"/>
          <w:szCs w:val="21"/>
        </w:rPr>
      </w:pPr>
      <w:r>
        <w:rPr>
          <w:rFonts w:hint="default" w:ascii="Times New Roman" w:hAnsi="Times New Roman" w:eastAsia="黑体" w:cs="Times New Roman"/>
          <w:i w:val="0"/>
          <w:caps w:val="0"/>
          <w:color w:val="3D3D3D"/>
          <w:spacing w:val="0"/>
          <w:sz w:val="31"/>
          <w:szCs w:val="31"/>
          <w:shd w:val="clear" w:fill="FFFFFF"/>
        </w:rPr>
        <w:t>四、政府信息公开行政复议、行政诉讼情况</w:t>
      </w:r>
    </w:p>
    <w:tbl>
      <w:tblPr>
        <w:tblStyle w:val="3"/>
        <w:tblW w:w="9245" w:type="dxa"/>
        <w:jc w:val="center"/>
        <w:shd w:val="clear" w:color="auto" w:fill="auto"/>
        <w:tblLayout w:type="fixed"/>
        <w:tblCellMar>
          <w:top w:w="15" w:type="dxa"/>
          <w:left w:w="15" w:type="dxa"/>
          <w:bottom w:w="15" w:type="dxa"/>
          <w:right w:w="15" w:type="dxa"/>
        </w:tblCellMar>
      </w:tblPr>
      <w:tblGrid>
        <w:gridCol w:w="598"/>
        <w:gridCol w:w="598"/>
        <w:gridCol w:w="598"/>
        <w:gridCol w:w="599"/>
        <w:gridCol w:w="543"/>
        <w:gridCol w:w="675"/>
        <w:gridCol w:w="660"/>
        <w:gridCol w:w="705"/>
        <w:gridCol w:w="660"/>
        <w:gridCol w:w="510"/>
        <w:gridCol w:w="600"/>
        <w:gridCol w:w="630"/>
        <w:gridCol w:w="600"/>
        <w:gridCol w:w="720"/>
        <w:gridCol w:w="549"/>
      </w:tblGrid>
      <w:tr w14:paraId="66D1D3D0">
        <w:tblPrEx>
          <w:shd w:val="clear" w:color="auto" w:fill="auto"/>
          <w:tblCellMar>
            <w:top w:w="15" w:type="dxa"/>
            <w:left w:w="15" w:type="dxa"/>
            <w:bottom w:w="15" w:type="dxa"/>
            <w:right w:w="15" w:type="dxa"/>
          </w:tblCellMar>
        </w:tblPrEx>
        <w:trPr>
          <w:jc w:val="center"/>
        </w:trPr>
        <w:tc>
          <w:tcPr>
            <w:tcW w:w="2936"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EDC7F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行政复议</w:t>
            </w:r>
          </w:p>
        </w:tc>
        <w:tc>
          <w:tcPr>
            <w:tcW w:w="6309"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1F5E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行政诉讼</w:t>
            </w:r>
          </w:p>
        </w:tc>
      </w:tr>
      <w:tr w14:paraId="394CB5D5">
        <w:tblPrEx>
          <w:tblCellMar>
            <w:top w:w="15" w:type="dxa"/>
            <w:left w:w="15" w:type="dxa"/>
            <w:bottom w:w="15" w:type="dxa"/>
            <w:right w:w="15" w:type="dxa"/>
          </w:tblCellMar>
        </w:tblPrEx>
        <w:trPr>
          <w:jc w:val="center"/>
        </w:trPr>
        <w:tc>
          <w:tcPr>
            <w:tcW w:w="598"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4991A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结果维持</w:t>
            </w:r>
          </w:p>
        </w:tc>
        <w:tc>
          <w:tcPr>
            <w:tcW w:w="598"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14C8B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结果纠正</w:t>
            </w:r>
          </w:p>
        </w:tc>
        <w:tc>
          <w:tcPr>
            <w:tcW w:w="598"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1CD4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其他结果</w:t>
            </w:r>
          </w:p>
        </w:tc>
        <w:tc>
          <w:tcPr>
            <w:tcW w:w="599"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E5A1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尚未审结</w:t>
            </w:r>
          </w:p>
        </w:tc>
        <w:tc>
          <w:tcPr>
            <w:tcW w:w="543"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9221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总计</w:t>
            </w:r>
          </w:p>
        </w:tc>
        <w:tc>
          <w:tcPr>
            <w:tcW w:w="321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E3DF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未经复议直接起诉</w:t>
            </w:r>
          </w:p>
        </w:tc>
        <w:tc>
          <w:tcPr>
            <w:tcW w:w="3099"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A28D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复议后起诉</w:t>
            </w:r>
          </w:p>
        </w:tc>
      </w:tr>
      <w:tr w14:paraId="1A59CAB9">
        <w:tblPrEx>
          <w:shd w:val="clear" w:color="auto" w:fill="auto"/>
          <w:tblCellMar>
            <w:top w:w="15" w:type="dxa"/>
            <w:left w:w="15" w:type="dxa"/>
            <w:bottom w:w="15" w:type="dxa"/>
            <w:right w:w="15" w:type="dxa"/>
          </w:tblCellMar>
        </w:tblPrEx>
        <w:trPr>
          <w:trHeight w:val="1263" w:hRule="atLeast"/>
          <w:jc w:val="center"/>
        </w:trPr>
        <w:tc>
          <w:tcPr>
            <w:tcW w:w="598"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1843BC1">
            <w:pPr>
              <w:rPr>
                <w:rFonts w:hint="default" w:ascii="Times New Roman" w:hAnsi="Times New Roman" w:cs="Times New Roman"/>
                <w:sz w:val="24"/>
                <w:szCs w:val="24"/>
              </w:rPr>
            </w:pPr>
          </w:p>
        </w:tc>
        <w:tc>
          <w:tcPr>
            <w:tcW w:w="598"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73105B">
            <w:pPr>
              <w:rPr>
                <w:rFonts w:hint="default" w:ascii="Times New Roman" w:hAnsi="Times New Roman" w:cs="Times New Roman"/>
                <w:sz w:val="24"/>
                <w:szCs w:val="24"/>
              </w:rPr>
            </w:pPr>
          </w:p>
        </w:tc>
        <w:tc>
          <w:tcPr>
            <w:tcW w:w="598"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1C746C">
            <w:pPr>
              <w:rPr>
                <w:rFonts w:hint="default" w:ascii="Times New Roman" w:hAnsi="Times New Roman" w:cs="Times New Roman"/>
                <w:sz w:val="24"/>
                <w:szCs w:val="24"/>
              </w:rPr>
            </w:pPr>
          </w:p>
        </w:tc>
        <w:tc>
          <w:tcPr>
            <w:tcW w:w="599"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FFA15D">
            <w:pPr>
              <w:rPr>
                <w:rFonts w:hint="default" w:ascii="Times New Roman" w:hAnsi="Times New Roman" w:cs="Times New Roman"/>
                <w:sz w:val="24"/>
                <w:szCs w:val="24"/>
              </w:rPr>
            </w:pPr>
          </w:p>
        </w:tc>
        <w:tc>
          <w:tcPr>
            <w:tcW w:w="543"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9AF0AE">
            <w:pPr>
              <w:rPr>
                <w:rFonts w:hint="default" w:ascii="Times New Roman" w:hAnsi="Times New Roman" w:cs="Times New Roman"/>
                <w:sz w:val="24"/>
                <w:szCs w:val="24"/>
              </w:rPr>
            </w:pP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E1C9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结果维持</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85CF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结果纠正</w:t>
            </w:r>
          </w:p>
        </w:tc>
        <w:tc>
          <w:tcPr>
            <w:tcW w:w="7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48FF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其他结果</w:t>
            </w:r>
          </w:p>
        </w:tc>
        <w:tc>
          <w:tcPr>
            <w:tcW w:w="66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06E1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尚未审结</w:t>
            </w:r>
          </w:p>
        </w:tc>
        <w:tc>
          <w:tcPr>
            <w:tcW w:w="51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A7DC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总计</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0AD7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结果维持</w:t>
            </w:r>
          </w:p>
        </w:tc>
        <w:tc>
          <w:tcPr>
            <w:tcW w:w="63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662E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B1E2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其他结果</w:t>
            </w:r>
          </w:p>
        </w:tc>
        <w:tc>
          <w:tcPr>
            <w:tcW w:w="72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706F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尚未审结</w:t>
            </w:r>
          </w:p>
        </w:tc>
        <w:tc>
          <w:tcPr>
            <w:tcW w:w="549"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9435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1"/>
                <w:szCs w:val="21"/>
              </w:rPr>
            </w:pPr>
            <w:r>
              <w:rPr>
                <w:rFonts w:hint="default" w:ascii="Times New Roman" w:hAnsi="Times New Roman" w:cs="Times New Roman"/>
                <w:sz w:val="19"/>
                <w:szCs w:val="19"/>
              </w:rPr>
              <w:t>总计</w:t>
            </w:r>
          </w:p>
        </w:tc>
      </w:tr>
      <w:tr w14:paraId="154A3502">
        <w:tblPrEx>
          <w:shd w:val="clear" w:color="auto" w:fill="auto"/>
          <w:tblCellMar>
            <w:top w:w="15" w:type="dxa"/>
            <w:left w:w="15" w:type="dxa"/>
            <w:bottom w:w="15" w:type="dxa"/>
            <w:right w:w="15" w:type="dxa"/>
          </w:tblCellMar>
        </w:tblPrEx>
        <w:trPr>
          <w:jc w:val="center"/>
        </w:trPr>
        <w:tc>
          <w:tcPr>
            <w:tcW w:w="598"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EE9B0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eastAsia="zh-CN"/>
              </w:rPr>
            </w:pPr>
            <w:r>
              <w:rPr>
                <w:rFonts w:hint="default" w:ascii="Times New Roman" w:hAnsi="Times New Roman" w:cs="Times New Roman" w:eastAsiaTheme="minorEastAsia"/>
                <w:sz w:val="24"/>
                <w:szCs w:val="24"/>
                <w:lang w:val="en-US" w:eastAsia="zh-CN"/>
              </w:rPr>
              <w:t>0</w:t>
            </w:r>
          </w:p>
        </w:tc>
        <w:tc>
          <w:tcPr>
            <w:tcW w:w="59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EE5822">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59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3CEF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eastAsia="zh-CN"/>
              </w:rPr>
            </w:pPr>
            <w:r>
              <w:rPr>
                <w:rFonts w:hint="default" w:ascii="Times New Roman" w:hAnsi="Times New Roman" w:cs="Times New Roman" w:eastAsiaTheme="minorEastAsia"/>
                <w:sz w:val="24"/>
                <w:szCs w:val="24"/>
                <w:lang w:val="en-US" w:eastAsia="zh-CN"/>
              </w:rPr>
              <w:t>0</w:t>
            </w:r>
          </w:p>
        </w:tc>
        <w:tc>
          <w:tcPr>
            <w:tcW w:w="59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D93A75">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54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0839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lang w:eastAsia="zh-CN"/>
              </w:rPr>
            </w:pPr>
            <w:r>
              <w:rPr>
                <w:rFonts w:hint="default" w:ascii="Times New Roman" w:hAnsi="Times New Roman" w:cs="Times New Roman" w:eastAsiaTheme="minorEastAsia"/>
                <w:sz w:val="19"/>
                <w:szCs w:val="19"/>
                <w:lang w:val="en-US" w:eastAsia="zh-C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854468">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B83BC9">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6C95FF">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9DF46D">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5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A1A5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D690DA">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1F7854">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DB5D61">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72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A72E89">
            <w:pPr>
              <w:keepNext w:val="0"/>
              <w:keepLines w:val="0"/>
              <w:widowControl/>
              <w:suppressLineNumbers w:val="0"/>
              <w:spacing w:before="0" w:beforeAutospacing="0" w:after="0" w:afterAutospacing="0"/>
              <w:ind w:left="0" w:right="0"/>
              <w:jc w:val="center"/>
              <w:rPr>
                <w:rFonts w:hint="default" w:ascii="Times New Roman" w:hAnsi="Times New Roman" w:cs="Times New Roman" w:eastAsiaTheme="minorEastAsia"/>
                <w:lang w:val="en-US" w:eastAsia="zh-CN"/>
              </w:rPr>
            </w:pPr>
            <w:r>
              <w:rPr>
                <w:rFonts w:hint="default" w:ascii="Times New Roman" w:hAnsi="Times New Roman" w:cs="Times New Roman" w:eastAsiaTheme="minorEastAsia"/>
                <w:lang w:val="en-US" w:eastAsia="zh-CN"/>
              </w:rPr>
              <w:t>0</w:t>
            </w:r>
          </w:p>
        </w:tc>
        <w:tc>
          <w:tcPr>
            <w:tcW w:w="549"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DE02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1"/>
                <w:szCs w:val="21"/>
              </w:rPr>
            </w:pPr>
            <w:r>
              <w:rPr>
                <w:rFonts w:hint="default" w:ascii="Times New Roman" w:hAnsi="Times New Roman" w:cs="Times New Roman" w:eastAsiaTheme="minorEastAsia"/>
                <w:sz w:val="24"/>
                <w:szCs w:val="24"/>
              </w:rPr>
              <w:t>0</w:t>
            </w:r>
          </w:p>
        </w:tc>
      </w:tr>
    </w:tbl>
    <w:p w14:paraId="58E797C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outlineLvl w:val="9"/>
        <w:rPr>
          <w:rFonts w:hint="default" w:ascii="Times New Roman" w:hAnsi="Times New Roman" w:eastAsia="黑体" w:cs="Times New Roman"/>
          <w:i w:val="0"/>
          <w:caps w:val="0"/>
          <w:color w:val="3D3D3D"/>
          <w:spacing w:val="0"/>
          <w:sz w:val="32"/>
          <w:szCs w:val="32"/>
          <w:shd w:val="clear" w:fill="FFFFFF"/>
        </w:rPr>
      </w:pPr>
      <w:r>
        <w:rPr>
          <w:rFonts w:hint="default" w:ascii="Times New Roman" w:hAnsi="Times New Roman" w:eastAsia="黑体" w:cs="Times New Roman"/>
          <w:i w:val="0"/>
          <w:caps w:val="0"/>
          <w:color w:val="3D3D3D"/>
          <w:spacing w:val="0"/>
          <w:sz w:val="32"/>
          <w:szCs w:val="32"/>
          <w:shd w:val="clear" w:fill="FFFFFF"/>
        </w:rPr>
        <w:t>五、存在的主要问题及改进情况</w:t>
      </w:r>
    </w:p>
    <w:p w14:paraId="7C0A0E9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仿宋_GB2312" w:cs="Times New Roman"/>
          <w:color w:val="auto"/>
          <w:sz w:val="31"/>
          <w:szCs w:val="31"/>
          <w:shd w:val="clear" w:color="auto" w:fill="FFFFFF"/>
          <w:lang w:eastAsia="zh-CN"/>
        </w:rPr>
      </w:pPr>
      <w:r>
        <w:rPr>
          <w:rFonts w:hint="default" w:ascii="Times New Roman" w:hAnsi="Times New Roman" w:eastAsia="仿宋_GB2312" w:cs="Times New Roman"/>
          <w:color w:val="auto"/>
          <w:kern w:val="0"/>
          <w:sz w:val="32"/>
          <w:szCs w:val="32"/>
          <w:shd w:val="clear" w:fill="FFFFFF"/>
          <w:lang w:val="en-US" w:eastAsia="zh-CN" w:bidi="ar"/>
        </w:rPr>
        <w:t>目前政府信息公开工作存在的问题是政府信息公开工作的自觉性不够，对于政府信息是否应该公开把握不准。我们将</w:t>
      </w:r>
      <w:r>
        <w:rPr>
          <w:rFonts w:hint="default" w:ascii="Times New Roman" w:hAnsi="Times New Roman" w:eastAsia="仿宋_GB2312" w:cs="Times New Roman"/>
          <w:i w:val="0"/>
          <w:caps w:val="0"/>
          <w:color w:val="auto"/>
          <w:spacing w:val="0"/>
          <w:sz w:val="31"/>
          <w:szCs w:val="31"/>
          <w:shd w:val="clear" w:fill="FFFFFF"/>
        </w:rPr>
        <w:t>不断建立、健全政府信息公开制度、规范政府信息公开流程、拓展政府信息公开形式</w:t>
      </w:r>
      <w:r>
        <w:rPr>
          <w:rFonts w:hint="default" w:ascii="Times New Roman" w:hAnsi="Times New Roman" w:eastAsia="仿宋_GB2312" w:cs="Times New Roman"/>
          <w:i w:val="0"/>
          <w:caps w:val="0"/>
          <w:color w:val="auto"/>
          <w:spacing w:val="0"/>
          <w:sz w:val="31"/>
          <w:szCs w:val="31"/>
          <w:shd w:val="clear" w:fill="FFFFFF"/>
          <w:lang w:eastAsia="zh-CN"/>
        </w:rPr>
        <w:t>，</w:t>
      </w:r>
      <w:r>
        <w:rPr>
          <w:rFonts w:hint="default" w:ascii="Times New Roman" w:hAnsi="Times New Roman" w:eastAsia="仿宋_GB2312" w:cs="Times New Roman"/>
          <w:color w:val="auto"/>
          <w:kern w:val="0"/>
          <w:sz w:val="32"/>
          <w:szCs w:val="32"/>
          <w:shd w:val="clear" w:fill="FFFFFF"/>
          <w:lang w:val="en-US" w:eastAsia="zh-CN" w:bidi="ar"/>
        </w:rPr>
        <w:t>加强政务公开培训，有效提升工作人员政务公开业务能力水平，严格按照</w:t>
      </w:r>
      <w:r>
        <w:rPr>
          <w:rFonts w:hint="default" w:ascii="Times New Roman" w:hAnsi="Times New Roman" w:eastAsia="仿宋_GB2312" w:cs="Times New Roman"/>
          <w:b w:val="0"/>
          <w:bCs/>
          <w:i w:val="0"/>
          <w:caps w:val="0"/>
          <w:color w:val="auto"/>
          <w:spacing w:val="0"/>
          <w:sz w:val="32"/>
          <w:szCs w:val="32"/>
          <w:shd w:val="clear" w:fill="FFFFFF"/>
        </w:rPr>
        <w:t>《中华人民共和国政府信息公开条例》</w:t>
      </w:r>
      <w:r>
        <w:rPr>
          <w:rFonts w:hint="default" w:ascii="Times New Roman" w:hAnsi="Times New Roman" w:eastAsia="仿宋_GB2312" w:cs="Times New Roman"/>
          <w:b w:val="0"/>
          <w:bCs/>
          <w:i w:val="0"/>
          <w:caps w:val="0"/>
          <w:color w:val="auto"/>
          <w:spacing w:val="0"/>
          <w:sz w:val="32"/>
          <w:szCs w:val="32"/>
          <w:shd w:val="clear" w:fill="FFFFFF"/>
          <w:lang w:val="en-US" w:eastAsia="zh-CN"/>
        </w:rPr>
        <w:t>要求，</w:t>
      </w:r>
      <w:r>
        <w:rPr>
          <w:rFonts w:hint="default" w:ascii="Times New Roman" w:hAnsi="Times New Roman" w:eastAsia="仿宋_GB2312" w:cs="Times New Roman"/>
          <w:i w:val="0"/>
          <w:caps w:val="0"/>
          <w:color w:val="auto"/>
          <w:spacing w:val="0"/>
          <w:kern w:val="0"/>
          <w:sz w:val="31"/>
          <w:szCs w:val="31"/>
          <w:shd w:val="clear" w:fill="FFFFFF"/>
          <w:lang w:val="en-US" w:eastAsia="zh-CN" w:bidi="ar"/>
        </w:rPr>
        <w:t>依法、及时、规范地开展政府信息公开工作，</w:t>
      </w:r>
      <w:r>
        <w:rPr>
          <w:rFonts w:hint="default" w:ascii="Times New Roman" w:hAnsi="Times New Roman" w:eastAsia="仿宋_GB2312" w:cs="Times New Roman"/>
          <w:color w:val="auto"/>
          <w:sz w:val="31"/>
          <w:szCs w:val="31"/>
          <w:shd w:val="clear" w:color="auto" w:fill="FFFFFF"/>
        </w:rPr>
        <w:t>扎实抓好政府信息公开工作的落实</w:t>
      </w:r>
      <w:r>
        <w:rPr>
          <w:rFonts w:hint="default" w:ascii="Times New Roman" w:hAnsi="Times New Roman" w:eastAsia="仿宋_GB2312" w:cs="Times New Roman"/>
          <w:color w:val="auto"/>
          <w:sz w:val="31"/>
          <w:szCs w:val="31"/>
          <w:shd w:val="clear" w:color="auto" w:fill="FFFFFF"/>
          <w:lang w:eastAsia="zh-CN"/>
        </w:rPr>
        <w:t>。</w:t>
      </w:r>
    </w:p>
    <w:p w14:paraId="1F7B74E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六、2020年度提案办理情况</w:t>
      </w:r>
    </w:p>
    <w:p w14:paraId="439C259B">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今年以来，威海市文登区市场监督管理局严格落实责任，始终秉持着对代表、委员、人民群众高度负责的精神，认真答复和落实人大代表建议、政协委员提案。现将2020年度建议提案办理情况公开如下：</w:t>
      </w:r>
    </w:p>
    <w:p w14:paraId="3235AB13">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威海市文登区市场监督管理局共办理人大代表建议2件，政协委员提案5件。办理了关于区人大十八届四次会议第46号关于进一步加大对小商店监管力度的代表建议的答复函。办理了关于区人大十八届四次会议第45号关于加强食品药品使用安全监管的代表建议的答复函。办理了关于区政协十届四次会议第12号关于本地食品企业发展建议的委员提案的答复函。办理了关于区政协十届四次会议第89号关于推进餐饮业健康发展的建议的委员提案的答复函。办理了关于区政协十届四次会议第90号关于提升农村食品安全的委员提案的答复函。办理了关于区政协十届四次会议第78号关于加强药店药价管理的委员提案的答复函。办理了关于区政协十届四次会议第42号关于加强社区直饮水监管的建议的委员提案的答复函。</w:t>
      </w:r>
    </w:p>
    <w:p w14:paraId="5259B388">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截至目前，办理的人大建议2件和政协提案5件全部办结，办结率100%，办结满意率100%。</w:t>
      </w:r>
    </w:p>
    <w:p w14:paraId="6EC8EDB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2695D1E6">
      <w:pPr>
        <w:wordWrap w:val="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威海市文登区市场监督管理局</w:t>
      </w:r>
      <w:r>
        <w:rPr>
          <w:rFonts w:hint="default" w:ascii="Times New Roman" w:hAnsi="Times New Roman" w:eastAsia="仿宋_GB2312" w:cs="Times New Roman"/>
          <w:sz w:val="32"/>
          <w:szCs w:val="32"/>
          <w:lang w:val="en-US" w:eastAsia="zh-CN"/>
        </w:rPr>
        <w:t xml:space="preserve">    </w:t>
      </w:r>
    </w:p>
    <w:p w14:paraId="04D93E69">
      <w:pPr>
        <w:wordWrap w:val="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2021年1月26日</w:t>
      </w:r>
      <w:r>
        <w:rPr>
          <w:rFonts w:hint="default" w:ascii="Times New Roman" w:hAnsi="Times New Roman" w:eastAsia="仿宋_GB2312" w:cs="Times New Roman"/>
          <w:sz w:val="32"/>
          <w:szCs w:val="32"/>
          <w:lang w:val="en-US" w:eastAsia="zh-CN"/>
        </w:rPr>
        <w:t xml:space="preserve">         </w:t>
      </w:r>
    </w:p>
    <w:sectPr>
      <w:pgSz w:w="11906" w:h="16838"/>
      <w:pgMar w:top="1984" w:right="1531" w:bottom="1440"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08163B9"/>
    <w:rsid w:val="00E01D7A"/>
    <w:rsid w:val="0D751D14"/>
    <w:rsid w:val="22F107D9"/>
    <w:rsid w:val="270A0791"/>
    <w:rsid w:val="3A17542F"/>
    <w:rsid w:val="3A3B75CE"/>
    <w:rsid w:val="3CE51027"/>
    <w:rsid w:val="408163B9"/>
    <w:rsid w:val="44CF768A"/>
    <w:rsid w:val="53434F7D"/>
    <w:rsid w:val="58B44417"/>
    <w:rsid w:val="5CAA1360"/>
    <w:rsid w:val="7D914D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2510</Words>
  <Characters>2656</Characters>
  <Lines>0</Lines>
  <Paragraphs>0</Paragraphs>
  <TotalTime>10</TotalTime>
  <ScaleCrop>false</ScaleCrop>
  <LinksUpToDate>false</LinksUpToDate>
  <CharactersWithSpaces>2675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2021-01-27T02:22:00Z</dcterms:created>
  <dc:creator>修1416637043</dc:creator>
  <cp:lastModifiedBy>sunny</cp:lastModifiedBy>
  <dcterms:modified xsi:type="dcterms:W3CDTF">2026-04-10T03:14:35Z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E99FE8A48CE24272ADDEB2AFC817BF0F</vt:lpwstr>
  </property>
  <property fmtid="{D5CDD505-2E9C-101B-9397-08002B2CF9AE}" pid="4" name="KSOTemplateDocerSaveRecord">
    <vt:lpwstr>eyJoZGlkIjoiZWNlM2EyMTZlNjM2NzhmMWMyNTE2ODkzMWE3NjA0MDMiLCJ1c2VySWQiOiIyNzI4MDc3MjUifQ==</vt:lpwstr>
  </property>
</Properties>
</file>